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64B8D" w:rsidRPr="00C54103" w14:paraId="77AB84B4" w14:textId="77777777" w:rsidTr="00C65A55">
        <w:trPr>
          <w:trHeight w:hRule="exact" w:val="418"/>
          <w:jc w:val="center"/>
        </w:trPr>
        <w:tc>
          <w:tcPr>
            <w:tcW w:w="8721" w:type="dxa"/>
            <w:gridSpan w:val="2"/>
          </w:tcPr>
          <w:p w14:paraId="514FA64C" w14:textId="77777777" w:rsidR="00964B8D" w:rsidRPr="00C54103" w:rsidRDefault="00964B8D" w:rsidP="0093328F">
            <w:pPr>
              <w:pStyle w:val="a3"/>
              <w:jc w:val="center"/>
              <w:rPr>
                <w:rFonts w:ascii="Tahoma" w:hAnsi="Tahoma" w:cs="Tahoma"/>
                <w:color w:val="000080"/>
                <w:rtl/>
              </w:rPr>
            </w:pPr>
            <w:bookmarkStart w:id="0" w:name="FirstLawyer"/>
            <w:r w:rsidRPr="00C54103">
              <w:rPr>
                <w:rFonts w:ascii="Tahoma" w:hAnsi="Tahoma" w:cs="Tahoma"/>
                <w:b/>
                <w:bCs/>
                <w:color w:val="000080"/>
                <w:rtl/>
              </w:rPr>
              <w:t>בית משפט השלום ברמלה</w:t>
            </w:r>
          </w:p>
        </w:tc>
      </w:tr>
      <w:tr w:rsidR="00964B8D" w:rsidRPr="00C54103" w14:paraId="73D0B586" w14:textId="77777777" w:rsidTr="00C65A55">
        <w:trPr>
          <w:trHeight w:val="337"/>
          <w:jc w:val="center"/>
        </w:trPr>
        <w:tc>
          <w:tcPr>
            <w:tcW w:w="5056" w:type="dxa"/>
          </w:tcPr>
          <w:p w14:paraId="0A0ED818" w14:textId="77777777" w:rsidR="00964B8D" w:rsidRPr="00C54103" w:rsidRDefault="00964B8D" w:rsidP="0093328F">
            <w:pPr>
              <w:rPr>
                <w:rFonts w:cs="FrankRuehl"/>
                <w:sz w:val="28"/>
                <w:szCs w:val="28"/>
                <w:rtl/>
              </w:rPr>
            </w:pPr>
            <w:r w:rsidRPr="00C54103">
              <w:rPr>
                <w:rFonts w:cs="FrankRuehl"/>
                <w:sz w:val="28"/>
                <w:szCs w:val="28"/>
                <w:rtl/>
              </w:rPr>
              <w:t>ת"פ</w:t>
            </w:r>
            <w:r w:rsidRPr="00C54103">
              <w:rPr>
                <w:rFonts w:cs="FrankRuehl" w:hint="cs"/>
                <w:sz w:val="28"/>
                <w:szCs w:val="28"/>
                <w:rtl/>
              </w:rPr>
              <w:t xml:space="preserve"> </w:t>
            </w:r>
            <w:r w:rsidRPr="00C54103">
              <w:rPr>
                <w:rFonts w:cs="FrankRuehl"/>
                <w:sz w:val="28"/>
                <w:szCs w:val="28"/>
                <w:rtl/>
              </w:rPr>
              <w:t>13478-06-19</w:t>
            </w:r>
            <w:r w:rsidRPr="00C54103">
              <w:rPr>
                <w:rFonts w:cs="FrankRuehl" w:hint="cs"/>
                <w:sz w:val="28"/>
                <w:szCs w:val="28"/>
                <w:rtl/>
              </w:rPr>
              <w:t xml:space="preserve"> </w:t>
            </w:r>
            <w:r w:rsidRPr="00C54103">
              <w:rPr>
                <w:rFonts w:cs="FrankRuehl"/>
                <w:sz w:val="28"/>
                <w:szCs w:val="28"/>
                <w:rtl/>
              </w:rPr>
              <w:t>מדינת ישראל נ' אלשמאלי ואח'</w:t>
            </w:r>
          </w:p>
          <w:p w14:paraId="7684B701" w14:textId="77777777" w:rsidR="00964B8D" w:rsidRPr="00C54103" w:rsidRDefault="00964B8D" w:rsidP="0093328F">
            <w:pPr>
              <w:pStyle w:val="a3"/>
              <w:rPr>
                <w:rFonts w:cs="FrankRuehl"/>
                <w:sz w:val="28"/>
                <w:szCs w:val="28"/>
                <w:rtl/>
              </w:rPr>
            </w:pPr>
          </w:p>
        </w:tc>
        <w:tc>
          <w:tcPr>
            <w:tcW w:w="3665" w:type="dxa"/>
          </w:tcPr>
          <w:p w14:paraId="5C6D9A99" w14:textId="77777777" w:rsidR="00964B8D" w:rsidRPr="00C54103" w:rsidRDefault="00964B8D" w:rsidP="0093328F">
            <w:pPr>
              <w:pStyle w:val="a3"/>
              <w:jc w:val="right"/>
              <w:rPr>
                <w:rFonts w:cs="FrankRuehl"/>
                <w:sz w:val="28"/>
                <w:szCs w:val="28"/>
                <w:rtl/>
              </w:rPr>
            </w:pPr>
          </w:p>
        </w:tc>
      </w:tr>
    </w:tbl>
    <w:p w14:paraId="28D0BCA2" w14:textId="77777777" w:rsidR="00964B8D" w:rsidRPr="00C54103" w:rsidRDefault="00964B8D" w:rsidP="00964B8D">
      <w:pPr>
        <w:pStyle w:val="a3"/>
        <w:rPr>
          <w:rtl/>
        </w:rPr>
      </w:pPr>
      <w:r w:rsidRPr="00C54103">
        <w:rPr>
          <w:rFonts w:hint="cs"/>
          <w:rtl/>
        </w:rPr>
        <w:t xml:space="preserve"> </w:t>
      </w:r>
    </w:p>
    <w:p w14:paraId="6AE15C81" w14:textId="77777777" w:rsidR="00964B8D" w:rsidRPr="00C54103" w:rsidRDefault="00964B8D" w:rsidP="00964B8D">
      <w:pPr>
        <w:rPr>
          <w:rtl/>
        </w:rPr>
      </w:pPr>
    </w:p>
    <w:p w14:paraId="62A6AFE8" w14:textId="77777777" w:rsidR="00964B8D" w:rsidRPr="00C54103" w:rsidRDefault="00964B8D" w:rsidP="00964B8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64B8D" w:rsidRPr="00C54103" w14:paraId="7BDB02E7" w14:textId="77777777" w:rsidTr="00964B8D">
        <w:trPr>
          <w:trHeight w:val="295"/>
          <w:jc w:val="center"/>
        </w:trPr>
        <w:tc>
          <w:tcPr>
            <w:tcW w:w="923" w:type="dxa"/>
            <w:tcBorders>
              <w:top w:val="nil"/>
              <w:left w:val="nil"/>
              <w:bottom w:val="nil"/>
              <w:right w:val="nil"/>
            </w:tcBorders>
            <w:shd w:val="clear" w:color="auto" w:fill="auto"/>
          </w:tcPr>
          <w:p w14:paraId="2FB7389D" w14:textId="77777777" w:rsidR="00964B8D" w:rsidRPr="00C54103" w:rsidRDefault="00964B8D" w:rsidP="00964B8D">
            <w:pPr>
              <w:jc w:val="both"/>
              <w:rPr>
                <w:rFonts w:ascii="Arial" w:hAnsi="Arial" w:cs="FrankRuehl"/>
                <w:sz w:val="28"/>
                <w:szCs w:val="28"/>
              </w:rPr>
            </w:pPr>
            <w:r w:rsidRPr="00C54103">
              <w:rPr>
                <w:rFonts w:ascii="Arial" w:hAnsi="Arial" w:cs="FrankRuehl" w:hint="cs"/>
                <w:sz w:val="28"/>
                <w:szCs w:val="28"/>
                <w:rtl/>
              </w:rPr>
              <w:t>ב</w:t>
            </w:r>
            <w:r w:rsidRPr="00C5410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303B701" w14:textId="77777777" w:rsidR="00964B8D" w:rsidRPr="00C54103" w:rsidRDefault="00964B8D" w:rsidP="0093328F">
            <w:pPr>
              <w:rPr>
                <w:rFonts w:ascii="Arial" w:hAnsi="Arial"/>
                <w:b/>
                <w:bCs/>
                <w:rtl/>
              </w:rPr>
            </w:pPr>
            <w:r w:rsidRPr="00C54103">
              <w:rPr>
                <w:rFonts w:ascii="Arial" w:hAnsi="Arial" w:hint="cs"/>
                <w:b/>
                <w:bCs/>
                <w:rtl/>
              </w:rPr>
              <w:t>כבוד ה</w:t>
            </w:r>
            <w:r w:rsidRPr="00C54103">
              <w:rPr>
                <w:rFonts w:ascii="Arial" w:hAnsi="Arial"/>
                <w:b/>
                <w:bCs/>
                <w:rtl/>
              </w:rPr>
              <w:t>שופט, סגן הנשיאה</w:t>
            </w:r>
            <w:r w:rsidRPr="00C54103">
              <w:rPr>
                <w:rFonts w:ascii="Arial" w:hAnsi="Arial" w:hint="cs"/>
                <w:b/>
                <w:bCs/>
                <w:rtl/>
              </w:rPr>
              <w:t xml:space="preserve">  </w:t>
            </w:r>
            <w:r w:rsidRPr="00C54103">
              <w:rPr>
                <w:rFonts w:ascii="Arial" w:hAnsi="Arial"/>
                <w:b/>
                <w:bCs/>
                <w:rtl/>
              </w:rPr>
              <w:t>מנחם מזרחי</w:t>
            </w:r>
          </w:p>
          <w:p w14:paraId="60905E47" w14:textId="77777777" w:rsidR="00964B8D" w:rsidRPr="00C54103" w:rsidRDefault="00964B8D" w:rsidP="0093328F">
            <w:pPr>
              <w:rPr>
                <w:rtl/>
              </w:rPr>
            </w:pPr>
          </w:p>
          <w:p w14:paraId="1D7DBD7C" w14:textId="77777777" w:rsidR="00964B8D" w:rsidRPr="00C54103" w:rsidRDefault="00964B8D" w:rsidP="00964B8D">
            <w:pPr>
              <w:jc w:val="both"/>
              <w:rPr>
                <w:rFonts w:ascii="Arial" w:hAnsi="Arial" w:cs="FrankRuehl"/>
                <w:sz w:val="28"/>
                <w:szCs w:val="28"/>
              </w:rPr>
            </w:pPr>
          </w:p>
        </w:tc>
      </w:tr>
      <w:tr w:rsidR="00964B8D" w:rsidRPr="00C54103" w14:paraId="375068A3" w14:textId="77777777" w:rsidTr="00964B8D">
        <w:trPr>
          <w:trHeight w:val="355"/>
          <w:jc w:val="center"/>
        </w:trPr>
        <w:tc>
          <w:tcPr>
            <w:tcW w:w="923" w:type="dxa"/>
            <w:tcBorders>
              <w:top w:val="nil"/>
              <w:left w:val="nil"/>
              <w:bottom w:val="nil"/>
              <w:right w:val="nil"/>
            </w:tcBorders>
            <w:shd w:val="clear" w:color="auto" w:fill="auto"/>
          </w:tcPr>
          <w:p w14:paraId="1C0B555A" w14:textId="77777777" w:rsidR="00964B8D" w:rsidRPr="00C54103" w:rsidRDefault="00964B8D" w:rsidP="00964B8D">
            <w:pPr>
              <w:jc w:val="both"/>
              <w:rPr>
                <w:rFonts w:ascii="Arial" w:hAnsi="Arial" w:cs="FrankRuehl"/>
                <w:sz w:val="28"/>
                <w:szCs w:val="28"/>
              </w:rPr>
            </w:pPr>
            <w:bookmarkStart w:id="1" w:name="FirstAppellant"/>
            <w:bookmarkStart w:id="2" w:name="LastJudge"/>
            <w:bookmarkEnd w:id="2"/>
            <w:r w:rsidRPr="00C5410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9D613DE" w14:textId="77777777" w:rsidR="00964B8D" w:rsidRPr="00C54103" w:rsidRDefault="00964B8D" w:rsidP="0093328F">
            <w:r w:rsidRPr="00C54103">
              <w:rPr>
                <w:rFonts w:ascii="Arial" w:hAnsi="Arial" w:cs="FrankRuehl"/>
                <w:sz w:val="28"/>
                <w:szCs w:val="28"/>
                <w:rtl/>
              </w:rPr>
              <w:t>מדינת ישראל</w:t>
            </w:r>
            <w:r w:rsidRPr="00C54103">
              <w:rPr>
                <w:rtl/>
              </w:rPr>
              <w:br/>
            </w:r>
            <w:r w:rsidRPr="00C54103">
              <w:rPr>
                <w:rFonts w:hint="cs"/>
                <w:rtl/>
              </w:rPr>
              <w:t>פרקליטות מחוז מרכז</w:t>
            </w:r>
            <w:r w:rsidRPr="00C54103">
              <w:rPr>
                <w:rtl/>
              </w:rPr>
              <w:br/>
            </w:r>
            <w:r w:rsidRPr="00C54103">
              <w:rPr>
                <w:rFonts w:hint="cs"/>
                <w:rtl/>
              </w:rPr>
              <w:t>באמצעות ב"כ עוה"ד טל שילוני</w:t>
            </w:r>
          </w:p>
        </w:tc>
        <w:tc>
          <w:tcPr>
            <w:tcW w:w="3771" w:type="dxa"/>
            <w:tcBorders>
              <w:top w:val="nil"/>
              <w:left w:val="nil"/>
              <w:bottom w:val="nil"/>
              <w:right w:val="nil"/>
            </w:tcBorders>
            <w:shd w:val="clear" w:color="auto" w:fill="auto"/>
          </w:tcPr>
          <w:p w14:paraId="24C51201" w14:textId="77777777" w:rsidR="00964B8D" w:rsidRPr="00C54103" w:rsidRDefault="00964B8D" w:rsidP="00964B8D">
            <w:pPr>
              <w:jc w:val="both"/>
              <w:rPr>
                <w:rFonts w:ascii="Arial" w:hAnsi="Arial" w:cs="FrankRuehl"/>
                <w:sz w:val="28"/>
                <w:szCs w:val="28"/>
              </w:rPr>
            </w:pPr>
          </w:p>
        </w:tc>
      </w:tr>
      <w:bookmarkEnd w:id="1"/>
      <w:tr w:rsidR="00964B8D" w:rsidRPr="00C54103" w14:paraId="57B729D7" w14:textId="77777777" w:rsidTr="00964B8D">
        <w:trPr>
          <w:trHeight w:val="355"/>
          <w:jc w:val="center"/>
        </w:trPr>
        <w:tc>
          <w:tcPr>
            <w:tcW w:w="923" w:type="dxa"/>
            <w:tcBorders>
              <w:top w:val="nil"/>
              <w:left w:val="nil"/>
              <w:bottom w:val="nil"/>
              <w:right w:val="nil"/>
            </w:tcBorders>
            <w:shd w:val="clear" w:color="auto" w:fill="auto"/>
          </w:tcPr>
          <w:p w14:paraId="22CAF881" w14:textId="77777777" w:rsidR="00964B8D" w:rsidRPr="00C54103" w:rsidRDefault="00964B8D" w:rsidP="00964B8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FAC24AF" w14:textId="77777777" w:rsidR="00964B8D" w:rsidRPr="00C54103" w:rsidRDefault="00964B8D" w:rsidP="00964B8D">
            <w:pPr>
              <w:jc w:val="both"/>
              <w:rPr>
                <w:rtl/>
              </w:rPr>
            </w:pPr>
          </w:p>
        </w:tc>
        <w:tc>
          <w:tcPr>
            <w:tcW w:w="3771" w:type="dxa"/>
            <w:tcBorders>
              <w:top w:val="nil"/>
              <w:left w:val="nil"/>
              <w:bottom w:val="nil"/>
              <w:right w:val="nil"/>
            </w:tcBorders>
            <w:shd w:val="clear" w:color="auto" w:fill="auto"/>
          </w:tcPr>
          <w:p w14:paraId="6A0833C6" w14:textId="77777777" w:rsidR="00964B8D" w:rsidRPr="00C54103" w:rsidRDefault="00964B8D" w:rsidP="00964B8D">
            <w:pPr>
              <w:jc w:val="right"/>
              <w:rPr>
                <w:rFonts w:ascii="Arial" w:hAnsi="Arial" w:cs="FrankRuehl"/>
                <w:sz w:val="28"/>
                <w:szCs w:val="28"/>
                <w:rtl/>
              </w:rPr>
            </w:pPr>
            <w:r w:rsidRPr="00C54103">
              <w:rPr>
                <w:rFonts w:ascii="Arial" w:hAnsi="Arial" w:cs="FrankRuehl" w:hint="cs"/>
                <w:sz w:val="28"/>
                <w:szCs w:val="28"/>
                <w:rtl/>
              </w:rPr>
              <w:t>ה</w:t>
            </w:r>
            <w:r w:rsidRPr="00C54103">
              <w:rPr>
                <w:rFonts w:ascii="Arial" w:hAnsi="Arial" w:cs="FrankRuehl"/>
                <w:sz w:val="28"/>
                <w:szCs w:val="28"/>
                <w:rtl/>
              </w:rPr>
              <w:t>מאשימה</w:t>
            </w:r>
          </w:p>
        </w:tc>
      </w:tr>
      <w:tr w:rsidR="00964B8D" w:rsidRPr="00C54103" w14:paraId="6D16DB15" w14:textId="77777777" w:rsidTr="00964B8D">
        <w:trPr>
          <w:trHeight w:val="355"/>
          <w:jc w:val="center"/>
        </w:trPr>
        <w:tc>
          <w:tcPr>
            <w:tcW w:w="923" w:type="dxa"/>
            <w:tcBorders>
              <w:top w:val="nil"/>
              <w:left w:val="nil"/>
              <w:bottom w:val="nil"/>
              <w:right w:val="nil"/>
            </w:tcBorders>
            <w:shd w:val="clear" w:color="auto" w:fill="auto"/>
          </w:tcPr>
          <w:p w14:paraId="28CD0110" w14:textId="77777777" w:rsidR="00964B8D" w:rsidRPr="00C54103" w:rsidRDefault="00964B8D" w:rsidP="00964B8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BAE8220" w14:textId="77777777" w:rsidR="00964B8D" w:rsidRPr="00C54103" w:rsidRDefault="00964B8D" w:rsidP="00964B8D">
            <w:pPr>
              <w:jc w:val="center"/>
              <w:rPr>
                <w:rFonts w:ascii="Arial" w:hAnsi="Arial" w:cs="FrankRuehl"/>
                <w:b/>
                <w:bCs/>
                <w:sz w:val="28"/>
                <w:szCs w:val="28"/>
                <w:rtl/>
              </w:rPr>
            </w:pPr>
          </w:p>
          <w:p w14:paraId="50C2F21F" w14:textId="77777777" w:rsidR="00964B8D" w:rsidRPr="00C54103" w:rsidRDefault="00964B8D" w:rsidP="00964B8D">
            <w:pPr>
              <w:jc w:val="center"/>
              <w:rPr>
                <w:rFonts w:ascii="Arial" w:hAnsi="Arial" w:cs="FrankRuehl"/>
                <w:b/>
                <w:bCs/>
                <w:sz w:val="28"/>
                <w:szCs w:val="28"/>
                <w:rtl/>
              </w:rPr>
            </w:pPr>
            <w:r w:rsidRPr="00C54103">
              <w:rPr>
                <w:rFonts w:ascii="Arial" w:hAnsi="Arial" w:cs="FrankRuehl"/>
                <w:b/>
                <w:bCs/>
                <w:sz w:val="28"/>
                <w:szCs w:val="28"/>
                <w:rtl/>
              </w:rPr>
              <w:t>נגד</w:t>
            </w:r>
          </w:p>
          <w:p w14:paraId="61CF69B3" w14:textId="77777777" w:rsidR="00964B8D" w:rsidRPr="00C54103" w:rsidRDefault="00964B8D" w:rsidP="00964B8D">
            <w:pPr>
              <w:jc w:val="both"/>
              <w:rPr>
                <w:rFonts w:ascii="Arial" w:hAnsi="Arial" w:cs="FrankRuehl"/>
                <w:sz w:val="28"/>
                <w:szCs w:val="28"/>
              </w:rPr>
            </w:pPr>
          </w:p>
        </w:tc>
      </w:tr>
      <w:tr w:rsidR="00964B8D" w:rsidRPr="00C54103" w14:paraId="6CEDBD38" w14:textId="77777777" w:rsidTr="00964B8D">
        <w:trPr>
          <w:trHeight w:val="355"/>
          <w:jc w:val="center"/>
        </w:trPr>
        <w:tc>
          <w:tcPr>
            <w:tcW w:w="923" w:type="dxa"/>
            <w:tcBorders>
              <w:top w:val="nil"/>
              <w:left w:val="nil"/>
              <w:bottom w:val="nil"/>
              <w:right w:val="nil"/>
            </w:tcBorders>
            <w:shd w:val="clear" w:color="auto" w:fill="auto"/>
          </w:tcPr>
          <w:p w14:paraId="20DF936A" w14:textId="77777777" w:rsidR="00964B8D" w:rsidRPr="00C54103" w:rsidRDefault="00964B8D" w:rsidP="0093328F">
            <w:pPr>
              <w:rPr>
                <w:rFonts w:ascii="Arial" w:hAnsi="Arial" w:cs="FrankRuehl"/>
                <w:sz w:val="28"/>
                <w:szCs w:val="28"/>
                <w:rtl/>
              </w:rPr>
            </w:pPr>
          </w:p>
        </w:tc>
        <w:tc>
          <w:tcPr>
            <w:tcW w:w="4126" w:type="dxa"/>
            <w:tcBorders>
              <w:top w:val="nil"/>
              <w:left w:val="nil"/>
              <w:bottom w:val="nil"/>
              <w:right w:val="nil"/>
            </w:tcBorders>
            <w:shd w:val="clear" w:color="auto" w:fill="auto"/>
          </w:tcPr>
          <w:p w14:paraId="3C271ACE" w14:textId="77777777" w:rsidR="00964B8D" w:rsidRPr="00C54103" w:rsidRDefault="00964B8D" w:rsidP="0093328F">
            <w:pPr>
              <w:rPr>
                <w:rtl/>
              </w:rPr>
            </w:pPr>
            <w:r w:rsidRPr="00C54103">
              <w:rPr>
                <w:rFonts w:ascii="Arial" w:hAnsi="Arial" w:cs="FrankRuehl"/>
                <w:sz w:val="28"/>
                <w:szCs w:val="28"/>
                <w:rtl/>
              </w:rPr>
              <w:t>1</w:t>
            </w:r>
            <w:r w:rsidRPr="00C54103">
              <w:rPr>
                <w:rFonts w:ascii="Arial" w:hAnsi="Arial" w:cs="FrankRuehl" w:hint="cs"/>
                <w:sz w:val="28"/>
                <w:szCs w:val="28"/>
                <w:rtl/>
              </w:rPr>
              <w:t>.</w:t>
            </w:r>
            <w:r w:rsidRPr="00C54103">
              <w:rPr>
                <w:rFonts w:ascii="Arial" w:hAnsi="Arial" w:cs="FrankRuehl"/>
                <w:sz w:val="28"/>
                <w:szCs w:val="28"/>
                <w:rtl/>
              </w:rPr>
              <w:t>נשאאת אלשמאלי</w:t>
            </w:r>
          </w:p>
          <w:p w14:paraId="433C2DBF" w14:textId="77777777" w:rsidR="00964B8D" w:rsidRPr="00C54103" w:rsidRDefault="00964B8D" w:rsidP="0093328F">
            <w:pPr>
              <w:rPr>
                <w:rtl/>
              </w:rPr>
            </w:pPr>
            <w:r w:rsidRPr="00C54103">
              <w:rPr>
                <w:rFonts w:ascii="Arial" w:hAnsi="Arial" w:cs="FrankRuehl"/>
                <w:sz w:val="28"/>
                <w:szCs w:val="28"/>
                <w:rtl/>
              </w:rPr>
              <w:t>2</w:t>
            </w:r>
            <w:r w:rsidRPr="00C54103">
              <w:rPr>
                <w:rFonts w:ascii="Arial" w:hAnsi="Arial" w:cs="FrankRuehl" w:hint="cs"/>
                <w:sz w:val="28"/>
                <w:szCs w:val="28"/>
                <w:rtl/>
              </w:rPr>
              <w:t>.</w:t>
            </w:r>
            <w:r w:rsidRPr="00C54103">
              <w:rPr>
                <w:rFonts w:ascii="Arial" w:hAnsi="Arial" w:cs="FrankRuehl"/>
                <w:sz w:val="28"/>
                <w:szCs w:val="28"/>
                <w:rtl/>
              </w:rPr>
              <w:t>וואסים אלשמאלי</w:t>
            </w:r>
            <w:r w:rsidRPr="00C54103">
              <w:rPr>
                <w:rtl/>
              </w:rPr>
              <w:br/>
            </w:r>
            <w:r w:rsidRPr="00C54103">
              <w:rPr>
                <w:rFonts w:hint="cs"/>
                <w:rtl/>
              </w:rPr>
              <w:t>באמצעות ב"כ עוה"ד שאדי כבהא</w:t>
            </w:r>
          </w:p>
        </w:tc>
        <w:tc>
          <w:tcPr>
            <w:tcW w:w="3771" w:type="dxa"/>
            <w:tcBorders>
              <w:top w:val="nil"/>
              <w:left w:val="nil"/>
              <w:bottom w:val="nil"/>
              <w:right w:val="nil"/>
            </w:tcBorders>
            <w:shd w:val="clear" w:color="auto" w:fill="auto"/>
          </w:tcPr>
          <w:p w14:paraId="76B3DB37" w14:textId="77777777" w:rsidR="00964B8D" w:rsidRPr="00C54103" w:rsidRDefault="00964B8D" w:rsidP="00964B8D">
            <w:pPr>
              <w:jc w:val="right"/>
              <w:rPr>
                <w:rFonts w:ascii="Arial" w:hAnsi="Arial" w:cs="FrankRuehl"/>
                <w:sz w:val="28"/>
                <w:szCs w:val="28"/>
              </w:rPr>
            </w:pPr>
          </w:p>
        </w:tc>
      </w:tr>
      <w:tr w:rsidR="00964B8D" w:rsidRPr="00C54103" w14:paraId="527573A4" w14:textId="77777777" w:rsidTr="00964B8D">
        <w:trPr>
          <w:trHeight w:val="355"/>
          <w:jc w:val="center"/>
        </w:trPr>
        <w:tc>
          <w:tcPr>
            <w:tcW w:w="923" w:type="dxa"/>
            <w:tcBorders>
              <w:top w:val="nil"/>
              <w:left w:val="nil"/>
              <w:bottom w:val="nil"/>
              <w:right w:val="nil"/>
            </w:tcBorders>
            <w:shd w:val="clear" w:color="auto" w:fill="auto"/>
          </w:tcPr>
          <w:p w14:paraId="77811170" w14:textId="77777777" w:rsidR="00964B8D" w:rsidRPr="00C54103" w:rsidRDefault="00964B8D" w:rsidP="00964B8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D86FEE2" w14:textId="77777777" w:rsidR="00964B8D" w:rsidRPr="00C54103" w:rsidRDefault="00964B8D" w:rsidP="00964B8D">
            <w:pPr>
              <w:jc w:val="both"/>
              <w:rPr>
                <w:rtl/>
              </w:rPr>
            </w:pPr>
          </w:p>
        </w:tc>
        <w:tc>
          <w:tcPr>
            <w:tcW w:w="3771" w:type="dxa"/>
            <w:tcBorders>
              <w:top w:val="nil"/>
              <w:left w:val="nil"/>
              <w:bottom w:val="nil"/>
              <w:right w:val="nil"/>
            </w:tcBorders>
            <w:shd w:val="clear" w:color="auto" w:fill="auto"/>
          </w:tcPr>
          <w:p w14:paraId="2EECEE0F" w14:textId="77777777" w:rsidR="00964B8D" w:rsidRPr="00C54103" w:rsidRDefault="00964B8D" w:rsidP="00964B8D">
            <w:pPr>
              <w:jc w:val="right"/>
              <w:rPr>
                <w:rFonts w:ascii="Arial" w:hAnsi="Arial" w:cs="FrankRuehl"/>
                <w:sz w:val="28"/>
                <w:szCs w:val="28"/>
              </w:rPr>
            </w:pPr>
            <w:r w:rsidRPr="00C54103">
              <w:rPr>
                <w:rFonts w:ascii="Arial" w:hAnsi="Arial" w:cs="FrankRuehl" w:hint="cs"/>
                <w:sz w:val="28"/>
                <w:szCs w:val="28"/>
                <w:rtl/>
              </w:rPr>
              <w:t>ה</w:t>
            </w:r>
            <w:r w:rsidRPr="00C54103">
              <w:rPr>
                <w:rFonts w:ascii="Arial" w:hAnsi="Arial" w:cs="FrankRuehl"/>
                <w:sz w:val="28"/>
                <w:szCs w:val="28"/>
                <w:rtl/>
              </w:rPr>
              <w:t>נאשמים</w:t>
            </w:r>
          </w:p>
        </w:tc>
      </w:tr>
    </w:tbl>
    <w:p w14:paraId="7EE22B46" w14:textId="77777777" w:rsidR="00C65A55" w:rsidRDefault="00C65A55" w:rsidP="00964B8D">
      <w:pPr>
        <w:rPr>
          <w:rtl/>
        </w:rPr>
      </w:pPr>
    </w:p>
    <w:p w14:paraId="45A30E52" w14:textId="77777777" w:rsidR="00C65A55" w:rsidRPr="00C65A55" w:rsidRDefault="00C65A55" w:rsidP="00C65A55">
      <w:pPr>
        <w:spacing w:after="120" w:line="240" w:lineRule="exact"/>
        <w:ind w:left="283" w:hanging="283"/>
        <w:jc w:val="both"/>
        <w:rPr>
          <w:rFonts w:ascii="FrankRuehl" w:hAnsi="FrankRuehl" w:cs="FrankRuehl"/>
          <w:rtl/>
        </w:rPr>
      </w:pPr>
    </w:p>
    <w:p w14:paraId="1B693D3A" w14:textId="77777777" w:rsidR="008D5E2D" w:rsidRDefault="008D5E2D" w:rsidP="008D5E2D">
      <w:pPr>
        <w:rPr>
          <w:rtl/>
        </w:rPr>
      </w:pPr>
      <w:bookmarkStart w:id="3" w:name="LawTable"/>
      <w:bookmarkEnd w:id="3"/>
    </w:p>
    <w:p w14:paraId="2F5EA0F4" w14:textId="77777777" w:rsidR="008D5E2D" w:rsidRPr="008D5E2D" w:rsidRDefault="008D5E2D" w:rsidP="008D5E2D">
      <w:pPr>
        <w:spacing w:before="120" w:after="120" w:line="240" w:lineRule="exact"/>
        <w:ind w:left="283" w:hanging="283"/>
        <w:jc w:val="both"/>
        <w:rPr>
          <w:rFonts w:ascii="FrankRuehl" w:hAnsi="FrankRuehl" w:cs="FrankRuehl"/>
          <w:rtl/>
        </w:rPr>
      </w:pPr>
    </w:p>
    <w:p w14:paraId="5C518409" w14:textId="77777777" w:rsidR="008D5E2D" w:rsidRPr="008D5E2D" w:rsidRDefault="008D5E2D" w:rsidP="008D5E2D">
      <w:pPr>
        <w:spacing w:before="120" w:after="120" w:line="240" w:lineRule="exact"/>
        <w:ind w:left="283" w:hanging="283"/>
        <w:jc w:val="both"/>
        <w:rPr>
          <w:rFonts w:ascii="FrankRuehl" w:hAnsi="FrankRuehl" w:cs="FrankRuehl"/>
          <w:rtl/>
        </w:rPr>
      </w:pPr>
    </w:p>
    <w:p w14:paraId="3E432D7A" w14:textId="77777777" w:rsidR="008D5E2D" w:rsidRPr="008D5E2D" w:rsidRDefault="008D5E2D" w:rsidP="008D5E2D">
      <w:pPr>
        <w:spacing w:before="120" w:after="120" w:line="240" w:lineRule="exact"/>
        <w:ind w:left="283" w:hanging="283"/>
        <w:jc w:val="both"/>
        <w:rPr>
          <w:rFonts w:ascii="FrankRuehl" w:hAnsi="FrankRuehl" w:cs="FrankRuehl"/>
          <w:rtl/>
        </w:rPr>
      </w:pPr>
      <w:r w:rsidRPr="008D5E2D">
        <w:rPr>
          <w:rFonts w:ascii="FrankRuehl" w:hAnsi="FrankRuehl" w:cs="FrankRuehl"/>
          <w:rtl/>
        </w:rPr>
        <w:t xml:space="preserve">חקיקה שאוזכרה: </w:t>
      </w:r>
    </w:p>
    <w:p w14:paraId="323483DA" w14:textId="77777777" w:rsidR="008D5E2D" w:rsidRPr="008D5E2D" w:rsidRDefault="008D5E2D" w:rsidP="008D5E2D">
      <w:pPr>
        <w:spacing w:before="120" w:after="120" w:line="240" w:lineRule="exact"/>
        <w:ind w:left="283" w:hanging="283"/>
        <w:jc w:val="both"/>
        <w:rPr>
          <w:rFonts w:ascii="FrankRuehl" w:hAnsi="FrankRuehl" w:cs="FrankRuehl"/>
          <w:rtl/>
        </w:rPr>
      </w:pPr>
      <w:hyperlink r:id="rId6" w:history="1">
        <w:r w:rsidRPr="008D5E2D">
          <w:rPr>
            <w:rFonts w:ascii="FrankRuehl" w:hAnsi="FrankRuehl" w:cs="FrankRuehl"/>
            <w:color w:val="0000FF"/>
            <w:rtl/>
          </w:rPr>
          <w:t>חוק העונשין, תשל"ז-1977</w:t>
        </w:r>
      </w:hyperlink>
      <w:r w:rsidRPr="008D5E2D">
        <w:rPr>
          <w:rFonts w:ascii="FrankRuehl" w:hAnsi="FrankRuehl" w:cs="FrankRuehl"/>
          <w:rtl/>
        </w:rPr>
        <w:t xml:space="preserve">: סע'  </w:t>
      </w:r>
      <w:hyperlink r:id="rId7" w:history="1">
        <w:r w:rsidRPr="008D5E2D">
          <w:rPr>
            <w:rFonts w:ascii="FrankRuehl" w:hAnsi="FrankRuehl" w:cs="FrankRuehl"/>
            <w:color w:val="0000FF"/>
            <w:rtl/>
          </w:rPr>
          <w:t>144 (א)</w:t>
        </w:r>
      </w:hyperlink>
    </w:p>
    <w:p w14:paraId="23B31691" w14:textId="77777777" w:rsidR="008D5E2D" w:rsidRPr="008D5E2D" w:rsidRDefault="008D5E2D" w:rsidP="008D5E2D">
      <w:pPr>
        <w:rPr>
          <w:rtl/>
        </w:rPr>
      </w:pPr>
      <w:bookmarkStart w:id="4" w:name="LawTable_End"/>
      <w:bookmarkEnd w:id="4"/>
    </w:p>
    <w:p w14:paraId="28758062" w14:textId="77777777" w:rsidR="00964B8D" w:rsidRPr="00C54103" w:rsidRDefault="00964B8D" w:rsidP="00964B8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4B8D" w14:paraId="4F98671C" w14:textId="77777777" w:rsidTr="00964B8D">
        <w:trPr>
          <w:trHeight w:val="355"/>
          <w:jc w:val="center"/>
        </w:trPr>
        <w:tc>
          <w:tcPr>
            <w:tcW w:w="8820" w:type="dxa"/>
            <w:tcBorders>
              <w:top w:val="nil"/>
              <w:left w:val="nil"/>
              <w:bottom w:val="nil"/>
              <w:right w:val="nil"/>
            </w:tcBorders>
            <w:shd w:val="clear" w:color="auto" w:fill="auto"/>
          </w:tcPr>
          <w:p w14:paraId="3ECB02EC" w14:textId="77777777" w:rsidR="00C54103" w:rsidRPr="00C54103" w:rsidRDefault="00C54103" w:rsidP="00C54103">
            <w:pPr>
              <w:jc w:val="center"/>
              <w:rPr>
                <w:rFonts w:ascii="Arial" w:hAnsi="Arial" w:cs="FrankRuehl"/>
                <w:b/>
                <w:bCs/>
                <w:sz w:val="32"/>
                <w:szCs w:val="32"/>
                <w:u w:val="single"/>
                <w:rtl/>
              </w:rPr>
            </w:pPr>
            <w:bookmarkStart w:id="5" w:name="PsakDin" w:colFirst="0" w:colLast="0"/>
            <w:bookmarkEnd w:id="0"/>
            <w:r w:rsidRPr="00C54103">
              <w:rPr>
                <w:rFonts w:ascii="Arial" w:hAnsi="Arial" w:cs="FrankRuehl"/>
                <w:b/>
                <w:bCs/>
                <w:sz w:val="32"/>
                <w:szCs w:val="32"/>
                <w:u w:val="single"/>
                <w:rtl/>
              </w:rPr>
              <w:t>גזר - דין</w:t>
            </w:r>
          </w:p>
          <w:p w14:paraId="0D3BF0FA" w14:textId="77777777" w:rsidR="00964B8D" w:rsidRPr="00C54103" w:rsidRDefault="00964B8D" w:rsidP="00C54103">
            <w:pPr>
              <w:jc w:val="center"/>
              <w:rPr>
                <w:rFonts w:ascii="Arial" w:hAnsi="Arial" w:cs="FrankRuehl"/>
                <w:bCs/>
                <w:sz w:val="32"/>
                <w:szCs w:val="32"/>
                <w:u w:val="single"/>
                <w:rtl/>
              </w:rPr>
            </w:pPr>
          </w:p>
        </w:tc>
      </w:tr>
      <w:bookmarkEnd w:id="5"/>
    </w:tbl>
    <w:p w14:paraId="24B8712B" w14:textId="77777777" w:rsidR="00964B8D" w:rsidRPr="00B05847" w:rsidRDefault="00964B8D" w:rsidP="00964B8D">
      <w:pPr>
        <w:rPr>
          <w:rFonts w:ascii="Arial" w:hAnsi="Arial"/>
          <w:rtl/>
        </w:rPr>
      </w:pPr>
    </w:p>
    <w:p w14:paraId="52DA49D9" w14:textId="77777777" w:rsidR="00964B8D" w:rsidRDefault="00964B8D" w:rsidP="00964B8D">
      <w:pPr>
        <w:rPr>
          <w:rFonts w:ascii="Arial" w:hAnsi="Arial"/>
          <w:b/>
          <w:bCs/>
          <w:u w:val="single"/>
          <w:rtl/>
        </w:rPr>
      </w:pPr>
    </w:p>
    <w:p w14:paraId="1B4FF1C3" w14:textId="77777777" w:rsidR="00964B8D" w:rsidRDefault="00964B8D" w:rsidP="00964B8D">
      <w:pPr>
        <w:rPr>
          <w:rFonts w:ascii="Arial" w:hAnsi="Arial"/>
          <w:b/>
          <w:bCs/>
          <w:u w:val="single"/>
          <w:rtl/>
        </w:rPr>
      </w:pPr>
      <w:r w:rsidRPr="009168C3">
        <w:rPr>
          <w:rFonts w:ascii="Arial" w:hAnsi="Arial" w:hint="cs"/>
          <w:b/>
          <w:bCs/>
          <w:u w:val="single"/>
          <w:rtl/>
        </w:rPr>
        <w:t>א. כתב-האישום:</w:t>
      </w:r>
    </w:p>
    <w:p w14:paraId="64FA76D7" w14:textId="77777777" w:rsidR="00964B8D" w:rsidRPr="009168C3" w:rsidRDefault="00964B8D" w:rsidP="00964B8D">
      <w:pPr>
        <w:rPr>
          <w:rFonts w:ascii="Arial" w:hAnsi="Arial"/>
          <w:b/>
          <w:bCs/>
          <w:u w:val="single"/>
          <w:rtl/>
        </w:rPr>
      </w:pPr>
    </w:p>
    <w:p w14:paraId="77AE0E5D" w14:textId="77777777" w:rsidR="00964B8D" w:rsidRDefault="00964B8D" w:rsidP="00964B8D">
      <w:pPr>
        <w:spacing w:line="360" w:lineRule="auto"/>
        <w:rPr>
          <w:rFonts w:ascii="Arial" w:hAnsi="Arial"/>
          <w:rtl/>
        </w:rPr>
      </w:pPr>
    </w:p>
    <w:p w14:paraId="6B69F414" w14:textId="77777777" w:rsidR="00964B8D" w:rsidRDefault="00964B8D" w:rsidP="00964B8D">
      <w:pPr>
        <w:spacing w:line="360" w:lineRule="auto"/>
        <w:jc w:val="both"/>
        <w:rPr>
          <w:rFonts w:ascii="Arial" w:hAnsi="Arial"/>
          <w:rtl/>
        </w:rPr>
      </w:pPr>
      <w:bookmarkStart w:id="6" w:name="ABSTRACT_START"/>
      <w:bookmarkEnd w:id="6"/>
      <w:r>
        <w:rPr>
          <w:rFonts w:ascii="Arial" w:hAnsi="Arial" w:hint="cs"/>
          <w:rtl/>
        </w:rPr>
        <w:t xml:space="preserve">הנאשמים הורשעו בעקבות הודאתם בכתב-אישום המייחס להם עבירות של </w:t>
      </w:r>
      <w:r w:rsidRPr="003A23C9">
        <w:rPr>
          <w:rFonts w:ascii="Arial" w:hAnsi="Arial" w:hint="cs"/>
          <w:b/>
          <w:bCs/>
          <w:rtl/>
        </w:rPr>
        <w:t>החזקת נשק</w:t>
      </w:r>
      <w:r>
        <w:rPr>
          <w:rFonts w:ascii="Arial" w:hAnsi="Arial" w:hint="cs"/>
          <w:rtl/>
        </w:rPr>
        <w:t xml:space="preserve"> לפי סעיף </w:t>
      </w:r>
      <w:hyperlink r:id="rId8" w:history="1">
        <w:r w:rsidR="00C65A55" w:rsidRPr="00C65A55">
          <w:rPr>
            <w:rFonts w:ascii="Arial" w:hAnsi="Arial"/>
            <w:color w:val="0000FF"/>
            <w:u w:val="single"/>
            <w:rtl/>
          </w:rPr>
          <w:t>144 (א)</w:t>
        </w:r>
      </w:hyperlink>
      <w:r>
        <w:rPr>
          <w:rFonts w:ascii="Arial" w:hAnsi="Arial" w:hint="cs"/>
          <w:rtl/>
        </w:rPr>
        <w:t xml:space="preserve"> רישא ל</w:t>
      </w:r>
      <w:hyperlink r:id="rId9" w:history="1">
        <w:r w:rsidR="00C54103" w:rsidRPr="00C54103">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w:t>
      </w:r>
      <w:r w:rsidRPr="003A23C9">
        <w:rPr>
          <w:rFonts w:ascii="Arial" w:hAnsi="Arial" w:hint="cs"/>
          <w:b/>
          <w:bCs/>
          <w:rtl/>
        </w:rPr>
        <w:t>והחזקת תחמושת</w:t>
      </w:r>
      <w:r>
        <w:rPr>
          <w:rFonts w:ascii="Arial" w:hAnsi="Arial" w:hint="cs"/>
          <w:rtl/>
        </w:rPr>
        <w:t xml:space="preserve"> לפי סעיף </w:t>
      </w:r>
      <w:hyperlink r:id="rId10" w:history="1">
        <w:r w:rsidR="00C65A55" w:rsidRPr="00C65A55">
          <w:rPr>
            <w:rFonts w:ascii="Arial" w:hAnsi="Arial"/>
            <w:color w:val="0000FF"/>
            <w:u w:val="single"/>
            <w:rtl/>
          </w:rPr>
          <w:t>144 (א)</w:t>
        </w:r>
      </w:hyperlink>
      <w:r>
        <w:rPr>
          <w:rFonts w:ascii="Arial" w:hAnsi="Arial" w:hint="cs"/>
          <w:rtl/>
        </w:rPr>
        <w:t xml:space="preserve"> סיפא לחוק הנ"ל.</w:t>
      </w:r>
    </w:p>
    <w:p w14:paraId="5AC58B7D" w14:textId="77777777" w:rsidR="00964B8D" w:rsidRDefault="00964B8D" w:rsidP="00964B8D">
      <w:pPr>
        <w:spacing w:line="360" w:lineRule="auto"/>
        <w:rPr>
          <w:rFonts w:ascii="Arial" w:hAnsi="Arial"/>
          <w:rtl/>
        </w:rPr>
      </w:pPr>
      <w:bookmarkStart w:id="7" w:name="ABSTRACT_END"/>
      <w:bookmarkEnd w:id="7"/>
    </w:p>
    <w:p w14:paraId="67852DB9" w14:textId="77777777" w:rsidR="00964B8D" w:rsidRDefault="00964B8D" w:rsidP="00964B8D">
      <w:pPr>
        <w:spacing w:line="360" w:lineRule="auto"/>
        <w:jc w:val="both"/>
        <w:rPr>
          <w:rFonts w:ascii="Arial" w:hAnsi="Arial"/>
          <w:rtl/>
        </w:rPr>
      </w:pPr>
      <w:r>
        <w:rPr>
          <w:rFonts w:ascii="Arial" w:hAnsi="Arial" w:hint="cs"/>
          <w:rtl/>
        </w:rPr>
        <w:t>החלק הכללי של כתב-האישום מתאר סכסוך הקיים בין שתי משפחות - אלשמאלי ואלג'רושי.</w:t>
      </w:r>
    </w:p>
    <w:p w14:paraId="7B3800F3" w14:textId="77777777" w:rsidR="00964B8D" w:rsidRDefault="00964B8D" w:rsidP="00964B8D">
      <w:pPr>
        <w:spacing w:line="360" w:lineRule="auto"/>
        <w:rPr>
          <w:rFonts w:ascii="Arial" w:hAnsi="Arial"/>
          <w:rtl/>
        </w:rPr>
      </w:pPr>
    </w:p>
    <w:p w14:paraId="2E8955F3" w14:textId="77777777" w:rsidR="00964B8D" w:rsidRPr="00B10A9D" w:rsidRDefault="00964B8D" w:rsidP="00964B8D">
      <w:pPr>
        <w:spacing w:line="360" w:lineRule="auto"/>
        <w:jc w:val="both"/>
        <w:rPr>
          <w:rFonts w:ascii="Arial" w:hAnsi="Arial"/>
          <w:b/>
          <w:bCs/>
          <w:rtl/>
        </w:rPr>
      </w:pPr>
      <w:r>
        <w:rPr>
          <w:rFonts w:ascii="Arial" w:hAnsi="Arial" w:hint="cs"/>
          <w:rtl/>
        </w:rPr>
        <w:lastRenderedPageBreak/>
        <w:t xml:space="preserve">בתאריך 2.5.19 נגשו הנאשמים אל בית עלמין הממוקם בסמוך למתחם משפחת אלשמאלי, </w:t>
      </w:r>
      <w:r>
        <w:rPr>
          <w:rFonts w:ascii="Arial" w:hAnsi="Arial" w:hint="cs"/>
          <w:b/>
          <w:bCs/>
          <w:rtl/>
        </w:rPr>
        <w:t xml:space="preserve">נטלו נשק מאולתר דמוי רובה סער - </w:t>
      </w:r>
      <w:r w:rsidRPr="00B10A9D">
        <w:rPr>
          <w:rFonts w:ascii="Arial" w:hAnsi="Arial" w:hint="cs"/>
          <w:b/>
          <w:bCs/>
          <w:rtl/>
        </w:rPr>
        <w:t>חפץ דמוי נשק מסוג 16-</w:t>
      </w:r>
      <w:r w:rsidRPr="00B10A9D">
        <w:rPr>
          <w:rFonts w:ascii="Arial" w:hAnsi="Arial" w:hint="cs"/>
          <w:b/>
          <w:bCs/>
        </w:rPr>
        <w:t>M</w:t>
      </w:r>
      <w:r w:rsidRPr="00B10A9D">
        <w:rPr>
          <w:rFonts w:ascii="Arial" w:hAnsi="Arial" w:hint="cs"/>
          <w:b/>
          <w:bCs/>
          <w:rtl/>
        </w:rPr>
        <w:t xml:space="preserve"> ובתוכו מחסנית טעונה המכילה 30 כדורים</w:t>
      </w:r>
      <w:r>
        <w:rPr>
          <w:rFonts w:ascii="Arial" w:hAnsi="Arial" w:hint="cs"/>
          <w:rtl/>
        </w:rPr>
        <w:t xml:space="preserve"> </w:t>
      </w:r>
      <w:r w:rsidRPr="00B10A9D">
        <w:rPr>
          <w:rFonts w:ascii="Arial" w:hAnsi="Arial" w:hint="cs"/>
          <w:b/>
          <w:bCs/>
          <w:rtl/>
        </w:rPr>
        <w:t>ומחסנית נוספת המכילה 27 כדורים.</w:t>
      </w:r>
    </w:p>
    <w:p w14:paraId="65B325DD" w14:textId="77777777" w:rsidR="00964B8D" w:rsidRDefault="00964B8D" w:rsidP="00964B8D">
      <w:pPr>
        <w:spacing w:line="360" w:lineRule="auto"/>
        <w:rPr>
          <w:rFonts w:ascii="Arial" w:hAnsi="Arial"/>
          <w:rtl/>
        </w:rPr>
      </w:pPr>
    </w:p>
    <w:p w14:paraId="24C08047" w14:textId="77777777" w:rsidR="00964B8D" w:rsidRDefault="00964B8D" w:rsidP="00964B8D">
      <w:pPr>
        <w:spacing w:line="360" w:lineRule="auto"/>
        <w:rPr>
          <w:rFonts w:ascii="Arial" w:hAnsi="Arial"/>
          <w:rtl/>
        </w:rPr>
      </w:pPr>
      <w:r>
        <w:rPr>
          <w:rFonts w:ascii="Arial" w:hAnsi="Arial" w:hint="cs"/>
          <w:rtl/>
        </w:rPr>
        <w:t>בשלב זה, אנשים, שזהותם אינה ידועה למאשימה, החלו לירות לעבר הנאשמים.</w:t>
      </w:r>
    </w:p>
    <w:p w14:paraId="0805FA57" w14:textId="77777777" w:rsidR="00964B8D" w:rsidRDefault="00964B8D" w:rsidP="00964B8D">
      <w:pPr>
        <w:spacing w:line="360" w:lineRule="auto"/>
        <w:rPr>
          <w:rFonts w:ascii="Arial" w:hAnsi="Arial"/>
          <w:rtl/>
        </w:rPr>
      </w:pPr>
    </w:p>
    <w:p w14:paraId="68618736" w14:textId="77777777" w:rsidR="00964B8D" w:rsidRDefault="00964B8D" w:rsidP="00964B8D">
      <w:pPr>
        <w:spacing w:line="360" w:lineRule="auto"/>
        <w:jc w:val="both"/>
        <w:rPr>
          <w:rFonts w:ascii="Arial" w:hAnsi="Arial"/>
          <w:rtl/>
        </w:rPr>
      </w:pPr>
      <w:r>
        <w:rPr>
          <w:rFonts w:ascii="Arial" w:hAnsi="Arial" w:hint="cs"/>
          <w:rtl/>
        </w:rPr>
        <w:t>הנאשמים נמלטו מהמקום ובידם האמל"ח דלעיל. במהלך הימלטותם, השליך נאשם 2 הנשק ארצה ונאשם 1 המשיך להחזיק במחסנית.</w:t>
      </w:r>
    </w:p>
    <w:p w14:paraId="008D17E2" w14:textId="77777777" w:rsidR="00964B8D" w:rsidRDefault="00964B8D" w:rsidP="00964B8D">
      <w:pPr>
        <w:spacing w:line="360" w:lineRule="auto"/>
        <w:rPr>
          <w:rFonts w:ascii="Arial" w:hAnsi="Arial"/>
          <w:rtl/>
        </w:rPr>
      </w:pPr>
    </w:p>
    <w:p w14:paraId="3FD9F6D8" w14:textId="77777777" w:rsidR="00964B8D" w:rsidRDefault="00964B8D" w:rsidP="00964B8D">
      <w:pPr>
        <w:spacing w:line="360" w:lineRule="auto"/>
        <w:rPr>
          <w:rFonts w:ascii="Arial" w:hAnsi="Arial"/>
          <w:rtl/>
        </w:rPr>
      </w:pPr>
      <w:r>
        <w:rPr>
          <w:rFonts w:ascii="Arial" w:hAnsi="Arial" w:hint="cs"/>
          <w:rtl/>
        </w:rPr>
        <w:t>נמסר, כי במהלך האירוע נפצעו הנאשמים ונזקקו לטיפול רפואי במהלך אשפוזם בבית-החולים משך מספר ימים.</w:t>
      </w:r>
    </w:p>
    <w:p w14:paraId="27DF89B9" w14:textId="77777777" w:rsidR="00964B8D" w:rsidRPr="009168C3" w:rsidRDefault="00964B8D" w:rsidP="00964B8D">
      <w:pPr>
        <w:rPr>
          <w:rFonts w:ascii="Arial" w:hAnsi="Arial"/>
          <w:b/>
          <w:bCs/>
          <w:u w:val="single"/>
          <w:rtl/>
        </w:rPr>
      </w:pPr>
      <w:r w:rsidRPr="009168C3">
        <w:rPr>
          <w:rFonts w:ascii="Arial" w:hAnsi="Arial" w:hint="cs"/>
          <w:b/>
          <w:bCs/>
          <w:u w:val="single"/>
          <w:rtl/>
        </w:rPr>
        <w:t>ב. מתחם ענישה:</w:t>
      </w:r>
    </w:p>
    <w:p w14:paraId="45B34790" w14:textId="77777777" w:rsidR="00964B8D" w:rsidRPr="00B05847" w:rsidRDefault="00964B8D" w:rsidP="00964B8D">
      <w:pPr>
        <w:rPr>
          <w:rtl/>
        </w:rPr>
      </w:pPr>
    </w:p>
    <w:p w14:paraId="09CD327D" w14:textId="77777777" w:rsidR="00964B8D" w:rsidRPr="00B05847" w:rsidRDefault="00964B8D" w:rsidP="00964B8D">
      <w:pPr>
        <w:rPr>
          <w:rtl/>
        </w:rPr>
      </w:pPr>
    </w:p>
    <w:p w14:paraId="20168A5A" w14:textId="77777777" w:rsidR="00964B8D" w:rsidRDefault="00964B8D" w:rsidP="00964B8D">
      <w:pPr>
        <w:spacing w:line="360" w:lineRule="auto"/>
        <w:jc w:val="both"/>
        <w:rPr>
          <w:rFonts w:ascii="David" w:hAnsi="David"/>
        </w:rPr>
      </w:pPr>
      <w:r>
        <w:rPr>
          <w:rFonts w:ascii="David" w:hAnsi="David"/>
          <w:rtl/>
        </w:rPr>
        <w:t>התכלית העומדת אחר העבירה, שאותה ביצע</w:t>
      </w:r>
      <w:r>
        <w:rPr>
          <w:rFonts w:ascii="David" w:hAnsi="David" w:hint="cs"/>
          <w:rtl/>
        </w:rPr>
        <w:t>ו</w:t>
      </w:r>
      <w:r>
        <w:rPr>
          <w:rFonts w:ascii="David" w:hAnsi="David"/>
          <w:rtl/>
        </w:rPr>
        <w:t xml:space="preserve"> הנאשם היא מניעת הפגיעה הפוטנציאלית הקיימת לשלום הציבור מהחזקת אמצעי לחימה</w:t>
      </w:r>
      <w:r>
        <w:rPr>
          <w:rFonts w:ascii="David" w:hAnsi="David" w:hint="cs"/>
          <w:rtl/>
        </w:rPr>
        <w:t>,</w:t>
      </w:r>
      <w:r>
        <w:rPr>
          <w:rFonts w:ascii="David" w:hAnsi="David"/>
          <w:rtl/>
        </w:rPr>
        <w:t xml:space="preserve"> שבכוחו להמית.</w:t>
      </w:r>
    </w:p>
    <w:p w14:paraId="1BC6673A" w14:textId="77777777" w:rsidR="00964B8D" w:rsidRDefault="00964B8D" w:rsidP="00964B8D">
      <w:pPr>
        <w:spacing w:line="360" w:lineRule="auto"/>
        <w:jc w:val="both"/>
        <w:rPr>
          <w:rFonts w:ascii="David" w:hAnsi="David"/>
          <w:rtl/>
        </w:rPr>
      </w:pPr>
    </w:p>
    <w:p w14:paraId="2572EF51" w14:textId="77777777" w:rsidR="00964B8D" w:rsidRDefault="00964B8D" w:rsidP="00964B8D">
      <w:pPr>
        <w:spacing w:line="360" w:lineRule="auto"/>
        <w:jc w:val="both"/>
        <w:rPr>
          <w:rFonts w:ascii="Arial" w:hAnsi="Arial"/>
          <w:b/>
          <w:bCs/>
          <w:rtl/>
        </w:rPr>
      </w:pPr>
      <w:r>
        <w:rPr>
          <w:rFonts w:ascii="Arial" w:hAnsi="Arial"/>
          <w:rtl/>
        </w:rPr>
        <w:t xml:space="preserve">בהתאם לעקרון ההלימה, אני קובע שמתחם הענישה ביחס לאירוע זה, לנסיבותיו, </w:t>
      </w:r>
      <w:r>
        <w:rPr>
          <w:rFonts w:ascii="Arial" w:hAnsi="Arial"/>
          <w:b/>
          <w:bCs/>
          <w:rtl/>
        </w:rPr>
        <w:t>נע בין 8 חודשי מאסר, עד 18 חודשי מאסר בפועל.</w:t>
      </w:r>
    </w:p>
    <w:p w14:paraId="4553C8B2" w14:textId="77777777" w:rsidR="00964B8D" w:rsidRDefault="00964B8D" w:rsidP="00964B8D">
      <w:pPr>
        <w:spacing w:line="360" w:lineRule="auto"/>
        <w:jc w:val="both"/>
        <w:rPr>
          <w:rFonts w:ascii="David" w:hAnsi="David"/>
        </w:rPr>
      </w:pPr>
    </w:p>
    <w:p w14:paraId="3A473F70" w14:textId="77777777" w:rsidR="00964B8D" w:rsidRDefault="00964B8D" w:rsidP="00964B8D">
      <w:pPr>
        <w:spacing w:line="360" w:lineRule="auto"/>
        <w:jc w:val="both"/>
        <w:rPr>
          <w:rFonts w:ascii="Arial" w:hAnsi="Arial"/>
          <w:b/>
          <w:bCs/>
          <w:rtl/>
        </w:rPr>
      </w:pPr>
      <w:r>
        <w:rPr>
          <w:rFonts w:ascii="Arial" w:hAnsi="Arial"/>
          <w:b/>
          <w:bCs/>
          <w:rtl/>
        </w:rPr>
        <w:t>אפנה אל פסקי-הדין הבאים הנוגעים למתחמי ענישה בעבירת החזקת אמל"ח, אך יש לקרוא כל פסק-דין בשינויים המחויבים:</w:t>
      </w:r>
    </w:p>
    <w:p w14:paraId="5A597F4E" w14:textId="77777777" w:rsidR="00964B8D" w:rsidRDefault="00964B8D" w:rsidP="00964B8D">
      <w:pPr>
        <w:spacing w:line="360" w:lineRule="auto"/>
        <w:jc w:val="both"/>
        <w:rPr>
          <w:rFonts w:ascii="Arial" w:hAnsi="Arial"/>
          <w:b/>
          <w:bCs/>
          <w:rtl/>
        </w:rPr>
      </w:pPr>
    </w:p>
    <w:p w14:paraId="3675C873" w14:textId="77777777" w:rsidR="00964B8D" w:rsidRDefault="00C54103" w:rsidP="00964B8D">
      <w:pPr>
        <w:spacing w:after="160" w:line="360" w:lineRule="auto"/>
        <w:jc w:val="both"/>
        <w:rPr>
          <w:rFonts w:ascii="David" w:hAnsi="David"/>
          <w:rtl/>
        </w:rPr>
      </w:pPr>
      <w:hyperlink r:id="rId11" w:history="1">
        <w:r w:rsidRPr="00C54103">
          <w:rPr>
            <w:rFonts w:ascii="David" w:hAnsi="David"/>
            <w:color w:val="0000FF"/>
            <w:u w:val="single"/>
            <w:rtl/>
          </w:rPr>
          <w:t>רע"פ 6306/17</w:t>
        </w:r>
      </w:hyperlink>
      <w:r w:rsidR="00964B8D">
        <w:rPr>
          <w:rFonts w:ascii="David" w:hAnsi="David"/>
          <w:rtl/>
        </w:rPr>
        <w:t xml:space="preserve"> </w:t>
      </w:r>
      <w:r w:rsidR="00964B8D">
        <w:rPr>
          <w:rFonts w:ascii="David" w:hAnsi="David"/>
          <w:b/>
          <w:bCs/>
          <w:rtl/>
        </w:rPr>
        <w:t xml:space="preserve">חטיב נגד מדינת ישראל </w:t>
      </w:r>
      <w:r w:rsidR="00964B8D">
        <w:rPr>
          <w:rFonts w:ascii="David" w:hAnsi="David"/>
          <w:rtl/>
        </w:rPr>
        <w:t>(28.3.18):</w:t>
      </w:r>
    </w:p>
    <w:p w14:paraId="5F97B9F1" w14:textId="77777777" w:rsidR="00964B8D" w:rsidRDefault="00964B8D" w:rsidP="00964B8D">
      <w:pPr>
        <w:spacing w:after="160" w:line="360" w:lineRule="auto"/>
        <w:jc w:val="both"/>
        <w:rPr>
          <w:rFonts w:ascii="David" w:hAnsi="David"/>
          <w:b/>
          <w:bCs/>
          <w:rtl/>
        </w:rPr>
      </w:pPr>
      <w:r>
        <w:rPr>
          <w:rFonts w:ascii="David" w:hAnsi="David"/>
          <w:rtl/>
        </w:rPr>
        <w:t xml:space="preserve">הנאשם הורשע בעקבות הודאתו, בכך שהחזיק בביתו את </w:t>
      </w:r>
      <w:r>
        <w:rPr>
          <w:rFonts w:ascii="David" w:hAnsi="David"/>
          <w:b/>
          <w:bCs/>
          <w:rtl/>
        </w:rPr>
        <w:t xml:space="preserve">ארבעת </w:t>
      </w:r>
      <w:r>
        <w:rPr>
          <w:rFonts w:ascii="David" w:hAnsi="David"/>
          <w:rtl/>
        </w:rPr>
        <w:t xml:space="preserve">כלי הנשק הבאים: </w:t>
      </w:r>
      <w:r>
        <w:rPr>
          <w:rFonts w:ascii="David" w:hAnsi="David"/>
          <w:b/>
          <w:bCs/>
          <w:rtl/>
        </w:rPr>
        <w:t>חפץ דמוי תת מקלע מאולתר</w:t>
      </w:r>
      <w:r>
        <w:rPr>
          <w:rFonts w:ascii="David" w:hAnsi="David"/>
          <w:rtl/>
        </w:rPr>
        <w:t xml:space="preserve"> ומחסנית המתאימה לו, </w:t>
      </w:r>
      <w:r>
        <w:rPr>
          <w:rFonts w:ascii="David" w:hAnsi="David"/>
          <w:b/>
          <w:bCs/>
          <w:rtl/>
        </w:rPr>
        <w:t>תת מקלע מסוג עוזי</w:t>
      </w:r>
      <w:r>
        <w:rPr>
          <w:rFonts w:ascii="David" w:hAnsi="David"/>
          <w:rtl/>
        </w:rPr>
        <w:t xml:space="preserve"> ומחסנית המתאימה לו, </w:t>
      </w:r>
      <w:r>
        <w:rPr>
          <w:rFonts w:ascii="David" w:hAnsi="David"/>
          <w:b/>
          <w:bCs/>
          <w:rtl/>
        </w:rPr>
        <w:t>ושני אקדחים</w:t>
      </w:r>
      <w:r>
        <w:rPr>
          <w:rFonts w:ascii="David" w:hAnsi="David"/>
          <w:rtl/>
        </w:rPr>
        <w:t xml:space="preserve"> שלאחד מהם מחסנית תואמת. הנאשם </w:t>
      </w:r>
      <w:r>
        <w:rPr>
          <w:rFonts w:ascii="David" w:hAnsi="David"/>
          <w:b/>
          <w:bCs/>
          <w:rtl/>
        </w:rPr>
        <w:t xml:space="preserve">נעדר עבר פלילי, </w:t>
      </w:r>
      <w:r>
        <w:rPr>
          <w:rFonts w:ascii="David" w:hAnsi="David"/>
          <w:rtl/>
        </w:rPr>
        <w:t xml:space="preserve">תחילה הוגש תסקיר שלא כלל המלצה שיקומית, אחר הוזמנו תסקירים משלימים חיוביים אשר כללו המלצה לבכר בענישה שיקומית, נדון ל – </w:t>
      </w:r>
      <w:r>
        <w:rPr>
          <w:rFonts w:ascii="David" w:hAnsi="David"/>
          <w:b/>
          <w:bCs/>
          <w:rtl/>
        </w:rPr>
        <w:t>12 חודשי מאסר בפועל.</w:t>
      </w:r>
    </w:p>
    <w:p w14:paraId="5AC54E68" w14:textId="77777777" w:rsidR="00964B8D" w:rsidRDefault="00A065FC" w:rsidP="00964B8D">
      <w:pPr>
        <w:spacing w:after="160" w:line="360" w:lineRule="auto"/>
        <w:jc w:val="both"/>
        <w:rPr>
          <w:rFonts w:ascii="David" w:hAnsi="David"/>
          <w:rtl/>
        </w:rPr>
      </w:pPr>
      <w:hyperlink r:id="rId12" w:history="1">
        <w:r w:rsidRPr="00A065FC">
          <w:rPr>
            <w:rStyle w:val="Hyperlink"/>
            <w:rFonts w:ascii="David" w:hAnsi="David"/>
            <w:rtl/>
          </w:rPr>
          <w:t>רע"פ 1826/19</w:t>
        </w:r>
      </w:hyperlink>
      <w:r w:rsidR="00964B8D">
        <w:rPr>
          <w:rFonts w:ascii="David" w:hAnsi="David"/>
          <w:rtl/>
        </w:rPr>
        <w:t xml:space="preserve"> </w:t>
      </w:r>
      <w:r w:rsidR="00964B8D">
        <w:rPr>
          <w:rFonts w:ascii="David" w:hAnsi="David"/>
          <w:b/>
          <w:bCs/>
          <w:rtl/>
        </w:rPr>
        <w:t xml:space="preserve">אבו עסא נגד מדינת ישראל </w:t>
      </w:r>
      <w:r w:rsidR="00964B8D">
        <w:rPr>
          <w:rFonts w:ascii="David" w:hAnsi="David"/>
          <w:rtl/>
        </w:rPr>
        <w:t>(18.3.19):</w:t>
      </w:r>
    </w:p>
    <w:p w14:paraId="5E5DCF49" w14:textId="77777777" w:rsidR="00964B8D" w:rsidRDefault="00964B8D" w:rsidP="00964B8D">
      <w:pPr>
        <w:spacing w:after="160" w:line="360" w:lineRule="auto"/>
        <w:jc w:val="both"/>
        <w:rPr>
          <w:rFonts w:ascii="David" w:hAnsi="David"/>
          <w:b/>
          <w:bCs/>
          <w:rtl/>
        </w:rPr>
      </w:pPr>
      <w:r>
        <w:rPr>
          <w:rFonts w:ascii="David" w:hAnsi="David"/>
          <w:rtl/>
        </w:rPr>
        <w:t xml:space="preserve">הנאשם הורשע בעקבות הודאתו, </w:t>
      </w:r>
      <w:r>
        <w:rPr>
          <w:rFonts w:ascii="David" w:hAnsi="David"/>
          <w:b/>
          <w:bCs/>
          <w:rtl/>
        </w:rPr>
        <w:t>בכך שהחזיק בנשק מאולתר אוטומטי והעבירו לאדם אחר אשר יחזיק בו באופן זמני.</w:t>
      </w:r>
      <w:r>
        <w:rPr>
          <w:rFonts w:ascii="David" w:hAnsi="David"/>
          <w:rtl/>
        </w:rPr>
        <w:t xml:space="preserve"> גיל צעיר, העדר עבר פלילי, הנשק נתפס בידי המשטרה, נדון ל – </w:t>
      </w:r>
      <w:r>
        <w:rPr>
          <w:rFonts w:ascii="David" w:hAnsi="David"/>
          <w:b/>
          <w:bCs/>
          <w:rtl/>
        </w:rPr>
        <w:t>18 חודשי מאסר בפועל.</w:t>
      </w:r>
    </w:p>
    <w:p w14:paraId="4FE605C0" w14:textId="77777777" w:rsidR="00964B8D" w:rsidRDefault="00C54103" w:rsidP="00964B8D">
      <w:pPr>
        <w:spacing w:after="160" w:line="360" w:lineRule="auto"/>
        <w:jc w:val="both"/>
        <w:rPr>
          <w:rFonts w:ascii="David" w:hAnsi="David"/>
          <w:rtl/>
        </w:rPr>
      </w:pPr>
      <w:hyperlink r:id="rId13" w:history="1">
        <w:r w:rsidRPr="00C54103">
          <w:rPr>
            <w:rFonts w:ascii="David" w:hAnsi="David"/>
            <w:color w:val="0000FF"/>
            <w:u w:val="single"/>
            <w:rtl/>
          </w:rPr>
          <w:t>רע"פ 2265/18</w:t>
        </w:r>
      </w:hyperlink>
      <w:r w:rsidR="00964B8D">
        <w:rPr>
          <w:rFonts w:ascii="David" w:hAnsi="David"/>
          <w:rtl/>
        </w:rPr>
        <w:t xml:space="preserve"> </w:t>
      </w:r>
      <w:r w:rsidR="00964B8D">
        <w:rPr>
          <w:rFonts w:ascii="David" w:hAnsi="David"/>
          <w:b/>
          <w:bCs/>
          <w:rtl/>
        </w:rPr>
        <w:t xml:space="preserve">עמאר נגד מדינת ישראל </w:t>
      </w:r>
      <w:r w:rsidR="00964B8D">
        <w:rPr>
          <w:rFonts w:ascii="David" w:hAnsi="David"/>
          <w:rtl/>
        </w:rPr>
        <w:t>(29.3.18):</w:t>
      </w:r>
    </w:p>
    <w:p w14:paraId="4677759C" w14:textId="77777777" w:rsidR="00964B8D" w:rsidRDefault="00964B8D" w:rsidP="00964B8D">
      <w:pPr>
        <w:spacing w:after="160" w:line="360" w:lineRule="auto"/>
        <w:jc w:val="both"/>
        <w:rPr>
          <w:rFonts w:ascii="David" w:hAnsi="David"/>
          <w:b/>
          <w:bCs/>
          <w:rtl/>
        </w:rPr>
      </w:pPr>
      <w:r>
        <w:rPr>
          <w:rFonts w:ascii="David" w:hAnsi="David"/>
          <w:rtl/>
        </w:rPr>
        <w:lastRenderedPageBreak/>
        <w:t xml:space="preserve">הנאשם הורשע בעקבות הודאתו בכך שהחזיק </w:t>
      </w:r>
      <w:r>
        <w:rPr>
          <w:rFonts w:ascii="David" w:hAnsi="David"/>
          <w:b/>
          <w:bCs/>
          <w:rtl/>
        </w:rPr>
        <w:t xml:space="preserve">שני תתי מקלע מאולתרים עם מחסנית, אחד מהם הוסתר בתא מטען ברכב יחד עם מחסנית ריקה והשני בתיק עם שתי מחסניות, </w:t>
      </w:r>
      <w:r>
        <w:rPr>
          <w:rFonts w:ascii="David" w:hAnsi="David"/>
          <w:rtl/>
        </w:rPr>
        <w:t xml:space="preserve">צעיר, נעדר עבר פלילי, תסקיר הנושא המלצה שיקומית, נדון ל – </w:t>
      </w:r>
      <w:r>
        <w:rPr>
          <w:rFonts w:ascii="David" w:hAnsi="David"/>
          <w:b/>
          <w:bCs/>
          <w:rtl/>
        </w:rPr>
        <w:t>20 חודשי מאסר בפועל.</w:t>
      </w:r>
    </w:p>
    <w:p w14:paraId="6FE7B9DC" w14:textId="77777777" w:rsidR="00964B8D" w:rsidRDefault="00C54103" w:rsidP="00964B8D">
      <w:pPr>
        <w:spacing w:after="160" w:line="360" w:lineRule="auto"/>
        <w:jc w:val="both"/>
        <w:rPr>
          <w:rFonts w:ascii="David" w:hAnsi="David"/>
          <w:rtl/>
        </w:rPr>
      </w:pPr>
      <w:hyperlink r:id="rId14" w:history="1">
        <w:r w:rsidRPr="00C54103">
          <w:rPr>
            <w:rFonts w:ascii="David" w:hAnsi="David"/>
            <w:color w:val="0000FF"/>
            <w:u w:val="single"/>
            <w:rtl/>
          </w:rPr>
          <w:t>רע"פ 2718/04</w:t>
        </w:r>
      </w:hyperlink>
      <w:r w:rsidR="00964B8D">
        <w:rPr>
          <w:rFonts w:ascii="David" w:hAnsi="David"/>
          <w:rtl/>
        </w:rPr>
        <w:t xml:space="preserve"> </w:t>
      </w:r>
      <w:r w:rsidR="00964B8D">
        <w:rPr>
          <w:rFonts w:ascii="David" w:hAnsi="David"/>
          <w:b/>
          <w:bCs/>
          <w:rtl/>
        </w:rPr>
        <w:t xml:space="preserve">פואד אבו דאחל נגד מדינת ישראל </w:t>
      </w:r>
      <w:r w:rsidR="00964B8D">
        <w:rPr>
          <w:rFonts w:ascii="David" w:hAnsi="David"/>
          <w:rtl/>
        </w:rPr>
        <w:t xml:space="preserve">(29.3.04): </w:t>
      </w:r>
    </w:p>
    <w:p w14:paraId="27D2251C" w14:textId="77777777" w:rsidR="00964B8D" w:rsidRDefault="00964B8D" w:rsidP="00964B8D">
      <w:pPr>
        <w:spacing w:after="160" w:line="360" w:lineRule="auto"/>
        <w:jc w:val="both"/>
        <w:rPr>
          <w:rFonts w:ascii="David" w:hAnsi="David"/>
          <w:rtl/>
        </w:rPr>
      </w:pPr>
      <w:r>
        <w:rPr>
          <w:rFonts w:ascii="David" w:hAnsi="David"/>
          <w:rtl/>
        </w:rPr>
        <w:t xml:space="preserve">המערער, הורשע על פי הודאתו בכתב אישום בעבירה של החזקת נשק. נמצא בדירתו של המערער, </w:t>
      </w:r>
      <w:r>
        <w:rPr>
          <w:rFonts w:ascii="David" w:hAnsi="David"/>
          <w:b/>
          <w:bCs/>
          <w:rtl/>
        </w:rPr>
        <w:t>נשק גנוב</w:t>
      </w:r>
      <w:r>
        <w:rPr>
          <w:rFonts w:ascii="David" w:hAnsi="David"/>
          <w:rtl/>
        </w:rPr>
        <w:t xml:space="preserve">. בימ"ש השלום גזר על </w:t>
      </w:r>
      <w:r>
        <w:rPr>
          <w:rFonts w:ascii="David" w:hAnsi="David"/>
          <w:b/>
          <w:bCs/>
          <w:rtl/>
        </w:rPr>
        <w:t>הנאשם 8 חודשי מאסר בפועל</w:t>
      </w:r>
      <w:r>
        <w:rPr>
          <w:rFonts w:ascii="David" w:hAnsi="David"/>
          <w:rtl/>
        </w:rPr>
        <w:t>, והוא ערער על גזר-הדין וחומרת העונש. הערעור למחוזי נדחה, כמו כן הערעור לעליון נדחה.</w:t>
      </w:r>
    </w:p>
    <w:p w14:paraId="43E66423" w14:textId="77777777" w:rsidR="00964B8D" w:rsidRDefault="00964B8D" w:rsidP="00964B8D">
      <w:pPr>
        <w:spacing w:line="360" w:lineRule="auto"/>
        <w:jc w:val="both"/>
        <w:rPr>
          <w:rFonts w:ascii="David" w:hAnsi="David"/>
          <w:rtl/>
        </w:rPr>
      </w:pPr>
    </w:p>
    <w:p w14:paraId="789C58B2" w14:textId="77777777" w:rsidR="00964B8D" w:rsidRDefault="00C54103" w:rsidP="00964B8D">
      <w:pPr>
        <w:spacing w:line="360" w:lineRule="auto"/>
        <w:jc w:val="both"/>
        <w:rPr>
          <w:rFonts w:ascii="David" w:hAnsi="David"/>
          <w:rtl/>
        </w:rPr>
      </w:pPr>
      <w:hyperlink r:id="rId15" w:history="1">
        <w:r w:rsidRPr="00C54103">
          <w:rPr>
            <w:rFonts w:ascii="David" w:hAnsi="David"/>
            <w:color w:val="0000FF"/>
            <w:u w:val="single"/>
            <w:rtl/>
          </w:rPr>
          <w:t>רע"פ 5613/20</w:t>
        </w:r>
      </w:hyperlink>
      <w:r w:rsidR="00964B8D">
        <w:rPr>
          <w:rFonts w:ascii="David" w:hAnsi="David"/>
          <w:b/>
          <w:bCs/>
          <w:rtl/>
        </w:rPr>
        <w:t xml:space="preserve"> זאקי אלהוזייל נגד מדינת ישראל  </w:t>
      </w:r>
      <w:r w:rsidR="00964B8D">
        <w:rPr>
          <w:rFonts w:ascii="David" w:hAnsi="David"/>
          <w:rtl/>
        </w:rPr>
        <w:t xml:space="preserve">(25.8.20): </w:t>
      </w:r>
    </w:p>
    <w:p w14:paraId="21039788" w14:textId="77777777" w:rsidR="00964B8D" w:rsidRDefault="00964B8D" w:rsidP="00964B8D">
      <w:pPr>
        <w:spacing w:line="360" w:lineRule="auto"/>
        <w:jc w:val="both"/>
        <w:rPr>
          <w:rFonts w:ascii="David" w:hAnsi="David"/>
          <w:rtl/>
        </w:rPr>
      </w:pPr>
    </w:p>
    <w:p w14:paraId="21D9016B" w14:textId="77777777" w:rsidR="00964B8D" w:rsidRDefault="00964B8D" w:rsidP="00964B8D">
      <w:pPr>
        <w:spacing w:line="360" w:lineRule="auto"/>
        <w:jc w:val="both"/>
        <w:rPr>
          <w:rFonts w:ascii="David" w:hAnsi="David"/>
          <w:rtl/>
        </w:rPr>
      </w:pPr>
      <w:r>
        <w:rPr>
          <w:rFonts w:ascii="David" w:hAnsi="David"/>
          <w:rtl/>
        </w:rPr>
        <w:t xml:space="preserve">הנאשם הורשע בעקבות הודאתו בכך שהחזיק במקום מגוריו </w:t>
      </w:r>
      <w:r>
        <w:rPr>
          <w:rFonts w:ascii="David" w:hAnsi="David"/>
          <w:b/>
          <w:bCs/>
          <w:rtl/>
        </w:rPr>
        <w:t xml:space="preserve">אקדח </w:t>
      </w:r>
      <w:r>
        <w:rPr>
          <w:rFonts w:ascii="David" w:hAnsi="David"/>
          <w:b/>
          <w:bCs/>
        </w:rPr>
        <w:t>FN</w:t>
      </w:r>
      <w:r>
        <w:rPr>
          <w:rFonts w:ascii="David" w:hAnsi="David"/>
          <w:b/>
          <w:bCs/>
          <w:rtl/>
        </w:rPr>
        <w:t xml:space="preserve"> ועשרים כדורים</w:t>
      </w:r>
      <w:r>
        <w:rPr>
          <w:rFonts w:ascii="David" w:hAnsi="David"/>
          <w:rtl/>
        </w:rPr>
        <w:t xml:space="preserve">, </w:t>
      </w:r>
      <w:r>
        <w:rPr>
          <w:rFonts w:ascii="David" w:hAnsi="David"/>
          <w:b/>
          <w:bCs/>
          <w:rtl/>
        </w:rPr>
        <w:t>בעל עבר פלילי  הכולל עבירה במתן אמצעים לביצוע פשע,</w:t>
      </w:r>
      <w:r>
        <w:rPr>
          <w:rFonts w:ascii="David" w:hAnsi="David"/>
          <w:rtl/>
        </w:rPr>
        <w:t xml:space="preserve"> החזקת סכין, החזקת סם, גרימת מוות ברשלנות, תסקיר שהכיל אלמנטים </w:t>
      </w:r>
      <w:r>
        <w:rPr>
          <w:rFonts w:ascii="David" w:hAnsi="David"/>
          <w:b/>
          <w:bCs/>
          <w:rtl/>
        </w:rPr>
        <w:t>בלתי חיוביים,</w:t>
      </w:r>
      <w:r>
        <w:rPr>
          <w:rFonts w:ascii="David" w:hAnsi="David"/>
          <w:rtl/>
        </w:rPr>
        <w:t xml:space="preserve"> נדון ל – </w:t>
      </w:r>
      <w:r>
        <w:rPr>
          <w:rFonts w:ascii="David" w:hAnsi="David"/>
          <w:b/>
          <w:bCs/>
          <w:rtl/>
        </w:rPr>
        <w:t>12 חודשי מאסר בפועל.</w:t>
      </w:r>
    </w:p>
    <w:p w14:paraId="1D182483" w14:textId="77777777" w:rsidR="00964B8D" w:rsidRDefault="00964B8D" w:rsidP="00964B8D">
      <w:pPr>
        <w:spacing w:line="360" w:lineRule="auto"/>
        <w:jc w:val="both"/>
        <w:rPr>
          <w:rFonts w:ascii="David" w:hAnsi="David"/>
          <w:rtl/>
        </w:rPr>
      </w:pPr>
    </w:p>
    <w:p w14:paraId="423D89BC" w14:textId="77777777" w:rsidR="00964B8D" w:rsidRDefault="00C54103" w:rsidP="00964B8D">
      <w:pPr>
        <w:spacing w:line="360" w:lineRule="auto"/>
        <w:jc w:val="both"/>
        <w:rPr>
          <w:rFonts w:ascii="Arial" w:hAnsi="Arial"/>
          <w:rtl/>
        </w:rPr>
      </w:pPr>
      <w:hyperlink r:id="rId16" w:history="1">
        <w:r w:rsidRPr="00C54103">
          <w:rPr>
            <w:rFonts w:ascii="Arial" w:hAnsi="Arial"/>
            <w:color w:val="0000FF"/>
            <w:u w:val="single"/>
            <w:rtl/>
          </w:rPr>
          <w:t>ע"פ 700/18</w:t>
        </w:r>
      </w:hyperlink>
      <w:r w:rsidR="00964B8D">
        <w:rPr>
          <w:rFonts w:ascii="Arial" w:hAnsi="Arial"/>
          <w:b/>
          <w:bCs/>
          <w:rtl/>
        </w:rPr>
        <w:t xml:space="preserve"> רואי גרבי נגד מדינת ישראל </w:t>
      </w:r>
      <w:r w:rsidR="00964B8D">
        <w:rPr>
          <w:rFonts w:ascii="Arial" w:hAnsi="Arial"/>
          <w:rtl/>
        </w:rPr>
        <w:t>(2.5.18):</w:t>
      </w:r>
    </w:p>
    <w:p w14:paraId="4DD9CA76" w14:textId="77777777" w:rsidR="00964B8D" w:rsidRDefault="00964B8D" w:rsidP="00964B8D">
      <w:pPr>
        <w:spacing w:line="360" w:lineRule="auto"/>
        <w:jc w:val="both"/>
        <w:rPr>
          <w:rFonts w:ascii="Arial" w:hAnsi="Arial"/>
          <w:rtl/>
        </w:rPr>
      </w:pPr>
    </w:p>
    <w:p w14:paraId="3738F08D" w14:textId="77777777" w:rsidR="00964B8D" w:rsidRDefault="00964B8D" w:rsidP="00964B8D">
      <w:pPr>
        <w:spacing w:line="360" w:lineRule="auto"/>
        <w:jc w:val="both"/>
        <w:rPr>
          <w:rFonts w:ascii="Arial" w:hAnsi="Arial"/>
          <w:rtl/>
        </w:rPr>
      </w:pPr>
      <w:r>
        <w:rPr>
          <w:rFonts w:ascii="Arial" w:hAnsi="Arial"/>
          <w:rtl/>
        </w:rPr>
        <w:t xml:space="preserve">הנאשם הורשע בכך </w:t>
      </w:r>
      <w:r>
        <w:rPr>
          <w:rFonts w:ascii="Arial" w:hAnsi="Arial"/>
          <w:b/>
          <w:bCs/>
          <w:rtl/>
        </w:rPr>
        <w:t>שסייע בהחזקת ונשיאת נשק מסוג קרל גוסטב</w:t>
      </w:r>
      <w:r>
        <w:rPr>
          <w:rFonts w:ascii="Arial" w:hAnsi="Arial"/>
          <w:rtl/>
        </w:rPr>
        <w:t xml:space="preserve"> – אחר נשא את הנשק בידיעתו והסכמתו, תוך שהנאשם מתצפת על מקום הנשק לצורך מכירתו. </w:t>
      </w:r>
      <w:r>
        <w:rPr>
          <w:rFonts w:ascii="Arial" w:hAnsi="Arial"/>
          <w:b/>
          <w:bCs/>
          <w:rtl/>
        </w:rPr>
        <w:t>נדון ל – 7 חודשי מאסר בפועל.</w:t>
      </w:r>
    </w:p>
    <w:p w14:paraId="1E712957" w14:textId="77777777" w:rsidR="00964B8D" w:rsidRDefault="00964B8D" w:rsidP="00964B8D">
      <w:pPr>
        <w:spacing w:line="360" w:lineRule="auto"/>
        <w:jc w:val="both"/>
        <w:rPr>
          <w:rFonts w:ascii="Arial" w:hAnsi="Arial"/>
          <w:b/>
          <w:bCs/>
          <w:rtl/>
        </w:rPr>
      </w:pPr>
    </w:p>
    <w:p w14:paraId="764BB975" w14:textId="77777777" w:rsidR="00964B8D" w:rsidRDefault="00C54103" w:rsidP="00964B8D">
      <w:pPr>
        <w:spacing w:line="360" w:lineRule="auto"/>
        <w:jc w:val="both"/>
        <w:rPr>
          <w:rFonts w:ascii="Arial" w:hAnsi="Arial"/>
          <w:rtl/>
        </w:rPr>
      </w:pPr>
      <w:hyperlink r:id="rId17" w:history="1">
        <w:r w:rsidRPr="00C54103">
          <w:rPr>
            <w:rFonts w:ascii="Arial" w:hAnsi="Arial"/>
            <w:color w:val="0000FF"/>
            <w:u w:val="single"/>
            <w:rtl/>
          </w:rPr>
          <w:t>ע"פ 2541/17</w:t>
        </w:r>
      </w:hyperlink>
      <w:r w:rsidR="00964B8D">
        <w:rPr>
          <w:rFonts w:ascii="Arial" w:hAnsi="Arial"/>
          <w:rtl/>
        </w:rPr>
        <w:t xml:space="preserve"> </w:t>
      </w:r>
      <w:r w:rsidR="00964B8D">
        <w:rPr>
          <w:rFonts w:ascii="Arial" w:hAnsi="Arial"/>
          <w:b/>
          <w:bCs/>
          <w:rtl/>
        </w:rPr>
        <w:t xml:space="preserve">שאהר זיד נגד מדינת ישראל </w:t>
      </w:r>
      <w:r w:rsidR="00964B8D">
        <w:rPr>
          <w:rFonts w:ascii="Arial" w:hAnsi="Arial"/>
          <w:rtl/>
        </w:rPr>
        <w:t>( 3.5.18):</w:t>
      </w:r>
      <w:r w:rsidR="00964B8D">
        <w:rPr>
          <w:rFonts w:ascii="Arial" w:hAnsi="Arial"/>
          <w:b/>
          <w:bCs/>
          <w:rtl/>
        </w:rPr>
        <w:t xml:space="preserve"> </w:t>
      </w:r>
    </w:p>
    <w:p w14:paraId="5216A8F3" w14:textId="77777777" w:rsidR="00964B8D" w:rsidRDefault="00964B8D" w:rsidP="00964B8D">
      <w:pPr>
        <w:spacing w:line="360" w:lineRule="auto"/>
        <w:jc w:val="both"/>
        <w:rPr>
          <w:rFonts w:ascii="Arial" w:hAnsi="Arial"/>
          <w:rtl/>
        </w:rPr>
      </w:pPr>
    </w:p>
    <w:p w14:paraId="4A5C5E66" w14:textId="77777777" w:rsidR="00964B8D" w:rsidRDefault="00964B8D" w:rsidP="00964B8D">
      <w:pPr>
        <w:spacing w:line="360" w:lineRule="auto"/>
        <w:jc w:val="both"/>
        <w:rPr>
          <w:rFonts w:ascii="Arial" w:hAnsi="Arial"/>
          <w:rtl/>
        </w:rPr>
      </w:pPr>
      <w:r>
        <w:rPr>
          <w:rFonts w:ascii="Arial" w:hAnsi="Arial"/>
          <w:rtl/>
        </w:rPr>
        <w:t xml:space="preserve">המערער, </w:t>
      </w:r>
      <w:r>
        <w:rPr>
          <w:rFonts w:ascii="Arial" w:hAnsi="Arial"/>
          <w:b/>
          <w:bCs/>
          <w:rtl/>
        </w:rPr>
        <w:t>שוהה בלתי חוקי</w:t>
      </w:r>
      <w:r>
        <w:rPr>
          <w:rFonts w:ascii="Arial" w:hAnsi="Arial"/>
          <w:rtl/>
        </w:rPr>
        <w:t xml:space="preserve">,  </w:t>
      </w:r>
      <w:r>
        <w:rPr>
          <w:rFonts w:ascii="Arial" w:hAnsi="Arial"/>
          <w:b/>
          <w:bCs/>
          <w:rtl/>
        </w:rPr>
        <w:t>בעל עבר פלילי</w:t>
      </w:r>
      <w:r>
        <w:rPr>
          <w:rFonts w:ascii="Arial" w:hAnsi="Arial"/>
          <w:rtl/>
        </w:rPr>
        <w:t xml:space="preserve">, נסע יחד עם שניים אחרים ברכב, ישב במושב האחורי, האחרים החזיקו אקדח וכדורים, בעת מעצרם ניסה אחד הנאשמים להסתיר את האקדח. המערער נדון ל  </w:t>
      </w:r>
      <w:r>
        <w:rPr>
          <w:rFonts w:ascii="Arial" w:hAnsi="Arial"/>
          <w:b/>
          <w:bCs/>
          <w:rtl/>
        </w:rPr>
        <w:t>–  6 חודשי מאסר בפועל</w:t>
      </w:r>
      <w:r>
        <w:rPr>
          <w:rFonts w:ascii="Arial" w:hAnsi="Arial"/>
          <w:rtl/>
        </w:rPr>
        <w:t>, בדרך של ע"ש, נקבע מתחם שבין 6 – 12 חודשי מאסר.</w:t>
      </w:r>
    </w:p>
    <w:p w14:paraId="549E4D04" w14:textId="77777777" w:rsidR="00964B8D" w:rsidRDefault="00964B8D" w:rsidP="00964B8D">
      <w:pPr>
        <w:spacing w:line="360" w:lineRule="auto"/>
        <w:jc w:val="both"/>
        <w:rPr>
          <w:rFonts w:ascii="Arial" w:hAnsi="Arial"/>
          <w:rtl/>
        </w:rPr>
      </w:pPr>
    </w:p>
    <w:p w14:paraId="57FD63C0" w14:textId="77777777" w:rsidR="00964B8D" w:rsidRDefault="00C54103" w:rsidP="00964B8D">
      <w:pPr>
        <w:spacing w:line="360" w:lineRule="auto"/>
        <w:jc w:val="both"/>
        <w:rPr>
          <w:rFonts w:ascii="Arial" w:hAnsi="Arial"/>
          <w:rtl/>
        </w:rPr>
      </w:pPr>
      <w:hyperlink r:id="rId18" w:history="1">
        <w:r w:rsidRPr="00C54103">
          <w:rPr>
            <w:rFonts w:ascii="Arial" w:hAnsi="Arial"/>
            <w:color w:val="0000FF"/>
            <w:u w:val="single"/>
            <w:rtl/>
          </w:rPr>
          <w:t>עפ"ג  15929-09-20</w:t>
        </w:r>
      </w:hyperlink>
      <w:r w:rsidR="00964B8D">
        <w:rPr>
          <w:rFonts w:ascii="Arial" w:hAnsi="Arial"/>
          <w:rtl/>
        </w:rPr>
        <w:t xml:space="preserve"> (מחוזי מרכז) (הרכב בראשות כב' השופטת העמית אברהם טל) </w:t>
      </w:r>
      <w:r w:rsidR="00964B8D">
        <w:rPr>
          <w:rFonts w:ascii="Arial" w:hAnsi="Arial"/>
          <w:b/>
          <w:bCs/>
          <w:rtl/>
        </w:rPr>
        <w:t xml:space="preserve">מדינת ישראל נגד אבו צעלוק </w:t>
      </w:r>
      <w:r w:rsidR="00964B8D">
        <w:rPr>
          <w:rFonts w:ascii="Arial" w:hAnsi="Arial"/>
          <w:rtl/>
        </w:rPr>
        <w:t>(6.12.20):</w:t>
      </w:r>
    </w:p>
    <w:p w14:paraId="2EE899AA" w14:textId="77777777" w:rsidR="00964B8D" w:rsidRDefault="00964B8D" w:rsidP="00964B8D">
      <w:pPr>
        <w:spacing w:line="360" w:lineRule="auto"/>
        <w:jc w:val="both"/>
        <w:rPr>
          <w:rFonts w:ascii="Arial" w:hAnsi="Arial"/>
          <w:rtl/>
        </w:rPr>
      </w:pPr>
    </w:p>
    <w:p w14:paraId="2C5BCB3A" w14:textId="77777777" w:rsidR="00964B8D" w:rsidRDefault="00964B8D" w:rsidP="00964B8D">
      <w:pPr>
        <w:spacing w:line="360" w:lineRule="auto"/>
        <w:jc w:val="both"/>
        <w:rPr>
          <w:rFonts w:ascii="Arial" w:hAnsi="Arial"/>
          <w:b/>
          <w:bCs/>
          <w:rtl/>
        </w:rPr>
      </w:pPr>
      <w:r>
        <w:rPr>
          <w:rFonts w:ascii="Arial" w:hAnsi="Arial"/>
          <w:rtl/>
        </w:rPr>
        <w:t xml:space="preserve">הנאשם הורשע בעקבות הודאתו, בכך שהחזיק אקדח "גלוק" גנוב ומחסנית מלאה כדורי 9 מ"מ, היה נתון במעצר כחודשיים, לאחר מכן נתון במעצר באיזוק, תסקירים הממליצים על ענישה שיקומית, צעיר, נעדר עבר פלילי,  </w:t>
      </w:r>
      <w:r>
        <w:rPr>
          <w:rFonts w:ascii="Arial" w:hAnsi="Arial"/>
          <w:b/>
          <w:bCs/>
          <w:rtl/>
        </w:rPr>
        <w:t>נדון ל – 9 חודשי מאסר בפועל (לא נו</w:t>
      </w:r>
      <w:r>
        <w:rPr>
          <w:rFonts w:ascii="Arial" w:hAnsi="Arial" w:hint="cs"/>
          <w:b/>
          <w:bCs/>
          <w:rtl/>
        </w:rPr>
        <w:t>כ</w:t>
      </w:r>
      <w:r>
        <w:rPr>
          <w:rFonts w:ascii="Arial" w:hAnsi="Arial"/>
          <w:b/>
          <w:bCs/>
          <w:rtl/>
        </w:rPr>
        <w:t>תה תקופת מעצרו).</w:t>
      </w:r>
    </w:p>
    <w:p w14:paraId="589039F3" w14:textId="77777777" w:rsidR="00964B8D" w:rsidRDefault="00964B8D" w:rsidP="00964B8D">
      <w:pPr>
        <w:spacing w:line="360" w:lineRule="auto"/>
        <w:jc w:val="both"/>
        <w:rPr>
          <w:rFonts w:ascii="Arial" w:hAnsi="Arial"/>
        </w:rPr>
      </w:pPr>
    </w:p>
    <w:p w14:paraId="300BFCDD" w14:textId="77777777" w:rsidR="00964B8D" w:rsidRDefault="00C54103" w:rsidP="00964B8D">
      <w:pPr>
        <w:spacing w:line="360" w:lineRule="auto"/>
        <w:jc w:val="both"/>
        <w:rPr>
          <w:rFonts w:ascii="Arial" w:hAnsi="Arial"/>
        </w:rPr>
      </w:pPr>
      <w:hyperlink r:id="rId19" w:history="1">
        <w:r w:rsidRPr="00C54103">
          <w:rPr>
            <w:rFonts w:ascii="Arial" w:hAnsi="Arial"/>
            <w:color w:val="0000FF"/>
            <w:u w:val="single"/>
            <w:rtl/>
          </w:rPr>
          <w:t>עפ"ג 14363-08-18</w:t>
        </w:r>
      </w:hyperlink>
      <w:r w:rsidR="00964B8D">
        <w:rPr>
          <w:rFonts w:ascii="Arial" w:hAnsi="Arial"/>
          <w:rtl/>
        </w:rPr>
        <w:t xml:space="preserve"> (מחוזי מרכז) (הרכב בראשית כב' השופטת ורדה מרוז, סגנית הנשיאה) </w:t>
      </w:r>
      <w:r w:rsidR="00964B8D">
        <w:rPr>
          <w:rFonts w:ascii="Arial" w:hAnsi="Arial"/>
          <w:b/>
          <w:bCs/>
          <w:rtl/>
        </w:rPr>
        <w:t xml:space="preserve">מדינת ישראל נגד ע'אנם </w:t>
      </w:r>
      <w:r w:rsidR="00964B8D">
        <w:rPr>
          <w:rFonts w:ascii="Arial" w:hAnsi="Arial"/>
          <w:rtl/>
        </w:rPr>
        <w:t xml:space="preserve">(9.10.18): </w:t>
      </w:r>
    </w:p>
    <w:p w14:paraId="56F07F1A" w14:textId="77777777" w:rsidR="00964B8D" w:rsidRDefault="00964B8D" w:rsidP="00964B8D">
      <w:pPr>
        <w:spacing w:line="360" w:lineRule="auto"/>
        <w:jc w:val="both"/>
        <w:rPr>
          <w:rFonts w:ascii="Arial" w:hAnsi="Arial"/>
          <w:rtl/>
        </w:rPr>
      </w:pPr>
    </w:p>
    <w:p w14:paraId="6348F9F6" w14:textId="77777777" w:rsidR="00964B8D" w:rsidRDefault="00964B8D" w:rsidP="00964B8D">
      <w:pPr>
        <w:spacing w:line="360" w:lineRule="auto"/>
        <w:jc w:val="both"/>
        <w:rPr>
          <w:rFonts w:ascii="Arial" w:hAnsi="Arial"/>
          <w:rtl/>
        </w:rPr>
      </w:pPr>
      <w:r>
        <w:rPr>
          <w:rFonts w:ascii="Arial" w:hAnsi="Arial"/>
          <w:rtl/>
        </w:rPr>
        <w:t>נקבע מתחם שבין 8 – 18 חודשי מאסר למי שהחזיק בביתו אקדח גנוב טעון במחסנית ובה כדורים, ובין השאר שיבש את מהלכי החקירה והוראה להשליך את האקדח, אך בית המשפט המחוזי הנכבד קבע: "</w:t>
      </w:r>
      <w:r>
        <w:rPr>
          <w:rFonts w:ascii="Arial" w:hAnsi="Arial"/>
          <w:b/>
          <w:bCs/>
          <w:rtl/>
        </w:rPr>
        <w:t xml:space="preserve">מתחם הענישה לעבירה של החזקת נשק שלא כחוק </w:t>
      </w:r>
      <w:r>
        <w:rPr>
          <w:rFonts w:ascii="Arial" w:hAnsi="Arial"/>
          <w:b/>
          <w:bCs/>
          <w:u w:val="single"/>
          <w:rtl/>
        </w:rPr>
        <w:t>בעודו טעון</w:t>
      </w:r>
      <w:r>
        <w:rPr>
          <w:rFonts w:ascii="Arial" w:hAnsi="Arial"/>
          <w:b/>
          <w:bCs/>
          <w:rtl/>
        </w:rPr>
        <w:t xml:space="preserve">, כאשר ברקע ידוע כי מדובר </w:t>
      </w:r>
      <w:r>
        <w:rPr>
          <w:rFonts w:ascii="Arial" w:hAnsi="Arial"/>
          <w:b/>
          <w:bCs/>
          <w:u w:val="single"/>
          <w:rtl/>
        </w:rPr>
        <w:t>בנשק גנוב</w:t>
      </w:r>
      <w:r>
        <w:rPr>
          <w:rFonts w:ascii="Arial" w:hAnsi="Arial"/>
          <w:b/>
          <w:bCs/>
          <w:rtl/>
        </w:rPr>
        <w:t>, הוא בין 8 – 18 חודשי מאסר..."</w:t>
      </w:r>
      <w:r>
        <w:rPr>
          <w:rFonts w:ascii="Arial" w:hAnsi="Arial"/>
          <w:rtl/>
        </w:rPr>
        <w:t>, נגזרו 8 חודשי מאסר בפועל, במקום 6 חודשי מאסר בדרך של ע"ש, על צעיר, נעדר עבר פלילי, בעל תסקיר חיובי.</w:t>
      </w:r>
    </w:p>
    <w:p w14:paraId="01AA3354" w14:textId="77777777" w:rsidR="00964B8D" w:rsidRDefault="00964B8D" w:rsidP="00964B8D">
      <w:pPr>
        <w:spacing w:line="360" w:lineRule="auto"/>
        <w:jc w:val="both"/>
        <w:rPr>
          <w:rFonts w:ascii="Arial" w:hAnsi="Arial"/>
          <w:rtl/>
        </w:rPr>
      </w:pPr>
    </w:p>
    <w:p w14:paraId="797FD2A3" w14:textId="77777777" w:rsidR="00964B8D" w:rsidRDefault="00C54103" w:rsidP="00964B8D">
      <w:pPr>
        <w:spacing w:line="360" w:lineRule="auto"/>
        <w:jc w:val="both"/>
        <w:rPr>
          <w:rFonts w:ascii="Arial" w:hAnsi="Arial"/>
          <w:rtl/>
        </w:rPr>
      </w:pPr>
      <w:hyperlink r:id="rId20" w:history="1">
        <w:r w:rsidRPr="00C54103">
          <w:rPr>
            <w:rFonts w:ascii="Arial" w:hAnsi="Arial"/>
            <w:color w:val="0000FF"/>
            <w:u w:val="single"/>
            <w:rtl/>
          </w:rPr>
          <w:t>עפ"ג 24956-04-19</w:t>
        </w:r>
      </w:hyperlink>
      <w:r w:rsidR="00964B8D">
        <w:rPr>
          <w:rFonts w:ascii="Arial" w:hAnsi="Arial"/>
          <w:rtl/>
        </w:rPr>
        <w:t xml:space="preserve"> (מחוזי מרכז)(הרכב בראשות השופט שמואל בורנשטיין) </w:t>
      </w:r>
      <w:r w:rsidR="00964B8D">
        <w:rPr>
          <w:rFonts w:ascii="Arial" w:hAnsi="Arial"/>
          <w:b/>
          <w:bCs/>
          <w:rtl/>
        </w:rPr>
        <w:t>מדינת ישראל נגד סילמי</w:t>
      </w:r>
      <w:r w:rsidR="00964B8D">
        <w:rPr>
          <w:rFonts w:ascii="Arial" w:hAnsi="Arial"/>
          <w:rtl/>
        </w:rPr>
        <w:t xml:space="preserve"> (2.7.19): </w:t>
      </w:r>
    </w:p>
    <w:p w14:paraId="37C0AF1A" w14:textId="77777777" w:rsidR="00964B8D" w:rsidRDefault="00964B8D" w:rsidP="00964B8D">
      <w:pPr>
        <w:spacing w:line="360" w:lineRule="auto"/>
        <w:jc w:val="both"/>
        <w:rPr>
          <w:rFonts w:ascii="Arial" w:hAnsi="Arial"/>
          <w:rtl/>
        </w:rPr>
      </w:pPr>
    </w:p>
    <w:p w14:paraId="760A4F6F" w14:textId="77777777" w:rsidR="00964B8D" w:rsidRDefault="00964B8D" w:rsidP="00964B8D">
      <w:pPr>
        <w:spacing w:line="360" w:lineRule="auto"/>
        <w:jc w:val="both"/>
        <w:rPr>
          <w:rFonts w:ascii="Arial" w:hAnsi="Arial"/>
          <w:b/>
          <w:bCs/>
          <w:rtl/>
        </w:rPr>
      </w:pPr>
      <w:r>
        <w:rPr>
          <w:rFonts w:ascii="Arial" w:hAnsi="Arial"/>
          <w:rtl/>
        </w:rPr>
        <w:t xml:space="preserve">החזקת  </w:t>
      </w:r>
      <w:r>
        <w:rPr>
          <w:rFonts w:ascii="Arial" w:hAnsi="Arial"/>
          <w:b/>
          <w:bCs/>
          <w:rtl/>
        </w:rPr>
        <w:t>שלושה אקדחים</w:t>
      </w:r>
      <w:r>
        <w:rPr>
          <w:rFonts w:ascii="Arial" w:hAnsi="Arial"/>
          <w:rtl/>
        </w:rPr>
        <w:t xml:space="preserve">, שתי מחסניות, צעיר, נעדר עבר פלילי, תסקיר חיובי נדון </w:t>
      </w:r>
      <w:r>
        <w:rPr>
          <w:rFonts w:ascii="Arial" w:hAnsi="Arial"/>
          <w:b/>
          <w:bCs/>
          <w:rtl/>
        </w:rPr>
        <w:t>ל – 16 חודשי מאסר בפועל.</w:t>
      </w:r>
    </w:p>
    <w:p w14:paraId="0496511C" w14:textId="77777777" w:rsidR="00964B8D" w:rsidRDefault="00964B8D" w:rsidP="00964B8D">
      <w:pPr>
        <w:spacing w:line="360" w:lineRule="auto"/>
        <w:jc w:val="both"/>
        <w:rPr>
          <w:rFonts w:ascii="Arial" w:hAnsi="Arial"/>
          <w:rtl/>
        </w:rPr>
      </w:pPr>
    </w:p>
    <w:p w14:paraId="15B25559" w14:textId="77777777" w:rsidR="00964B8D" w:rsidRDefault="00C54103" w:rsidP="00964B8D">
      <w:pPr>
        <w:spacing w:line="360" w:lineRule="auto"/>
        <w:jc w:val="both"/>
        <w:rPr>
          <w:rFonts w:ascii="Arial" w:hAnsi="Arial"/>
          <w:rtl/>
        </w:rPr>
      </w:pPr>
      <w:hyperlink r:id="rId21" w:history="1">
        <w:r w:rsidRPr="00C54103">
          <w:rPr>
            <w:rFonts w:ascii="Arial" w:hAnsi="Arial"/>
            <w:color w:val="0000FF"/>
            <w:u w:val="single"/>
            <w:rtl/>
          </w:rPr>
          <w:t>עפ"ג 20562-08-18</w:t>
        </w:r>
      </w:hyperlink>
      <w:r w:rsidR="00964B8D">
        <w:rPr>
          <w:rFonts w:ascii="Arial" w:hAnsi="Arial"/>
          <w:rtl/>
        </w:rPr>
        <w:t xml:space="preserve"> (מחוזי מרכז)(הרכב בראשות כב' השופטת ורדה מרוז – סגנית הנשיאה) </w:t>
      </w:r>
      <w:r w:rsidR="00964B8D">
        <w:rPr>
          <w:rFonts w:ascii="Arial" w:hAnsi="Arial"/>
          <w:b/>
          <w:bCs/>
          <w:rtl/>
        </w:rPr>
        <w:t xml:space="preserve">מדינת ישראל נגד בהא לבן </w:t>
      </w:r>
      <w:r w:rsidR="00964B8D">
        <w:rPr>
          <w:rFonts w:ascii="Arial" w:hAnsi="Arial"/>
          <w:rtl/>
        </w:rPr>
        <w:t>(20.11.18):</w:t>
      </w:r>
    </w:p>
    <w:p w14:paraId="7580F751" w14:textId="77777777" w:rsidR="00964B8D" w:rsidRDefault="00964B8D" w:rsidP="00964B8D">
      <w:pPr>
        <w:spacing w:line="360" w:lineRule="auto"/>
        <w:jc w:val="both"/>
        <w:rPr>
          <w:rFonts w:ascii="Arial" w:hAnsi="Arial"/>
          <w:rtl/>
        </w:rPr>
      </w:pPr>
    </w:p>
    <w:p w14:paraId="6F9CE345" w14:textId="77777777" w:rsidR="00964B8D" w:rsidRDefault="00964B8D" w:rsidP="00964B8D">
      <w:pPr>
        <w:spacing w:line="360" w:lineRule="auto"/>
        <w:jc w:val="both"/>
        <w:rPr>
          <w:rFonts w:ascii="Arial" w:hAnsi="Arial"/>
          <w:rtl/>
        </w:rPr>
      </w:pPr>
      <w:r>
        <w:rPr>
          <w:rFonts w:ascii="Arial" w:hAnsi="Arial"/>
          <w:b/>
          <w:bCs/>
          <w:rtl/>
        </w:rPr>
        <w:t>6 חודשי מאסר בעבודות שירות למי אשר החזיק בביתו אקדח, מחסנית 32 כדורים, נעדר עבר פלילי,</w:t>
      </w:r>
      <w:r>
        <w:rPr>
          <w:rFonts w:ascii="Arial" w:hAnsi="Arial"/>
          <w:rtl/>
        </w:rPr>
        <w:t xml:space="preserve"> בעל תסקיר חיובי, הודה, היה נתון חודש במעצר ממש, בבית משפט השלום נקבע מתחם שבין 6 – 20 חודשי מאסר בפועל, בית המשפט המחוזי לא קבע קביעה שונה ביחס למתחם, הגם שהחמיר בענישה בדרך של הטלת קנס בסך 3,000 ₪.</w:t>
      </w:r>
    </w:p>
    <w:p w14:paraId="70C7D037" w14:textId="77777777" w:rsidR="00964B8D" w:rsidRDefault="00964B8D" w:rsidP="00964B8D">
      <w:pPr>
        <w:spacing w:line="360" w:lineRule="auto"/>
        <w:jc w:val="both"/>
        <w:rPr>
          <w:rFonts w:ascii="Arial" w:hAnsi="Arial"/>
          <w:rtl/>
        </w:rPr>
      </w:pPr>
    </w:p>
    <w:p w14:paraId="3C8BBB74" w14:textId="77777777" w:rsidR="00964B8D" w:rsidRDefault="00C54103" w:rsidP="00964B8D">
      <w:pPr>
        <w:spacing w:line="360" w:lineRule="auto"/>
        <w:jc w:val="both"/>
        <w:rPr>
          <w:rFonts w:ascii="Arial" w:hAnsi="Arial"/>
          <w:rtl/>
        </w:rPr>
      </w:pPr>
      <w:hyperlink r:id="rId22" w:history="1">
        <w:r w:rsidRPr="00C54103">
          <w:rPr>
            <w:rFonts w:ascii="Arial" w:hAnsi="Arial"/>
            <w:color w:val="0000FF"/>
            <w:u w:val="single"/>
            <w:rtl/>
          </w:rPr>
          <w:t>עפ"ג 23661-07-18</w:t>
        </w:r>
      </w:hyperlink>
      <w:r w:rsidR="00964B8D">
        <w:rPr>
          <w:rFonts w:ascii="Arial" w:hAnsi="Arial"/>
          <w:rtl/>
        </w:rPr>
        <w:t xml:space="preserve"> (מחוזי מרכז)(הרכב בראשות כב' השופטת דנה מרשק מרום) </w:t>
      </w:r>
      <w:r w:rsidR="00964B8D">
        <w:rPr>
          <w:rFonts w:ascii="Arial" w:hAnsi="Arial"/>
          <w:b/>
          <w:bCs/>
          <w:rtl/>
        </w:rPr>
        <w:t xml:space="preserve">מדינת ישראל נגד מרשה </w:t>
      </w:r>
      <w:r w:rsidR="00964B8D">
        <w:rPr>
          <w:rFonts w:ascii="Arial" w:hAnsi="Arial"/>
          <w:rtl/>
        </w:rPr>
        <w:t xml:space="preserve">(25.11.18): </w:t>
      </w:r>
    </w:p>
    <w:p w14:paraId="57A31327" w14:textId="77777777" w:rsidR="00964B8D" w:rsidRDefault="00964B8D" w:rsidP="00964B8D">
      <w:pPr>
        <w:spacing w:line="360" w:lineRule="auto"/>
        <w:jc w:val="both"/>
        <w:rPr>
          <w:rFonts w:ascii="Arial" w:hAnsi="Arial"/>
          <w:rtl/>
        </w:rPr>
      </w:pPr>
    </w:p>
    <w:p w14:paraId="262299FC" w14:textId="77777777" w:rsidR="00964B8D" w:rsidRDefault="00964B8D" w:rsidP="00964B8D">
      <w:pPr>
        <w:spacing w:line="360" w:lineRule="auto"/>
        <w:jc w:val="both"/>
        <w:rPr>
          <w:rFonts w:ascii="Arial" w:hAnsi="Arial"/>
          <w:rtl/>
        </w:rPr>
      </w:pPr>
      <w:r>
        <w:rPr>
          <w:rFonts w:ascii="Arial" w:hAnsi="Arial"/>
          <w:rtl/>
        </w:rPr>
        <w:t xml:space="preserve">נקבע מתחם המתחיל מ – 8 חודשי מאסר בפועל, והעמיד את עונשו של מי שהחזיק אקדח </w:t>
      </w:r>
      <w:r>
        <w:rPr>
          <w:rFonts w:ascii="Arial" w:hAnsi="Arial"/>
          <w:b/>
          <w:bCs/>
          <w:rtl/>
        </w:rPr>
        <w:t>גנוב</w:t>
      </w:r>
      <w:r>
        <w:rPr>
          <w:rFonts w:ascii="Arial" w:hAnsi="Arial"/>
          <w:rtl/>
        </w:rPr>
        <w:t xml:space="preserve">, מחזנית וכדורים מוסלקים, נעדר עבר פלילי, תסקיר חיובי, היה עצור 19 ימים, על </w:t>
      </w:r>
      <w:r>
        <w:rPr>
          <w:rFonts w:ascii="Arial" w:hAnsi="Arial"/>
          <w:b/>
          <w:bCs/>
          <w:rtl/>
        </w:rPr>
        <w:t>שמונה חודשי מאסר בפועל</w:t>
      </w:r>
      <w:r>
        <w:rPr>
          <w:rFonts w:ascii="Arial" w:hAnsi="Arial"/>
          <w:rtl/>
        </w:rPr>
        <w:t>, חלף 6 חודשי מאסר בדרך של עבודות שירות, בניכוי תקופת מעצרו.</w:t>
      </w:r>
    </w:p>
    <w:p w14:paraId="187A11B8" w14:textId="77777777" w:rsidR="00964B8D" w:rsidRDefault="00964B8D" w:rsidP="00964B8D">
      <w:pPr>
        <w:spacing w:line="360" w:lineRule="auto"/>
        <w:jc w:val="both"/>
        <w:rPr>
          <w:rFonts w:ascii="Arial" w:hAnsi="Arial"/>
          <w:rtl/>
        </w:rPr>
      </w:pPr>
    </w:p>
    <w:p w14:paraId="1E068A06" w14:textId="77777777" w:rsidR="00964B8D" w:rsidRDefault="00C54103" w:rsidP="00964B8D">
      <w:pPr>
        <w:spacing w:line="360" w:lineRule="auto"/>
        <w:jc w:val="both"/>
        <w:rPr>
          <w:rFonts w:ascii="Arial" w:hAnsi="Arial"/>
          <w:b/>
          <w:bCs/>
          <w:rtl/>
        </w:rPr>
      </w:pPr>
      <w:hyperlink r:id="rId23" w:history="1">
        <w:r w:rsidRPr="00C54103">
          <w:rPr>
            <w:rFonts w:ascii="Arial" w:hAnsi="Arial"/>
            <w:color w:val="0000FF"/>
            <w:u w:val="single"/>
            <w:rtl/>
          </w:rPr>
          <w:t>עפ"ג 52059-04-19</w:t>
        </w:r>
      </w:hyperlink>
      <w:r w:rsidR="00964B8D">
        <w:rPr>
          <w:rFonts w:ascii="Arial" w:hAnsi="Arial"/>
          <w:b/>
          <w:bCs/>
          <w:rtl/>
        </w:rPr>
        <w:t xml:space="preserve"> </w:t>
      </w:r>
      <w:r w:rsidR="00964B8D">
        <w:rPr>
          <w:rFonts w:ascii="Arial" w:hAnsi="Arial"/>
          <w:rtl/>
        </w:rPr>
        <w:t>(מחוזי לוד)</w:t>
      </w:r>
      <w:r w:rsidR="00964B8D">
        <w:rPr>
          <w:rFonts w:ascii="Arial" w:hAnsi="Arial"/>
          <w:b/>
          <w:bCs/>
          <w:rtl/>
        </w:rPr>
        <w:t xml:space="preserve"> אבו סחאב נגד מדינת ישראל</w:t>
      </w:r>
      <w:r w:rsidR="00964B8D">
        <w:rPr>
          <w:rFonts w:ascii="Arial" w:hAnsi="Arial"/>
          <w:rtl/>
        </w:rPr>
        <w:t xml:space="preserve"> (10.9.19):</w:t>
      </w:r>
    </w:p>
    <w:p w14:paraId="7BE9DB46" w14:textId="77777777" w:rsidR="00964B8D" w:rsidRDefault="00964B8D" w:rsidP="00964B8D">
      <w:pPr>
        <w:spacing w:line="360" w:lineRule="auto"/>
        <w:jc w:val="both"/>
        <w:rPr>
          <w:rFonts w:ascii="Arial" w:hAnsi="Arial"/>
          <w:b/>
          <w:bCs/>
          <w:rtl/>
        </w:rPr>
      </w:pPr>
    </w:p>
    <w:p w14:paraId="558DF720" w14:textId="77777777" w:rsidR="00964B8D" w:rsidRDefault="00964B8D" w:rsidP="00964B8D">
      <w:pPr>
        <w:spacing w:line="360" w:lineRule="auto"/>
        <w:jc w:val="both"/>
        <w:rPr>
          <w:rFonts w:ascii="Arial" w:hAnsi="Arial"/>
          <w:rtl/>
        </w:rPr>
      </w:pPr>
      <w:r>
        <w:rPr>
          <w:rFonts w:ascii="Arial" w:hAnsi="Arial"/>
          <w:rtl/>
        </w:rPr>
        <w:t xml:space="preserve">נדחה ערעורו של המערער שהורשע בהחזקת נשק ללא רשות </w:t>
      </w:r>
      <w:r>
        <w:rPr>
          <w:rFonts w:ascii="Arial" w:hAnsi="Arial"/>
          <w:b/>
          <w:bCs/>
          <w:rtl/>
        </w:rPr>
        <w:t>והחזקת סם לצריכה עצמית</w:t>
      </w:r>
      <w:r>
        <w:rPr>
          <w:rFonts w:ascii="Arial" w:hAnsi="Arial"/>
          <w:rtl/>
        </w:rPr>
        <w:t xml:space="preserve">, כאשר האקדח הוסתר בתוך גרב יחד עם 5 כדורי רובה ציד ושתי קופסאות המכילות 50 כדורי אקדח 9 מ"מ וקופסת כדורים ובה 40 כדורי 9 מ"מ, 4 כדורי 5.56 מ"מ וקנביס במשקל של כ- 16 גרם לצריכה עצמית. באותו מקרה נקבע  מתחם ענישה הנע בין 8 ל- 18 חודשי מאסר בפועל נגזרו על </w:t>
      </w:r>
      <w:r>
        <w:rPr>
          <w:rFonts w:ascii="Arial" w:hAnsi="Arial"/>
          <w:b/>
          <w:bCs/>
          <w:rtl/>
        </w:rPr>
        <w:t>הנאשם  9 חודשי מאסר בפועל  -</w:t>
      </w:r>
      <w:r>
        <w:rPr>
          <w:rFonts w:ascii="Arial" w:hAnsi="Arial"/>
          <w:rtl/>
        </w:rPr>
        <w:t xml:space="preserve">  נעדר עבר פלילי, צעיר, שהה בתנאים מגבילים שונים והיה עצור כחודש, תסקירי שירות המבחן הציגו תמונה חיובית.</w:t>
      </w:r>
    </w:p>
    <w:p w14:paraId="424E79A4" w14:textId="77777777" w:rsidR="00964B8D" w:rsidRDefault="00964B8D" w:rsidP="00964B8D">
      <w:pPr>
        <w:spacing w:line="360" w:lineRule="auto"/>
        <w:jc w:val="both"/>
        <w:rPr>
          <w:rFonts w:ascii="Arial" w:hAnsi="Arial"/>
          <w:rtl/>
        </w:rPr>
      </w:pPr>
    </w:p>
    <w:p w14:paraId="579D5B73" w14:textId="77777777" w:rsidR="00964B8D" w:rsidRDefault="00964B8D" w:rsidP="00964B8D">
      <w:pPr>
        <w:spacing w:line="360" w:lineRule="auto"/>
        <w:jc w:val="both"/>
        <w:rPr>
          <w:rFonts w:ascii="Arial" w:hAnsi="Arial"/>
          <w:b/>
          <w:bCs/>
          <w:rtl/>
        </w:rPr>
      </w:pPr>
      <w:r>
        <w:rPr>
          <w:rFonts w:ascii="Arial" w:hAnsi="Arial"/>
          <w:b/>
          <w:bCs/>
          <w:rtl/>
        </w:rPr>
        <w:t xml:space="preserve">ניתן ללמוד מן הפסיקה המנחה והמחייבת דלעיל, כי הענישה הרווחת ביחס לעבריינים המחזיקים אמצעי לחימה היא </w:t>
      </w:r>
      <w:r w:rsidRPr="00B10A9D">
        <w:rPr>
          <w:rFonts w:ascii="Arial" w:hAnsi="Arial"/>
          <w:b/>
          <w:bCs/>
          <w:u w:val="single"/>
          <w:rtl/>
        </w:rPr>
        <w:t>מאסר בפועל ממש</w:t>
      </w:r>
      <w:r>
        <w:rPr>
          <w:rFonts w:ascii="Arial" w:hAnsi="Arial"/>
          <w:b/>
          <w:bCs/>
          <w:rtl/>
        </w:rPr>
        <w:t>, כדי להרתיע את היחיד ואת הרבים מפני עבריינות שכזו.</w:t>
      </w:r>
    </w:p>
    <w:p w14:paraId="4ACA2092" w14:textId="77777777" w:rsidR="00964B8D" w:rsidRPr="00B05847" w:rsidRDefault="00964B8D" w:rsidP="00964B8D">
      <w:pPr>
        <w:rPr>
          <w:rtl/>
        </w:rPr>
      </w:pPr>
    </w:p>
    <w:p w14:paraId="47505A0E" w14:textId="77777777" w:rsidR="00964B8D" w:rsidRDefault="00964B8D" w:rsidP="00964B8D">
      <w:pPr>
        <w:rPr>
          <w:b/>
          <w:bCs/>
          <w:u w:val="single"/>
          <w:rtl/>
        </w:rPr>
      </w:pPr>
    </w:p>
    <w:p w14:paraId="709B9CD4" w14:textId="77777777" w:rsidR="00964B8D" w:rsidRDefault="00964B8D" w:rsidP="00964B8D">
      <w:pPr>
        <w:rPr>
          <w:b/>
          <w:bCs/>
          <w:u w:val="single"/>
          <w:rtl/>
        </w:rPr>
      </w:pPr>
    </w:p>
    <w:p w14:paraId="1CDC77BD" w14:textId="77777777" w:rsidR="00964B8D" w:rsidRDefault="00964B8D" w:rsidP="00964B8D">
      <w:pPr>
        <w:rPr>
          <w:b/>
          <w:bCs/>
          <w:u w:val="single"/>
          <w:rtl/>
        </w:rPr>
      </w:pPr>
      <w:r>
        <w:rPr>
          <w:rFonts w:hint="cs"/>
          <w:b/>
          <w:bCs/>
          <w:u w:val="single"/>
          <w:rtl/>
        </w:rPr>
        <w:t>ג. שיקולי ענישה:</w:t>
      </w:r>
    </w:p>
    <w:p w14:paraId="50EA57EA" w14:textId="77777777" w:rsidR="00964B8D" w:rsidRDefault="00964B8D" w:rsidP="00964B8D">
      <w:pPr>
        <w:rPr>
          <w:b/>
          <w:bCs/>
          <w:u w:val="single"/>
          <w:rtl/>
        </w:rPr>
      </w:pPr>
    </w:p>
    <w:p w14:paraId="493B8612" w14:textId="77777777" w:rsidR="00964B8D" w:rsidRDefault="00964B8D" w:rsidP="00964B8D">
      <w:pPr>
        <w:rPr>
          <w:b/>
          <w:bCs/>
          <w:u w:val="single"/>
          <w:rtl/>
        </w:rPr>
      </w:pPr>
    </w:p>
    <w:p w14:paraId="0B93471F" w14:textId="77777777" w:rsidR="00964B8D" w:rsidRDefault="00964B8D" w:rsidP="00964B8D">
      <w:pPr>
        <w:rPr>
          <w:b/>
          <w:bCs/>
          <w:u w:val="single"/>
          <w:rtl/>
        </w:rPr>
      </w:pPr>
      <w:r>
        <w:rPr>
          <w:rFonts w:hint="cs"/>
          <w:b/>
          <w:bCs/>
          <w:u w:val="single"/>
          <w:rtl/>
        </w:rPr>
        <w:t>(1). חומרת העבירות:</w:t>
      </w:r>
    </w:p>
    <w:p w14:paraId="2C1C16ED" w14:textId="77777777" w:rsidR="00964B8D" w:rsidRDefault="00964B8D" w:rsidP="00964B8D">
      <w:pPr>
        <w:rPr>
          <w:b/>
          <w:bCs/>
          <w:u w:val="single"/>
          <w:rtl/>
        </w:rPr>
      </w:pPr>
    </w:p>
    <w:p w14:paraId="4CA85172" w14:textId="77777777" w:rsidR="00964B8D" w:rsidRDefault="00964B8D" w:rsidP="00964B8D">
      <w:pPr>
        <w:rPr>
          <w:b/>
          <w:bCs/>
          <w:u w:val="single"/>
          <w:rtl/>
        </w:rPr>
      </w:pPr>
    </w:p>
    <w:p w14:paraId="704969F6" w14:textId="77777777" w:rsidR="00964B8D" w:rsidRDefault="00964B8D" w:rsidP="00964B8D">
      <w:pPr>
        <w:spacing w:line="360" w:lineRule="auto"/>
        <w:jc w:val="both"/>
        <w:rPr>
          <w:rtl/>
        </w:rPr>
      </w:pPr>
      <w:r w:rsidRPr="004951C5">
        <w:rPr>
          <w:rFonts w:hint="cs"/>
          <w:rtl/>
        </w:rPr>
        <w:t xml:space="preserve">אין חולק, כי </w:t>
      </w:r>
      <w:r>
        <w:rPr>
          <w:rFonts w:hint="cs"/>
          <w:rtl/>
        </w:rPr>
        <w:t>הנאשמים ביצעו עבירה חמורה.</w:t>
      </w:r>
    </w:p>
    <w:p w14:paraId="4B73039E" w14:textId="77777777" w:rsidR="00964B8D" w:rsidRDefault="00964B8D" w:rsidP="00964B8D">
      <w:pPr>
        <w:spacing w:line="360" w:lineRule="auto"/>
        <w:jc w:val="both"/>
        <w:rPr>
          <w:rtl/>
        </w:rPr>
      </w:pPr>
    </w:p>
    <w:p w14:paraId="165EAAFA" w14:textId="77777777" w:rsidR="00964B8D" w:rsidRPr="00523636" w:rsidRDefault="00964B8D" w:rsidP="00964B8D">
      <w:pPr>
        <w:spacing w:line="360" w:lineRule="auto"/>
        <w:jc w:val="both"/>
        <w:rPr>
          <w:b/>
          <w:bCs/>
          <w:rtl/>
        </w:rPr>
      </w:pPr>
      <w:r>
        <w:rPr>
          <w:rFonts w:hint="cs"/>
          <w:rtl/>
        </w:rPr>
        <w:t xml:space="preserve">שני הנאשמים החזיקו אמצעי לחימה שבכוחו להמית: </w:t>
      </w:r>
      <w:r w:rsidRPr="00523636">
        <w:rPr>
          <w:rFonts w:hint="cs"/>
          <w:b/>
          <w:bCs/>
          <w:rtl/>
        </w:rPr>
        <w:t xml:space="preserve">נשק מאולתר, דמוי </w:t>
      </w:r>
      <w:r w:rsidRPr="00523636">
        <w:rPr>
          <w:rFonts w:hint="cs"/>
          <w:b/>
          <w:bCs/>
        </w:rPr>
        <w:t>M</w:t>
      </w:r>
      <w:r w:rsidRPr="00523636">
        <w:rPr>
          <w:rFonts w:hint="cs"/>
          <w:b/>
          <w:bCs/>
          <w:rtl/>
        </w:rPr>
        <w:t>-16 ובתוכו מחסנית טעונה המכילה 30 כדורים.</w:t>
      </w:r>
    </w:p>
    <w:p w14:paraId="48D205D9" w14:textId="77777777" w:rsidR="00964B8D" w:rsidRDefault="00964B8D" w:rsidP="00964B8D">
      <w:pPr>
        <w:spacing w:line="360" w:lineRule="auto"/>
        <w:jc w:val="both"/>
        <w:rPr>
          <w:rtl/>
        </w:rPr>
      </w:pPr>
    </w:p>
    <w:p w14:paraId="3C37252F" w14:textId="77777777" w:rsidR="00964B8D" w:rsidRDefault="00964B8D" w:rsidP="00964B8D">
      <w:pPr>
        <w:spacing w:line="360" w:lineRule="auto"/>
        <w:jc w:val="both"/>
        <w:rPr>
          <w:rtl/>
        </w:rPr>
      </w:pPr>
      <w:r>
        <w:rPr>
          <w:rFonts w:hint="cs"/>
          <w:rtl/>
        </w:rPr>
        <w:t>אמל"ח, שכזה המוצא דרכו לידי עבריינים עלול בהחלט להוביל לפגיעה בחיים, בבריאותם של בני אדם, הוא מזין את מעגל הקטל ומלבה את החשש לפגיעה בגופם של אזרחים תמימים ובכך החומרה הרבה הנודעת להתנהגותם של המחזיקים בו.</w:t>
      </w:r>
    </w:p>
    <w:p w14:paraId="2A9A3D43" w14:textId="77777777" w:rsidR="00964B8D" w:rsidRDefault="00964B8D" w:rsidP="00964B8D">
      <w:pPr>
        <w:spacing w:line="360" w:lineRule="auto"/>
        <w:jc w:val="both"/>
        <w:rPr>
          <w:rtl/>
        </w:rPr>
      </w:pPr>
    </w:p>
    <w:p w14:paraId="7A2D0E3A" w14:textId="77777777" w:rsidR="00964B8D" w:rsidRDefault="00964B8D" w:rsidP="00964B8D">
      <w:pPr>
        <w:spacing w:line="360" w:lineRule="auto"/>
        <w:jc w:val="both"/>
        <w:rPr>
          <w:rtl/>
        </w:rPr>
      </w:pPr>
      <w:r>
        <w:rPr>
          <w:rFonts w:hint="cs"/>
          <w:rtl/>
        </w:rPr>
        <w:t xml:space="preserve">למרבה הצער, הפכה התופעה של החזקת אמצעי הלחימה </w:t>
      </w:r>
      <w:r w:rsidRPr="00523636">
        <w:rPr>
          <w:rFonts w:hint="cs"/>
          <w:b/>
          <w:bCs/>
          <w:rtl/>
        </w:rPr>
        <w:t>למכת אזור</w:t>
      </w:r>
      <w:r>
        <w:rPr>
          <w:rFonts w:hint="cs"/>
          <w:rtl/>
        </w:rPr>
        <w:t>, לפחות בתחום השיפוט שביחס אליו אני מופקד.</w:t>
      </w:r>
    </w:p>
    <w:p w14:paraId="2D87AD93" w14:textId="77777777" w:rsidR="00964B8D" w:rsidRDefault="00964B8D" w:rsidP="00964B8D">
      <w:pPr>
        <w:spacing w:line="360" w:lineRule="auto"/>
        <w:jc w:val="both"/>
        <w:rPr>
          <w:rtl/>
        </w:rPr>
      </w:pPr>
    </w:p>
    <w:p w14:paraId="491AA676" w14:textId="77777777" w:rsidR="00964B8D" w:rsidRPr="00523636" w:rsidRDefault="00964B8D" w:rsidP="00964B8D">
      <w:pPr>
        <w:spacing w:line="360" w:lineRule="auto"/>
        <w:jc w:val="both"/>
        <w:rPr>
          <w:b/>
          <w:bCs/>
          <w:rtl/>
        </w:rPr>
      </w:pPr>
      <w:r>
        <w:rPr>
          <w:rFonts w:hint="cs"/>
          <w:rtl/>
        </w:rPr>
        <w:t xml:space="preserve">בעניין זה, איני נדרש לנתונים סטטיסטיים, כדי שילמדו אותי על היקף התופעה, שכן מדי שבוע אני נתקל בכתב-אישום הכולל עבירות של החזקת אמל"ח, בדרגת חומרה כזו או אחרת, </w:t>
      </w:r>
      <w:r w:rsidRPr="00523636">
        <w:rPr>
          <w:rFonts w:hint="cs"/>
          <w:b/>
          <w:bCs/>
          <w:rtl/>
        </w:rPr>
        <w:t>ודווקא על-ידי נאשמי ם צעירים נעדרי עבר פלילי.</w:t>
      </w:r>
    </w:p>
    <w:p w14:paraId="1E70D057" w14:textId="77777777" w:rsidR="00964B8D" w:rsidRDefault="00964B8D" w:rsidP="00964B8D">
      <w:pPr>
        <w:spacing w:line="360" w:lineRule="auto"/>
        <w:jc w:val="both"/>
        <w:rPr>
          <w:rtl/>
        </w:rPr>
      </w:pPr>
    </w:p>
    <w:p w14:paraId="68F55A6B" w14:textId="77777777" w:rsidR="00964B8D" w:rsidRDefault="00964B8D" w:rsidP="00964B8D">
      <w:pPr>
        <w:spacing w:line="360" w:lineRule="auto"/>
        <w:jc w:val="both"/>
        <w:rPr>
          <w:rtl/>
        </w:rPr>
      </w:pPr>
      <w:r>
        <w:rPr>
          <w:rFonts w:hint="cs"/>
          <w:rtl/>
        </w:rPr>
        <w:t>הדברת תופעה עבריינית חמורה, שכזו מחייבת ענישה מחמירה המרתיעה הן את היחיד והן את הרבים.</w:t>
      </w:r>
    </w:p>
    <w:p w14:paraId="279A9948" w14:textId="77777777" w:rsidR="00964B8D" w:rsidRDefault="00964B8D" w:rsidP="00964B8D">
      <w:pPr>
        <w:spacing w:line="360" w:lineRule="auto"/>
        <w:jc w:val="both"/>
        <w:rPr>
          <w:rtl/>
        </w:rPr>
      </w:pPr>
    </w:p>
    <w:p w14:paraId="70F733E6" w14:textId="77777777" w:rsidR="00964B8D" w:rsidRDefault="00964B8D" w:rsidP="00964B8D">
      <w:pPr>
        <w:spacing w:line="360" w:lineRule="auto"/>
        <w:jc w:val="both"/>
        <w:rPr>
          <w:rtl/>
        </w:rPr>
      </w:pPr>
      <w:r>
        <w:rPr>
          <w:rFonts w:hint="cs"/>
          <w:rtl/>
        </w:rPr>
        <w:t xml:space="preserve">בית-המשפט העליון קבע, כי עונשם של המבצעים עבירות הנוגעות לנשק חייב לכלול ענישה של מאסר בפועל ממש. </w:t>
      </w:r>
    </w:p>
    <w:p w14:paraId="568EE91A" w14:textId="77777777" w:rsidR="00964B8D" w:rsidRDefault="00964B8D" w:rsidP="00964B8D">
      <w:pPr>
        <w:spacing w:line="360" w:lineRule="auto"/>
        <w:jc w:val="both"/>
        <w:rPr>
          <w:rtl/>
        </w:rPr>
      </w:pPr>
    </w:p>
    <w:p w14:paraId="43916FAC" w14:textId="77777777" w:rsidR="00964B8D" w:rsidRDefault="00964B8D" w:rsidP="00964B8D">
      <w:pPr>
        <w:spacing w:line="360" w:lineRule="auto"/>
        <w:jc w:val="both"/>
        <w:rPr>
          <w:rtl/>
        </w:rPr>
      </w:pPr>
      <w:r>
        <w:rPr>
          <w:rFonts w:hint="cs"/>
          <w:rtl/>
        </w:rPr>
        <w:t>כך, לאחרונה ב</w:t>
      </w:r>
      <w:hyperlink r:id="rId24" w:history="1">
        <w:r w:rsidR="00C54103" w:rsidRPr="00C54103">
          <w:rPr>
            <w:color w:val="0000FF"/>
            <w:u w:val="single"/>
            <w:rtl/>
          </w:rPr>
          <w:t>ע"פ 5807/20</w:t>
        </w:r>
      </w:hyperlink>
      <w:r>
        <w:rPr>
          <w:rFonts w:hint="cs"/>
          <w:rtl/>
        </w:rPr>
        <w:t xml:space="preserve"> </w:t>
      </w:r>
      <w:r>
        <w:rPr>
          <w:rFonts w:hint="cs"/>
          <w:b/>
          <w:bCs/>
          <w:rtl/>
        </w:rPr>
        <w:t xml:space="preserve">מוחמד שבלי נגד מדינת ישראל </w:t>
      </w:r>
      <w:r>
        <w:rPr>
          <w:rFonts w:hint="cs"/>
          <w:rtl/>
        </w:rPr>
        <w:t>(30.12.20) נקבע:</w:t>
      </w:r>
    </w:p>
    <w:p w14:paraId="3D760289" w14:textId="77777777" w:rsidR="00964B8D" w:rsidRDefault="00964B8D" w:rsidP="00964B8D">
      <w:pPr>
        <w:spacing w:line="360" w:lineRule="auto"/>
        <w:jc w:val="both"/>
        <w:rPr>
          <w:rtl/>
        </w:rPr>
      </w:pPr>
    </w:p>
    <w:p w14:paraId="734C0E91" w14:textId="77777777" w:rsidR="00964B8D" w:rsidRPr="00CB22CF" w:rsidRDefault="00964B8D" w:rsidP="00964B8D">
      <w:pPr>
        <w:spacing w:line="360" w:lineRule="auto"/>
        <w:jc w:val="both"/>
        <w:rPr>
          <w:rtl/>
        </w:rPr>
      </w:pPr>
      <w:r>
        <w:rPr>
          <w:rFonts w:hint="cs"/>
          <w:rtl/>
        </w:rPr>
        <w:t>"</w:t>
      </w:r>
      <w:r w:rsidRPr="00523636">
        <w:rPr>
          <w:rFonts w:hint="cs"/>
          <w:b/>
          <w:bCs/>
          <w:rtl/>
        </w:rPr>
        <w:t xml:space="preserve">עבירות הנשק </w:t>
      </w:r>
      <w:r w:rsidRPr="00523636">
        <w:rPr>
          <w:b/>
          <w:bCs/>
          <w:rtl/>
        </w:rPr>
        <w:t>–</w:t>
      </w:r>
      <w:r w:rsidRPr="00523636">
        <w:rPr>
          <w:rFonts w:hint="cs"/>
          <w:b/>
          <w:bCs/>
          <w:rtl/>
        </w:rPr>
        <w:t xml:space="preserve"> חמורות מנשוא: אחריתן </w:t>
      </w:r>
      <w:r w:rsidRPr="00523636">
        <w:rPr>
          <w:b/>
          <w:bCs/>
          <w:rtl/>
        </w:rPr>
        <w:t>–</w:t>
      </w:r>
      <w:r w:rsidRPr="00523636">
        <w:rPr>
          <w:rFonts w:hint="cs"/>
          <w:b/>
          <w:bCs/>
          <w:rtl/>
        </w:rPr>
        <w:t xml:space="preserve"> מי ישורנה. ברגיל, כך נקבע לא אחת, גם אם הייתה זו פעם ראשונה לנאשם שמעד בעבירות הקשורות בנשק, לא נחמול ולא נכסה עליו: נשלחהו למאסר מאחורי סורג ובריח.</w:t>
      </w:r>
      <w:r>
        <w:rPr>
          <w:rFonts w:hint="cs"/>
          <w:rtl/>
        </w:rPr>
        <w:t xml:space="preserve">..עבירות הנשק, הריהן </w:t>
      </w:r>
      <w:r w:rsidRPr="00523636">
        <w:rPr>
          <w:rFonts w:hint="cs"/>
          <w:b/>
          <w:bCs/>
          <w:rtl/>
        </w:rPr>
        <w:t>מכת מדינה</w:t>
      </w:r>
      <w:r>
        <w:rPr>
          <w:rFonts w:hint="cs"/>
          <w:rtl/>
        </w:rPr>
        <w:t xml:space="preserve">. אזרחים רבים מקפחים  את חייהם מדי שנה בעטיין, ותחושת הביטחון הכללית של הציבור </w:t>
      </w:r>
      <w:r>
        <w:rPr>
          <w:rtl/>
        </w:rPr>
        <w:t>–</w:t>
      </w:r>
      <w:r>
        <w:rPr>
          <w:rFonts w:hint="cs"/>
          <w:rtl/>
        </w:rPr>
        <w:t xml:space="preserve"> נפגעת. מערכת המשפט נדרשת גם היא ליתן את חלקה במלחמת  החורמה שמנהלת מדינת ישראל נגד  מבצעי העבירות הללו, </w:t>
      </w:r>
      <w:r w:rsidRPr="00523636">
        <w:rPr>
          <w:rFonts w:hint="cs"/>
          <w:b/>
          <w:bCs/>
          <w:rtl/>
        </w:rPr>
        <w:t>ולפיכך מדיניות הענישה המצויה במגמת החמרה</w:t>
      </w:r>
      <w:r>
        <w:rPr>
          <w:rFonts w:hint="cs"/>
          <w:rtl/>
        </w:rPr>
        <w:t>...".</w:t>
      </w:r>
    </w:p>
    <w:p w14:paraId="47D7D7D9" w14:textId="77777777" w:rsidR="00964B8D" w:rsidRDefault="00964B8D" w:rsidP="00964B8D">
      <w:pPr>
        <w:spacing w:line="360" w:lineRule="auto"/>
        <w:jc w:val="both"/>
        <w:rPr>
          <w:rtl/>
        </w:rPr>
      </w:pPr>
    </w:p>
    <w:p w14:paraId="3E806D62" w14:textId="77777777" w:rsidR="00964B8D" w:rsidRDefault="00964B8D" w:rsidP="00964B8D">
      <w:pPr>
        <w:spacing w:line="360" w:lineRule="auto"/>
        <w:jc w:val="both"/>
        <w:rPr>
          <w:rtl/>
        </w:rPr>
      </w:pPr>
      <w:r>
        <w:rPr>
          <w:rFonts w:hint="cs"/>
          <w:rtl/>
        </w:rPr>
        <w:t>תשומת הלב לכך, שהנאשמים החזיקו את הנשק בידיהם, במקום ציבורי (בית-עלמין) ואין המדובר בהחזקת נשק בבתים. כלומר, מדובר בעבירה שהיא על גבול העבירה של נשיאת אמל"ח שבדרך כלל נתונה לסמכות בית-המשפט המחוזי.</w:t>
      </w:r>
    </w:p>
    <w:p w14:paraId="5FF1225D" w14:textId="77777777" w:rsidR="00964B8D" w:rsidRDefault="00964B8D" w:rsidP="00964B8D">
      <w:pPr>
        <w:spacing w:line="360" w:lineRule="auto"/>
        <w:jc w:val="both"/>
        <w:rPr>
          <w:rtl/>
        </w:rPr>
      </w:pPr>
    </w:p>
    <w:p w14:paraId="40C03ADA" w14:textId="77777777" w:rsidR="00964B8D" w:rsidRPr="00D07C5D" w:rsidRDefault="00964B8D" w:rsidP="00964B8D">
      <w:pPr>
        <w:spacing w:line="360" w:lineRule="auto"/>
        <w:jc w:val="both"/>
        <w:rPr>
          <w:b/>
          <w:bCs/>
          <w:rtl/>
        </w:rPr>
      </w:pPr>
      <w:r>
        <w:rPr>
          <w:rFonts w:hint="cs"/>
          <w:rtl/>
        </w:rPr>
        <w:t xml:space="preserve">יחד עם זאת, ומבלי להקל ראש, יש להביא בחשבון את </w:t>
      </w:r>
      <w:r w:rsidRPr="00D07C5D">
        <w:rPr>
          <w:rFonts w:hint="cs"/>
          <w:b/>
          <w:bCs/>
          <w:rtl/>
        </w:rPr>
        <w:t>נסיבות ההחזקה המתוארות באישום:</w:t>
      </w:r>
    </w:p>
    <w:p w14:paraId="299E9AB5" w14:textId="77777777" w:rsidR="00964B8D" w:rsidRDefault="00964B8D" w:rsidP="00964B8D">
      <w:pPr>
        <w:spacing w:line="360" w:lineRule="auto"/>
        <w:jc w:val="both"/>
        <w:rPr>
          <w:rtl/>
        </w:rPr>
      </w:pPr>
    </w:p>
    <w:p w14:paraId="44A1DF9B" w14:textId="77777777" w:rsidR="00964B8D" w:rsidRDefault="00964B8D" w:rsidP="00964B8D">
      <w:pPr>
        <w:spacing w:line="360" w:lineRule="auto"/>
        <w:jc w:val="both"/>
        <w:rPr>
          <w:rtl/>
        </w:rPr>
      </w:pPr>
      <w:r>
        <w:rPr>
          <w:rFonts w:hint="cs"/>
          <w:rtl/>
        </w:rPr>
        <w:t xml:space="preserve">כתב-האישום מתאר נסיבות שבמסגרתן, בעת ההחזקה, </w:t>
      </w:r>
      <w:r w:rsidRPr="00D07C5D">
        <w:rPr>
          <w:rFonts w:hint="cs"/>
          <w:b/>
          <w:bCs/>
          <w:rtl/>
        </w:rPr>
        <w:t>הנאשמים נורו בידי אחר או אחרים</w:t>
      </w:r>
      <w:r>
        <w:rPr>
          <w:rFonts w:hint="cs"/>
          <w:rtl/>
        </w:rPr>
        <w:t xml:space="preserve"> (נמסר כי העניין לא פוענח)  - למעשה, הם הפכו להיות קורבנות של אותו ירי ונפצעו בעצמם ומבלי שהם עשו בנשקים כל שימוש.</w:t>
      </w:r>
    </w:p>
    <w:p w14:paraId="110C0C96" w14:textId="77777777" w:rsidR="00964B8D" w:rsidRDefault="00964B8D" w:rsidP="00964B8D">
      <w:pPr>
        <w:spacing w:line="360" w:lineRule="auto"/>
        <w:jc w:val="both"/>
        <w:rPr>
          <w:rtl/>
        </w:rPr>
      </w:pPr>
    </w:p>
    <w:p w14:paraId="164B90B7" w14:textId="77777777" w:rsidR="00964B8D" w:rsidRDefault="00964B8D" w:rsidP="00964B8D">
      <w:pPr>
        <w:spacing w:line="360" w:lineRule="auto"/>
        <w:jc w:val="both"/>
        <w:rPr>
          <w:rtl/>
        </w:rPr>
      </w:pPr>
      <w:r>
        <w:rPr>
          <w:rFonts w:hint="cs"/>
          <w:rtl/>
        </w:rPr>
        <w:t>ב"כ הנאשמים הרחיב אודות הרקע להחזקת הנשקים והוא תחושת המאוימות של הנאשמים בהגישו לשם הדוגמא את התכתובת (במ/4) המזהירה כי יש "...לנקוט משנה זהירות, וחשוב שאף אחד לא יסתובב לבד ולא משנה מה הסיבה. הזהירות חובה על כל מבוגר וצעיר שלא לזלזל...".</w:t>
      </w:r>
    </w:p>
    <w:p w14:paraId="6BFB7520" w14:textId="77777777" w:rsidR="00964B8D" w:rsidRDefault="00964B8D" w:rsidP="00964B8D">
      <w:pPr>
        <w:spacing w:line="360" w:lineRule="auto"/>
        <w:jc w:val="both"/>
        <w:rPr>
          <w:rtl/>
        </w:rPr>
      </w:pPr>
    </w:p>
    <w:p w14:paraId="28C932C1" w14:textId="77777777" w:rsidR="00964B8D" w:rsidRPr="004951C5" w:rsidRDefault="00964B8D" w:rsidP="00964B8D">
      <w:pPr>
        <w:spacing w:line="360" w:lineRule="auto"/>
        <w:jc w:val="both"/>
        <w:rPr>
          <w:rtl/>
        </w:rPr>
      </w:pPr>
      <w:r>
        <w:rPr>
          <w:rFonts w:hint="cs"/>
          <w:rtl/>
        </w:rPr>
        <w:t>ב"כ הנאשמים הוסיף, טיעון שלפיו הנשק הוחזק על-ידי הנאשמים בנסיבות של הגנה עצמית, נוכח הסיכון לחייהם עקב הסכסוך המתואר בין המשפחות, כאשר הם עצמם, משתייכים לצד אשר נפגע מסכסוך זה.</w:t>
      </w:r>
    </w:p>
    <w:p w14:paraId="49ACDFC4" w14:textId="77777777" w:rsidR="00964B8D" w:rsidRPr="00550B1E" w:rsidRDefault="00964B8D" w:rsidP="00964B8D">
      <w:pPr>
        <w:spacing w:line="360" w:lineRule="auto"/>
        <w:jc w:val="both"/>
        <w:rPr>
          <w:rtl/>
        </w:rPr>
      </w:pPr>
    </w:p>
    <w:p w14:paraId="08115140" w14:textId="77777777" w:rsidR="00964B8D" w:rsidRDefault="00964B8D" w:rsidP="00964B8D">
      <w:pPr>
        <w:rPr>
          <w:b/>
          <w:bCs/>
          <w:u w:val="single"/>
          <w:rtl/>
        </w:rPr>
      </w:pPr>
      <w:r>
        <w:rPr>
          <w:rFonts w:hint="cs"/>
          <w:b/>
          <w:bCs/>
          <w:u w:val="single"/>
          <w:rtl/>
        </w:rPr>
        <w:t>(2). התסקירים:</w:t>
      </w:r>
    </w:p>
    <w:p w14:paraId="1B66BF12" w14:textId="77777777" w:rsidR="00964B8D" w:rsidRDefault="00964B8D" w:rsidP="00964B8D">
      <w:pPr>
        <w:rPr>
          <w:b/>
          <w:bCs/>
          <w:u w:val="single"/>
          <w:rtl/>
        </w:rPr>
      </w:pPr>
    </w:p>
    <w:p w14:paraId="4FBCDF91" w14:textId="77777777" w:rsidR="00964B8D" w:rsidRDefault="00964B8D" w:rsidP="00964B8D">
      <w:pPr>
        <w:rPr>
          <w:rtl/>
        </w:rPr>
      </w:pPr>
    </w:p>
    <w:p w14:paraId="1BD9A933" w14:textId="77777777" w:rsidR="00964B8D" w:rsidRPr="00D07C5D" w:rsidRDefault="00964B8D" w:rsidP="00964B8D">
      <w:pPr>
        <w:rPr>
          <w:b/>
          <w:bCs/>
          <w:rtl/>
        </w:rPr>
      </w:pPr>
      <w:r w:rsidRPr="00D07C5D">
        <w:rPr>
          <w:rFonts w:hint="cs"/>
          <w:b/>
          <w:bCs/>
          <w:rtl/>
        </w:rPr>
        <w:t>בעניינם של הנאשמים הוגשו התסקירים הבאים:</w:t>
      </w:r>
    </w:p>
    <w:p w14:paraId="083CD61C" w14:textId="77777777" w:rsidR="00964B8D" w:rsidRDefault="00964B8D" w:rsidP="00964B8D">
      <w:pPr>
        <w:spacing w:line="360" w:lineRule="auto"/>
        <w:rPr>
          <w:b/>
          <w:bCs/>
          <w:u w:val="single"/>
          <w:rtl/>
        </w:rPr>
      </w:pPr>
    </w:p>
    <w:p w14:paraId="20EE95B7" w14:textId="77777777" w:rsidR="00964B8D" w:rsidRDefault="00964B8D" w:rsidP="00964B8D">
      <w:pPr>
        <w:spacing w:line="360" w:lineRule="auto"/>
        <w:rPr>
          <w:b/>
          <w:bCs/>
          <w:u w:val="single"/>
          <w:rtl/>
        </w:rPr>
      </w:pPr>
      <w:r>
        <w:rPr>
          <w:rFonts w:hint="cs"/>
          <w:b/>
          <w:bCs/>
          <w:u w:val="single"/>
          <w:rtl/>
        </w:rPr>
        <w:t>נאשם 1:</w:t>
      </w:r>
    </w:p>
    <w:p w14:paraId="7BF24107" w14:textId="77777777" w:rsidR="00964B8D" w:rsidRDefault="00964B8D" w:rsidP="00964B8D">
      <w:pPr>
        <w:spacing w:line="360" w:lineRule="auto"/>
        <w:jc w:val="both"/>
        <w:rPr>
          <w:rtl/>
        </w:rPr>
      </w:pPr>
    </w:p>
    <w:p w14:paraId="17B5A88D" w14:textId="77777777" w:rsidR="00964B8D" w:rsidRDefault="00964B8D" w:rsidP="00964B8D">
      <w:pPr>
        <w:spacing w:line="360" w:lineRule="auto"/>
        <w:jc w:val="both"/>
        <w:rPr>
          <w:rtl/>
        </w:rPr>
      </w:pPr>
      <w:r w:rsidRPr="00E3365C">
        <w:rPr>
          <w:rFonts w:hint="cs"/>
          <w:b/>
          <w:bCs/>
          <w:rtl/>
        </w:rPr>
        <w:t>התסקיר הראשון</w:t>
      </w:r>
      <w:r>
        <w:rPr>
          <w:rFonts w:hint="cs"/>
          <w:rtl/>
        </w:rPr>
        <w:t xml:space="preserve"> מיוני 2020 הציג את תולדות חייו:  זהו נאשם צעיר, שסיים 11 ש"ל, </w:t>
      </w:r>
      <w:r w:rsidRPr="00E3365C">
        <w:rPr>
          <w:rFonts w:hint="cs"/>
          <w:b/>
          <w:bCs/>
          <w:rtl/>
        </w:rPr>
        <w:t>אינו יודע קרוא וכתוב,</w:t>
      </w:r>
      <w:r>
        <w:rPr>
          <w:rFonts w:hint="cs"/>
          <w:rtl/>
        </w:rPr>
        <w:t xml:space="preserve"> תאר תקופה משברית, יש חשד לתחלואה נפשית מסוימת (מידע שהתקבל מבית-החולים "באר יעקב"), בעל עבר פלילי (ה"ק אחת בעבירה של גניבה), הביע מורת רוח ביחס לחקירה ולמעצרו, הרושם שהתקבל כי הוא מחויב למשפחתו ומחויבות זו כרוכה בהתנהגות שולית אלימה, הוא מטשטש את אחריותו למעשים, לא הגיע לקבוצה הטיפולית, גילה מוטיבציה נמוכה לשינוי - מנגד אינו מתאפיין בקווים אישיותיים עברייניים, מגובשים ונמסרה המלצה לדחות את הדיון.</w:t>
      </w:r>
    </w:p>
    <w:p w14:paraId="2F0FD834" w14:textId="77777777" w:rsidR="00964B8D" w:rsidRDefault="00964B8D" w:rsidP="00964B8D">
      <w:pPr>
        <w:spacing w:line="360" w:lineRule="auto"/>
        <w:jc w:val="both"/>
        <w:rPr>
          <w:rtl/>
        </w:rPr>
      </w:pPr>
    </w:p>
    <w:p w14:paraId="0DE61876" w14:textId="77777777" w:rsidR="00964B8D" w:rsidRDefault="00964B8D" w:rsidP="00964B8D">
      <w:pPr>
        <w:spacing w:line="360" w:lineRule="auto"/>
        <w:jc w:val="both"/>
        <w:rPr>
          <w:rtl/>
        </w:rPr>
      </w:pPr>
      <w:r w:rsidRPr="00E3365C">
        <w:rPr>
          <w:rFonts w:hint="cs"/>
          <w:b/>
          <w:bCs/>
          <w:rtl/>
        </w:rPr>
        <w:t>התסקיר השני</w:t>
      </w:r>
      <w:r>
        <w:rPr>
          <w:rFonts w:hint="cs"/>
          <w:rtl/>
        </w:rPr>
        <w:t xml:space="preserve"> מספטמבר 2020 מסר כי במהלך תקופת הדחייה נערכו ניסיונות ליצירת קשר עם הנאשם, נמסר מידע על מצוקותיו, ההערכה כי המניע העיקרי לקידום עניינו הוא ההליך המשפטי התלוי לחובתו וחששו מענישה ולא מניע שיקומי אמיתי, וההמלצה היא לדחייה נוספת בת חודשיים כדי לבחון את מצבו הנפשי, בריאותי.</w:t>
      </w:r>
    </w:p>
    <w:p w14:paraId="4F452AFA" w14:textId="77777777" w:rsidR="00964B8D" w:rsidRDefault="00964B8D" w:rsidP="00964B8D">
      <w:pPr>
        <w:spacing w:line="360" w:lineRule="auto"/>
        <w:jc w:val="both"/>
        <w:rPr>
          <w:rtl/>
        </w:rPr>
      </w:pPr>
    </w:p>
    <w:p w14:paraId="2B8E96EF" w14:textId="77777777" w:rsidR="00964B8D" w:rsidRDefault="00964B8D" w:rsidP="00964B8D">
      <w:pPr>
        <w:spacing w:line="360" w:lineRule="auto"/>
        <w:jc w:val="both"/>
        <w:rPr>
          <w:b/>
          <w:bCs/>
          <w:rtl/>
        </w:rPr>
      </w:pPr>
      <w:r w:rsidRPr="00E3365C">
        <w:rPr>
          <w:rFonts w:hint="cs"/>
          <w:b/>
          <w:bCs/>
          <w:rtl/>
        </w:rPr>
        <w:t>התסקיר השלישי</w:t>
      </w:r>
      <w:r>
        <w:rPr>
          <w:rFonts w:hint="cs"/>
          <w:rtl/>
        </w:rPr>
        <w:t xml:space="preserve"> מדצמבר 2020 מסר, כי גם בתקופת הדחייה נערכו ניסיונות ליצור עמו קשר, אשר לא צלחו והקשר שכן נוצר עמו לא הוליד המלצה שיקומית, טיפולית. </w:t>
      </w:r>
    </w:p>
    <w:p w14:paraId="184107B3" w14:textId="77777777" w:rsidR="00964B8D" w:rsidRDefault="00964B8D" w:rsidP="00964B8D">
      <w:pPr>
        <w:spacing w:line="360" w:lineRule="auto"/>
        <w:jc w:val="both"/>
        <w:rPr>
          <w:b/>
          <w:bCs/>
          <w:rtl/>
        </w:rPr>
      </w:pPr>
    </w:p>
    <w:p w14:paraId="11D10C56" w14:textId="77777777" w:rsidR="00964B8D" w:rsidRDefault="00964B8D" w:rsidP="00964B8D">
      <w:pPr>
        <w:spacing w:line="360" w:lineRule="auto"/>
        <w:jc w:val="both"/>
        <w:rPr>
          <w:rtl/>
        </w:rPr>
      </w:pPr>
      <w:r w:rsidRPr="00E3365C">
        <w:rPr>
          <w:rFonts w:hint="cs"/>
          <w:b/>
          <w:bCs/>
          <w:rtl/>
        </w:rPr>
        <w:t>בסופו של יום, התסקירים אינם כוללים המלצה שיקומית.</w:t>
      </w:r>
    </w:p>
    <w:p w14:paraId="1BD2FC76" w14:textId="77777777" w:rsidR="00964B8D" w:rsidRPr="00DE4913" w:rsidRDefault="00964B8D" w:rsidP="00964B8D">
      <w:pPr>
        <w:spacing w:line="360" w:lineRule="auto"/>
        <w:jc w:val="both"/>
        <w:rPr>
          <w:rtl/>
        </w:rPr>
      </w:pPr>
    </w:p>
    <w:p w14:paraId="082BFDB5" w14:textId="77777777" w:rsidR="00964B8D" w:rsidRDefault="00964B8D" w:rsidP="00964B8D">
      <w:pPr>
        <w:spacing w:line="360" w:lineRule="auto"/>
        <w:rPr>
          <w:b/>
          <w:bCs/>
          <w:u w:val="single"/>
          <w:rtl/>
        </w:rPr>
      </w:pPr>
      <w:r>
        <w:rPr>
          <w:rFonts w:hint="cs"/>
          <w:b/>
          <w:bCs/>
          <w:u w:val="single"/>
          <w:rtl/>
        </w:rPr>
        <w:t>נאשם 2:</w:t>
      </w:r>
    </w:p>
    <w:p w14:paraId="1AB0BD22" w14:textId="77777777" w:rsidR="00964B8D" w:rsidRDefault="00964B8D" w:rsidP="00964B8D">
      <w:pPr>
        <w:spacing w:line="360" w:lineRule="auto"/>
        <w:rPr>
          <w:b/>
          <w:bCs/>
          <w:u w:val="single"/>
          <w:rtl/>
        </w:rPr>
      </w:pPr>
    </w:p>
    <w:p w14:paraId="0954738F" w14:textId="77777777" w:rsidR="00964B8D" w:rsidRDefault="00964B8D" w:rsidP="00964B8D">
      <w:pPr>
        <w:spacing w:line="360" w:lineRule="auto"/>
        <w:jc w:val="both"/>
        <w:rPr>
          <w:rtl/>
        </w:rPr>
      </w:pPr>
      <w:r>
        <w:rPr>
          <w:rFonts w:hint="cs"/>
          <w:b/>
          <w:bCs/>
          <w:rtl/>
        </w:rPr>
        <w:t xml:space="preserve">התסקיר </w:t>
      </w:r>
      <w:r w:rsidRPr="00E3365C">
        <w:rPr>
          <w:rFonts w:hint="cs"/>
          <w:b/>
          <w:bCs/>
          <w:rtl/>
        </w:rPr>
        <w:t>היחיד</w:t>
      </w:r>
      <w:r>
        <w:rPr>
          <w:rFonts w:hint="cs"/>
          <w:rtl/>
        </w:rPr>
        <w:t>, מיוני 2020 הציג את תולדות חייו: זהו נאשם צעיר, רווק, סיים 12 ש"ל, בעל תעודת בגרות חלקית, עובד לפרנסתו, נעדר עבר פלילי, השתלב בקבוצת עצורי בית, אך בלט קושי להעמיק בנסיבות העומדות בלב התנהגותו, אינו מאופיין בדפוסי חשיבה שוליים, מעצרו נחווה כמרתיע, לקח אחריות, הביע צער וחרטה, הפיק את לקחו, הרושם הוא שמדובר באדם בעל מוטיבציה ויכולת לתפקוד נורמטיבי.</w:t>
      </w:r>
    </w:p>
    <w:p w14:paraId="07E1DCE4" w14:textId="77777777" w:rsidR="00964B8D" w:rsidRDefault="00964B8D" w:rsidP="00964B8D">
      <w:pPr>
        <w:spacing w:line="360" w:lineRule="auto"/>
        <w:jc w:val="both"/>
        <w:rPr>
          <w:rtl/>
        </w:rPr>
      </w:pPr>
    </w:p>
    <w:p w14:paraId="7EE3C32F" w14:textId="77777777" w:rsidR="00964B8D" w:rsidRPr="00E2114F" w:rsidRDefault="00964B8D" w:rsidP="00964B8D">
      <w:pPr>
        <w:spacing w:line="360" w:lineRule="auto"/>
        <w:jc w:val="both"/>
        <w:rPr>
          <w:rtl/>
        </w:rPr>
      </w:pPr>
      <w:r w:rsidRPr="00E3365C">
        <w:rPr>
          <w:rFonts w:hint="cs"/>
          <w:b/>
          <w:bCs/>
          <w:rtl/>
        </w:rPr>
        <w:t>ההמלצה היא להעמידו בצו מבחן ולהטיל עליו ענישה בדרך של עבודות שירות.</w:t>
      </w:r>
    </w:p>
    <w:p w14:paraId="02C3D04C" w14:textId="77777777" w:rsidR="00964B8D" w:rsidRDefault="00964B8D" w:rsidP="00964B8D">
      <w:pPr>
        <w:spacing w:line="360" w:lineRule="auto"/>
        <w:rPr>
          <w:b/>
          <w:bCs/>
          <w:u w:val="single"/>
          <w:rtl/>
        </w:rPr>
      </w:pPr>
    </w:p>
    <w:p w14:paraId="2D1AAE94" w14:textId="77777777" w:rsidR="00964B8D" w:rsidRDefault="00964B8D" w:rsidP="00964B8D">
      <w:pPr>
        <w:rPr>
          <w:b/>
          <w:bCs/>
          <w:u w:val="single"/>
          <w:rtl/>
        </w:rPr>
      </w:pPr>
      <w:r>
        <w:rPr>
          <w:rFonts w:hint="cs"/>
          <w:b/>
          <w:bCs/>
          <w:u w:val="single"/>
          <w:rtl/>
        </w:rPr>
        <w:t>(3). שיקולים לקולה:</w:t>
      </w:r>
    </w:p>
    <w:p w14:paraId="73A83BBB" w14:textId="77777777" w:rsidR="00964B8D" w:rsidRDefault="00964B8D" w:rsidP="00964B8D">
      <w:pPr>
        <w:rPr>
          <w:b/>
          <w:bCs/>
          <w:u w:val="single"/>
          <w:rtl/>
        </w:rPr>
      </w:pPr>
    </w:p>
    <w:p w14:paraId="18086F38" w14:textId="77777777" w:rsidR="00964B8D" w:rsidRDefault="00964B8D" w:rsidP="00964B8D">
      <w:pPr>
        <w:spacing w:line="360" w:lineRule="auto"/>
        <w:jc w:val="both"/>
        <w:rPr>
          <w:rtl/>
        </w:rPr>
      </w:pPr>
    </w:p>
    <w:p w14:paraId="169F7B9B" w14:textId="77777777" w:rsidR="00964B8D" w:rsidRDefault="00964B8D" w:rsidP="00964B8D">
      <w:pPr>
        <w:spacing w:line="360" w:lineRule="auto"/>
        <w:jc w:val="both"/>
        <w:rPr>
          <w:rtl/>
        </w:rPr>
      </w:pPr>
      <w:r>
        <w:rPr>
          <w:rFonts w:hint="cs"/>
          <w:rtl/>
        </w:rPr>
        <w:t xml:space="preserve">שני הנאשמים </w:t>
      </w:r>
      <w:r w:rsidRPr="00744922">
        <w:rPr>
          <w:rFonts w:hint="cs"/>
          <w:b/>
          <w:bCs/>
          <w:rtl/>
        </w:rPr>
        <w:t>צעירים מאוד</w:t>
      </w:r>
      <w:r>
        <w:rPr>
          <w:rFonts w:hint="cs"/>
          <w:rtl/>
        </w:rPr>
        <w:t>: נאשם 1 יליד מרץ 1999 ואילו נאשם 2 יליד ספטמבר 2000.</w:t>
      </w:r>
    </w:p>
    <w:p w14:paraId="7F55AEFD" w14:textId="77777777" w:rsidR="00964B8D" w:rsidRDefault="00964B8D" w:rsidP="00964B8D">
      <w:pPr>
        <w:spacing w:line="360" w:lineRule="auto"/>
        <w:jc w:val="both"/>
        <w:rPr>
          <w:rtl/>
        </w:rPr>
      </w:pPr>
    </w:p>
    <w:p w14:paraId="15271D45" w14:textId="77777777" w:rsidR="00964B8D" w:rsidRDefault="00964B8D" w:rsidP="00964B8D">
      <w:pPr>
        <w:spacing w:line="360" w:lineRule="auto"/>
        <w:jc w:val="both"/>
        <w:rPr>
          <w:rtl/>
        </w:rPr>
      </w:pPr>
      <w:r>
        <w:rPr>
          <w:rFonts w:hint="cs"/>
          <w:rtl/>
        </w:rPr>
        <w:t xml:space="preserve">שני הנאשמים הורשעו לפי הודאתם </w:t>
      </w:r>
      <w:r w:rsidRPr="00744922">
        <w:rPr>
          <w:rFonts w:hint="cs"/>
          <w:b/>
          <w:bCs/>
          <w:rtl/>
        </w:rPr>
        <w:t>וחסכו זמן ציבורי ניכר</w:t>
      </w:r>
      <w:r>
        <w:rPr>
          <w:rFonts w:hint="cs"/>
          <w:rtl/>
        </w:rPr>
        <w:t>.</w:t>
      </w:r>
    </w:p>
    <w:p w14:paraId="189A8F33" w14:textId="77777777" w:rsidR="00964B8D" w:rsidRDefault="00964B8D" w:rsidP="00964B8D">
      <w:pPr>
        <w:spacing w:line="360" w:lineRule="auto"/>
        <w:jc w:val="both"/>
        <w:rPr>
          <w:rtl/>
        </w:rPr>
      </w:pPr>
    </w:p>
    <w:p w14:paraId="7C7454AA" w14:textId="77777777" w:rsidR="00964B8D" w:rsidRDefault="00964B8D" w:rsidP="00964B8D">
      <w:pPr>
        <w:spacing w:line="360" w:lineRule="auto"/>
        <w:jc w:val="both"/>
        <w:rPr>
          <w:rtl/>
        </w:rPr>
      </w:pPr>
      <w:r w:rsidRPr="00744922">
        <w:rPr>
          <w:rFonts w:hint="cs"/>
          <w:b/>
          <w:bCs/>
          <w:rtl/>
        </w:rPr>
        <w:t>נאשם 1 בעל הרשעה קודמת</w:t>
      </w:r>
      <w:r>
        <w:rPr>
          <w:rFonts w:hint="cs"/>
          <w:rtl/>
        </w:rPr>
        <w:t xml:space="preserve"> אחת בעבירה של גניבה, שאותה ביצע בחודש אוגוסט 2018 (לפני ביצוע העבירה דנן), שבגינה נדון למאסר מותנה ולקנס (במ/1). כלומר, אין מדובר בנאשם בעל עבר פלילי מכביד, היוצא ובא בשערי בתי-הכלא.</w:t>
      </w:r>
    </w:p>
    <w:p w14:paraId="15E1065B" w14:textId="77777777" w:rsidR="00964B8D" w:rsidRDefault="00964B8D" w:rsidP="00964B8D">
      <w:pPr>
        <w:spacing w:line="360" w:lineRule="auto"/>
        <w:jc w:val="both"/>
        <w:rPr>
          <w:rtl/>
        </w:rPr>
      </w:pPr>
    </w:p>
    <w:p w14:paraId="74BD89A0" w14:textId="77777777" w:rsidR="00964B8D" w:rsidRDefault="00964B8D" w:rsidP="00964B8D">
      <w:pPr>
        <w:spacing w:line="360" w:lineRule="auto"/>
        <w:jc w:val="both"/>
        <w:rPr>
          <w:rtl/>
        </w:rPr>
      </w:pPr>
      <w:r>
        <w:rPr>
          <w:rFonts w:hint="cs"/>
          <w:rtl/>
        </w:rPr>
        <w:t xml:space="preserve">נאשם 2 </w:t>
      </w:r>
      <w:r w:rsidRPr="00744922">
        <w:rPr>
          <w:rFonts w:hint="cs"/>
          <w:b/>
          <w:bCs/>
          <w:rtl/>
        </w:rPr>
        <w:t>נעדר כל עבר פלילי</w:t>
      </w:r>
      <w:r>
        <w:rPr>
          <w:rFonts w:hint="cs"/>
          <w:rtl/>
        </w:rPr>
        <w:t xml:space="preserve"> וזוהי הסתבכותו הראשונה עם החוק.</w:t>
      </w:r>
    </w:p>
    <w:p w14:paraId="2655C4A6" w14:textId="77777777" w:rsidR="00964B8D" w:rsidRDefault="00964B8D" w:rsidP="00964B8D">
      <w:pPr>
        <w:spacing w:line="360" w:lineRule="auto"/>
        <w:jc w:val="both"/>
        <w:rPr>
          <w:rtl/>
        </w:rPr>
      </w:pPr>
    </w:p>
    <w:p w14:paraId="4365E228" w14:textId="77777777" w:rsidR="00964B8D" w:rsidRDefault="00964B8D" w:rsidP="00964B8D">
      <w:pPr>
        <w:spacing w:line="360" w:lineRule="auto"/>
        <w:jc w:val="both"/>
        <w:rPr>
          <w:rtl/>
        </w:rPr>
      </w:pPr>
      <w:r>
        <w:rPr>
          <w:rFonts w:hint="cs"/>
          <w:rtl/>
        </w:rPr>
        <w:t>אין ספק, כי הטלת מאסר בפועל על נאשמים צעירים, שאינם רגילים לשהות מאחורי סורג ובריח קשה שבעתיים, מעבר לקושי הרגיל הקיים, המובנה בענישה שכזו.</w:t>
      </w:r>
    </w:p>
    <w:p w14:paraId="36A1E7CE" w14:textId="77777777" w:rsidR="00964B8D" w:rsidRDefault="00964B8D" w:rsidP="00964B8D">
      <w:pPr>
        <w:spacing w:line="360" w:lineRule="auto"/>
        <w:jc w:val="both"/>
        <w:rPr>
          <w:rtl/>
        </w:rPr>
      </w:pPr>
    </w:p>
    <w:p w14:paraId="7C46AA6A" w14:textId="77777777" w:rsidR="00964B8D" w:rsidRDefault="00964B8D" w:rsidP="00964B8D">
      <w:pPr>
        <w:spacing w:line="360" w:lineRule="auto"/>
        <w:jc w:val="both"/>
        <w:rPr>
          <w:b/>
          <w:bCs/>
          <w:rtl/>
        </w:rPr>
      </w:pPr>
    </w:p>
    <w:p w14:paraId="3E04A9E1" w14:textId="77777777" w:rsidR="00964B8D" w:rsidRDefault="00964B8D" w:rsidP="00964B8D">
      <w:pPr>
        <w:spacing w:line="360" w:lineRule="auto"/>
        <w:jc w:val="both"/>
        <w:rPr>
          <w:b/>
          <w:bCs/>
          <w:rtl/>
        </w:rPr>
      </w:pPr>
      <w:r w:rsidRPr="00744922">
        <w:rPr>
          <w:rFonts w:hint="cs"/>
          <w:b/>
          <w:bCs/>
          <w:rtl/>
        </w:rPr>
        <w:t>הוצגו ראיות המלמדות על פציעתם במקרה המתואר:</w:t>
      </w:r>
    </w:p>
    <w:p w14:paraId="53F602DD" w14:textId="77777777" w:rsidR="00964B8D" w:rsidRDefault="00964B8D" w:rsidP="00964B8D">
      <w:pPr>
        <w:spacing w:line="360" w:lineRule="auto"/>
        <w:jc w:val="both"/>
        <w:rPr>
          <w:b/>
          <w:bCs/>
          <w:rtl/>
        </w:rPr>
      </w:pPr>
    </w:p>
    <w:p w14:paraId="1FD8C83B" w14:textId="77777777" w:rsidR="00964B8D" w:rsidRDefault="00964B8D" w:rsidP="00964B8D">
      <w:pPr>
        <w:spacing w:line="360" w:lineRule="auto"/>
        <w:jc w:val="both"/>
        <w:rPr>
          <w:rtl/>
        </w:rPr>
      </w:pPr>
      <w:r w:rsidRPr="00774AA7">
        <w:rPr>
          <w:rFonts w:hint="cs"/>
          <w:b/>
          <w:bCs/>
          <w:rtl/>
        </w:rPr>
        <w:t>מסיכום האשפוז של נאשם 1</w:t>
      </w:r>
      <w:r>
        <w:rPr>
          <w:rFonts w:hint="cs"/>
          <w:rtl/>
        </w:rPr>
        <w:t xml:space="preserve"> (במ/2) ניתן ללמוד, כי  ביום המקרה (2.5.19) הוא התקבל בבית-החולים </w:t>
      </w:r>
      <w:r w:rsidRPr="00774AA7">
        <w:rPr>
          <w:rFonts w:hint="cs"/>
          <w:b/>
          <w:bCs/>
          <w:rtl/>
        </w:rPr>
        <w:t>בהכרה מעורפלת</w:t>
      </w:r>
      <w:r>
        <w:rPr>
          <w:rFonts w:hint="cs"/>
          <w:rtl/>
        </w:rPr>
        <w:t xml:space="preserve">, </w:t>
      </w:r>
      <w:r w:rsidRPr="00774AA7">
        <w:rPr>
          <w:rFonts w:hint="cs"/>
          <w:b/>
          <w:bCs/>
          <w:rtl/>
        </w:rPr>
        <w:t>אובחנו פצעי ירי</w:t>
      </w:r>
      <w:r>
        <w:rPr>
          <w:rFonts w:hint="cs"/>
          <w:rtl/>
        </w:rPr>
        <w:t xml:space="preserve">, </w:t>
      </w:r>
      <w:r w:rsidRPr="00774AA7">
        <w:rPr>
          <w:rFonts w:hint="cs"/>
          <w:b/>
          <w:bCs/>
          <w:rtl/>
        </w:rPr>
        <w:t>עבר ניתוח בהרדמה כללית</w:t>
      </w:r>
      <w:r>
        <w:rPr>
          <w:rFonts w:hint="cs"/>
          <w:rtl/>
        </w:rPr>
        <w:t>, אושפז ובתאריך 6.5.19 שוחרר לביתו.</w:t>
      </w:r>
    </w:p>
    <w:p w14:paraId="5A864125" w14:textId="77777777" w:rsidR="00964B8D" w:rsidRDefault="00964B8D" w:rsidP="00964B8D">
      <w:pPr>
        <w:spacing w:line="360" w:lineRule="auto"/>
        <w:jc w:val="both"/>
        <w:rPr>
          <w:rtl/>
        </w:rPr>
      </w:pPr>
    </w:p>
    <w:p w14:paraId="6B7E0DBE" w14:textId="77777777" w:rsidR="00964B8D" w:rsidRDefault="00964B8D" w:rsidP="00964B8D">
      <w:pPr>
        <w:spacing w:line="360" w:lineRule="auto"/>
        <w:jc w:val="both"/>
        <w:rPr>
          <w:rtl/>
        </w:rPr>
      </w:pPr>
      <w:r w:rsidRPr="00774AA7">
        <w:rPr>
          <w:rFonts w:hint="cs"/>
          <w:b/>
          <w:bCs/>
          <w:rtl/>
        </w:rPr>
        <w:t>מסיכום האשפוז של נאשם 2</w:t>
      </w:r>
      <w:r>
        <w:rPr>
          <w:rFonts w:hint="cs"/>
          <w:rtl/>
        </w:rPr>
        <w:t xml:space="preserve"> (במ/3) ניתן ללמוד, כי אף הוא ביום המקרה הובהל לבית-החולים עם </w:t>
      </w:r>
      <w:r w:rsidRPr="00774AA7">
        <w:rPr>
          <w:rFonts w:hint="cs"/>
          <w:b/>
          <w:bCs/>
          <w:rtl/>
        </w:rPr>
        <w:t>פצעי ירי, עבר ניתוח</w:t>
      </w:r>
      <w:r>
        <w:rPr>
          <w:rFonts w:hint="cs"/>
          <w:rtl/>
        </w:rPr>
        <w:t>, אשפוז עד אשר שוחרר לביתו בתאריך 5.5.19.</w:t>
      </w:r>
    </w:p>
    <w:p w14:paraId="5DE2220A" w14:textId="77777777" w:rsidR="00964B8D" w:rsidRDefault="00964B8D" w:rsidP="00964B8D">
      <w:pPr>
        <w:spacing w:line="360" w:lineRule="auto"/>
        <w:jc w:val="both"/>
        <w:rPr>
          <w:rtl/>
        </w:rPr>
      </w:pPr>
    </w:p>
    <w:p w14:paraId="4740C8C0" w14:textId="77777777" w:rsidR="00964B8D" w:rsidRDefault="00964B8D" w:rsidP="00964B8D">
      <w:pPr>
        <w:spacing w:line="360" w:lineRule="auto"/>
        <w:jc w:val="both"/>
        <w:rPr>
          <w:rtl/>
        </w:rPr>
      </w:pPr>
      <w:r>
        <w:rPr>
          <w:rFonts w:hint="cs"/>
          <w:b/>
          <w:bCs/>
          <w:rtl/>
        </w:rPr>
        <w:t>הירי על הנאשמים לא פוענח</w:t>
      </w:r>
      <w:r>
        <w:rPr>
          <w:rFonts w:hint="cs"/>
          <w:rtl/>
        </w:rPr>
        <w:t xml:space="preserve"> (הודעת המאשימה בעמוד 13 שורה 32).</w:t>
      </w:r>
    </w:p>
    <w:p w14:paraId="1B6255E7" w14:textId="77777777" w:rsidR="00964B8D" w:rsidRDefault="00964B8D" w:rsidP="00964B8D">
      <w:pPr>
        <w:spacing w:line="360" w:lineRule="auto"/>
        <w:jc w:val="both"/>
        <w:rPr>
          <w:rtl/>
        </w:rPr>
      </w:pPr>
    </w:p>
    <w:p w14:paraId="268644D4" w14:textId="77777777" w:rsidR="00964B8D" w:rsidRDefault="00964B8D" w:rsidP="00964B8D">
      <w:pPr>
        <w:spacing w:line="360" w:lineRule="auto"/>
        <w:jc w:val="both"/>
        <w:rPr>
          <w:rtl/>
        </w:rPr>
      </w:pPr>
      <w:r>
        <w:rPr>
          <w:rFonts w:hint="cs"/>
          <w:rtl/>
        </w:rPr>
        <w:t xml:space="preserve">ב"כ הנאשמים היטיב לתאר את </w:t>
      </w:r>
      <w:r w:rsidRPr="000D1152">
        <w:rPr>
          <w:rFonts w:hint="cs"/>
          <w:b/>
          <w:bCs/>
          <w:rtl/>
        </w:rPr>
        <w:t>נסיבותיהם האישיות</w:t>
      </w:r>
      <w:r>
        <w:rPr>
          <w:rFonts w:hint="cs"/>
          <w:rtl/>
        </w:rPr>
        <w:t xml:space="preserve"> של הנאשמים ושקלתי אותן בכובד ראש.</w:t>
      </w:r>
    </w:p>
    <w:p w14:paraId="080B3E8E" w14:textId="77777777" w:rsidR="00964B8D" w:rsidRDefault="00964B8D" w:rsidP="00964B8D">
      <w:pPr>
        <w:spacing w:line="360" w:lineRule="auto"/>
        <w:jc w:val="both"/>
        <w:rPr>
          <w:rtl/>
        </w:rPr>
      </w:pPr>
    </w:p>
    <w:p w14:paraId="326B7047" w14:textId="77777777" w:rsidR="00964B8D" w:rsidRDefault="00964B8D" w:rsidP="00964B8D">
      <w:pPr>
        <w:spacing w:line="360" w:lineRule="auto"/>
        <w:jc w:val="both"/>
        <w:rPr>
          <w:rtl/>
        </w:rPr>
      </w:pPr>
      <w:r>
        <w:rPr>
          <w:rFonts w:hint="cs"/>
          <w:rtl/>
        </w:rPr>
        <w:t xml:space="preserve">נמסר, כי הנאשמים היו נתונים במעצר מתאריך  26.5.19 </w:t>
      </w:r>
      <w:r>
        <w:rPr>
          <w:rtl/>
        </w:rPr>
        <w:t>–</w:t>
      </w:r>
      <w:r>
        <w:rPr>
          <w:rFonts w:hint="cs"/>
          <w:rtl/>
        </w:rPr>
        <w:t xml:space="preserve"> 30.6.19 ולאחר מכן שהו במעצר בית מוחלט עד לחודש אוקטובר 2019. לאחר מכן נמסרו הקלות שונות לתנאי השחרור, והרי זהו אלמנט עונשי שיש לשקול אותו במסגרת כלל העונשים.</w:t>
      </w:r>
    </w:p>
    <w:p w14:paraId="5EBF3174" w14:textId="77777777" w:rsidR="00964B8D" w:rsidRDefault="00964B8D" w:rsidP="00964B8D">
      <w:pPr>
        <w:spacing w:line="360" w:lineRule="auto"/>
        <w:jc w:val="both"/>
        <w:rPr>
          <w:rtl/>
        </w:rPr>
      </w:pPr>
    </w:p>
    <w:p w14:paraId="67D90AED" w14:textId="77777777" w:rsidR="00964B8D" w:rsidRPr="00D31350" w:rsidRDefault="00964B8D" w:rsidP="00964B8D">
      <w:pPr>
        <w:spacing w:line="360" w:lineRule="auto"/>
        <w:jc w:val="both"/>
        <w:rPr>
          <w:rtl/>
        </w:rPr>
      </w:pPr>
      <w:r>
        <w:rPr>
          <w:rFonts w:hint="cs"/>
          <w:rtl/>
        </w:rPr>
        <w:t xml:space="preserve">הנאשמים במילותיהם האחרונות </w:t>
      </w:r>
      <w:r w:rsidRPr="000D1152">
        <w:rPr>
          <w:rFonts w:hint="cs"/>
          <w:b/>
          <w:bCs/>
          <w:rtl/>
        </w:rPr>
        <w:t>הביעו צער וחרטה</w:t>
      </w:r>
      <w:r>
        <w:rPr>
          <w:rFonts w:hint="cs"/>
          <w:rtl/>
        </w:rPr>
        <w:t xml:space="preserve"> על המעשה ותארו את נזקיהם הגופניים.</w:t>
      </w:r>
    </w:p>
    <w:p w14:paraId="0C85137F" w14:textId="77777777" w:rsidR="00964B8D" w:rsidRDefault="00964B8D" w:rsidP="00964B8D">
      <w:pPr>
        <w:spacing w:line="360" w:lineRule="auto"/>
        <w:jc w:val="both"/>
        <w:rPr>
          <w:rtl/>
        </w:rPr>
      </w:pPr>
    </w:p>
    <w:p w14:paraId="6849AA1A" w14:textId="77777777" w:rsidR="00964B8D" w:rsidRDefault="00964B8D" w:rsidP="00964B8D">
      <w:pPr>
        <w:spacing w:line="360" w:lineRule="auto"/>
        <w:jc w:val="both"/>
        <w:rPr>
          <w:b/>
          <w:bCs/>
          <w:u w:val="single"/>
          <w:rtl/>
        </w:rPr>
      </w:pPr>
      <w:r>
        <w:rPr>
          <w:rFonts w:hint="cs"/>
          <w:b/>
          <w:bCs/>
          <w:u w:val="single"/>
          <w:rtl/>
        </w:rPr>
        <w:t>(4). חוות דעת מאת הממונה על עבודות השירות:</w:t>
      </w:r>
    </w:p>
    <w:p w14:paraId="6D0FA5C6" w14:textId="77777777" w:rsidR="00964B8D" w:rsidRDefault="00964B8D" w:rsidP="00964B8D">
      <w:pPr>
        <w:spacing w:line="360" w:lineRule="auto"/>
        <w:jc w:val="both"/>
        <w:rPr>
          <w:b/>
          <w:bCs/>
          <w:u w:val="single"/>
          <w:rtl/>
        </w:rPr>
      </w:pPr>
    </w:p>
    <w:p w14:paraId="0C578037" w14:textId="77777777" w:rsidR="00964B8D" w:rsidRDefault="00964B8D" w:rsidP="00964B8D">
      <w:pPr>
        <w:spacing w:line="360" w:lineRule="auto"/>
        <w:jc w:val="both"/>
        <w:rPr>
          <w:rtl/>
        </w:rPr>
      </w:pPr>
      <w:r w:rsidRPr="000D1152">
        <w:rPr>
          <w:rFonts w:hint="cs"/>
          <w:b/>
          <w:bCs/>
          <w:rtl/>
        </w:rPr>
        <w:t>נאשם 1</w:t>
      </w:r>
      <w:r>
        <w:rPr>
          <w:rFonts w:hint="cs"/>
          <w:rtl/>
        </w:rPr>
        <w:t xml:space="preserve"> נשלח לקבלת חוות דעת מאת הממונה על עבודות שירות ונמסרה חוות דעת, שלפיה הנאשם 1 </w:t>
      </w:r>
      <w:r w:rsidRPr="000D1152">
        <w:rPr>
          <w:rFonts w:hint="cs"/>
          <w:b/>
          <w:bCs/>
          <w:rtl/>
        </w:rPr>
        <w:t>כשיר</w:t>
      </w:r>
      <w:r>
        <w:rPr>
          <w:rFonts w:hint="cs"/>
          <w:rtl/>
        </w:rPr>
        <w:t xml:space="preserve"> לבצע עבודות שירות.</w:t>
      </w:r>
    </w:p>
    <w:p w14:paraId="13DE6505" w14:textId="77777777" w:rsidR="00964B8D" w:rsidRDefault="00964B8D" w:rsidP="00964B8D">
      <w:pPr>
        <w:spacing w:line="360" w:lineRule="auto"/>
        <w:jc w:val="both"/>
        <w:rPr>
          <w:rtl/>
        </w:rPr>
      </w:pPr>
    </w:p>
    <w:p w14:paraId="55D63CA5" w14:textId="77777777" w:rsidR="00964B8D" w:rsidRDefault="00964B8D" w:rsidP="00964B8D">
      <w:pPr>
        <w:spacing w:line="360" w:lineRule="auto"/>
        <w:jc w:val="both"/>
        <w:rPr>
          <w:rtl/>
        </w:rPr>
      </w:pPr>
      <w:r w:rsidRPr="000D1152">
        <w:rPr>
          <w:rFonts w:hint="cs"/>
          <w:b/>
          <w:bCs/>
          <w:rtl/>
        </w:rPr>
        <w:t>נאשם 2</w:t>
      </w:r>
      <w:r>
        <w:rPr>
          <w:rFonts w:hint="cs"/>
          <w:rtl/>
        </w:rPr>
        <w:t xml:space="preserve"> נשלח לקבלת חוות דעת מאת הממונה על עבודות השירות ונמסרה חוות דעת, שלפיה נוכח מניעות שנמסרה ממשטרת ישראל, נוכח החשש לפגיעה בגופו ובחייו של אדם, לרבות בנאשם 2, הוא </w:t>
      </w:r>
      <w:r w:rsidRPr="000D1152">
        <w:rPr>
          <w:rFonts w:hint="cs"/>
          <w:b/>
          <w:bCs/>
          <w:rtl/>
        </w:rPr>
        <w:t>אינו כשיר לבצע עבודות שירות.</w:t>
      </w:r>
    </w:p>
    <w:p w14:paraId="16E158E4" w14:textId="77777777" w:rsidR="00964B8D" w:rsidRDefault="00964B8D" w:rsidP="00964B8D">
      <w:pPr>
        <w:spacing w:line="360" w:lineRule="auto"/>
        <w:jc w:val="both"/>
        <w:rPr>
          <w:rtl/>
        </w:rPr>
      </w:pPr>
    </w:p>
    <w:p w14:paraId="5E1BD939" w14:textId="77777777" w:rsidR="00964B8D" w:rsidRDefault="00964B8D" w:rsidP="00964B8D">
      <w:pPr>
        <w:spacing w:line="360" w:lineRule="auto"/>
        <w:jc w:val="both"/>
        <w:rPr>
          <w:rtl/>
        </w:rPr>
      </w:pPr>
      <w:r>
        <w:rPr>
          <w:rFonts w:hint="cs"/>
          <w:rtl/>
        </w:rPr>
        <w:t xml:space="preserve">מאחר ומדובר בהחלטה של גוף מנהלי, לאחר הטיעון לעונש, ביקשתי לקבל את הבסיס המודיעיני להתנגדות משטרת ישראל. </w:t>
      </w:r>
    </w:p>
    <w:p w14:paraId="6D695AF6" w14:textId="77777777" w:rsidR="00964B8D" w:rsidRDefault="00964B8D" w:rsidP="00964B8D">
      <w:pPr>
        <w:spacing w:line="360" w:lineRule="auto"/>
        <w:jc w:val="both"/>
        <w:rPr>
          <w:rtl/>
        </w:rPr>
      </w:pPr>
    </w:p>
    <w:p w14:paraId="7DD387D9" w14:textId="77777777" w:rsidR="00964B8D" w:rsidRDefault="00964B8D" w:rsidP="00964B8D">
      <w:pPr>
        <w:spacing w:line="360" w:lineRule="auto"/>
        <w:jc w:val="both"/>
        <w:rPr>
          <w:rtl/>
        </w:rPr>
      </w:pPr>
      <w:r>
        <w:rPr>
          <w:rFonts w:hint="cs"/>
          <w:rtl/>
        </w:rPr>
        <w:t xml:space="preserve">ואכן, נמסרה לעיוני מעטפה ובה מידע מודיעיני שסומן על-ידי (במ/1 </w:t>
      </w:r>
      <w:r>
        <w:rPr>
          <w:rtl/>
        </w:rPr>
        <w:t>–</w:t>
      </w:r>
      <w:r>
        <w:rPr>
          <w:rFonts w:hint="cs"/>
          <w:rtl/>
        </w:rPr>
        <w:t xml:space="preserve"> במ/4. עיינתי  בחומרים ומסקנתי היא כי איני מורה לממונה על עבודות השירות למסור את חוות דעתו על אף התנגדותה של משטרת ישראל, שכן נמצא  בסיס להתנגדות זו.</w:t>
      </w:r>
    </w:p>
    <w:p w14:paraId="370F9308" w14:textId="77777777" w:rsidR="00964B8D" w:rsidRDefault="00964B8D" w:rsidP="00964B8D">
      <w:pPr>
        <w:rPr>
          <w:b/>
          <w:bCs/>
          <w:u w:val="single"/>
          <w:rtl/>
        </w:rPr>
      </w:pPr>
      <w:r>
        <w:rPr>
          <w:rFonts w:hint="cs"/>
          <w:b/>
          <w:bCs/>
          <w:u w:val="single"/>
          <w:rtl/>
        </w:rPr>
        <w:t>ד. מסקנות:</w:t>
      </w:r>
    </w:p>
    <w:p w14:paraId="6B8875D7" w14:textId="77777777" w:rsidR="00964B8D" w:rsidRDefault="00964B8D" w:rsidP="00964B8D">
      <w:pPr>
        <w:rPr>
          <w:b/>
          <w:bCs/>
          <w:u w:val="single"/>
          <w:rtl/>
        </w:rPr>
      </w:pPr>
    </w:p>
    <w:p w14:paraId="6D1DB46F" w14:textId="77777777" w:rsidR="00964B8D" w:rsidRDefault="00964B8D" w:rsidP="00964B8D">
      <w:pPr>
        <w:rPr>
          <w:b/>
          <w:bCs/>
          <w:u w:val="single"/>
          <w:rtl/>
        </w:rPr>
      </w:pPr>
    </w:p>
    <w:p w14:paraId="27A005EE" w14:textId="77777777" w:rsidR="00964B8D" w:rsidRDefault="00964B8D" w:rsidP="00964B8D">
      <w:pPr>
        <w:spacing w:line="360" w:lineRule="auto"/>
        <w:jc w:val="both"/>
        <w:rPr>
          <w:rtl/>
        </w:rPr>
      </w:pPr>
      <w:r>
        <w:rPr>
          <w:rFonts w:hint="cs"/>
          <w:rtl/>
        </w:rPr>
        <w:t xml:space="preserve">הנאשמים ביצעו עבירת </w:t>
      </w:r>
      <w:r w:rsidRPr="00EB1650">
        <w:rPr>
          <w:rFonts w:hint="cs"/>
          <w:b/>
          <w:bCs/>
          <w:rtl/>
        </w:rPr>
        <w:t>אמל"ח חמורה</w:t>
      </w:r>
      <w:r>
        <w:rPr>
          <w:rFonts w:hint="cs"/>
          <w:rtl/>
        </w:rPr>
        <w:t>, המחייבת תגובה עונשית בעלת משקל, כדי להרתיע את הרבים, במיוחד כאשר דנים בתופעה עבריינית נפוצה.</w:t>
      </w:r>
    </w:p>
    <w:p w14:paraId="41103BD3" w14:textId="77777777" w:rsidR="00964B8D" w:rsidRDefault="00964B8D" w:rsidP="00964B8D">
      <w:pPr>
        <w:spacing w:line="360" w:lineRule="auto"/>
        <w:jc w:val="both"/>
        <w:rPr>
          <w:rtl/>
        </w:rPr>
      </w:pPr>
    </w:p>
    <w:p w14:paraId="26D3E89E" w14:textId="77777777" w:rsidR="00964B8D" w:rsidRPr="00EB1650" w:rsidRDefault="00964B8D" w:rsidP="00964B8D">
      <w:pPr>
        <w:spacing w:line="360" w:lineRule="auto"/>
        <w:jc w:val="both"/>
        <w:rPr>
          <w:b/>
          <w:bCs/>
          <w:rtl/>
        </w:rPr>
      </w:pPr>
      <w:r>
        <w:rPr>
          <w:rFonts w:hint="cs"/>
          <w:rtl/>
        </w:rPr>
        <w:t xml:space="preserve">מעת לעת, עדים אנו לתוצאות הקשות הנובעות מהחזקת נשק בלתי מורשה, </w:t>
      </w:r>
      <w:r w:rsidRPr="00EB1650">
        <w:rPr>
          <w:rFonts w:hint="cs"/>
          <w:b/>
          <w:bCs/>
          <w:rtl/>
        </w:rPr>
        <w:t>והנה פציעתם של הנאשמים עצמם תוכיח דבר.</w:t>
      </w:r>
    </w:p>
    <w:p w14:paraId="2A8FBC82" w14:textId="77777777" w:rsidR="00964B8D" w:rsidRDefault="00964B8D" w:rsidP="00964B8D">
      <w:pPr>
        <w:spacing w:line="360" w:lineRule="auto"/>
        <w:jc w:val="both"/>
        <w:rPr>
          <w:rtl/>
        </w:rPr>
      </w:pPr>
    </w:p>
    <w:p w14:paraId="673F8929" w14:textId="77777777" w:rsidR="00964B8D" w:rsidRDefault="00964B8D" w:rsidP="00964B8D">
      <w:pPr>
        <w:spacing w:line="360" w:lineRule="auto"/>
        <w:jc w:val="both"/>
        <w:rPr>
          <w:rtl/>
        </w:rPr>
      </w:pPr>
      <w:r>
        <w:rPr>
          <w:rFonts w:hint="cs"/>
          <w:rtl/>
        </w:rPr>
        <w:t xml:space="preserve">למרות הנסיבות שתוארו, שבמסגרתן נטען, כי הנאשמים החזיקו את הנשקים למטרת הגנה עצמית נוכח סכסוך הדמים המתואר, כאשר הם בצד הנפגע, אין בית-המשפט יכול לאשר מצב דברים שבמסגרתו כל צד ייתן דרור למעשיו, יעשה דין לעצמו, יגן על עצמו בדרך של החזקת אמל"ח, אלא שיש לשמור מכל משמר על היותנו מדינת חוק, שמסרה את האחריות להגנה על אזרחיה למשטרת ישראל </w:t>
      </w:r>
      <w:r w:rsidRPr="00791322">
        <w:rPr>
          <w:rFonts w:hint="cs"/>
          <w:b/>
          <w:bCs/>
          <w:rtl/>
        </w:rPr>
        <w:t>ולה בלבד.</w:t>
      </w:r>
    </w:p>
    <w:p w14:paraId="0B7DE41B" w14:textId="77777777" w:rsidR="00964B8D" w:rsidRDefault="00964B8D" w:rsidP="00964B8D">
      <w:pPr>
        <w:spacing w:line="360" w:lineRule="auto"/>
        <w:jc w:val="both"/>
        <w:rPr>
          <w:rtl/>
        </w:rPr>
      </w:pPr>
    </w:p>
    <w:p w14:paraId="77A49D19" w14:textId="77777777" w:rsidR="00964B8D" w:rsidRPr="00791322" w:rsidRDefault="00964B8D" w:rsidP="00964B8D">
      <w:pPr>
        <w:spacing w:line="360" w:lineRule="auto"/>
        <w:jc w:val="both"/>
        <w:rPr>
          <w:rtl/>
        </w:rPr>
      </w:pPr>
      <w:r>
        <w:rPr>
          <w:rFonts w:hint="cs"/>
          <w:rtl/>
        </w:rPr>
        <w:t xml:space="preserve">אכן, בית-המשפט העליון ערך מדרג </w:t>
      </w:r>
      <w:r w:rsidRPr="00D31350">
        <w:rPr>
          <w:rFonts w:hint="cs"/>
          <w:b/>
          <w:bCs/>
          <w:rtl/>
        </w:rPr>
        <w:t xml:space="preserve">חומרה להחזקה של אמל"ח, </w:t>
      </w:r>
      <w:r w:rsidRPr="009B164B">
        <w:rPr>
          <w:rFonts w:hint="cs"/>
          <w:rtl/>
        </w:rPr>
        <w:t>וראו בעניין זה בשינויים המחויבים לצורך דיני המעצרים</w:t>
      </w:r>
      <w:r w:rsidRPr="00D31350">
        <w:rPr>
          <w:rFonts w:hint="cs"/>
          <w:b/>
          <w:bCs/>
          <w:rtl/>
        </w:rPr>
        <w:t xml:space="preserve"> (</w:t>
      </w:r>
      <w:hyperlink r:id="rId25" w:history="1">
        <w:r w:rsidR="00C54103" w:rsidRPr="00C54103">
          <w:rPr>
            <w:color w:val="0000FF"/>
            <w:u w:val="single"/>
            <w:rtl/>
          </w:rPr>
          <w:t>ב"ש 625/82 אבו מוך נגד מדינת ישראל, פ"ד לז</w:t>
        </w:r>
      </w:hyperlink>
      <w:r>
        <w:rPr>
          <w:rFonts w:hint="cs"/>
          <w:rtl/>
        </w:rPr>
        <w:t xml:space="preserve"> (3) 668) שלא נס לחו, תוך אבחנה בין החזקה של אמל"ח ממניעים שונים, שם נקבע, כי "</w:t>
      </w:r>
      <w:r w:rsidRPr="00D31350">
        <w:rPr>
          <w:b/>
          <w:bCs/>
          <w:rtl/>
        </w:rPr>
        <w:t>החזקת הנשק לצורך הגנה עצמית או לצורך הגנה</w:t>
      </w:r>
      <w:r>
        <w:rPr>
          <w:b/>
          <w:bCs/>
          <w:rtl/>
        </w:rPr>
        <w:t xml:space="preserve"> על הציבור, המשפחה או ה"חמולה"</w:t>
      </w:r>
      <w:r>
        <w:rPr>
          <w:rFonts w:hint="cs"/>
          <w:b/>
          <w:bCs/>
          <w:rtl/>
        </w:rPr>
        <w:t xml:space="preserve"> אינה מנויה ברף העליון של סולם החומרה.</w:t>
      </w:r>
    </w:p>
    <w:p w14:paraId="012BB841" w14:textId="77777777" w:rsidR="00964B8D" w:rsidRDefault="00964B8D" w:rsidP="00964B8D">
      <w:pPr>
        <w:spacing w:line="360" w:lineRule="auto"/>
        <w:jc w:val="both"/>
        <w:rPr>
          <w:rtl/>
        </w:rPr>
      </w:pPr>
    </w:p>
    <w:p w14:paraId="054845F2" w14:textId="77777777" w:rsidR="00964B8D" w:rsidRDefault="00964B8D" w:rsidP="00964B8D">
      <w:pPr>
        <w:spacing w:line="360" w:lineRule="auto"/>
        <w:jc w:val="both"/>
        <w:rPr>
          <w:rtl/>
        </w:rPr>
      </w:pPr>
      <w:r>
        <w:rPr>
          <w:rFonts w:hint="cs"/>
          <w:rtl/>
        </w:rPr>
        <w:t xml:space="preserve">ואולם, כפי שקבעתי לעיל, גם אם אניח כי הנאשמים החזיקו את אמצעי הלחימה לשם הגנה עצמית, </w:t>
      </w:r>
      <w:r w:rsidRPr="00EB1650">
        <w:rPr>
          <w:rFonts w:hint="cs"/>
          <w:b/>
          <w:bCs/>
          <w:rtl/>
        </w:rPr>
        <w:t>בית-המשפט אינו יכול להעניק לתופעה שכזו אשרור בדרך של גזר-דין מקל</w:t>
      </w:r>
      <w:r>
        <w:rPr>
          <w:rFonts w:hint="cs"/>
          <w:rtl/>
        </w:rPr>
        <w:t>, המעביר מסר כי החזקה שכזו תבחן בסלחנות.</w:t>
      </w:r>
    </w:p>
    <w:p w14:paraId="40B00E76" w14:textId="77777777" w:rsidR="00964B8D" w:rsidRDefault="00964B8D" w:rsidP="00964B8D">
      <w:pPr>
        <w:spacing w:line="360" w:lineRule="auto"/>
        <w:jc w:val="both"/>
        <w:rPr>
          <w:rtl/>
        </w:rPr>
      </w:pPr>
    </w:p>
    <w:p w14:paraId="3D279706" w14:textId="77777777" w:rsidR="00964B8D" w:rsidRDefault="00964B8D" w:rsidP="00964B8D">
      <w:pPr>
        <w:spacing w:line="360" w:lineRule="auto"/>
        <w:jc w:val="both"/>
        <w:rPr>
          <w:rtl/>
        </w:rPr>
      </w:pPr>
      <w:r>
        <w:rPr>
          <w:rFonts w:hint="cs"/>
          <w:rtl/>
        </w:rPr>
        <w:t xml:space="preserve">אם תאמר, כי יש להקל בעונשם של נאשמים האוחזים בנשק, שלא כדין, גם לשם הגנה עצמית, או מכל תירוץ עצמי אחר, </w:t>
      </w:r>
      <w:r w:rsidRPr="00EB1650">
        <w:rPr>
          <w:rFonts w:hint="cs"/>
          <w:b/>
          <w:bCs/>
          <w:rtl/>
        </w:rPr>
        <w:t>יעשה כל אדם דין לעצמו,</w:t>
      </w:r>
      <w:r>
        <w:rPr>
          <w:rFonts w:hint="cs"/>
          <w:rtl/>
        </w:rPr>
        <w:t xml:space="preserve"> המדינה תגיע לאנרכיה מוחלטת ונמצאנו מכשירים את החשש שבמסכת אבות ג' ב': "...איש את רעהו חיים בלעו".</w:t>
      </w:r>
    </w:p>
    <w:p w14:paraId="32D986B7" w14:textId="77777777" w:rsidR="00964B8D" w:rsidRDefault="00964B8D" w:rsidP="00964B8D">
      <w:pPr>
        <w:spacing w:line="360" w:lineRule="auto"/>
        <w:jc w:val="both"/>
        <w:rPr>
          <w:rtl/>
        </w:rPr>
      </w:pPr>
    </w:p>
    <w:p w14:paraId="5E11E389" w14:textId="77777777" w:rsidR="00964B8D" w:rsidRPr="005D4290" w:rsidRDefault="00964B8D" w:rsidP="00964B8D">
      <w:pPr>
        <w:spacing w:line="360" w:lineRule="auto"/>
        <w:jc w:val="both"/>
        <w:rPr>
          <w:b/>
          <w:bCs/>
          <w:rtl/>
        </w:rPr>
      </w:pPr>
      <w:r w:rsidRPr="005D4290">
        <w:rPr>
          <w:rFonts w:hint="cs"/>
          <w:b/>
          <w:bCs/>
          <w:rtl/>
        </w:rPr>
        <w:t xml:space="preserve">בנסיבות תיק זה, איני מוצא לערוך אבחנה בעלת משקל בין שני הנאשמים: </w:t>
      </w:r>
    </w:p>
    <w:p w14:paraId="6F52DC6D" w14:textId="77777777" w:rsidR="00964B8D" w:rsidRDefault="00964B8D" w:rsidP="00964B8D">
      <w:pPr>
        <w:spacing w:line="360" w:lineRule="auto"/>
        <w:jc w:val="both"/>
        <w:rPr>
          <w:rtl/>
        </w:rPr>
      </w:pPr>
    </w:p>
    <w:p w14:paraId="58DF43BF" w14:textId="77777777" w:rsidR="00964B8D" w:rsidRDefault="00964B8D" w:rsidP="00964B8D">
      <w:pPr>
        <w:spacing w:line="360" w:lineRule="auto"/>
        <w:jc w:val="both"/>
        <w:rPr>
          <w:rtl/>
        </w:rPr>
      </w:pPr>
      <w:r>
        <w:rPr>
          <w:rFonts w:hint="cs"/>
          <w:rtl/>
        </w:rPr>
        <w:t xml:space="preserve">נאשם 1, צעיר </w:t>
      </w:r>
      <w:r>
        <w:rPr>
          <w:rtl/>
        </w:rPr>
        <w:t>–</w:t>
      </w:r>
      <w:r>
        <w:rPr>
          <w:rFonts w:hint="cs"/>
          <w:rtl/>
        </w:rPr>
        <w:t xml:space="preserve"> יליד 1999. נאשם 2, צעיר </w:t>
      </w:r>
      <w:r>
        <w:rPr>
          <w:rtl/>
        </w:rPr>
        <w:t>–</w:t>
      </w:r>
      <w:r>
        <w:rPr>
          <w:rFonts w:hint="cs"/>
          <w:rtl/>
        </w:rPr>
        <w:t xml:space="preserve"> יליד 2000. </w:t>
      </w:r>
    </w:p>
    <w:p w14:paraId="0836E3DC" w14:textId="77777777" w:rsidR="00964B8D" w:rsidRDefault="00964B8D" w:rsidP="00964B8D">
      <w:pPr>
        <w:spacing w:line="360" w:lineRule="auto"/>
        <w:jc w:val="both"/>
        <w:rPr>
          <w:rtl/>
        </w:rPr>
      </w:pPr>
    </w:p>
    <w:p w14:paraId="3CD030DC" w14:textId="77777777" w:rsidR="00964B8D" w:rsidRDefault="00964B8D" w:rsidP="00964B8D">
      <w:pPr>
        <w:spacing w:line="360" w:lineRule="auto"/>
        <w:jc w:val="both"/>
        <w:rPr>
          <w:rtl/>
        </w:rPr>
      </w:pPr>
      <w:r>
        <w:rPr>
          <w:rFonts w:hint="cs"/>
          <w:rtl/>
        </w:rPr>
        <w:t xml:space="preserve">נאשם 1 בעל תסקיר הממליץ על ענישה שיקומית </w:t>
      </w:r>
      <w:r>
        <w:rPr>
          <w:rtl/>
        </w:rPr>
        <w:t>–</w:t>
      </w:r>
      <w:r>
        <w:rPr>
          <w:rFonts w:hint="cs"/>
          <w:rtl/>
        </w:rPr>
        <w:t xml:space="preserve"> נאשם 2 אינו בעלת תסקיר שכזה, אולם לא ניתן לראות נתונים ענייניים, המצדיקים אבחנה כה גורפת. </w:t>
      </w:r>
    </w:p>
    <w:p w14:paraId="19EF3BC5" w14:textId="77777777" w:rsidR="00964B8D" w:rsidRDefault="00964B8D" w:rsidP="00964B8D">
      <w:pPr>
        <w:spacing w:line="360" w:lineRule="auto"/>
        <w:jc w:val="both"/>
        <w:rPr>
          <w:rtl/>
        </w:rPr>
      </w:pPr>
    </w:p>
    <w:p w14:paraId="09D4B1DD" w14:textId="77777777" w:rsidR="00964B8D" w:rsidRDefault="00964B8D" w:rsidP="00964B8D">
      <w:pPr>
        <w:spacing w:line="360" w:lineRule="auto"/>
        <w:jc w:val="both"/>
        <w:rPr>
          <w:rtl/>
        </w:rPr>
      </w:pPr>
      <w:r>
        <w:rPr>
          <w:rFonts w:hint="cs"/>
          <w:rtl/>
        </w:rPr>
        <w:t>נאשם 1  בעל הרשעה קודמת. נאשם 2 נעדר הרשעות קודמות.</w:t>
      </w:r>
    </w:p>
    <w:p w14:paraId="3FB80EBA" w14:textId="77777777" w:rsidR="00964B8D" w:rsidRDefault="00964B8D" w:rsidP="00964B8D">
      <w:pPr>
        <w:spacing w:line="360" w:lineRule="auto"/>
        <w:jc w:val="both"/>
        <w:rPr>
          <w:rtl/>
        </w:rPr>
      </w:pPr>
    </w:p>
    <w:p w14:paraId="1319CC31" w14:textId="77777777" w:rsidR="00964B8D" w:rsidRDefault="00964B8D" w:rsidP="00964B8D">
      <w:pPr>
        <w:spacing w:line="360" w:lineRule="auto"/>
        <w:jc w:val="both"/>
        <w:rPr>
          <w:rtl/>
        </w:rPr>
      </w:pPr>
      <w:r>
        <w:rPr>
          <w:rFonts w:hint="cs"/>
          <w:rtl/>
        </w:rPr>
        <w:t>כזכור, שניהם ביצעו את אותו מעשה עברייני, שניהם נפצעו באותה התרחשות.</w:t>
      </w:r>
    </w:p>
    <w:p w14:paraId="5FBB2660" w14:textId="77777777" w:rsidR="00964B8D" w:rsidRDefault="00964B8D" w:rsidP="00964B8D">
      <w:pPr>
        <w:spacing w:line="360" w:lineRule="auto"/>
        <w:jc w:val="both"/>
        <w:rPr>
          <w:rtl/>
        </w:rPr>
      </w:pPr>
    </w:p>
    <w:p w14:paraId="29BC2205" w14:textId="77777777" w:rsidR="00964B8D" w:rsidRPr="001D439B" w:rsidRDefault="00964B8D" w:rsidP="00964B8D">
      <w:pPr>
        <w:spacing w:line="360" w:lineRule="auto"/>
        <w:jc w:val="both"/>
        <w:rPr>
          <w:rtl/>
        </w:rPr>
      </w:pPr>
      <w:r>
        <w:rPr>
          <w:rFonts w:hint="cs"/>
          <w:rtl/>
        </w:rPr>
        <w:t xml:space="preserve">בנסיבות תיק זה, נוכח הפסיקה המנחה והמחייבת דלעיל, </w:t>
      </w:r>
      <w:r w:rsidRPr="00D73092">
        <w:rPr>
          <w:rFonts w:hint="cs"/>
          <w:b/>
          <w:bCs/>
          <w:rtl/>
        </w:rPr>
        <w:t>איני סבור, כי ניתן להימנע מענישה בדרך של הטלת מאסר לריצוי בפועל</w:t>
      </w:r>
      <w:r>
        <w:rPr>
          <w:rFonts w:hint="cs"/>
          <w:rtl/>
        </w:rPr>
        <w:t>, שכן ענישה לריצוי בדרך של עבודות שירות עלולה להעביר מסר מקל מדי, נוכח התופעה העבריינית המדאיגה של החזקת אמל"ח בלתי חוקי, במיוחד במחוז שיפוט זה ודווקא על-ידי נאשמים צעירים נעדרי עבר פלילי, אך כלל השיקולים המקלים דלעיל, ישקלו נוכח תקופת המאסר שתיגזר.</w:t>
      </w:r>
    </w:p>
    <w:p w14:paraId="3171D7EF" w14:textId="77777777" w:rsidR="00964B8D" w:rsidRDefault="00964B8D" w:rsidP="00964B8D">
      <w:pPr>
        <w:rPr>
          <w:b/>
          <w:bCs/>
          <w:u w:val="single"/>
          <w:rtl/>
        </w:rPr>
      </w:pPr>
    </w:p>
    <w:p w14:paraId="7775B58D" w14:textId="77777777" w:rsidR="00964B8D" w:rsidRPr="00C67908" w:rsidRDefault="00964B8D" w:rsidP="00964B8D">
      <w:pPr>
        <w:rPr>
          <w:b/>
          <w:bCs/>
          <w:u w:val="single"/>
          <w:rtl/>
        </w:rPr>
      </w:pPr>
      <w:r>
        <w:rPr>
          <w:rFonts w:hint="cs"/>
          <w:b/>
          <w:bCs/>
          <w:u w:val="single"/>
          <w:rtl/>
        </w:rPr>
        <w:t>ה. תוצאה:</w:t>
      </w:r>
    </w:p>
    <w:p w14:paraId="79C2D83B" w14:textId="77777777" w:rsidR="00964B8D" w:rsidRDefault="00964B8D" w:rsidP="00964B8D">
      <w:pPr>
        <w:rPr>
          <w:rtl/>
        </w:rPr>
      </w:pPr>
    </w:p>
    <w:p w14:paraId="42EE52EF" w14:textId="77777777" w:rsidR="00964B8D" w:rsidRDefault="00964B8D" w:rsidP="00964B8D">
      <w:pPr>
        <w:rPr>
          <w:rtl/>
        </w:rPr>
      </w:pPr>
    </w:p>
    <w:p w14:paraId="4BF06C45" w14:textId="77777777" w:rsidR="00964B8D" w:rsidRDefault="00964B8D" w:rsidP="00964B8D">
      <w:pPr>
        <w:rPr>
          <w:b/>
          <w:bCs/>
          <w:rtl/>
        </w:rPr>
      </w:pPr>
      <w:r w:rsidRPr="005D4290">
        <w:rPr>
          <w:rFonts w:hint="cs"/>
          <w:b/>
          <w:bCs/>
          <w:rtl/>
        </w:rPr>
        <w:t>לאור כל האמור לעיל, אני גוזר על הנאשמים את העונשים הבאים:</w:t>
      </w:r>
    </w:p>
    <w:p w14:paraId="61767DEA" w14:textId="77777777" w:rsidR="00964B8D" w:rsidRDefault="00964B8D" w:rsidP="00964B8D">
      <w:pPr>
        <w:rPr>
          <w:b/>
          <w:bCs/>
          <w:rtl/>
        </w:rPr>
      </w:pPr>
    </w:p>
    <w:p w14:paraId="19C95499" w14:textId="77777777" w:rsidR="00964B8D" w:rsidRDefault="00964B8D" w:rsidP="00964B8D">
      <w:pPr>
        <w:rPr>
          <w:rtl/>
        </w:rPr>
      </w:pPr>
    </w:p>
    <w:p w14:paraId="5BBF3C36" w14:textId="77777777" w:rsidR="00964B8D" w:rsidRDefault="00964B8D" w:rsidP="00964B8D">
      <w:pPr>
        <w:spacing w:line="360" w:lineRule="auto"/>
        <w:jc w:val="both"/>
        <w:rPr>
          <w:rtl/>
        </w:rPr>
      </w:pPr>
      <w:r w:rsidRPr="00DE4913">
        <w:rPr>
          <w:rFonts w:hint="cs"/>
          <w:b/>
          <w:bCs/>
          <w:rtl/>
        </w:rPr>
        <w:t>א.</w:t>
      </w:r>
      <w:r>
        <w:rPr>
          <w:rFonts w:hint="cs"/>
          <w:rtl/>
        </w:rPr>
        <w:t xml:space="preserve"> 11 חודשי מאסר בפועל, לריצוי בניכוי תקופת מעצרם של הנאשמים מיום 26.5.19 </w:t>
      </w:r>
      <w:r>
        <w:rPr>
          <w:rtl/>
        </w:rPr>
        <w:t>–</w:t>
      </w:r>
      <w:r>
        <w:rPr>
          <w:rFonts w:hint="cs"/>
          <w:rtl/>
        </w:rPr>
        <w:t xml:space="preserve"> 30.6.19. הנאשמים יתייצבו לריצוי עונשם בבית הסוהר "הדרים" בתאריך 10.3.21 בשעה 09:00, כשהם מצוידים בעותק מגזר-דין זה ובתעודות זהות.</w:t>
      </w:r>
    </w:p>
    <w:p w14:paraId="5275BA29" w14:textId="77777777" w:rsidR="00964B8D" w:rsidRDefault="00964B8D" w:rsidP="00964B8D">
      <w:pPr>
        <w:spacing w:line="360" w:lineRule="auto"/>
        <w:jc w:val="both"/>
        <w:rPr>
          <w:rtl/>
        </w:rPr>
      </w:pPr>
    </w:p>
    <w:p w14:paraId="097388DF" w14:textId="77777777" w:rsidR="00964B8D" w:rsidRDefault="00964B8D" w:rsidP="00964B8D">
      <w:pPr>
        <w:spacing w:line="360" w:lineRule="auto"/>
        <w:jc w:val="both"/>
        <w:rPr>
          <w:rtl/>
        </w:rPr>
      </w:pPr>
      <w:r>
        <w:rPr>
          <w:rFonts w:hint="cs"/>
          <w:rtl/>
        </w:rPr>
        <w:t>הערבויות יעמדו על כנן עד להתייצבות הנאשמים לריצוי עונשים ואז יושב הפיקדון למפקידים.</w:t>
      </w:r>
    </w:p>
    <w:p w14:paraId="30567B8D" w14:textId="77777777" w:rsidR="00964B8D" w:rsidRDefault="00964B8D" w:rsidP="00964B8D">
      <w:pPr>
        <w:spacing w:line="360" w:lineRule="auto"/>
        <w:jc w:val="both"/>
        <w:rPr>
          <w:rtl/>
        </w:rPr>
      </w:pPr>
    </w:p>
    <w:p w14:paraId="00CE8DF8" w14:textId="77777777" w:rsidR="00964B8D" w:rsidRDefault="00964B8D" w:rsidP="00964B8D">
      <w:pPr>
        <w:spacing w:line="360" w:lineRule="auto"/>
        <w:jc w:val="both"/>
        <w:rPr>
          <w:rtl/>
        </w:rPr>
      </w:pPr>
      <w:r w:rsidRPr="00DE4913">
        <w:rPr>
          <w:rFonts w:hint="cs"/>
          <w:b/>
          <w:bCs/>
          <w:rtl/>
        </w:rPr>
        <w:t>ב.</w:t>
      </w:r>
      <w:r>
        <w:rPr>
          <w:rFonts w:hint="cs"/>
          <w:rtl/>
        </w:rPr>
        <w:t xml:space="preserve"> 6 חודשי מאסר שאותם לא ירצו הנאשמים, אלא אם כן יעברו בתוך 3 שנים מיום שחרורם עבירה בה הורשעו.</w:t>
      </w:r>
    </w:p>
    <w:p w14:paraId="0F2909FC" w14:textId="77777777" w:rsidR="00964B8D" w:rsidRDefault="00964B8D" w:rsidP="00964B8D">
      <w:pPr>
        <w:spacing w:line="360" w:lineRule="auto"/>
        <w:jc w:val="both"/>
        <w:rPr>
          <w:rtl/>
        </w:rPr>
      </w:pPr>
    </w:p>
    <w:p w14:paraId="3470C671" w14:textId="77777777" w:rsidR="00964B8D" w:rsidRDefault="00964B8D" w:rsidP="00964B8D">
      <w:pPr>
        <w:spacing w:line="360" w:lineRule="auto"/>
        <w:jc w:val="both"/>
        <w:rPr>
          <w:rtl/>
        </w:rPr>
      </w:pPr>
      <w:r>
        <w:rPr>
          <w:rFonts w:hint="cs"/>
          <w:rtl/>
        </w:rPr>
        <w:t>זכות ערעור לבית-המשפט המחוזי מרכז/לוד בתוך 45 ימים.</w:t>
      </w:r>
    </w:p>
    <w:p w14:paraId="65799D60" w14:textId="77777777" w:rsidR="00964B8D" w:rsidRDefault="00964B8D" w:rsidP="00964B8D">
      <w:pPr>
        <w:spacing w:line="360" w:lineRule="auto"/>
        <w:jc w:val="both"/>
        <w:rPr>
          <w:rtl/>
        </w:rPr>
      </w:pPr>
    </w:p>
    <w:p w14:paraId="0597568A" w14:textId="77777777" w:rsidR="00964B8D" w:rsidRDefault="00964B8D" w:rsidP="00964B8D">
      <w:pPr>
        <w:spacing w:line="360" w:lineRule="auto"/>
        <w:jc w:val="both"/>
        <w:rPr>
          <w:rtl/>
        </w:rPr>
      </w:pPr>
      <w:r>
        <w:rPr>
          <w:rFonts w:hint="cs"/>
          <w:rtl/>
        </w:rPr>
        <w:t>צו כללי למוצגים.</w:t>
      </w:r>
    </w:p>
    <w:p w14:paraId="19DFA215" w14:textId="77777777" w:rsidR="00964B8D" w:rsidRDefault="00964B8D" w:rsidP="00964B8D">
      <w:pPr>
        <w:spacing w:line="360" w:lineRule="auto"/>
        <w:jc w:val="both"/>
        <w:rPr>
          <w:rtl/>
        </w:rPr>
      </w:pPr>
    </w:p>
    <w:p w14:paraId="3359D114" w14:textId="77777777" w:rsidR="00964B8D" w:rsidRDefault="00964B8D" w:rsidP="00964B8D">
      <w:pPr>
        <w:spacing w:line="360" w:lineRule="auto"/>
        <w:jc w:val="both"/>
        <w:rPr>
          <w:rtl/>
        </w:rPr>
      </w:pPr>
      <w:r>
        <w:rPr>
          <w:rFonts w:hint="cs"/>
          <w:rtl/>
        </w:rPr>
        <w:t>התיק סגור.</w:t>
      </w:r>
    </w:p>
    <w:p w14:paraId="17B6B0C1" w14:textId="77777777" w:rsidR="00964B8D" w:rsidRPr="00B05847" w:rsidRDefault="00964B8D" w:rsidP="00964B8D">
      <w:pPr>
        <w:spacing w:line="360" w:lineRule="auto"/>
        <w:jc w:val="both"/>
        <w:rPr>
          <w:rtl/>
        </w:rPr>
      </w:pPr>
    </w:p>
    <w:p w14:paraId="56A79056" w14:textId="77777777" w:rsidR="00964B8D" w:rsidRPr="00C54103" w:rsidRDefault="00C54103" w:rsidP="00964B8D">
      <w:pPr>
        <w:rPr>
          <w:color w:val="FFFFFF"/>
          <w:sz w:val="2"/>
          <w:szCs w:val="2"/>
          <w:rtl/>
        </w:rPr>
      </w:pPr>
      <w:r w:rsidRPr="00C54103">
        <w:rPr>
          <w:color w:val="FFFFFF"/>
          <w:sz w:val="2"/>
          <w:szCs w:val="2"/>
          <w:rtl/>
        </w:rPr>
        <w:t>5129371</w:t>
      </w:r>
    </w:p>
    <w:p w14:paraId="7559243B" w14:textId="77777777" w:rsidR="00964B8D" w:rsidRDefault="00C54103" w:rsidP="00964B8D">
      <w:pPr>
        <w:rPr>
          <w:rFonts w:cs="FrankRuehl"/>
          <w:sz w:val="28"/>
          <w:szCs w:val="28"/>
          <w:rtl/>
        </w:rPr>
      </w:pPr>
      <w:bookmarkStart w:id="8" w:name="Nitan"/>
      <w:r w:rsidRPr="00C54103">
        <w:rPr>
          <w:rFonts w:ascii="Arial" w:hAnsi="Arial"/>
          <w:color w:val="FFFFFF"/>
          <w:sz w:val="2"/>
          <w:szCs w:val="2"/>
          <w:rtl/>
        </w:rPr>
        <w:t>54678313</w:t>
      </w:r>
      <w:r>
        <w:rPr>
          <w:rFonts w:ascii="Arial" w:hAnsi="Arial"/>
          <w:rtl/>
        </w:rPr>
        <w:t xml:space="preserve">ניתן היום,  ט"ו שבט תשפ"א, 28 ינואר 2021, במעמד הצדדים. </w:t>
      </w:r>
      <w:bookmarkEnd w:id="8"/>
    </w:p>
    <w:p w14:paraId="77CFE856" w14:textId="77777777" w:rsidR="00964B8D" w:rsidRDefault="00964B8D" w:rsidP="00C5410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E1123A6" w14:textId="77777777" w:rsidR="00964B8D" w:rsidRDefault="00964B8D" w:rsidP="00964B8D">
      <w:pPr>
        <w:jc w:val="center"/>
        <w:rPr>
          <w:rFonts w:ascii="Arial" w:hAnsi="Arial" w:cs="FrankRuehl"/>
          <w:sz w:val="28"/>
          <w:szCs w:val="28"/>
          <w:rtl/>
        </w:rPr>
      </w:pPr>
    </w:p>
    <w:p w14:paraId="7291939C" w14:textId="77777777" w:rsidR="00964B8D" w:rsidRDefault="00964B8D" w:rsidP="00964B8D">
      <w:pPr>
        <w:rPr>
          <w:rFonts w:cs="FrankRuehl"/>
          <w:sz w:val="28"/>
          <w:szCs w:val="28"/>
          <w:rtl/>
        </w:rPr>
      </w:pPr>
    </w:p>
    <w:p w14:paraId="55D8AEB3" w14:textId="77777777" w:rsidR="00964B8D" w:rsidRPr="00C65A55" w:rsidRDefault="00C65A55" w:rsidP="00964B8D">
      <w:pPr>
        <w:pStyle w:val="a3"/>
        <w:jc w:val="center"/>
        <w:rPr>
          <w:color w:val="FFFFFF"/>
          <w:sz w:val="2"/>
          <w:szCs w:val="2"/>
          <w:rtl/>
        </w:rPr>
      </w:pPr>
      <w:r w:rsidRPr="00C65A55">
        <w:rPr>
          <w:color w:val="FFFFFF"/>
          <w:sz w:val="2"/>
          <w:szCs w:val="2"/>
          <w:rtl/>
        </w:rPr>
        <w:t>5129371</w:t>
      </w:r>
    </w:p>
    <w:p w14:paraId="74B2D993" w14:textId="77777777" w:rsidR="00C54103" w:rsidRDefault="00C65A55" w:rsidP="00C54103">
      <w:r w:rsidRPr="00C65A55">
        <w:rPr>
          <w:rFonts w:ascii="David" w:hAnsi="David"/>
          <w:color w:val="FFFFFF"/>
          <w:sz w:val="2"/>
          <w:szCs w:val="2"/>
          <w:rtl/>
        </w:rPr>
        <w:t>54678313</w:t>
      </w:r>
    </w:p>
    <w:p w14:paraId="0C51C05C" w14:textId="77777777" w:rsidR="00C54103" w:rsidRDefault="00C54103" w:rsidP="00C54103">
      <w:pPr>
        <w:rPr>
          <w:rtl/>
        </w:rPr>
      </w:pPr>
    </w:p>
    <w:p w14:paraId="374D48E3" w14:textId="77777777" w:rsidR="00C54103" w:rsidRDefault="00C54103" w:rsidP="00C54103">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2AF20089" w14:textId="77777777" w:rsidR="00C65A55" w:rsidRPr="00C65A55" w:rsidRDefault="00C65A55" w:rsidP="00C65A55">
      <w:pPr>
        <w:keepNext/>
        <w:rPr>
          <w:rFonts w:ascii="David" w:hAnsi="David"/>
          <w:color w:val="000000"/>
          <w:sz w:val="22"/>
          <w:szCs w:val="22"/>
          <w:rtl/>
        </w:rPr>
      </w:pPr>
    </w:p>
    <w:p w14:paraId="210B59F8" w14:textId="77777777" w:rsidR="00C65A55" w:rsidRPr="00C65A55" w:rsidRDefault="00C65A55" w:rsidP="00C65A55">
      <w:pPr>
        <w:keepNext/>
        <w:rPr>
          <w:rFonts w:ascii="David" w:hAnsi="David"/>
          <w:color w:val="000000"/>
          <w:sz w:val="22"/>
          <w:szCs w:val="22"/>
          <w:rtl/>
        </w:rPr>
      </w:pPr>
      <w:r w:rsidRPr="00C65A55">
        <w:rPr>
          <w:rFonts w:ascii="David" w:hAnsi="David"/>
          <w:color w:val="000000"/>
          <w:sz w:val="22"/>
          <w:szCs w:val="22"/>
          <w:rtl/>
        </w:rPr>
        <w:t>מנחם מזרחי 54678313-/</w:t>
      </w:r>
    </w:p>
    <w:p w14:paraId="4B873C89" w14:textId="77777777" w:rsidR="00C54103" w:rsidRPr="00C54103" w:rsidRDefault="00C65A55" w:rsidP="00C65A55">
      <w:pPr>
        <w:rPr>
          <w:rFonts w:hint="cs"/>
          <w:color w:val="0000FF"/>
          <w:u w:val="single"/>
        </w:rPr>
      </w:pPr>
      <w:r w:rsidRPr="00C65A55">
        <w:rPr>
          <w:color w:val="000000"/>
          <w:u w:val="single"/>
          <w:rtl/>
        </w:rPr>
        <w:t>נוסח מסמך זה כפוף לשינויי ניסוח ועריכה</w:t>
      </w:r>
      <w:r w:rsidR="00A065FC">
        <w:rPr>
          <w:rFonts w:hint="cs"/>
          <w:color w:val="0000FF"/>
          <w:u w:val="single"/>
          <w:rtl/>
        </w:rPr>
        <w:t xml:space="preserve"> </w:t>
      </w:r>
    </w:p>
    <w:sectPr w:rsidR="00C54103" w:rsidRPr="00C54103" w:rsidSect="00C65A55">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F6D1E" w14:textId="77777777" w:rsidR="00B75570" w:rsidRDefault="00B75570" w:rsidP="006C5566">
      <w:r>
        <w:separator/>
      </w:r>
    </w:p>
  </w:endnote>
  <w:endnote w:type="continuationSeparator" w:id="0">
    <w:p w14:paraId="5A088F65" w14:textId="77777777" w:rsidR="00B75570" w:rsidRDefault="00B75570" w:rsidP="006C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443D4" w14:textId="77777777" w:rsidR="00C65A55" w:rsidRDefault="00C65A55" w:rsidP="00C65A5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5B10FB" w14:textId="77777777" w:rsidR="0093328F" w:rsidRPr="00C65A55" w:rsidRDefault="00C65A55" w:rsidP="00C65A55">
    <w:pPr>
      <w:pStyle w:val="a5"/>
      <w:pBdr>
        <w:top w:val="single" w:sz="4" w:space="1" w:color="auto"/>
        <w:between w:val="single" w:sz="4" w:space="0" w:color="auto"/>
      </w:pBdr>
      <w:spacing w:after="60"/>
      <w:jc w:val="center"/>
      <w:rPr>
        <w:rFonts w:ascii="FrankRuehl" w:hAnsi="FrankRuehl" w:cs="FrankRuehl"/>
        <w:color w:val="000000"/>
      </w:rPr>
    </w:pPr>
    <w:r w:rsidRPr="00C65A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BE11D" w14:textId="77777777" w:rsidR="00C65A55" w:rsidRDefault="00C65A55" w:rsidP="00C65A5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2446">
      <w:rPr>
        <w:rFonts w:ascii="FrankRuehl" w:hAnsi="FrankRuehl" w:cs="FrankRuehl"/>
        <w:noProof/>
        <w:rtl/>
      </w:rPr>
      <w:t>1</w:t>
    </w:r>
    <w:r>
      <w:rPr>
        <w:rFonts w:ascii="FrankRuehl" w:hAnsi="FrankRuehl" w:cs="FrankRuehl"/>
        <w:rtl/>
      </w:rPr>
      <w:fldChar w:fldCharType="end"/>
    </w:r>
  </w:p>
  <w:p w14:paraId="02B7F42C" w14:textId="77777777" w:rsidR="0093328F" w:rsidRPr="00C65A55" w:rsidRDefault="00C65A55" w:rsidP="00C65A55">
    <w:pPr>
      <w:pStyle w:val="a5"/>
      <w:pBdr>
        <w:top w:val="single" w:sz="4" w:space="1" w:color="auto"/>
        <w:between w:val="single" w:sz="4" w:space="0" w:color="auto"/>
      </w:pBdr>
      <w:spacing w:after="60"/>
      <w:jc w:val="center"/>
      <w:rPr>
        <w:rFonts w:ascii="FrankRuehl" w:hAnsi="FrankRuehl" w:cs="FrankRuehl"/>
        <w:color w:val="000000"/>
      </w:rPr>
    </w:pPr>
    <w:r w:rsidRPr="00C65A55">
      <w:rPr>
        <w:rFonts w:ascii="FrankRuehl" w:hAnsi="FrankRuehl" w:cs="FrankRuehl"/>
        <w:color w:val="000000"/>
      </w:rPr>
      <w:pict w14:anchorId="35FC0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40EF7" w14:textId="77777777" w:rsidR="00B75570" w:rsidRDefault="00B75570" w:rsidP="006C5566">
      <w:r>
        <w:separator/>
      </w:r>
    </w:p>
  </w:footnote>
  <w:footnote w:type="continuationSeparator" w:id="0">
    <w:p w14:paraId="6BDD39F8" w14:textId="77777777" w:rsidR="00B75570" w:rsidRDefault="00B75570" w:rsidP="006C5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5678E" w14:textId="77777777" w:rsidR="00C54103" w:rsidRPr="00C65A55" w:rsidRDefault="00C65A55" w:rsidP="00C65A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13478-06-19</w:t>
    </w:r>
    <w:r>
      <w:rPr>
        <w:rFonts w:ascii="David" w:hAnsi="David"/>
        <w:color w:val="000000"/>
        <w:sz w:val="22"/>
        <w:szCs w:val="22"/>
        <w:rtl/>
      </w:rPr>
      <w:tab/>
      <w:t xml:space="preserve"> מדינת ישראל  נ' נשאאת אלשמאלי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B191D" w14:textId="77777777" w:rsidR="00C54103" w:rsidRPr="00C65A55" w:rsidRDefault="00C65A55" w:rsidP="00C65A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13478-06-19</w:t>
    </w:r>
    <w:r>
      <w:rPr>
        <w:rFonts w:ascii="David" w:hAnsi="David"/>
        <w:color w:val="000000"/>
        <w:sz w:val="22"/>
        <w:szCs w:val="22"/>
        <w:rtl/>
      </w:rPr>
      <w:tab/>
      <w:t xml:space="preserve"> מדינת ישראל  נ' נשאאת אלשמאלי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4B8D"/>
    <w:rsid w:val="00086FDE"/>
    <w:rsid w:val="002A484E"/>
    <w:rsid w:val="003A33AF"/>
    <w:rsid w:val="004512DD"/>
    <w:rsid w:val="00605F4A"/>
    <w:rsid w:val="006C5566"/>
    <w:rsid w:val="008646FE"/>
    <w:rsid w:val="008D5E2D"/>
    <w:rsid w:val="0093328F"/>
    <w:rsid w:val="00964B8D"/>
    <w:rsid w:val="00A065FC"/>
    <w:rsid w:val="00B75570"/>
    <w:rsid w:val="00C01C15"/>
    <w:rsid w:val="00C54103"/>
    <w:rsid w:val="00C65A55"/>
    <w:rsid w:val="00E60D91"/>
    <w:rsid w:val="00E924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B0C753"/>
  <w15:chartTrackingRefBased/>
  <w15:docId w15:val="{7CBD1444-9145-4F5C-820F-6742BC5F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4B8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4B8D"/>
    <w:pPr>
      <w:tabs>
        <w:tab w:val="center" w:pos="4153"/>
        <w:tab w:val="right" w:pos="8306"/>
      </w:tabs>
    </w:pPr>
  </w:style>
  <w:style w:type="character" w:customStyle="1" w:styleId="a4">
    <w:name w:val="כותרת עליונה תו"/>
    <w:link w:val="a3"/>
    <w:rsid w:val="00964B8D"/>
    <w:rPr>
      <w:rFonts w:ascii="Times New Roman" w:eastAsia="Times New Roman" w:hAnsi="Times New Roman" w:cs="David"/>
      <w:sz w:val="24"/>
      <w:szCs w:val="24"/>
    </w:rPr>
  </w:style>
  <w:style w:type="paragraph" w:styleId="a5">
    <w:name w:val="footer"/>
    <w:basedOn w:val="a"/>
    <w:link w:val="a6"/>
    <w:rsid w:val="00964B8D"/>
    <w:pPr>
      <w:tabs>
        <w:tab w:val="center" w:pos="4153"/>
        <w:tab w:val="right" w:pos="8306"/>
      </w:tabs>
    </w:pPr>
  </w:style>
  <w:style w:type="character" w:customStyle="1" w:styleId="a6">
    <w:name w:val="כותרת תחתונה תו"/>
    <w:link w:val="a5"/>
    <w:rsid w:val="00964B8D"/>
    <w:rPr>
      <w:rFonts w:ascii="Times New Roman" w:eastAsia="Times New Roman" w:hAnsi="Times New Roman" w:cs="David"/>
      <w:sz w:val="24"/>
      <w:szCs w:val="24"/>
    </w:rPr>
  </w:style>
  <w:style w:type="table" w:styleId="a7">
    <w:name w:val="Table Grid"/>
    <w:basedOn w:val="a1"/>
    <w:rsid w:val="00964B8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64B8D"/>
  </w:style>
  <w:style w:type="character" w:styleId="Hyperlink">
    <w:name w:val="Hyperlink"/>
    <w:rsid w:val="00C541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3798540" TargetMode="External"/><Relationship Id="rId18" Type="http://schemas.openxmlformats.org/officeDocument/2006/relationships/hyperlink" Target="http://www.nevo.co.il/case/26983382"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4908116" TargetMode="External"/><Relationship Id="rId7" Type="http://schemas.openxmlformats.org/officeDocument/2006/relationships/hyperlink" Target="http://www.nevo.co.il/law/70301/144.a" TargetMode="External"/><Relationship Id="rId12" Type="http://schemas.openxmlformats.org/officeDocument/2006/relationships/hyperlink" Target="http://www.nevo.co.il/case/25528737" TargetMode="External"/><Relationship Id="rId17" Type="http://schemas.openxmlformats.org/officeDocument/2006/relationships/hyperlink" Target="http://www.nevo.co.il/case/22505401" TargetMode="External"/><Relationship Id="rId25" Type="http://schemas.openxmlformats.org/officeDocument/2006/relationships/hyperlink" Target="http://www.nevo.co.il/case/17929065" TargetMode="External"/><Relationship Id="rId2" Type="http://schemas.openxmlformats.org/officeDocument/2006/relationships/settings" Target="settings.xml"/><Relationship Id="rId16" Type="http://schemas.openxmlformats.org/officeDocument/2006/relationships/hyperlink" Target="http://www.nevo.co.il/case/23587328" TargetMode="External"/><Relationship Id="rId20" Type="http://schemas.openxmlformats.org/officeDocument/2006/relationships/hyperlink" Target="http://www.nevo.co.il/case/25614110"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2905664" TargetMode="External"/><Relationship Id="rId24" Type="http://schemas.openxmlformats.org/officeDocument/2006/relationships/hyperlink" Target="http://www.nevo.co.il/case/26934681"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6913995" TargetMode="External"/><Relationship Id="rId23" Type="http://schemas.openxmlformats.org/officeDocument/2006/relationships/hyperlink" Target="http://www.nevo.co.il/case/25646713" TargetMode="External"/><Relationship Id="rId28"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24900915"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5852404" TargetMode="External"/><Relationship Id="rId22" Type="http://schemas.openxmlformats.org/officeDocument/2006/relationships/hyperlink" Target="http://www.nevo.co.il/case/24372653"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2620</Words>
  <Characters>13100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15689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3604593</vt:i4>
      </vt:variant>
      <vt:variant>
        <vt:i4>57</vt:i4>
      </vt:variant>
      <vt:variant>
        <vt:i4>0</vt:i4>
      </vt:variant>
      <vt:variant>
        <vt:i4>5</vt:i4>
      </vt:variant>
      <vt:variant>
        <vt:lpwstr>http://www.nevo.co.il/case/17929065</vt:lpwstr>
      </vt:variant>
      <vt:variant>
        <vt:lpwstr/>
      </vt:variant>
      <vt:variant>
        <vt:i4>3604599</vt:i4>
      </vt:variant>
      <vt:variant>
        <vt:i4>54</vt:i4>
      </vt:variant>
      <vt:variant>
        <vt:i4>0</vt:i4>
      </vt:variant>
      <vt:variant>
        <vt:i4>5</vt:i4>
      </vt:variant>
      <vt:variant>
        <vt:lpwstr>http://www.nevo.co.il/case/26934681</vt:lpwstr>
      </vt:variant>
      <vt:variant>
        <vt:lpwstr/>
      </vt:variant>
      <vt:variant>
        <vt:i4>3342450</vt:i4>
      </vt:variant>
      <vt:variant>
        <vt:i4>51</vt:i4>
      </vt:variant>
      <vt:variant>
        <vt:i4>0</vt:i4>
      </vt:variant>
      <vt:variant>
        <vt:i4>5</vt:i4>
      </vt:variant>
      <vt:variant>
        <vt:lpwstr>http://www.nevo.co.il/case/25646713</vt:lpwstr>
      </vt:variant>
      <vt:variant>
        <vt:lpwstr/>
      </vt:variant>
      <vt:variant>
        <vt:i4>3539057</vt:i4>
      </vt:variant>
      <vt:variant>
        <vt:i4>48</vt:i4>
      </vt:variant>
      <vt:variant>
        <vt:i4>0</vt:i4>
      </vt:variant>
      <vt:variant>
        <vt:i4>5</vt:i4>
      </vt:variant>
      <vt:variant>
        <vt:lpwstr>http://www.nevo.co.il/case/24372653</vt:lpwstr>
      </vt:variant>
      <vt:variant>
        <vt:lpwstr/>
      </vt:variant>
      <vt:variant>
        <vt:i4>3276913</vt:i4>
      </vt:variant>
      <vt:variant>
        <vt:i4>45</vt:i4>
      </vt:variant>
      <vt:variant>
        <vt:i4>0</vt:i4>
      </vt:variant>
      <vt:variant>
        <vt:i4>5</vt:i4>
      </vt:variant>
      <vt:variant>
        <vt:lpwstr>http://www.nevo.co.il/case/24908116</vt:lpwstr>
      </vt:variant>
      <vt:variant>
        <vt:lpwstr/>
      </vt:variant>
      <vt:variant>
        <vt:i4>3211377</vt:i4>
      </vt:variant>
      <vt:variant>
        <vt:i4>42</vt:i4>
      </vt:variant>
      <vt:variant>
        <vt:i4>0</vt:i4>
      </vt:variant>
      <vt:variant>
        <vt:i4>5</vt:i4>
      </vt:variant>
      <vt:variant>
        <vt:lpwstr>http://www.nevo.co.il/case/25614110</vt:lpwstr>
      </vt:variant>
      <vt:variant>
        <vt:lpwstr/>
      </vt:variant>
      <vt:variant>
        <vt:i4>3801209</vt:i4>
      </vt:variant>
      <vt:variant>
        <vt:i4>39</vt:i4>
      </vt:variant>
      <vt:variant>
        <vt:i4>0</vt:i4>
      </vt:variant>
      <vt:variant>
        <vt:i4>5</vt:i4>
      </vt:variant>
      <vt:variant>
        <vt:lpwstr>http://www.nevo.co.il/case/24900915</vt:lpwstr>
      </vt:variant>
      <vt:variant>
        <vt:lpwstr/>
      </vt:variant>
      <vt:variant>
        <vt:i4>3145849</vt:i4>
      </vt:variant>
      <vt:variant>
        <vt:i4>36</vt:i4>
      </vt:variant>
      <vt:variant>
        <vt:i4>0</vt:i4>
      </vt:variant>
      <vt:variant>
        <vt:i4>5</vt:i4>
      </vt:variant>
      <vt:variant>
        <vt:lpwstr>http://www.nevo.co.il/case/26983382</vt:lpwstr>
      </vt:variant>
      <vt:variant>
        <vt:lpwstr/>
      </vt:variant>
      <vt:variant>
        <vt:i4>3276914</vt:i4>
      </vt:variant>
      <vt:variant>
        <vt:i4>33</vt:i4>
      </vt:variant>
      <vt:variant>
        <vt:i4>0</vt:i4>
      </vt:variant>
      <vt:variant>
        <vt:i4>5</vt:i4>
      </vt:variant>
      <vt:variant>
        <vt:lpwstr>http://www.nevo.co.il/case/22505401</vt:lpwstr>
      </vt:variant>
      <vt:variant>
        <vt:lpwstr/>
      </vt:variant>
      <vt:variant>
        <vt:i4>3276924</vt:i4>
      </vt:variant>
      <vt:variant>
        <vt:i4>30</vt:i4>
      </vt:variant>
      <vt:variant>
        <vt:i4>0</vt:i4>
      </vt:variant>
      <vt:variant>
        <vt:i4>5</vt:i4>
      </vt:variant>
      <vt:variant>
        <vt:lpwstr>http://www.nevo.co.il/case/23587328</vt:lpwstr>
      </vt:variant>
      <vt:variant>
        <vt:lpwstr/>
      </vt:variant>
      <vt:variant>
        <vt:i4>3211386</vt:i4>
      </vt:variant>
      <vt:variant>
        <vt:i4>27</vt:i4>
      </vt:variant>
      <vt:variant>
        <vt:i4>0</vt:i4>
      </vt:variant>
      <vt:variant>
        <vt:i4>5</vt:i4>
      </vt:variant>
      <vt:variant>
        <vt:lpwstr>http://www.nevo.co.il/case/26913995</vt:lpwstr>
      </vt:variant>
      <vt:variant>
        <vt:lpwstr/>
      </vt:variant>
      <vt:variant>
        <vt:i4>3145854</vt:i4>
      </vt:variant>
      <vt:variant>
        <vt:i4>24</vt:i4>
      </vt:variant>
      <vt:variant>
        <vt:i4>0</vt:i4>
      </vt:variant>
      <vt:variant>
        <vt:i4>5</vt:i4>
      </vt:variant>
      <vt:variant>
        <vt:lpwstr>http://www.nevo.co.il/case/5852404</vt:lpwstr>
      </vt:variant>
      <vt:variant>
        <vt:lpwstr/>
      </vt:variant>
      <vt:variant>
        <vt:i4>3735675</vt:i4>
      </vt:variant>
      <vt:variant>
        <vt:i4>21</vt:i4>
      </vt:variant>
      <vt:variant>
        <vt:i4>0</vt:i4>
      </vt:variant>
      <vt:variant>
        <vt:i4>5</vt:i4>
      </vt:variant>
      <vt:variant>
        <vt:lpwstr>http://www.nevo.co.il/case/23798540</vt:lpwstr>
      </vt:variant>
      <vt:variant>
        <vt:lpwstr/>
      </vt:variant>
      <vt:variant>
        <vt:i4>3932276</vt:i4>
      </vt:variant>
      <vt:variant>
        <vt:i4>18</vt:i4>
      </vt:variant>
      <vt:variant>
        <vt:i4>0</vt:i4>
      </vt:variant>
      <vt:variant>
        <vt:i4>5</vt:i4>
      </vt:variant>
      <vt:variant>
        <vt:lpwstr>http://www.nevo.co.il/case/25528737</vt:lpwstr>
      </vt:variant>
      <vt:variant>
        <vt:lpwstr/>
      </vt:variant>
      <vt:variant>
        <vt:i4>3670128</vt:i4>
      </vt:variant>
      <vt:variant>
        <vt:i4>15</vt:i4>
      </vt:variant>
      <vt:variant>
        <vt:i4>0</vt:i4>
      </vt:variant>
      <vt:variant>
        <vt:i4>5</vt:i4>
      </vt:variant>
      <vt:variant>
        <vt:lpwstr>http://www.nevo.co.il/case/22905664</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2025-04-25T11:07:00Z</dcterms:created>
  <dcterms:modified xsi:type="dcterms:W3CDTF">2025-04-25T11:07:00Z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13478</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נשאאת אלשמאלי;וואסים אלשמאלי</vt:lpwstr>
  </property>
  <property fmtid="{D5CDD505-2E9C-101B-9397-08002B2CF9AE}" pid="10" name="LAWYER">
    <vt:lpwstr>טל שילוני;שאדי כבהא</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20210128</vt:lpwstr>
  </property>
  <property fmtid="{D5CDD505-2E9C-101B-9397-08002B2CF9AE}" pid="14" name="TYPE_N_DATE">
    <vt:lpwstr>38020210128</vt:lpwstr>
  </property>
  <property fmtid="{D5CDD505-2E9C-101B-9397-08002B2CF9AE}" pid="15" name="WORDNUMPAGES">
    <vt:lpwstr>11</vt:lpwstr>
  </property>
  <property fmtid="{D5CDD505-2E9C-101B-9397-08002B2CF9AE}" pid="16" name="TYPE_ABS_DATE">
    <vt:lpwstr>380020210128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22905664;25528737;23798540;5852404;26913995;23587328;22505401;26983382;24900915;25614110;24908116;24372653;25646713;26934681;17929065</vt:lpwstr>
  </property>
  <property fmtid="{D5CDD505-2E9C-101B-9397-08002B2CF9AE}" pid="36" name="LAWLISTTMP1">
    <vt:lpwstr>70301/144.a:2</vt:lpwstr>
  </property>
</Properties>
</file>