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ED6B48" w:rsidRPr="00FB2F19" w14:paraId="18CFC368" w14:textId="77777777" w:rsidTr="00B92734">
        <w:trPr>
          <w:trHeight w:hRule="exact" w:val="704"/>
          <w:jc w:val="center"/>
        </w:trPr>
        <w:tc>
          <w:tcPr>
            <w:tcW w:w="8721" w:type="dxa"/>
            <w:gridSpan w:val="2"/>
          </w:tcPr>
          <w:p w14:paraId="5C7CBA23" w14:textId="77777777" w:rsidR="00ED6B48" w:rsidRPr="00FB2F19" w:rsidRDefault="00ED6B48" w:rsidP="00B92734">
            <w:pPr>
              <w:pStyle w:val="a3"/>
              <w:jc w:val="center"/>
              <w:rPr>
                <w:rFonts w:ascii="Tahoma" w:hAnsi="Tahoma" w:cs="Tahoma"/>
                <w:b/>
                <w:bCs/>
                <w:noProof w:val="0"/>
                <w:color w:val="000080"/>
                <w:rtl/>
              </w:rPr>
            </w:pPr>
            <w:bookmarkStart w:id="0" w:name="LastJudge"/>
            <w:r w:rsidRPr="00FB2F19">
              <w:rPr>
                <w:rFonts w:ascii="Tahoma" w:hAnsi="Tahoma" w:cs="Tahoma"/>
                <w:b/>
                <w:bCs/>
                <w:noProof w:val="0"/>
                <w:color w:val="000080"/>
                <w:rtl/>
              </w:rPr>
              <w:t>בית משפט השלום בבאר שבע</w:t>
            </w:r>
          </w:p>
          <w:p w14:paraId="37FDA5D6" w14:textId="77777777" w:rsidR="00ED6B48" w:rsidRPr="00FB2F19" w:rsidRDefault="00ED6B48" w:rsidP="00B92734">
            <w:pPr>
              <w:pStyle w:val="a3"/>
              <w:jc w:val="center"/>
              <w:rPr>
                <w:rFonts w:ascii="Tahoma" w:hAnsi="Tahoma" w:cs="Tahoma"/>
                <w:noProof w:val="0"/>
                <w:color w:val="000080"/>
                <w:rtl/>
              </w:rPr>
            </w:pPr>
          </w:p>
        </w:tc>
      </w:tr>
      <w:tr w:rsidR="00ED6B48" w:rsidRPr="00FB2F19" w14:paraId="25CF8B3B" w14:textId="77777777" w:rsidTr="00B92734">
        <w:trPr>
          <w:trHeight w:val="337"/>
          <w:jc w:val="center"/>
        </w:trPr>
        <w:tc>
          <w:tcPr>
            <w:tcW w:w="4473" w:type="dxa"/>
          </w:tcPr>
          <w:p w14:paraId="75883D40" w14:textId="77777777" w:rsidR="00ED6B48" w:rsidRPr="00FB2F19" w:rsidRDefault="00ED6B48" w:rsidP="00B92734">
            <w:pPr>
              <w:rPr>
                <w:b/>
                <w:bCs/>
                <w:noProof w:val="0"/>
                <w:sz w:val="26"/>
                <w:szCs w:val="26"/>
                <w:rtl/>
              </w:rPr>
            </w:pPr>
          </w:p>
        </w:tc>
        <w:tc>
          <w:tcPr>
            <w:tcW w:w="4248" w:type="dxa"/>
          </w:tcPr>
          <w:p w14:paraId="06A2C39A" w14:textId="77777777" w:rsidR="00ED6B48" w:rsidRPr="00FB2F19" w:rsidRDefault="00ED6B48" w:rsidP="00B92734">
            <w:pPr>
              <w:pStyle w:val="a3"/>
              <w:jc w:val="right"/>
              <w:rPr>
                <w:b/>
                <w:bCs/>
                <w:noProof w:val="0"/>
                <w:sz w:val="26"/>
                <w:szCs w:val="26"/>
                <w:rtl/>
              </w:rPr>
            </w:pPr>
            <w:r w:rsidRPr="00FB2F19">
              <w:rPr>
                <w:b/>
                <w:bCs/>
                <w:noProof w:val="0"/>
                <w:sz w:val="26"/>
                <w:szCs w:val="26"/>
                <w:rtl/>
              </w:rPr>
              <w:t>ז' שבט תש"פ</w:t>
            </w:r>
          </w:p>
          <w:p w14:paraId="2D36AE75" w14:textId="77777777" w:rsidR="00ED6B48" w:rsidRPr="00FB2F19" w:rsidRDefault="00ED6B48" w:rsidP="00B92734">
            <w:pPr>
              <w:pStyle w:val="a3"/>
              <w:jc w:val="right"/>
              <w:rPr>
                <w:b/>
                <w:bCs/>
                <w:noProof w:val="0"/>
                <w:sz w:val="26"/>
                <w:szCs w:val="26"/>
                <w:rtl/>
              </w:rPr>
            </w:pPr>
            <w:r w:rsidRPr="00FB2F19">
              <w:rPr>
                <w:b/>
                <w:bCs/>
                <w:noProof w:val="0"/>
                <w:sz w:val="26"/>
                <w:szCs w:val="26"/>
                <w:rtl/>
              </w:rPr>
              <w:t>02 פברואר 2020</w:t>
            </w:r>
          </w:p>
        </w:tc>
      </w:tr>
      <w:tr w:rsidR="00ED6B48" w:rsidRPr="00FB2F19" w14:paraId="7427DCF7" w14:textId="77777777" w:rsidTr="00B92734">
        <w:trPr>
          <w:trHeight w:val="337"/>
          <w:jc w:val="center"/>
        </w:trPr>
        <w:tc>
          <w:tcPr>
            <w:tcW w:w="8721" w:type="dxa"/>
            <w:gridSpan w:val="2"/>
          </w:tcPr>
          <w:p w14:paraId="261D3046" w14:textId="77777777" w:rsidR="00ED6B48" w:rsidRPr="00FB2F19" w:rsidRDefault="00FB2F19" w:rsidP="00B92734">
            <w:pPr>
              <w:rPr>
                <w:b/>
                <w:bCs/>
                <w:noProof w:val="0"/>
                <w:sz w:val="26"/>
                <w:szCs w:val="26"/>
                <w:rtl/>
              </w:rPr>
            </w:pPr>
            <w:hyperlink r:id="rId6" w:history="1">
              <w:r w:rsidRPr="00FB2F19">
                <w:rPr>
                  <w:b/>
                  <w:bCs/>
                  <w:noProof w:val="0"/>
                  <w:color w:val="0000FF"/>
                  <w:sz w:val="26"/>
                  <w:szCs w:val="26"/>
                  <w:u w:val="single"/>
                  <w:rtl/>
                </w:rPr>
                <w:t>ת"פ 60805-07-19</w:t>
              </w:r>
            </w:hyperlink>
            <w:r w:rsidR="00ED6B48" w:rsidRPr="00FB2F19">
              <w:rPr>
                <w:b/>
                <w:bCs/>
                <w:noProof w:val="0"/>
                <w:sz w:val="26"/>
                <w:szCs w:val="26"/>
                <w:rtl/>
              </w:rPr>
              <w:t xml:space="preserve"> מדינת ישראל נ' אלקאדי(עציר)</w:t>
            </w:r>
          </w:p>
          <w:p w14:paraId="48D1BF1A" w14:textId="77777777" w:rsidR="00ED6B48" w:rsidRPr="00FB2F19" w:rsidRDefault="00ED6B48" w:rsidP="00B92734">
            <w:pPr>
              <w:rPr>
                <w:rtl/>
              </w:rPr>
            </w:pPr>
          </w:p>
          <w:p w14:paraId="319D21D6" w14:textId="77777777" w:rsidR="00ED6B48" w:rsidRPr="00FB2F19" w:rsidRDefault="00ED6B48" w:rsidP="00B92734">
            <w:pPr>
              <w:rPr>
                <w:rtl/>
              </w:rPr>
            </w:pPr>
            <w:r w:rsidRPr="00FB2F19">
              <w:rPr>
                <w:rFonts w:hint="cs"/>
                <w:sz w:val="20"/>
                <w:szCs w:val="20"/>
                <w:rtl/>
              </w:rPr>
              <w:t>תיק חיצוני</w:t>
            </w:r>
            <w:r w:rsidRPr="00FB2F19">
              <w:rPr>
                <w:rFonts w:hint="cs"/>
                <w:rtl/>
              </w:rPr>
              <w:t xml:space="preserve">: </w:t>
            </w:r>
            <w:r w:rsidRPr="00FB2F19">
              <w:rPr>
                <w:sz w:val="20"/>
                <w:szCs w:val="20"/>
              </w:rPr>
              <w:t>3813/2019</w:t>
            </w:r>
          </w:p>
        </w:tc>
      </w:tr>
    </w:tbl>
    <w:p w14:paraId="3854E1D9" w14:textId="77777777" w:rsidR="00ED6B48" w:rsidRPr="00FB2F19" w:rsidRDefault="00ED6B48" w:rsidP="00ED6B48">
      <w:pPr>
        <w:pStyle w:val="a3"/>
        <w:rPr>
          <w:noProof w:val="0"/>
          <w:rtl/>
        </w:rPr>
      </w:pPr>
      <w:r w:rsidRPr="00FB2F19">
        <w:rPr>
          <w:noProof w:val="0"/>
          <w:rtl/>
        </w:rPr>
        <w:t xml:space="preserve"> </w:t>
      </w:r>
    </w:p>
    <w:p w14:paraId="2B690DE3" w14:textId="77777777" w:rsidR="00ED6B48" w:rsidRPr="00FB2F19" w:rsidRDefault="00ED6B48" w:rsidP="00ED6B48">
      <w:pPr>
        <w:suppressLineNumbers/>
        <w:rPr>
          <w:rtl/>
        </w:rPr>
      </w:pPr>
    </w:p>
    <w:p w14:paraId="78467EF3" w14:textId="77777777" w:rsidR="00ED6B48" w:rsidRPr="00FB2F19" w:rsidRDefault="00ED6B48" w:rsidP="00ED6B48">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ED6B48" w:rsidRPr="00FB2F19" w14:paraId="1DAB3659" w14:textId="77777777" w:rsidTr="00ED6B48">
        <w:trPr>
          <w:jc w:val="center"/>
        </w:trPr>
        <w:tc>
          <w:tcPr>
            <w:tcW w:w="743" w:type="dxa"/>
            <w:shd w:val="clear" w:color="auto" w:fill="auto"/>
          </w:tcPr>
          <w:p w14:paraId="4381270A" w14:textId="77777777" w:rsidR="00ED6B48" w:rsidRPr="00FB2F19" w:rsidRDefault="00ED6B48" w:rsidP="00ED6B48">
            <w:pPr>
              <w:jc w:val="both"/>
              <w:rPr>
                <w:rFonts w:ascii="Arial" w:hAnsi="Arial"/>
                <w:b/>
                <w:bCs/>
              </w:rPr>
            </w:pPr>
            <w:r w:rsidRPr="00FB2F19">
              <w:rPr>
                <w:rFonts w:ascii="Arial" w:hAnsi="Arial" w:hint="cs"/>
                <w:b/>
                <w:bCs/>
                <w:rtl/>
              </w:rPr>
              <w:t>לפני</w:t>
            </w:r>
          </w:p>
        </w:tc>
        <w:tc>
          <w:tcPr>
            <w:tcW w:w="8077" w:type="dxa"/>
            <w:gridSpan w:val="2"/>
            <w:shd w:val="clear" w:color="auto" w:fill="auto"/>
          </w:tcPr>
          <w:p w14:paraId="4CC380BA" w14:textId="77777777" w:rsidR="00ED6B48" w:rsidRPr="00FB2F19" w:rsidRDefault="00ED6B48" w:rsidP="00B92734">
            <w:pPr>
              <w:rPr>
                <w:rFonts w:ascii="Arial" w:hAnsi="Arial"/>
                <w:b/>
                <w:bCs/>
                <w:rtl/>
              </w:rPr>
            </w:pPr>
            <w:r w:rsidRPr="00FB2F19">
              <w:rPr>
                <w:rFonts w:ascii="Arial" w:hAnsi="Arial" w:hint="cs"/>
                <w:b/>
                <w:bCs/>
                <w:rtl/>
              </w:rPr>
              <w:t>כב' ה</w:t>
            </w:r>
            <w:r w:rsidRPr="00FB2F19">
              <w:rPr>
                <w:rFonts w:ascii="Arial" w:hAnsi="Arial"/>
                <w:b/>
                <w:bCs/>
                <w:rtl/>
              </w:rPr>
              <w:t>שופט</w:t>
            </w:r>
            <w:r w:rsidRPr="00FB2F19">
              <w:rPr>
                <w:rFonts w:ascii="Arial" w:hAnsi="Arial" w:hint="cs"/>
                <w:b/>
                <w:bCs/>
                <w:rtl/>
              </w:rPr>
              <w:t xml:space="preserve">  </w:t>
            </w:r>
            <w:r w:rsidRPr="00FB2F19">
              <w:rPr>
                <w:rFonts w:ascii="Arial" w:hAnsi="Arial"/>
                <w:b/>
                <w:bCs/>
                <w:rtl/>
              </w:rPr>
              <w:t>רון סולקין</w:t>
            </w:r>
          </w:p>
          <w:p w14:paraId="032E2E19" w14:textId="77777777" w:rsidR="00ED6B48" w:rsidRPr="00FB2F19" w:rsidRDefault="00ED6B48" w:rsidP="00B92734">
            <w:pPr>
              <w:rPr>
                <w:rFonts w:ascii="Arial" w:hAnsi="Arial" w:cs="FrankRuehl"/>
                <w:sz w:val="28"/>
                <w:szCs w:val="28"/>
                <w:highlight w:val="yellow"/>
              </w:rPr>
            </w:pPr>
          </w:p>
        </w:tc>
      </w:tr>
      <w:tr w:rsidR="00ED6B48" w:rsidRPr="00FB2F19" w14:paraId="79CDBCC5" w14:textId="77777777" w:rsidTr="00ED6B48">
        <w:trPr>
          <w:jc w:val="center"/>
        </w:trPr>
        <w:tc>
          <w:tcPr>
            <w:tcW w:w="3249" w:type="dxa"/>
            <w:gridSpan w:val="2"/>
            <w:shd w:val="clear" w:color="auto" w:fill="auto"/>
          </w:tcPr>
          <w:p w14:paraId="4C50AFD4" w14:textId="77777777" w:rsidR="00ED6B48" w:rsidRPr="00FB2F19" w:rsidRDefault="00ED6B48" w:rsidP="00ED6B48">
            <w:pPr>
              <w:bidi w:val="0"/>
              <w:jc w:val="right"/>
              <w:rPr>
                <w:rFonts w:ascii="Arial" w:hAnsi="Arial"/>
                <w:b/>
                <w:bCs/>
                <w:noProof w:val="0"/>
                <w:sz w:val="26"/>
                <w:szCs w:val="26"/>
                <w:rtl/>
              </w:rPr>
            </w:pPr>
            <w:bookmarkStart w:id="1" w:name="FirstAppellant"/>
            <w:bookmarkStart w:id="2" w:name="FirstLawyer"/>
            <w:r w:rsidRPr="00FB2F19">
              <w:rPr>
                <w:rFonts w:ascii="Arial" w:hAnsi="Arial" w:hint="cs"/>
                <w:b/>
                <w:bCs/>
                <w:noProof w:val="0"/>
                <w:sz w:val="26"/>
                <w:szCs w:val="26"/>
                <w:rtl/>
              </w:rPr>
              <w:t>המאשימה</w:t>
            </w:r>
          </w:p>
        </w:tc>
        <w:tc>
          <w:tcPr>
            <w:tcW w:w="5571" w:type="dxa"/>
            <w:shd w:val="clear" w:color="auto" w:fill="auto"/>
          </w:tcPr>
          <w:p w14:paraId="4E762B09" w14:textId="77777777" w:rsidR="00ED6B48" w:rsidRPr="00FB2F19" w:rsidRDefault="00ED6B48" w:rsidP="00B92734">
            <w:pPr>
              <w:rPr>
                <w:rFonts w:ascii="Arial" w:hAnsi="Arial"/>
                <w:b/>
                <w:bCs/>
                <w:noProof w:val="0"/>
                <w:sz w:val="26"/>
                <w:szCs w:val="26"/>
                <w:rtl/>
              </w:rPr>
            </w:pPr>
            <w:r w:rsidRPr="00FB2F19">
              <w:rPr>
                <w:rFonts w:ascii="Arial" w:hAnsi="Arial"/>
                <w:b/>
                <w:bCs/>
                <w:noProof w:val="0"/>
                <w:sz w:val="26"/>
                <w:szCs w:val="26"/>
                <w:rtl/>
              </w:rPr>
              <w:t>מדינת ישראל</w:t>
            </w:r>
            <w:r w:rsidRPr="00FB2F19">
              <w:rPr>
                <w:rFonts w:ascii="Arial" w:hAnsi="Arial" w:hint="cs"/>
                <w:b/>
                <w:bCs/>
                <w:noProof w:val="0"/>
                <w:sz w:val="26"/>
                <w:szCs w:val="26"/>
                <w:rtl/>
              </w:rPr>
              <w:t xml:space="preserve"> </w:t>
            </w:r>
            <w:r w:rsidRPr="00FB2F19">
              <w:rPr>
                <w:rFonts w:ascii="Arial" w:hAnsi="Arial"/>
                <w:b/>
                <w:bCs/>
                <w:noProof w:val="0"/>
                <w:sz w:val="26"/>
                <w:szCs w:val="26"/>
                <w:rtl/>
              </w:rPr>
              <w:t>–</w:t>
            </w:r>
            <w:r w:rsidRPr="00FB2F19">
              <w:rPr>
                <w:rFonts w:ascii="Arial" w:hAnsi="Arial" w:hint="cs"/>
                <w:b/>
                <w:bCs/>
                <w:noProof w:val="0"/>
                <w:sz w:val="26"/>
                <w:szCs w:val="26"/>
                <w:rtl/>
              </w:rPr>
              <w:t xml:space="preserve"> פמ"ד</w:t>
            </w:r>
          </w:p>
          <w:p w14:paraId="265DDC00" w14:textId="77777777" w:rsidR="00ED6B48" w:rsidRPr="00FB2F19" w:rsidRDefault="00ED6B48" w:rsidP="00B92734">
            <w:pPr>
              <w:rPr>
                <w:b/>
                <w:bCs/>
                <w:noProof w:val="0"/>
                <w:sz w:val="26"/>
                <w:szCs w:val="26"/>
              </w:rPr>
            </w:pPr>
            <w:r w:rsidRPr="00FB2F19">
              <w:rPr>
                <w:rFonts w:hint="cs"/>
                <w:b/>
                <w:bCs/>
                <w:noProof w:val="0"/>
                <w:sz w:val="26"/>
                <w:szCs w:val="26"/>
                <w:rtl/>
              </w:rPr>
              <w:t>ע"י ב"כ מתמחה שקד סעדון</w:t>
            </w:r>
          </w:p>
        </w:tc>
      </w:tr>
      <w:bookmarkEnd w:id="1"/>
      <w:bookmarkEnd w:id="2"/>
      <w:tr w:rsidR="00ED6B48" w:rsidRPr="00FB2F19" w14:paraId="768CF277" w14:textId="77777777" w:rsidTr="00ED6B48">
        <w:trPr>
          <w:jc w:val="center"/>
        </w:trPr>
        <w:tc>
          <w:tcPr>
            <w:tcW w:w="8820" w:type="dxa"/>
            <w:gridSpan w:val="3"/>
            <w:shd w:val="clear" w:color="auto" w:fill="auto"/>
          </w:tcPr>
          <w:p w14:paraId="64CFCA6C" w14:textId="77777777" w:rsidR="00ED6B48" w:rsidRPr="00FB2F19" w:rsidRDefault="00ED6B48" w:rsidP="00B92734">
            <w:pPr>
              <w:rPr>
                <w:rFonts w:ascii="Arial" w:hAnsi="Arial"/>
                <w:b/>
                <w:bCs/>
                <w:noProof w:val="0"/>
                <w:sz w:val="26"/>
                <w:szCs w:val="26"/>
                <w:rtl/>
              </w:rPr>
            </w:pPr>
          </w:p>
          <w:p w14:paraId="129590FD" w14:textId="77777777" w:rsidR="00ED6B48" w:rsidRPr="00FB2F19" w:rsidRDefault="00ED6B48" w:rsidP="00ED6B48">
            <w:pPr>
              <w:jc w:val="center"/>
              <w:rPr>
                <w:rFonts w:ascii="Arial" w:hAnsi="Arial"/>
                <w:b/>
                <w:bCs/>
                <w:noProof w:val="0"/>
                <w:sz w:val="26"/>
                <w:szCs w:val="26"/>
                <w:rtl/>
              </w:rPr>
            </w:pPr>
            <w:r w:rsidRPr="00FB2F19">
              <w:rPr>
                <w:rFonts w:ascii="Arial" w:hAnsi="Arial"/>
                <w:b/>
                <w:bCs/>
                <w:noProof w:val="0"/>
                <w:sz w:val="26"/>
                <w:szCs w:val="26"/>
                <w:rtl/>
              </w:rPr>
              <w:t>נגד</w:t>
            </w:r>
          </w:p>
          <w:p w14:paraId="0EE80823" w14:textId="77777777" w:rsidR="00ED6B48" w:rsidRPr="00FB2F19" w:rsidRDefault="00ED6B48" w:rsidP="00B92734">
            <w:pPr>
              <w:rPr>
                <w:rFonts w:ascii="Arial" w:hAnsi="Arial"/>
                <w:b/>
                <w:bCs/>
                <w:noProof w:val="0"/>
                <w:sz w:val="26"/>
                <w:szCs w:val="26"/>
              </w:rPr>
            </w:pPr>
          </w:p>
        </w:tc>
      </w:tr>
      <w:tr w:rsidR="00ED6B48" w:rsidRPr="00FB2F19" w14:paraId="4BD98F0A" w14:textId="77777777" w:rsidTr="00ED6B48">
        <w:trPr>
          <w:jc w:val="center"/>
        </w:trPr>
        <w:tc>
          <w:tcPr>
            <w:tcW w:w="3249" w:type="dxa"/>
            <w:gridSpan w:val="2"/>
            <w:shd w:val="clear" w:color="auto" w:fill="auto"/>
          </w:tcPr>
          <w:p w14:paraId="183EB193" w14:textId="77777777" w:rsidR="00ED6B48" w:rsidRPr="00FB2F19" w:rsidRDefault="00ED6B48" w:rsidP="00B92734">
            <w:pPr>
              <w:rPr>
                <w:rFonts w:ascii="Arial" w:hAnsi="Arial"/>
                <w:b/>
                <w:bCs/>
                <w:noProof w:val="0"/>
                <w:sz w:val="26"/>
                <w:szCs w:val="26"/>
              </w:rPr>
            </w:pPr>
            <w:r w:rsidRPr="00FB2F19">
              <w:rPr>
                <w:rFonts w:ascii="Arial" w:hAnsi="Arial" w:hint="cs"/>
                <w:b/>
                <w:bCs/>
                <w:noProof w:val="0"/>
                <w:sz w:val="26"/>
                <w:szCs w:val="26"/>
                <w:rtl/>
              </w:rPr>
              <w:t>הנאשם</w:t>
            </w:r>
          </w:p>
        </w:tc>
        <w:tc>
          <w:tcPr>
            <w:tcW w:w="5571" w:type="dxa"/>
            <w:shd w:val="clear" w:color="auto" w:fill="auto"/>
          </w:tcPr>
          <w:p w14:paraId="382F0F12" w14:textId="77777777" w:rsidR="00ED6B48" w:rsidRPr="00FB2F19" w:rsidRDefault="00ED6B48" w:rsidP="00B92734">
            <w:pPr>
              <w:rPr>
                <w:rFonts w:ascii="Arial" w:hAnsi="Arial"/>
                <w:b/>
                <w:bCs/>
                <w:noProof w:val="0"/>
                <w:sz w:val="26"/>
                <w:szCs w:val="26"/>
                <w:rtl/>
              </w:rPr>
            </w:pPr>
            <w:r w:rsidRPr="00FB2F19">
              <w:rPr>
                <w:rFonts w:ascii="Arial" w:hAnsi="Arial"/>
                <w:b/>
                <w:bCs/>
                <w:noProof w:val="0"/>
                <w:sz w:val="26"/>
                <w:szCs w:val="26"/>
                <w:rtl/>
              </w:rPr>
              <w:t xml:space="preserve">חמזה </w:t>
            </w:r>
            <w:r w:rsidRPr="00FB2F19">
              <w:rPr>
                <w:rFonts w:ascii="Arial" w:hAnsi="Arial" w:hint="cs"/>
                <w:b/>
                <w:bCs/>
                <w:noProof w:val="0"/>
                <w:sz w:val="26"/>
                <w:szCs w:val="26"/>
                <w:rtl/>
              </w:rPr>
              <w:t xml:space="preserve">ג'בר </w:t>
            </w:r>
            <w:r w:rsidRPr="00FB2F19">
              <w:rPr>
                <w:rFonts w:ascii="Arial" w:hAnsi="Arial"/>
                <w:b/>
                <w:bCs/>
                <w:noProof w:val="0"/>
                <w:sz w:val="26"/>
                <w:szCs w:val="26"/>
                <w:rtl/>
              </w:rPr>
              <w:t>אלקאדי (עציר)</w:t>
            </w:r>
          </w:p>
          <w:p w14:paraId="00620800" w14:textId="77777777" w:rsidR="00ED6B48" w:rsidRPr="00FB2F19" w:rsidRDefault="00ED6B48" w:rsidP="00B92734">
            <w:pPr>
              <w:rPr>
                <w:b/>
                <w:bCs/>
                <w:noProof w:val="0"/>
                <w:sz w:val="26"/>
                <w:szCs w:val="26"/>
                <w:rtl/>
              </w:rPr>
            </w:pPr>
            <w:r w:rsidRPr="00FB2F19">
              <w:rPr>
                <w:rFonts w:hint="cs"/>
                <w:b/>
                <w:bCs/>
                <w:noProof w:val="0"/>
                <w:sz w:val="26"/>
                <w:szCs w:val="26"/>
                <w:rtl/>
              </w:rPr>
              <w:t>ע"י ב"כ עו"ד גיא זהבי</w:t>
            </w:r>
          </w:p>
        </w:tc>
      </w:tr>
    </w:tbl>
    <w:p w14:paraId="74513E75" w14:textId="77777777" w:rsidR="00ED6B48" w:rsidRPr="00FB2F19" w:rsidRDefault="00ED6B48" w:rsidP="00ED6B48">
      <w:pPr>
        <w:suppressLineNumbers/>
      </w:pPr>
    </w:p>
    <w:p w14:paraId="6BD61632" w14:textId="77777777" w:rsidR="00FB2F19" w:rsidRPr="00FB2F19" w:rsidRDefault="00FB2F19" w:rsidP="00FB2F19">
      <w:pPr>
        <w:spacing w:before="120" w:after="120" w:line="240" w:lineRule="exact"/>
        <w:ind w:left="283" w:hanging="283"/>
        <w:jc w:val="both"/>
        <w:rPr>
          <w:rFonts w:ascii="FrankRuehl" w:hAnsi="FrankRuehl" w:cs="FrankRuehl"/>
          <w:noProof w:val="0"/>
          <w:rtl/>
        </w:rPr>
      </w:pPr>
    </w:p>
    <w:p w14:paraId="0F1E7A92" w14:textId="77777777" w:rsidR="00FB2F19" w:rsidRPr="00FB2F19" w:rsidRDefault="00FB2F19" w:rsidP="00FB2F19">
      <w:pPr>
        <w:spacing w:line="360" w:lineRule="auto"/>
        <w:jc w:val="both"/>
        <w:rPr>
          <w:rFonts w:ascii="Arial" w:hAnsi="Arial"/>
          <w:noProof w:val="0"/>
          <w:rtl/>
        </w:rPr>
      </w:pPr>
    </w:p>
    <w:p w14:paraId="1F50F700" w14:textId="77777777" w:rsidR="009B27B8" w:rsidRPr="009B27B8" w:rsidRDefault="009B27B8" w:rsidP="009B27B8">
      <w:pPr>
        <w:spacing w:before="120" w:after="120" w:line="240" w:lineRule="exact"/>
        <w:ind w:left="283" w:hanging="283"/>
        <w:jc w:val="both"/>
        <w:rPr>
          <w:rFonts w:ascii="FrankRuehl" w:hAnsi="FrankRuehl" w:cs="FrankRuehl"/>
          <w:noProof w:val="0"/>
          <w:rtl/>
        </w:rPr>
      </w:pPr>
      <w:bookmarkStart w:id="3" w:name="LawTable"/>
      <w:bookmarkEnd w:id="3"/>
    </w:p>
    <w:p w14:paraId="00208B2D" w14:textId="77777777" w:rsidR="009B27B8" w:rsidRPr="009B27B8" w:rsidRDefault="009B27B8" w:rsidP="009B27B8">
      <w:pPr>
        <w:spacing w:before="120" w:after="120" w:line="240" w:lineRule="exact"/>
        <w:ind w:left="283" w:hanging="283"/>
        <w:jc w:val="both"/>
        <w:rPr>
          <w:rFonts w:ascii="FrankRuehl" w:hAnsi="FrankRuehl" w:cs="FrankRuehl"/>
          <w:noProof w:val="0"/>
          <w:rtl/>
        </w:rPr>
      </w:pPr>
      <w:r w:rsidRPr="009B27B8">
        <w:rPr>
          <w:rFonts w:ascii="FrankRuehl" w:hAnsi="FrankRuehl" w:cs="FrankRuehl"/>
          <w:noProof w:val="0"/>
          <w:rtl/>
        </w:rPr>
        <w:t xml:space="preserve">חקיקה שאוזכרה: </w:t>
      </w:r>
    </w:p>
    <w:p w14:paraId="7B87FE75" w14:textId="77777777" w:rsidR="009B27B8" w:rsidRPr="009B27B8" w:rsidRDefault="009B27B8" w:rsidP="009B27B8">
      <w:pPr>
        <w:spacing w:before="120" w:after="120" w:line="240" w:lineRule="exact"/>
        <w:ind w:left="283" w:hanging="283"/>
        <w:jc w:val="both"/>
        <w:rPr>
          <w:rFonts w:ascii="FrankRuehl" w:hAnsi="FrankRuehl" w:cs="FrankRuehl"/>
          <w:noProof w:val="0"/>
          <w:color w:val="0000FF"/>
          <w:rtl/>
        </w:rPr>
      </w:pPr>
      <w:hyperlink r:id="rId7" w:history="1">
        <w:r w:rsidRPr="009B27B8">
          <w:rPr>
            <w:rStyle w:val="Hyperlink"/>
            <w:rFonts w:ascii="FrankRuehl" w:hAnsi="FrankRuehl" w:cs="FrankRuehl"/>
            <w:rtl/>
          </w:rPr>
          <w:t>חוק העונשין, תשל"ז-1977</w:t>
        </w:r>
      </w:hyperlink>
      <w:r w:rsidRPr="009B27B8">
        <w:rPr>
          <w:rFonts w:ascii="FrankRuehl" w:hAnsi="FrankRuehl" w:cs="FrankRuehl"/>
          <w:noProof w:val="0"/>
          <w:color w:val="0000FF"/>
          <w:u w:val="single"/>
          <w:rtl/>
        </w:rPr>
        <w:t xml:space="preserve">: סע'  </w:t>
      </w:r>
      <w:hyperlink r:id="rId8" w:history="1">
        <w:r w:rsidRPr="009B27B8">
          <w:rPr>
            <w:rStyle w:val="Hyperlink"/>
            <w:rFonts w:ascii="FrankRuehl" w:hAnsi="FrankRuehl" w:cs="FrankRuehl"/>
          </w:rPr>
          <w:t>144</w:t>
        </w:r>
      </w:hyperlink>
      <w:r w:rsidRPr="009B27B8">
        <w:rPr>
          <w:rFonts w:ascii="FrankRuehl" w:hAnsi="FrankRuehl" w:cs="FrankRuehl"/>
          <w:noProof w:val="0"/>
          <w:color w:val="0000FF"/>
          <w:u w:val="single"/>
          <w:rtl/>
        </w:rPr>
        <w:t xml:space="preserve">, </w:t>
      </w:r>
      <w:hyperlink r:id="rId9" w:history="1">
        <w:r w:rsidRPr="009B27B8">
          <w:rPr>
            <w:rStyle w:val="Hyperlink"/>
            <w:rFonts w:ascii="FrankRuehl" w:hAnsi="FrankRuehl" w:cs="FrankRuehl"/>
          </w:rPr>
          <w:t>144</w:t>
        </w:r>
      </w:hyperlink>
      <w:r w:rsidRPr="009B27B8">
        <w:rPr>
          <w:rFonts w:ascii="FrankRuehl" w:hAnsi="FrankRuehl" w:cs="FrankRuehl"/>
          <w:noProof w:val="0"/>
          <w:color w:val="0000FF"/>
          <w:rtl/>
        </w:rPr>
        <w:t xml:space="preserve">(א), </w:t>
      </w:r>
      <w:hyperlink r:id="rId10" w:history="1">
        <w:r w:rsidRPr="009B27B8">
          <w:rPr>
            <w:rStyle w:val="Hyperlink"/>
            <w:rFonts w:ascii="FrankRuehl" w:hAnsi="FrankRuehl" w:cs="FrankRuehl"/>
          </w:rPr>
          <w:t>144</w:t>
        </w:r>
      </w:hyperlink>
      <w:r w:rsidRPr="009B27B8">
        <w:rPr>
          <w:rFonts w:ascii="FrankRuehl" w:hAnsi="FrankRuehl" w:cs="FrankRuehl"/>
          <w:noProof w:val="0"/>
          <w:color w:val="0000FF"/>
          <w:rtl/>
        </w:rPr>
        <w:t xml:space="preserve">(ב), </w:t>
      </w:r>
      <w:hyperlink r:id="rId11" w:history="1">
        <w:r w:rsidRPr="009B27B8">
          <w:rPr>
            <w:rStyle w:val="Hyperlink"/>
            <w:rFonts w:ascii="FrankRuehl" w:hAnsi="FrankRuehl" w:cs="FrankRuehl"/>
          </w:rPr>
          <w:t>186</w:t>
        </w:r>
      </w:hyperlink>
    </w:p>
    <w:p w14:paraId="2B39C8CA" w14:textId="77777777" w:rsidR="00ED6B48" w:rsidRDefault="00ED6B48" w:rsidP="009B27B8">
      <w:pPr>
        <w:spacing w:line="360" w:lineRule="auto"/>
        <w:jc w:val="both"/>
        <w:rPr>
          <w:rFonts w:ascii="Arial" w:hAnsi="Arial" w:hint="cs"/>
          <w:noProof w:val="0"/>
          <w:rtl/>
        </w:rPr>
      </w:pPr>
      <w:bookmarkStart w:id="4" w:name="LawTable_End"/>
      <w:bookmarkEnd w:id="4"/>
    </w:p>
    <w:p w14:paraId="62D8C007" w14:textId="77777777" w:rsidR="009B27B8" w:rsidRDefault="009B27B8" w:rsidP="009B27B8">
      <w:pPr>
        <w:spacing w:line="360" w:lineRule="auto"/>
        <w:jc w:val="both"/>
        <w:rPr>
          <w:rFonts w:ascii="Arial" w:hAnsi="Arial" w:hint="cs"/>
          <w:noProof w:val="0"/>
          <w:rtl/>
        </w:rPr>
      </w:pPr>
    </w:p>
    <w:p w14:paraId="304BB3CC" w14:textId="77777777" w:rsidR="009B27B8" w:rsidRDefault="009B27B8" w:rsidP="009B27B8">
      <w:pPr>
        <w:spacing w:line="360" w:lineRule="auto"/>
        <w:jc w:val="both"/>
        <w:rPr>
          <w:rFonts w:ascii="Arial" w:hAnsi="Arial" w:hint="cs"/>
          <w:noProof w:val="0"/>
          <w:rtl/>
        </w:rPr>
      </w:pPr>
    </w:p>
    <w:p w14:paraId="633D581F" w14:textId="77777777" w:rsidR="009B27B8" w:rsidRPr="009B27B8" w:rsidRDefault="009B27B8" w:rsidP="009B27B8">
      <w:pPr>
        <w:spacing w:line="360" w:lineRule="auto"/>
        <w:jc w:val="both"/>
        <w:rPr>
          <w:rFonts w:ascii="Arial" w:hAnsi="Arial" w:hint="cs"/>
          <w:noProof w:val="0"/>
          <w:rtl/>
        </w:rPr>
      </w:pPr>
    </w:p>
    <w:tbl>
      <w:tblPr>
        <w:bidiVisual/>
        <w:tblW w:w="8820" w:type="dxa"/>
        <w:jc w:val="center"/>
        <w:tblLook w:val="01E0" w:firstRow="1" w:lastRow="1" w:firstColumn="1" w:lastColumn="1" w:noHBand="0" w:noVBand="0"/>
      </w:tblPr>
      <w:tblGrid>
        <w:gridCol w:w="8820"/>
      </w:tblGrid>
      <w:tr w:rsidR="00ED6B48" w14:paraId="4DBF29C1" w14:textId="77777777" w:rsidTr="00ED6B48">
        <w:trPr>
          <w:jc w:val="center"/>
        </w:trPr>
        <w:tc>
          <w:tcPr>
            <w:tcW w:w="8820" w:type="dxa"/>
            <w:shd w:val="clear" w:color="auto" w:fill="auto"/>
          </w:tcPr>
          <w:p w14:paraId="436A943F" w14:textId="77777777" w:rsidR="00FB2F19" w:rsidRPr="00FB2F19" w:rsidRDefault="00FB2F19" w:rsidP="00FB2F19">
            <w:pPr>
              <w:bidi w:val="0"/>
              <w:jc w:val="center"/>
              <w:rPr>
                <w:rFonts w:ascii="Arial" w:hAnsi="Arial"/>
                <w:b/>
                <w:bCs/>
                <w:noProof w:val="0"/>
                <w:sz w:val="28"/>
                <w:szCs w:val="28"/>
                <w:u w:val="single"/>
              </w:rPr>
            </w:pPr>
            <w:bookmarkStart w:id="5" w:name="PsakDin" w:colFirst="0" w:colLast="0"/>
            <w:bookmarkEnd w:id="0"/>
            <w:r w:rsidRPr="00FB2F19">
              <w:rPr>
                <w:rFonts w:ascii="Arial" w:hAnsi="Arial"/>
                <w:b/>
                <w:bCs/>
                <w:noProof w:val="0"/>
                <w:sz w:val="28"/>
                <w:szCs w:val="28"/>
                <w:u w:val="single"/>
                <w:rtl/>
              </w:rPr>
              <w:t>גזר דין</w:t>
            </w:r>
          </w:p>
          <w:p w14:paraId="6AC61FCF" w14:textId="77777777" w:rsidR="00ED6B48" w:rsidRPr="00FB2F19" w:rsidRDefault="00ED6B48" w:rsidP="00FB2F19">
            <w:pPr>
              <w:bidi w:val="0"/>
              <w:jc w:val="center"/>
              <w:rPr>
                <w:rFonts w:ascii="Arial" w:hAnsi="Arial"/>
                <w:b/>
                <w:bCs/>
                <w:noProof w:val="0"/>
                <w:sz w:val="28"/>
                <w:szCs w:val="28"/>
                <w:u w:val="single"/>
              </w:rPr>
            </w:pPr>
          </w:p>
        </w:tc>
      </w:tr>
      <w:bookmarkEnd w:id="5"/>
    </w:tbl>
    <w:p w14:paraId="39B1BE22" w14:textId="77777777" w:rsidR="00ED6B48" w:rsidRDefault="00ED6B48" w:rsidP="00ED6B48">
      <w:pPr>
        <w:spacing w:line="360" w:lineRule="auto"/>
        <w:jc w:val="both"/>
        <w:rPr>
          <w:rFonts w:ascii="Arial" w:hAnsi="Arial"/>
          <w:noProof w:val="0"/>
          <w:rtl/>
        </w:rPr>
      </w:pPr>
    </w:p>
    <w:p w14:paraId="72D80334" w14:textId="77777777" w:rsidR="00ED6B48" w:rsidRDefault="00ED6B48" w:rsidP="00ED6B48">
      <w:pPr>
        <w:spacing w:line="360" w:lineRule="auto"/>
        <w:jc w:val="both"/>
        <w:rPr>
          <w:rFonts w:ascii="Arial" w:hAnsi="Arial"/>
          <w:b/>
          <w:bCs/>
          <w:noProof w:val="0"/>
          <w:rtl/>
        </w:rPr>
      </w:pPr>
      <w:r>
        <w:rPr>
          <w:rFonts w:ascii="Arial" w:hAnsi="Arial" w:hint="cs"/>
          <w:b/>
          <w:bCs/>
          <w:noProof w:val="0"/>
          <w:rtl/>
        </w:rPr>
        <w:t>כתב האישום והסדר הטיעון</w:t>
      </w:r>
    </w:p>
    <w:p w14:paraId="63FFCE76" w14:textId="77777777" w:rsidR="00ED6B48" w:rsidRPr="002A1E04" w:rsidRDefault="00ED6B48" w:rsidP="00ED6B48">
      <w:pPr>
        <w:spacing w:line="360" w:lineRule="auto"/>
        <w:jc w:val="both"/>
        <w:rPr>
          <w:rFonts w:ascii="Arial" w:hAnsi="Arial"/>
          <w:b/>
          <w:bCs/>
          <w:noProof w:val="0"/>
          <w:rtl/>
        </w:rPr>
      </w:pPr>
    </w:p>
    <w:p w14:paraId="67A06659" w14:textId="77777777" w:rsidR="00ED6B48" w:rsidRDefault="00ED6B48" w:rsidP="00ED6B48">
      <w:pPr>
        <w:spacing w:line="360" w:lineRule="auto"/>
        <w:jc w:val="both"/>
        <w:rPr>
          <w:rFonts w:ascii="Arial" w:hAnsi="Arial"/>
          <w:noProof w:val="0"/>
          <w:rtl/>
        </w:rPr>
      </w:pPr>
      <w:bookmarkStart w:id="6" w:name="ABSTRACT_START"/>
      <w:bookmarkEnd w:id="6"/>
      <w:r>
        <w:rPr>
          <w:rFonts w:ascii="Arial" w:hAnsi="Arial" w:hint="cs"/>
          <w:noProof w:val="0"/>
          <w:rtl/>
        </w:rPr>
        <w:t xml:space="preserve">הנאשם שלפני נותן את הדין בגין עבירות של החזקת נשק ותחמושת שלא כדין, בניגוד </w:t>
      </w:r>
      <w:hyperlink r:id="rId12" w:history="1">
        <w:r w:rsidR="009B27B8" w:rsidRPr="009B27B8">
          <w:rPr>
            <w:rStyle w:val="Hyperlink"/>
            <w:rFonts w:ascii="Arial" w:hAnsi="Arial" w:hint="eastAsia"/>
            <w:noProof w:val="0"/>
            <w:color w:val="0000FF"/>
            <w:rtl/>
          </w:rPr>
          <w:t>לסעיף</w:t>
        </w:r>
        <w:r w:rsidR="009B27B8" w:rsidRPr="009B27B8">
          <w:rPr>
            <w:rStyle w:val="Hyperlink"/>
            <w:rFonts w:ascii="Arial" w:hAnsi="Arial"/>
            <w:noProof w:val="0"/>
            <w:color w:val="0000FF"/>
            <w:rtl/>
          </w:rPr>
          <w:t xml:space="preserve"> 144(א)</w:t>
        </w:r>
      </w:hyperlink>
      <w:r>
        <w:rPr>
          <w:rFonts w:ascii="Arial" w:hAnsi="Arial" w:hint="cs"/>
          <w:noProof w:val="0"/>
          <w:rtl/>
        </w:rPr>
        <w:t xml:space="preserve"> רישא וסיפא ל</w:t>
      </w:r>
      <w:hyperlink r:id="rId13" w:history="1">
        <w:r w:rsidR="00FB2F19" w:rsidRPr="00FB2F19">
          <w:rPr>
            <w:rFonts w:ascii="Arial" w:hAnsi="Arial"/>
            <w:noProof w:val="0"/>
            <w:color w:val="0000FF"/>
            <w:u w:val="single"/>
            <w:rtl/>
          </w:rPr>
          <w:t>חוק העונשין</w:t>
        </w:r>
      </w:hyperlink>
      <w:r>
        <w:rPr>
          <w:rFonts w:ascii="Arial" w:hAnsi="Arial" w:hint="cs"/>
          <w:noProof w:val="0"/>
          <w:rtl/>
        </w:rPr>
        <w:t xml:space="preserve">, התשל"ז </w:t>
      </w:r>
      <w:r>
        <w:rPr>
          <w:rFonts w:ascii="Arial" w:hAnsi="Arial"/>
          <w:noProof w:val="0"/>
          <w:rtl/>
        </w:rPr>
        <w:t>–</w:t>
      </w:r>
      <w:r>
        <w:rPr>
          <w:rFonts w:ascii="Arial" w:hAnsi="Arial" w:hint="cs"/>
          <w:noProof w:val="0"/>
          <w:rtl/>
        </w:rPr>
        <w:t xml:space="preserve"> 1977.</w:t>
      </w:r>
    </w:p>
    <w:p w14:paraId="0F834A3D" w14:textId="77777777" w:rsidR="00ED6B48" w:rsidRDefault="00ED6B48" w:rsidP="00ED6B48">
      <w:pPr>
        <w:spacing w:line="360" w:lineRule="auto"/>
        <w:jc w:val="both"/>
        <w:rPr>
          <w:rFonts w:ascii="Arial" w:hAnsi="Arial"/>
          <w:noProof w:val="0"/>
          <w:rtl/>
        </w:rPr>
      </w:pPr>
    </w:p>
    <w:p w14:paraId="3AC3BAD6" w14:textId="77777777" w:rsidR="00ED6B48" w:rsidRDefault="00ED6B48" w:rsidP="00ED6B48">
      <w:pPr>
        <w:spacing w:line="360" w:lineRule="auto"/>
        <w:jc w:val="both"/>
        <w:rPr>
          <w:rFonts w:ascii="Arial" w:hAnsi="Arial"/>
          <w:noProof w:val="0"/>
          <w:rtl/>
        </w:rPr>
      </w:pPr>
      <w:bookmarkStart w:id="7" w:name="ABSTRACT_END"/>
      <w:bookmarkEnd w:id="7"/>
      <w:r>
        <w:rPr>
          <w:rFonts w:ascii="Arial" w:hAnsi="Arial" w:hint="cs"/>
          <w:noProof w:val="0"/>
          <w:rtl/>
        </w:rPr>
        <w:t>בהתאם לעובדות כתב האישום המתוקן כא/1, בהן הודה הנאשם במסגרת הסדר טיעון, בתאריך 08.07.19, נתפס הנאשם מחזיק, בתא המטען ברכבו מסוג לקסוס, מ.ר. 72-111-79 (להלן: "</w:t>
      </w:r>
      <w:r w:rsidRPr="00013B87">
        <w:rPr>
          <w:rFonts w:ascii="Arial" w:hAnsi="Arial" w:hint="cs"/>
          <w:b/>
          <w:bCs/>
          <w:noProof w:val="0"/>
          <w:rtl/>
        </w:rPr>
        <w:t>הלקסוס</w:t>
      </w:r>
      <w:r>
        <w:rPr>
          <w:rFonts w:ascii="Arial" w:hAnsi="Arial" w:hint="cs"/>
          <w:noProof w:val="0"/>
          <w:rtl/>
        </w:rPr>
        <w:t xml:space="preserve">"), מתחת לשטיח הגלגל הרזרבי, אקדח חצי אוטומטי מסוג גז/הזנקה, אשר בוצע שינוי </w:t>
      </w:r>
      <w:r>
        <w:rPr>
          <w:rFonts w:ascii="Arial" w:hAnsi="Arial" w:hint="cs"/>
          <w:noProof w:val="0"/>
          <w:rtl/>
        </w:rPr>
        <w:lastRenderedPageBreak/>
        <w:t xml:space="preserve">בייעודו המקורי ובעת תפיסתו </w:t>
      </w:r>
      <w:r>
        <w:rPr>
          <w:rFonts w:ascii="Arial" w:hAnsi="Arial"/>
          <w:noProof w:val="0"/>
          <w:rtl/>
        </w:rPr>
        <w:t>–</w:t>
      </w:r>
      <w:r>
        <w:rPr>
          <w:rFonts w:ascii="Arial" w:hAnsi="Arial" w:hint="cs"/>
          <w:noProof w:val="0"/>
          <w:rtl/>
        </w:rPr>
        <w:t xml:space="preserve"> מסוגל היה לירות כדורי אקדח. כמו כן, בתוך האקדח נתפסה מחסנית, המתאימה לאקדח חצי אוטומטי מסוג "סמית' אנד ווסון", טעונה ב-10 כדורים בקוטר 9 מ"מ פאראבלום. </w:t>
      </w:r>
    </w:p>
    <w:p w14:paraId="01E371D2" w14:textId="77777777" w:rsidR="00ED6B48" w:rsidRDefault="00ED6B48" w:rsidP="00ED6B48">
      <w:pPr>
        <w:spacing w:line="360" w:lineRule="auto"/>
        <w:jc w:val="both"/>
        <w:rPr>
          <w:rFonts w:ascii="Arial" w:hAnsi="Arial"/>
          <w:noProof w:val="0"/>
          <w:rtl/>
        </w:rPr>
      </w:pPr>
    </w:p>
    <w:p w14:paraId="0D92431C" w14:textId="77777777" w:rsidR="00ED6B48" w:rsidRDefault="00ED6B48" w:rsidP="00ED6B48">
      <w:pPr>
        <w:spacing w:line="360" w:lineRule="auto"/>
        <w:jc w:val="both"/>
        <w:rPr>
          <w:rFonts w:ascii="Arial" w:hAnsi="Arial"/>
          <w:noProof w:val="0"/>
          <w:rtl/>
        </w:rPr>
      </w:pPr>
      <w:r>
        <w:rPr>
          <w:rFonts w:ascii="Arial" w:hAnsi="Arial" w:hint="cs"/>
          <w:noProof w:val="0"/>
          <w:rtl/>
        </w:rPr>
        <w:t xml:space="preserve">בין הצדדים נקשר הסדר, במסגרתו תוקן כתב האישום. ההסדר לא כלל הסכמות עונשיות , אך הוסכם, כי </w:t>
      </w:r>
      <w:r w:rsidRPr="00013B87">
        <w:rPr>
          <w:rFonts w:ascii="Arial" w:hAnsi="Arial" w:hint="cs"/>
          <w:b/>
          <w:bCs/>
          <w:noProof w:val="0"/>
          <w:rtl/>
        </w:rPr>
        <w:t>הלקסוס</w:t>
      </w:r>
      <w:r>
        <w:rPr>
          <w:rFonts w:ascii="Arial" w:hAnsi="Arial" w:hint="cs"/>
          <w:noProof w:val="0"/>
          <w:rtl/>
        </w:rPr>
        <w:t xml:space="preserve">, בה נתפס הנשק </w:t>
      </w:r>
      <w:r>
        <w:rPr>
          <w:rFonts w:ascii="Arial" w:hAnsi="Arial"/>
          <w:noProof w:val="0"/>
          <w:rtl/>
        </w:rPr>
        <w:t>–</w:t>
      </w:r>
      <w:r>
        <w:rPr>
          <w:rFonts w:ascii="Arial" w:hAnsi="Arial" w:hint="cs"/>
          <w:noProof w:val="0"/>
          <w:rtl/>
        </w:rPr>
        <w:t xml:space="preserve"> תחולט לטובת אוצר המדינה.</w:t>
      </w:r>
    </w:p>
    <w:p w14:paraId="3F253708" w14:textId="77777777" w:rsidR="00ED6B48" w:rsidRDefault="00ED6B48" w:rsidP="00ED6B48">
      <w:pPr>
        <w:spacing w:line="360" w:lineRule="auto"/>
        <w:jc w:val="both"/>
        <w:rPr>
          <w:rFonts w:ascii="Arial" w:hAnsi="Arial"/>
          <w:noProof w:val="0"/>
          <w:rtl/>
        </w:rPr>
      </w:pPr>
    </w:p>
    <w:p w14:paraId="11BCFEAF" w14:textId="77777777" w:rsidR="00ED6B48" w:rsidRDefault="00ED6B48" w:rsidP="00ED6B48">
      <w:pPr>
        <w:spacing w:line="360" w:lineRule="auto"/>
        <w:jc w:val="both"/>
        <w:rPr>
          <w:rFonts w:ascii="Arial" w:hAnsi="Arial"/>
          <w:noProof w:val="0"/>
          <w:rtl/>
        </w:rPr>
      </w:pPr>
      <w:r>
        <w:rPr>
          <w:rFonts w:ascii="Arial" w:hAnsi="Arial" w:hint="cs"/>
          <w:noProof w:val="0"/>
          <w:rtl/>
        </w:rPr>
        <w:t xml:space="preserve">במסגרת ההסדר, הופנה הנאשם להערכת שירות המבחן למבוגרים ולאחר שהוגש תסקיר בעניינו </w:t>
      </w:r>
      <w:r>
        <w:rPr>
          <w:rFonts w:ascii="Arial" w:hAnsi="Arial"/>
          <w:noProof w:val="0"/>
          <w:rtl/>
        </w:rPr>
        <w:t>–</w:t>
      </w:r>
      <w:r>
        <w:rPr>
          <w:rFonts w:ascii="Arial" w:hAnsi="Arial" w:hint="cs"/>
          <w:noProof w:val="0"/>
          <w:rtl/>
        </w:rPr>
        <w:t xml:space="preserve"> נשמעו טיעוני הצדדים.</w:t>
      </w:r>
    </w:p>
    <w:p w14:paraId="1A832BB6" w14:textId="77777777" w:rsidR="00ED6B48" w:rsidRDefault="00ED6B48" w:rsidP="00ED6B48">
      <w:pPr>
        <w:spacing w:line="360" w:lineRule="auto"/>
        <w:jc w:val="both"/>
        <w:rPr>
          <w:rFonts w:ascii="Arial" w:hAnsi="Arial"/>
          <w:noProof w:val="0"/>
          <w:rtl/>
        </w:rPr>
      </w:pPr>
    </w:p>
    <w:p w14:paraId="35309812" w14:textId="77777777" w:rsidR="00ED6B48" w:rsidRDefault="00ED6B48" w:rsidP="00ED6B48">
      <w:pPr>
        <w:spacing w:line="360" w:lineRule="auto"/>
        <w:jc w:val="both"/>
        <w:rPr>
          <w:rFonts w:ascii="Arial" w:hAnsi="Arial"/>
          <w:noProof w:val="0"/>
          <w:rtl/>
        </w:rPr>
      </w:pPr>
      <w:r>
        <w:rPr>
          <w:rFonts w:ascii="Arial" w:hAnsi="Arial" w:hint="cs"/>
          <w:noProof w:val="0"/>
          <w:rtl/>
        </w:rPr>
        <w:t xml:space="preserve">מכאן </w:t>
      </w:r>
      <w:r>
        <w:rPr>
          <w:rFonts w:ascii="Arial" w:hAnsi="Arial"/>
          <w:noProof w:val="0"/>
          <w:rtl/>
        </w:rPr>
        <w:t>–</w:t>
      </w:r>
      <w:r>
        <w:rPr>
          <w:rFonts w:ascii="Arial" w:hAnsi="Arial" w:hint="cs"/>
          <w:noProof w:val="0"/>
          <w:rtl/>
        </w:rPr>
        <w:t xml:space="preserve"> גזר דין זה.</w:t>
      </w:r>
    </w:p>
    <w:p w14:paraId="2446B1CC" w14:textId="77777777" w:rsidR="00ED6B48" w:rsidRDefault="00ED6B48" w:rsidP="00ED6B48">
      <w:pPr>
        <w:spacing w:line="360" w:lineRule="auto"/>
        <w:jc w:val="both"/>
        <w:rPr>
          <w:rFonts w:ascii="Arial" w:hAnsi="Arial"/>
          <w:noProof w:val="0"/>
          <w:rtl/>
        </w:rPr>
      </w:pPr>
    </w:p>
    <w:p w14:paraId="471FAEFC" w14:textId="77777777" w:rsidR="00ED6B48" w:rsidRDefault="00ED6B48" w:rsidP="00ED6B48">
      <w:pPr>
        <w:spacing w:line="360" w:lineRule="auto"/>
        <w:jc w:val="both"/>
        <w:rPr>
          <w:rFonts w:ascii="Arial" w:hAnsi="Arial"/>
          <w:noProof w:val="0"/>
          <w:rtl/>
        </w:rPr>
      </w:pPr>
    </w:p>
    <w:p w14:paraId="2588C527" w14:textId="77777777" w:rsidR="00ED6B48" w:rsidRPr="002A1E04" w:rsidRDefault="00ED6B48" w:rsidP="00ED6B48">
      <w:pPr>
        <w:spacing w:line="360" w:lineRule="auto"/>
        <w:jc w:val="both"/>
        <w:rPr>
          <w:rFonts w:ascii="Arial" w:hAnsi="Arial"/>
          <w:b/>
          <w:bCs/>
          <w:noProof w:val="0"/>
          <w:rtl/>
        </w:rPr>
      </w:pPr>
      <w:r>
        <w:rPr>
          <w:rFonts w:ascii="Arial" w:hAnsi="Arial" w:hint="cs"/>
          <w:b/>
          <w:bCs/>
          <w:noProof w:val="0"/>
          <w:rtl/>
        </w:rPr>
        <w:t>ראיות לעונש</w:t>
      </w:r>
    </w:p>
    <w:p w14:paraId="0B002736" w14:textId="77777777" w:rsidR="00ED6B48" w:rsidRDefault="00ED6B48" w:rsidP="00ED6B48">
      <w:pPr>
        <w:spacing w:line="360" w:lineRule="auto"/>
        <w:jc w:val="both"/>
        <w:rPr>
          <w:rFonts w:ascii="Arial" w:hAnsi="Arial"/>
          <w:noProof w:val="0"/>
          <w:rtl/>
        </w:rPr>
      </w:pPr>
    </w:p>
    <w:p w14:paraId="1FED0561" w14:textId="77777777" w:rsidR="00ED6B48" w:rsidRDefault="00ED6B48" w:rsidP="00ED6B48">
      <w:pPr>
        <w:spacing w:line="360" w:lineRule="auto"/>
        <w:jc w:val="both"/>
        <w:rPr>
          <w:rFonts w:ascii="Arial" w:hAnsi="Arial"/>
          <w:noProof w:val="0"/>
          <w:rtl/>
        </w:rPr>
      </w:pPr>
      <w:r>
        <w:rPr>
          <w:rFonts w:ascii="Arial" w:hAnsi="Arial" w:hint="cs"/>
          <w:noProof w:val="0"/>
          <w:rtl/>
        </w:rPr>
        <w:t xml:space="preserve">מטעם </w:t>
      </w:r>
      <w:r>
        <w:rPr>
          <w:rFonts w:ascii="Arial" w:hAnsi="Arial" w:hint="cs"/>
          <w:noProof w:val="0"/>
          <w:u w:val="single"/>
          <w:rtl/>
        </w:rPr>
        <w:t>התביעה</w:t>
      </w:r>
      <w:r>
        <w:rPr>
          <w:rFonts w:ascii="Arial" w:hAnsi="Arial" w:hint="cs"/>
          <w:noProof w:val="0"/>
          <w:rtl/>
        </w:rPr>
        <w:t xml:space="preserve"> הוגשו, לעניין העונש, המרשם הפלילי והתעבורתי של הנאשם (ת/2); וכן כתב אישום וגזר דין בתיק קודם שהתנהל נגדו (ת/3א' - ת/3ב', בהתאמה).</w:t>
      </w:r>
    </w:p>
    <w:p w14:paraId="62F42E02" w14:textId="77777777" w:rsidR="00ED6B48" w:rsidRDefault="00ED6B48" w:rsidP="00ED6B48">
      <w:pPr>
        <w:spacing w:line="360" w:lineRule="auto"/>
        <w:jc w:val="both"/>
        <w:rPr>
          <w:rFonts w:ascii="Arial" w:hAnsi="Arial"/>
          <w:noProof w:val="0"/>
          <w:rtl/>
        </w:rPr>
      </w:pPr>
    </w:p>
    <w:p w14:paraId="4C95DF6A" w14:textId="77777777" w:rsidR="00ED6B48" w:rsidRDefault="00ED6B48" w:rsidP="00ED6B48">
      <w:pPr>
        <w:spacing w:line="360" w:lineRule="auto"/>
        <w:jc w:val="both"/>
        <w:rPr>
          <w:rFonts w:ascii="Arial" w:hAnsi="Arial"/>
          <w:noProof w:val="0"/>
          <w:rtl/>
        </w:rPr>
      </w:pPr>
      <w:r>
        <w:rPr>
          <w:rFonts w:ascii="Arial" w:hAnsi="Arial" w:hint="cs"/>
          <w:noProof w:val="0"/>
          <w:rtl/>
        </w:rPr>
        <w:t>על פי המרשם הפלילי ת/2, הורשע הנאשם, בעברו, בעבירה נגד הרכוש; עבירה של הפרת הוראה חוקית; עבירת סמים.</w:t>
      </w:r>
    </w:p>
    <w:p w14:paraId="2CA8B36F" w14:textId="77777777" w:rsidR="00ED6B48" w:rsidRDefault="00ED6B48" w:rsidP="00ED6B48">
      <w:pPr>
        <w:spacing w:line="360" w:lineRule="auto"/>
        <w:jc w:val="both"/>
        <w:rPr>
          <w:rFonts w:ascii="Arial" w:hAnsi="Arial"/>
          <w:noProof w:val="0"/>
          <w:rtl/>
        </w:rPr>
      </w:pPr>
    </w:p>
    <w:p w14:paraId="5EF87F91" w14:textId="77777777" w:rsidR="00ED6B48" w:rsidRDefault="00ED6B48" w:rsidP="00ED6B48">
      <w:pPr>
        <w:spacing w:line="360" w:lineRule="auto"/>
        <w:jc w:val="both"/>
        <w:rPr>
          <w:rFonts w:ascii="Arial" w:hAnsi="Arial"/>
          <w:noProof w:val="0"/>
          <w:rtl/>
        </w:rPr>
      </w:pPr>
      <w:r>
        <w:rPr>
          <w:rFonts w:ascii="Arial" w:hAnsi="Arial" w:hint="cs"/>
          <w:noProof w:val="0"/>
          <w:rtl/>
        </w:rPr>
        <w:t xml:space="preserve">כן הורשע הנאשם, בעבר, בעבירה דומה לזו בגינה עומד לדין כעת, כשבאותה עת </w:t>
      </w:r>
      <w:r>
        <w:rPr>
          <w:rFonts w:ascii="Arial" w:hAnsi="Arial"/>
          <w:noProof w:val="0"/>
          <w:rtl/>
        </w:rPr>
        <w:t>–</w:t>
      </w:r>
      <w:r>
        <w:rPr>
          <w:rFonts w:ascii="Arial" w:hAnsi="Arial" w:hint="cs"/>
          <w:noProof w:val="0"/>
          <w:rtl/>
        </w:rPr>
        <w:t xml:space="preserve"> נגזר עליו עונש מאסר בפועל לריצוי בדרך של עבודות שירות.</w:t>
      </w:r>
    </w:p>
    <w:p w14:paraId="7E42BA22" w14:textId="77777777" w:rsidR="00ED6B48" w:rsidRDefault="00ED6B48" w:rsidP="00ED6B48">
      <w:pPr>
        <w:spacing w:line="360" w:lineRule="auto"/>
        <w:jc w:val="both"/>
        <w:rPr>
          <w:rFonts w:ascii="Arial" w:hAnsi="Arial"/>
          <w:noProof w:val="0"/>
          <w:rtl/>
        </w:rPr>
      </w:pPr>
    </w:p>
    <w:p w14:paraId="60EBB019" w14:textId="77777777" w:rsidR="00ED6B48" w:rsidRDefault="00ED6B48" w:rsidP="00ED6B48">
      <w:pPr>
        <w:spacing w:line="360" w:lineRule="auto"/>
        <w:jc w:val="both"/>
        <w:rPr>
          <w:rFonts w:ascii="Arial" w:hAnsi="Arial"/>
          <w:noProof w:val="0"/>
          <w:rtl/>
        </w:rPr>
      </w:pPr>
      <w:r>
        <w:rPr>
          <w:rFonts w:ascii="Arial" w:hAnsi="Arial" w:hint="cs"/>
          <w:noProof w:val="0"/>
          <w:rtl/>
        </w:rPr>
        <w:t>כתב האישום וגזר הדין שהוגשו (ת/3א' - ת/3ב') עניינם הרשעתו הקודמת של הנאשם בעבירות נשק. על פי המפורט, נתפס הנאשם באותה העת (שנת 2012), מחזיק ברכבו, שחנה בעיר רהט, רובה סער מסוג קרל-גוסטב וכן 25 כדורים בקוטר 9 מ"מ.</w:t>
      </w:r>
    </w:p>
    <w:p w14:paraId="4CCF91C3" w14:textId="77777777" w:rsidR="00ED6B48" w:rsidRDefault="00ED6B48" w:rsidP="00ED6B48">
      <w:pPr>
        <w:spacing w:line="360" w:lineRule="auto"/>
        <w:jc w:val="both"/>
        <w:rPr>
          <w:rFonts w:ascii="Arial" w:hAnsi="Arial"/>
          <w:noProof w:val="0"/>
          <w:rtl/>
        </w:rPr>
      </w:pPr>
    </w:p>
    <w:p w14:paraId="5217C825" w14:textId="77777777" w:rsidR="00ED6B48" w:rsidRDefault="00ED6B48" w:rsidP="00ED6B48">
      <w:pPr>
        <w:spacing w:line="360" w:lineRule="auto"/>
        <w:jc w:val="both"/>
        <w:rPr>
          <w:rFonts w:ascii="Arial" w:hAnsi="Arial"/>
          <w:noProof w:val="0"/>
          <w:rtl/>
        </w:rPr>
      </w:pPr>
      <w:r>
        <w:rPr>
          <w:rFonts w:ascii="Arial" w:hAnsi="Arial" w:hint="cs"/>
          <w:noProof w:val="0"/>
          <w:rtl/>
        </w:rPr>
        <w:t>כאמור, נדון הנאשם, אז, לעונש מאסר בפועל לריצוי בדרך של עבודות שירות; מאסר מותנה (אשר לאור חלוף הזמן - אינו בר הפעלה במקרה דנן); וכן עיצום כספי בסך 7,000 ₪.</w:t>
      </w:r>
    </w:p>
    <w:p w14:paraId="75661944" w14:textId="77777777" w:rsidR="00ED6B48" w:rsidRDefault="00ED6B48" w:rsidP="00ED6B48">
      <w:pPr>
        <w:spacing w:line="360" w:lineRule="auto"/>
        <w:jc w:val="both"/>
        <w:rPr>
          <w:rFonts w:ascii="Arial" w:hAnsi="Arial"/>
          <w:noProof w:val="0"/>
          <w:rtl/>
        </w:rPr>
      </w:pPr>
    </w:p>
    <w:p w14:paraId="68E44022" w14:textId="77777777" w:rsidR="00ED6B48" w:rsidRDefault="00ED6B48" w:rsidP="00ED6B48">
      <w:pPr>
        <w:spacing w:line="360" w:lineRule="auto"/>
        <w:jc w:val="both"/>
        <w:rPr>
          <w:rFonts w:ascii="Arial" w:hAnsi="Arial"/>
          <w:noProof w:val="0"/>
          <w:rtl/>
        </w:rPr>
      </w:pPr>
      <w:r>
        <w:rPr>
          <w:rFonts w:ascii="Arial" w:hAnsi="Arial" w:hint="cs"/>
          <w:noProof w:val="0"/>
          <w:u w:val="single"/>
          <w:rtl/>
        </w:rPr>
        <w:t>ההגנה</w:t>
      </w:r>
      <w:r>
        <w:rPr>
          <w:rFonts w:ascii="Arial" w:hAnsi="Arial" w:hint="cs"/>
          <w:noProof w:val="0"/>
          <w:rtl/>
        </w:rPr>
        <w:t xml:space="preserve"> לא הגישה ראיות לעונש מטעמה.</w:t>
      </w:r>
    </w:p>
    <w:p w14:paraId="177D5110" w14:textId="77777777" w:rsidR="00ED6B48" w:rsidRDefault="00ED6B48" w:rsidP="00ED6B48">
      <w:pPr>
        <w:spacing w:line="360" w:lineRule="auto"/>
        <w:jc w:val="both"/>
        <w:rPr>
          <w:rFonts w:ascii="Arial" w:hAnsi="Arial"/>
          <w:noProof w:val="0"/>
          <w:rtl/>
        </w:rPr>
      </w:pPr>
    </w:p>
    <w:p w14:paraId="3D9B9E31" w14:textId="77777777" w:rsidR="00ED6B48" w:rsidRDefault="00ED6B48" w:rsidP="00ED6B48">
      <w:pPr>
        <w:spacing w:line="360" w:lineRule="auto"/>
        <w:jc w:val="both"/>
        <w:rPr>
          <w:rFonts w:ascii="Arial" w:hAnsi="Arial"/>
          <w:noProof w:val="0"/>
          <w:rtl/>
        </w:rPr>
      </w:pPr>
    </w:p>
    <w:p w14:paraId="16108D4D" w14:textId="77777777" w:rsidR="00ED6B48" w:rsidRPr="00DF79C9" w:rsidRDefault="00ED6B48" w:rsidP="00ED6B48">
      <w:pPr>
        <w:spacing w:line="360" w:lineRule="auto"/>
        <w:jc w:val="both"/>
        <w:rPr>
          <w:rFonts w:ascii="Arial" w:hAnsi="Arial"/>
          <w:b/>
          <w:bCs/>
          <w:noProof w:val="0"/>
          <w:rtl/>
        </w:rPr>
      </w:pPr>
      <w:r>
        <w:rPr>
          <w:rFonts w:ascii="Arial" w:hAnsi="Arial" w:hint="cs"/>
          <w:b/>
          <w:bCs/>
          <w:noProof w:val="0"/>
          <w:rtl/>
        </w:rPr>
        <w:t>הערכת שירות המבחן למבוגרים</w:t>
      </w:r>
    </w:p>
    <w:p w14:paraId="1409921A" w14:textId="77777777" w:rsidR="00ED6B48" w:rsidRDefault="00ED6B48" w:rsidP="00ED6B48">
      <w:pPr>
        <w:spacing w:line="360" w:lineRule="auto"/>
        <w:jc w:val="both"/>
        <w:rPr>
          <w:rFonts w:ascii="Arial" w:hAnsi="Arial"/>
          <w:noProof w:val="0"/>
          <w:rtl/>
        </w:rPr>
      </w:pPr>
    </w:p>
    <w:p w14:paraId="4E369BBA" w14:textId="77777777" w:rsidR="00ED6B48" w:rsidRDefault="00ED6B48" w:rsidP="00ED6B48">
      <w:pPr>
        <w:spacing w:line="360" w:lineRule="auto"/>
        <w:jc w:val="both"/>
        <w:rPr>
          <w:rFonts w:ascii="Arial" w:hAnsi="Arial"/>
          <w:noProof w:val="0"/>
          <w:rtl/>
        </w:rPr>
      </w:pPr>
      <w:r>
        <w:rPr>
          <w:rFonts w:ascii="Arial" w:hAnsi="Arial" w:hint="cs"/>
          <w:noProof w:val="0"/>
          <w:rtl/>
        </w:rPr>
        <w:t xml:space="preserve">בעניינו של הנאשם הוגש תסקיר, המפרט את נסיבותיו האישיות </w:t>
      </w:r>
      <w:r>
        <w:rPr>
          <w:rFonts w:ascii="Arial" w:hAnsi="Arial"/>
          <w:noProof w:val="0"/>
          <w:rtl/>
        </w:rPr>
        <w:t>–</w:t>
      </w:r>
      <w:r>
        <w:rPr>
          <w:rFonts w:ascii="Arial" w:hAnsi="Arial" w:hint="cs"/>
          <w:noProof w:val="0"/>
          <w:rtl/>
        </w:rPr>
        <w:t xml:space="preserve"> נשוי ואב ל-2. </w:t>
      </w:r>
    </w:p>
    <w:p w14:paraId="200115D3" w14:textId="77777777" w:rsidR="00ED6B48" w:rsidRDefault="00ED6B48" w:rsidP="00ED6B48">
      <w:pPr>
        <w:spacing w:line="360" w:lineRule="auto"/>
        <w:jc w:val="both"/>
        <w:rPr>
          <w:rFonts w:ascii="Arial" w:hAnsi="Arial"/>
          <w:noProof w:val="0"/>
          <w:rtl/>
        </w:rPr>
      </w:pPr>
    </w:p>
    <w:p w14:paraId="64AEFEAA" w14:textId="77777777" w:rsidR="00ED6B48" w:rsidRDefault="00ED6B48" w:rsidP="00ED6B48">
      <w:pPr>
        <w:spacing w:line="360" w:lineRule="auto"/>
        <w:jc w:val="both"/>
        <w:rPr>
          <w:rFonts w:ascii="Arial" w:hAnsi="Arial"/>
          <w:noProof w:val="0"/>
          <w:rtl/>
        </w:rPr>
      </w:pPr>
      <w:r>
        <w:rPr>
          <w:rFonts w:ascii="Arial" w:hAnsi="Arial" w:hint="cs"/>
          <w:noProof w:val="0"/>
          <w:rtl/>
        </w:rPr>
        <w:t xml:space="preserve">לדבריו, עבד, טרם מעצרו, בעבודות אספלט. </w:t>
      </w:r>
    </w:p>
    <w:p w14:paraId="286CB6BF" w14:textId="77777777" w:rsidR="00ED6B48" w:rsidRDefault="00ED6B48" w:rsidP="00ED6B48">
      <w:pPr>
        <w:spacing w:line="360" w:lineRule="auto"/>
        <w:jc w:val="both"/>
        <w:rPr>
          <w:rFonts w:ascii="Arial" w:hAnsi="Arial"/>
          <w:noProof w:val="0"/>
          <w:rtl/>
        </w:rPr>
      </w:pPr>
    </w:p>
    <w:p w14:paraId="6DAB81F2" w14:textId="77777777" w:rsidR="00ED6B48" w:rsidRDefault="00ED6B48" w:rsidP="00ED6B48">
      <w:pPr>
        <w:spacing w:line="360" w:lineRule="auto"/>
        <w:jc w:val="both"/>
        <w:rPr>
          <w:rFonts w:ascii="Arial" w:hAnsi="Arial"/>
          <w:noProof w:val="0"/>
          <w:rtl/>
        </w:rPr>
      </w:pPr>
      <w:r>
        <w:rPr>
          <w:rFonts w:ascii="Arial" w:hAnsi="Arial" w:hint="cs"/>
          <w:noProof w:val="0"/>
          <w:rtl/>
        </w:rPr>
        <w:t>הנאשם בן למשפחה פוליגמית ולו אחים מאותה אם וכן אחים למחצה מאם אחרת.</w:t>
      </w:r>
    </w:p>
    <w:p w14:paraId="67A50278" w14:textId="77777777" w:rsidR="00ED6B48" w:rsidRDefault="00ED6B48" w:rsidP="00ED6B48">
      <w:pPr>
        <w:spacing w:line="360" w:lineRule="auto"/>
        <w:jc w:val="both"/>
        <w:rPr>
          <w:rFonts w:ascii="Arial" w:hAnsi="Arial"/>
          <w:noProof w:val="0"/>
          <w:rtl/>
        </w:rPr>
      </w:pPr>
    </w:p>
    <w:p w14:paraId="405CA29D" w14:textId="77777777" w:rsidR="00ED6B48" w:rsidRDefault="00ED6B48" w:rsidP="00ED6B48">
      <w:pPr>
        <w:spacing w:line="360" w:lineRule="auto"/>
        <w:jc w:val="both"/>
        <w:rPr>
          <w:rFonts w:ascii="Arial" w:hAnsi="Arial"/>
          <w:noProof w:val="0"/>
          <w:rtl/>
        </w:rPr>
      </w:pPr>
      <w:r>
        <w:rPr>
          <w:rFonts w:ascii="Arial" w:hAnsi="Arial" w:hint="cs"/>
          <w:noProof w:val="0"/>
          <w:rtl/>
        </w:rPr>
        <w:t>הנאשם תיאר קשר משמעותי עם בני משפחתו ומסר, כי כל אחיו מנהלים אורח חיים נורמטיבי, תוך עבודה במסגרות שונות.</w:t>
      </w:r>
    </w:p>
    <w:p w14:paraId="3CD745E4" w14:textId="77777777" w:rsidR="00ED6B48" w:rsidRDefault="00ED6B48" w:rsidP="00ED6B48">
      <w:pPr>
        <w:spacing w:line="360" w:lineRule="auto"/>
        <w:jc w:val="both"/>
        <w:rPr>
          <w:rFonts w:ascii="Arial" w:hAnsi="Arial"/>
          <w:noProof w:val="0"/>
          <w:rtl/>
        </w:rPr>
      </w:pPr>
    </w:p>
    <w:p w14:paraId="29A1020A" w14:textId="77777777" w:rsidR="00ED6B48" w:rsidRDefault="00ED6B48" w:rsidP="00ED6B48">
      <w:pPr>
        <w:spacing w:line="360" w:lineRule="auto"/>
        <w:jc w:val="both"/>
        <w:rPr>
          <w:rFonts w:ascii="Arial" w:hAnsi="Arial"/>
          <w:noProof w:val="0"/>
          <w:rtl/>
        </w:rPr>
      </w:pPr>
      <w:r>
        <w:rPr>
          <w:rFonts w:ascii="Arial" w:hAnsi="Arial" w:hint="cs"/>
          <w:noProof w:val="0"/>
          <w:rtl/>
        </w:rPr>
        <w:t xml:space="preserve">הנאשם התגייס לצה"ל ושירת, בתחילה, כלוחם, אך לאחר נישואיו, עבר לשרת בתפקיד נהג. במהלך שירותו </w:t>
      </w:r>
      <w:r>
        <w:rPr>
          <w:rFonts w:ascii="Arial" w:hAnsi="Arial"/>
          <w:noProof w:val="0"/>
          <w:rtl/>
        </w:rPr>
        <w:t>–</w:t>
      </w:r>
      <w:r>
        <w:rPr>
          <w:rFonts w:ascii="Arial" w:hAnsi="Arial" w:hint="cs"/>
          <w:noProof w:val="0"/>
          <w:rtl/>
        </w:rPr>
        <w:t xml:space="preserve"> נדון למאסר קצר, לטענתו - בגין העדר משירות.</w:t>
      </w:r>
    </w:p>
    <w:p w14:paraId="20D7F4AE" w14:textId="77777777" w:rsidR="00ED6B48" w:rsidRDefault="00ED6B48" w:rsidP="00ED6B48">
      <w:pPr>
        <w:spacing w:line="360" w:lineRule="auto"/>
        <w:jc w:val="both"/>
        <w:rPr>
          <w:rFonts w:ascii="Arial" w:hAnsi="Arial"/>
          <w:noProof w:val="0"/>
          <w:rtl/>
        </w:rPr>
      </w:pPr>
    </w:p>
    <w:p w14:paraId="17D26FC9" w14:textId="77777777" w:rsidR="00ED6B48" w:rsidRDefault="00ED6B48" w:rsidP="00ED6B48">
      <w:pPr>
        <w:spacing w:line="360" w:lineRule="auto"/>
        <w:jc w:val="both"/>
        <w:rPr>
          <w:rFonts w:ascii="Arial" w:hAnsi="Arial"/>
          <w:noProof w:val="0"/>
          <w:rtl/>
        </w:rPr>
      </w:pPr>
      <w:r>
        <w:rPr>
          <w:rFonts w:ascii="Arial" w:hAnsi="Arial" w:hint="cs"/>
          <w:noProof w:val="0"/>
          <w:rtl/>
        </w:rPr>
        <w:t>הנאשם ביטא תחושת חוסר שייכות למעצר.</w:t>
      </w:r>
    </w:p>
    <w:p w14:paraId="7F172AD0" w14:textId="77777777" w:rsidR="00ED6B48" w:rsidRDefault="00ED6B48" w:rsidP="00ED6B48">
      <w:pPr>
        <w:spacing w:line="360" w:lineRule="auto"/>
        <w:jc w:val="both"/>
        <w:rPr>
          <w:rFonts w:ascii="Arial" w:hAnsi="Arial"/>
          <w:noProof w:val="0"/>
          <w:rtl/>
        </w:rPr>
      </w:pPr>
    </w:p>
    <w:p w14:paraId="36D261A1" w14:textId="77777777" w:rsidR="00ED6B48" w:rsidRDefault="00ED6B48" w:rsidP="00ED6B48">
      <w:pPr>
        <w:spacing w:line="360" w:lineRule="auto"/>
        <w:jc w:val="both"/>
        <w:rPr>
          <w:rFonts w:ascii="Arial" w:hAnsi="Arial"/>
          <w:noProof w:val="0"/>
          <w:rtl/>
        </w:rPr>
      </w:pPr>
      <w:r>
        <w:rPr>
          <w:rFonts w:ascii="Arial" w:hAnsi="Arial" w:hint="cs"/>
          <w:noProof w:val="0"/>
          <w:rtl/>
        </w:rPr>
        <w:t xml:space="preserve">שירות המבחן מצא לציין, כי היה בקשר עם הנאשם כבר בזמן הדיון במקרה הקודם בו נתפס מחזיק בנשק חם וכי </w:t>
      </w:r>
      <w:r w:rsidRPr="00013B87">
        <w:rPr>
          <w:rFonts w:ascii="Arial" w:hAnsi="Arial" w:hint="cs"/>
          <w:i/>
          <w:iCs/>
          <w:noProof w:val="0"/>
          <w:rtl/>
        </w:rPr>
        <w:t>"... וייתכן וסנקציות עונשיות שהוטלו עליו בעבר, לא היוו עבורו גורם מרתיע מספיק</w:t>
      </w:r>
      <w:r>
        <w:rPr>
          <w:rFonts w:ascii="Arial" w:hAnsi="Arial" w:hint="cs"/>
          <w:noProof w:val="0"/>
          <w:rtl/>
        </w:rPr>
        <w:t>".</w:t>
      </w:r>
    </w:p>
    <w:p w14:paraId="3FF81EE7" w14:textId="77777777" w:rsidR="00ED6B48" w:rsidRDefault="00ED6B48" w:rsidP="00ED6B48">
      <w:pPr>
        <w:spacing w:line="360" w:lineRule="auto"/>
        <w:jc w:val="both"/>
        <w:rPr>
          <w:rFonts w:ascii="Arial" w:hAnsi="Arial"/>
          <w:noProof w:val="0"/>
          <w:rtl/>
        </w:rPr>
      </w:pPr>
    </w:p>
    <w:p w14:paraId="2CC64D59" w14:textId="77777777" w:rsidR="00ED6B48" w:rsidRDefault="00ED6B48" w:rsidP="00ED6B48">
      <w:pPr>
        <w:spacing w:line="360" w:lineRule="auto"/>
        <w:jc w:val="both"/>
        <w:rPr>
          <w:rFonts w:ascii="Arial" w:hAnsi="Arial"/>
          <w:noProof w:val="0"/>
          <w:rtl/>
        </w:rPr>
      </w:pPr>
      <w:r>
        <w:rPr>
          <w:rFonts w:ascii="Arial" w:hAnsi="Arial" w:hint="cs"/>
          <w:noProof w:val="0"/>
          <w:rtl/>
        </w:rPr>
        <w:t>הנאשם הודה בעבירות בפני שירות המבחן, אך שירות המבחן מצא, כי הנאשם התקשה להכיר בבעייתיות בהתנהגותו או אף להסביר את נסיבות מעצרו. עוד מצא שירות המבחן, כי הנאשם מתקשה לשתף באופן כן ואותנטי ביחס למניעים להסתבכותו בעבירות.</w:t>
      </w:r>
    </w:p>
    <w:p w14:paraId="4E922978" w14:textId="77777777" w:rsidR="00ED6B48" w:rsidRDefault="00ED6B48" w:rsidP="00ED6B48">
      <w:pPr>
        <w:spacing w:line="360" w:lineRule="auto"/>
        <w:jc w:val="both"/>
        <w:rPr>
          <w:rFonts w:ascii="Arial" w:hAnsi="Arial"/>
          <w:noProof w:val="0"/>
          <w:rtl/>
        </w:rPr>
      </w:pPr>
    </w:p>
    <w:p w14:paraId="584DCE23" w14:textId="77777777" w:rsidR="00ED6B48" w:rsidRDefault="00ED6B48" w:rsidP="00ED6B48">
      <w:pPr>
        <w:spacing w:line="360" w:lineRule="auto"/>
        <w:jc w:val="both"/>
        <w:rPr>
          <w:rFonts w:ascii="Arial" w:hAnsi="Arial"/>
          <w:noProof w:val="0"/>
          <w:rtl/>
        </w:rPr>
      </w:pPr>
      <w:r>
        <w:rPr>
          <w:rFonts w:ascii="Arial" w:hAnsi="Arial" w:hint="cs"/>
          <w:noProof w:val="0"/>
          <w:rtl/>
        </w:rPr>
        <w:t>הנאשם ביטא, מילולית, רצון לשיקום.</w:t>
      </w:r>
    </w:p>
    <w:p w14:paraId="3BEA03FC" w14:textId="77777777" w:rsidR="00ED6B48" w:rsidRDefault="00ED6B48" w:rsidP="00ED6B48">
      <w:pPr>
        <w:spacing w:line="360" w:lineRule="auto"/>
        <w:jc w:val="both"/>
        <w:rPr>
          <w:rFonts w:ascii="Arial" w:hAnsi="Arial"/>
          <w:noProof w:val="0"/>
          <w:rtl/>
        </w:rPr>
      </w:pPr>
    </w:p>
    <w:p w14:paraId="1BA7AA46" w14:textId="77777777" w:rsidR="00ED6B48" w:rsidRDefault="00ED6B48" w:rsidP="00ED6B48">
      <w:pPr>
        <w:spacing w:line="360" w:lineRule="auto"/>
        <w:jc w:val="both"/>
        <w:rPr>
          <w:rFonts w:ascii="Arial" w:hAnsi="Arial"/>
          <w:noProof w:val="0"/>
          <w:rtl/>
        </w:rPr>
      </w:pPr>
      <w:r>
        <w:rPr>
          <w:rFonts w:ascii="Arial" w:hAnsi="Arial" w:hint="cs"/>
          <w:noProof w:val="0"/>
          <w:rtl/>
        </w:rPr>
        <w:t>שירות המבחן התרשם, כי הנאשם נוטה להסתבך בעבירות, למרות ניסיונו להציג, כי מתפקד באופן תקין.</w:t>
      </w:r>
    </w:p>
    <w:p w14:paraId="0A3BFD19" w14:textId="77777777" w:rsidR="00ED6B48" w:rsidRDefault="00ED6B48" w:rsidP="00ED6B48">
      <w:pPr>
        <w:spacing w:line="360" w:lineRule="auto"/>
        <w:jc w:val="both"/>
        <w:rPr>
          <w:rFonts w:ascii="Arial" w:hAnsi="Arial"/>
          <w:noProof w:val="0"/>
          <w:rtl/>
        </w:rPr>
      </w:pPr>
    </w:p>
    <w:p w14:paraId="3A696E5E" w14:textId="77777777" w:rsidR="00ED6B48" w:rsidRDefault="00ED6B48" w:rsidP="00ED6B48">
      <w:pPr>
        <w:spacing w:line="360" w:lineRule="auto"/>
        <w:jc w:val="both"/>
        <w:rPr>
          <w:rFonts w:ascii="Arial" w:hAnsi="Arial"/>
          <w:noProof w:val="0"/>
          <w:rtl/>
        </w:rPr>
      </w:pPr>
      <w:r>
        <w:rPr>
          <w:rFonts w:ascii="Arial" w:hAnsi="Arial" w:hint="cs"/>
          <w:noProof w:val="0"/>
          <w:rtl/>
        </w:rPr>
        <w:t xml:space="preserve">הנאשם ביטא רצון לסיים ההליך המשפטי במסגרת מאסר ועל כן </w:t>
      </w:r>
      <w:r>
        <w:rPr>
          <w:rFonts w:ascii="Arial" w:hAnsi="Arial"/>
          <w:noProof w:val="0"/>
          <w:rtl/>
        </w:rPr>
        <w:t>–</w:t>
      </w:r>
      <w:r>
        <w:rPr>
          <w:rFonts w:ascii="Arial" w:hAnsi="Arial" w:hint="cs"/>
          <w:noProof w:val="0"/>
          <w:rtl/>
        </w:rPr>
        <w:t xml:space="preserve"> נמנע שירות המבחן מלבוא בהמלצה טיפולית והמליץ על "</w:t>
      </w:r>
      <w:r w:rsidRPr="00AB0A97">
        <w:rPr>
          <w:rFonts w:ascii="Arial" w:hAnsi="Arial" w:hint="cs"/>
          <w:i/>
          <w:iCs/>
          <w:noProof w:val="0"/>
          <w:rtl/>
        </w:rPr>
        <w:t>ענישה מוחשית וקונקרטית</w:t>
      </w:r>
      <w:r>
        <w:rPr>
          <w:rFonts w:ascii="Arial" w:hAnsi="Arial" w:hint="cs"/>
          <w:noProof w:val="0"/>
          <w:rtl/>
        </w:rPr>
        <w:t>".</w:t>
      </w:r>
    </w:p>
    <w:p w14:paraId="79BBCE28" w14:textId="77777777" w:rsidR="00ED6B48" w:rsidRDefault="00ED6B48" w:rsidP="00ED6B48">
      <w:pPr>
        <w:spacing w:line="360" w:lineRule="auto"/>
        <w:jc w:val="both"/>
        <w:rPr>
          <w:rFonts w:ascii="Arial" w:hAnsi="Arial"/>
          <w:noProof w:val="0"/>
          <w:rtl/>
        </w:rPr>
      </w:pPr>
    </w:p>
    <w:p w14:paraId="34E0D5B5" w14:textId="77777777" w:rsidR="00ED6B48" w:rsidRDefault="00ED6B48" w:rsidP="00ED6B48">
      <w:pPr>
        <w:spacing w:line="360" w:lineRule="auto"/>
        <w:jc w:val="both"/>
        <w:rPr>
          <w:rFonts w:ascii="Arial" w:hAnsi="Arial"/>
          <w:noProof w:val="0"/>
          <w:rtl/>
        </w:rPr>
      </w:pPr>
    </w:p>
    <w:p w14:paraId="3073604A" w14:textId="77777777" w:rsidR="00ED6B48" w:rsidRDefault="00ED6B48" w:rsidP="00ED6B48">
      <w:pPr>
        <w:spacing w:line="360" w:lineRule="auto"/>
        <w:jc w:val="both"/>
        <w:rPr>
          <w:rFonts w:ascii="Arial" w:hAnsi="Arial"/>
          <w:noProof w:val="0"/>
          <w:rtl/>
        </w:rPr>
      </w:pPr>
      <w:r>
        <w:rPr>
          <w:rFonts w:ascii="Arial" w:hAnsi="Arial" w:hint="cs"/>
          <w:b/>
          <w:bCs/>
          <w:noProof w:val="0"/>
          <w:rtl/>
        </w:rPr>
        <w:t>טענות הצדדים</w:t>
      </w:r>
    </w:p>
    <w:p w14:paraId="5541C110" w14:textId="77777777" w:rsidR="00ED6B48" w:rsidRDefault="00ED6B48" w:rsidP="00ED6B48">
      <w:pPr>
        <w:spacing w:line="360" w:lineRule="auto"/>
        <w:jc w:val="both"/>
        <w:rPr>
          <w:rFonts w:ascii="Arial" w:hAnsi="Arial"/>
          <w:noProof w:val="0"/>
          <w:rtl/>
        </w:rPr>
      </w:pPr>
    </w:p>
    <w:p w14:paraId="569855E8" w14:textId="77777777" w:rsidR="00ED6B48" w:rsidRDefault="00ED6B48" w:rsidP="00ED6B48">
      <w:pPr>
        <w:spacing w:line="360" w:lineRule="auto"/>
        <w:jc w:val="both"/>
        <w:rPr>
          <w:rFonts w:ascii="Arial" w:hAnsi="Arial"/>
          <w:noProof w:val="0"/>
          <w:rtl/>
        </w:rPr>
      </w:pPr>
      <w:r>
        <w:rPr>
          <w:rFonts w:ascii="Arial" w:hAnsi="Arial" w:hint="cs"/>
          <w:noProof w:val="0"/>
          <w:rtl/>
        </w:rPr>
        <w:t>כל אחד מהצדדים הגיש טיעוניו לעונש בכתב והתביעה אף השלימה, בקצרה, טענותיה על פה.</w:t>
      </w:r>
    </w:p>
    <w:p w14:paraId="2D248FFB" w14:textId="77777777" w:rsidR="00ED6B48" w:rsidRDefault="00ED6B48" w:rsidP="00ED6B48">
      <w:pPr>
        <w:spacing w:line="360" w:lineRule="auto"/>
        <w:jc w:val="both"/>
        <w:rPr>
          <w:rFonts w:ascii="Arial" w:hAnsi="Arial"/>
          <w:noProof w:val="0"/>
          <w:rtl/>
        </w:rPr>
      </w:pPr>
    </w:p>
    <w:p w14:paraId="6EB45CD5" w14:textId="77777777" w:rsidR="00ED6B48" w:rsidRDefault="00ED6B48" w:rsidP="00ED6B48">
      <w:pPr>
        <w:spacing w:line="360" w:lineRule="auto"/>
        <w:jc w:val="both"/>
        <w:rPr>
          <w:rFonts w:ascii="Arial" w:hAnsi="Arial"/>
          <w:noProof w:val="0"/>
          <w:rtl/>
        </w:rPr>
      </w:pPr>
      <w:r w:rsidRPr="00ED5192">
        <w:rPr>
          <w:rFonts w:ascii="Arial" w:hAnsi="Arial" w:hint="cs"/>
          <w:noProof w:val="0"/>
          <w:u w:val="single"/>
          <w:rtl/>
        </w:rPr>
        <w:t>התביעה</w:t>
      </w:r>
      <w:r>
        <w:rPr>
          <w:rFonts w:ascii="Arial" w:hAnsi="Arial" w:hint="cs"/>
          <w:noProof w:val="0"/>
          <w:rtl/>
        </w:rPr>
        <w:t xml:space="preserve"> הדגישה הצורך להגן על שלום הציבור וביטחונו.</w:t>
      </w:r>
    </w:p>
    <w:p w14:paraId="185A509E" w14:textId="77777777" w:rsidR="00ED6B48" w:rsidRDefault="00ED6B48" w:rsidP="00ED6B48">
      <w:pPr>
        <w:spacing w:line="360" w:lineRule="auto"/>
        <w:jc w:val="both"/>
        <w:rPr>
          <w:rFonts w:ascii="Arial" w:hAnsi="Arial"/>
          <w:noProof w:val="0"/>
          <w:rtl/>
        </w:rPr>
      </w:pPr>
    </w:p>
    <w:p w14:paraId="5BD36CFA" w14:textId="77777777" w:rsidR="00ED6B48" w:rsidRDefault="00ED6B48" w:rsidP="00ED6B48">
      <w:pPr>
        <w:spacing w:line="360" w:lineRule="auto"/>
        <w:jc w:val="both"/>
        <w:rPr>
          <w:rFonts w:ascii="Arial" w:hAnsi="Arial"/>
          <w:noProof w:val="0"/>
          <w:rtl/>
        </w:rPr>
      </w:pPr>
      <w:r>
        <w:rPr>
          <w:rFonts w:ascii="Arial" w:hAnsi="Arial" w:hint="cs"/>
          <w:noProof w:val="0"/>
          <w:rtl/>
        </w:rPr>
        <w:t>התביעה הפנתה לפוטנציאל ההרס הטמון בהחזקת כלי נשק.</w:t>
      </w:r>
    </w:p>
    <w:p w14:paraId="590899C5" w14:textId="77777777" w:rsidR="00ED6B48" w:rsidRDefault="00ED6B48" w:rsidP="00ED6B48">
      <w:pPr>
        <w:spacing w:line="360" w:lineRule="auto"/>
        <w:jc w:val="both"/>
        <w:rPr>
          <w:rFonts w:ascii="Arial" w:hAnsi="Arial"/>
          <w:noProof w:val="0"/>
          <w:rtl/>
        </w:rPr>
      </w:pPr>
    </w:p>
    <w:p w14:paraId="3A000A6F" w14:textId="77777777" w:rsidR="00ED6B48" w:rsidRDefault="00ED6B48" w:rsidP="00ED6B48">
      <w:pPr>
        <w:spacing w:line="360" w:lineRule="auto"/>
        <w:jc w:val="both"/>
        <w:rPr>
          <w:rFonts w:ascii="Arial" w:hAnsi="Arial"/>
          <w:noProof w:val="0"/>
          <w:rtl/>
        </w:rPr>
      </w:pPr>
      <w:r>
        <w:rPr>
          <w:rFonts w:ascii="Arial" w:hAnsi="Arial" w:hint="cs"/>
          <w:noProof w:val="0"/>
          <w:rtl/>
        </w:rPr>
        <w:t>התביעה טענה, כי המדובר ב"מכת מדינה" וקם הצורך להרתיע הנאשם וגם אחרים.</w:t>
      </w:r>
    </w:p>
    <w:p w14:paraId="2E9D256F" w14:textId="77777777" w:rsidR="00ED6B48" w:rsidRDefault="00ED6B48" w:rsidP="00ED6B48">
      <w:pPr>
        <w:spacing w:line="360" w:lineRule="auto"/>
        <w:jc w:val="both"/>
        <w:rPr>
          <w:rFonts w:ascii="Arial" w:hAnsi="Arial"/>
          <w:noProof w:val="0"/>
          <w:rtl/>
        </w:rPr>
      </w:pPr>
    </w:p>
    <w:p w14:paraId="5DB1D662" w14:textId="77777777" w:rsidR="00ED6B48" w:rsidRDefault="00ED6B48" w:rsidP="00ED6B48">
      <w:pPr>
        <w:spacing w:line="360" w:lineRule="auto"/>
        <w:jc w:val="both"/>
        <w:rPr>
          <w:rFonts w:ascii="Arial" w:hAnsi="Arial"/>
          <w:noProof w:val="0"/>
          <w:rtl/>
        </w:rPr>
      </w:pPr>
      <w:r>
        <w:rPr>
          <w:rFonts w:ascii="Arial" w:hAnsi="Arial" w:hint="cs"/>
          <w:noProof w:val="0"/>
          <w:rtl/>
        </w:rPr>
        <w:t>התביעה טענה למתחם ענישה, שינוע בין 18 עד 40 חודשים מאסר בפועל, בגין החזקת הנשק והתחמושת יחדיו.</w:t>
      </w:r>
    </w:p>
    <w:p w14:paraId="0A7A5D40" w14:textId="77777777" w:rsidR="00ED6B48" w:rsidRDefault="00ED6B48" w:rsidP="00ED6B48">
      <w:pPr>
        <w:spacing w:line="360" w:lineRule="auto"/>
        <w:jc w:val="both"/>
        <w:rPr>
          <w:rFonts w:ascii="Arial" w:hAnsi="Arial"/>
          <w:noProof w:val="0"/>
          <w:rtl/>
        </w:rPr>
      </w:pPr>
    </w:p>
    <w:p w14:paraId="13580618" w14:textId="77777777" w:rsidR="00ED6B48" w:rsidRDefault="00ED6B48" w:rsidP="00ED6B48">
      <w:pPr>
        <w:spacing w:line="360" w:lineRule="auto"/>
        <w:jc w:val="both"/>
        <w:rPr>
          <w:rFonts w:ascii="Arial" w:hAnsi="Arial"/>
          <w:noProof w:val="0"/>
          <w:rtl/>
        </w:rPr>
      </w:pPr>
      <w:r>
        <w:rPr>
          <w:rFonts w:ascii="Arial" w:hAnsi="Arial" w:hint="cs"/>
          <w:noProof w:val="0"/>
          <w:rtl/>
        </w:rPr>
        <w:t xml:space="preserve">במסגרת המתחם </w:t>
      </w:r>
      <w:r>
        <w:rPr>
          <w:rFonts w:ascii="Arial" w:hAnsi="Arial"/>
          <w:noProof w:val="0"/>
          <w:rtl/>
        </w:rPr>
        <w:t>–</w:t>
      </w:r>
      <w:r>
        <w:rPr>
          <w:rFonts w:ascii="Arial" w:hAnsi="Arial" w:hint="cs"/>
          <w:noProof w:val="0"/>
          <w:rtl/>
        </w:rPr>
        <w:t xml:space="preserve"> לאור עברו הפלילי של הנאשם, ביחד עם התרשמות שירות המבחן ממנו </w:t>
      </w:r>
      <w:r>
        <w:rPr>
          <w:rFonts w:ascii="Arial" w:hAnsi="Arial"/>
          <w:noProof w:val="0"/>
          <w:rtl/>
        </w:rPr>
        <w:t>–</w:t>
      </w:r>
      <w:r>
        <w:rPr>
          <w:rFonts w:ascii="Arial" w:hAnsi="Arial" w:hint="cs"/>
          <w:noProof w:val="0"/>
          <w:rtl/>
        </w:rPr>
        <w:t xml:space="preserve"> עתרה התביעה לעונש במחצית העליונה של המתחם.</w:t>
      </w:r>
    </w:p>
    <w:p w14:paraId="32EE6FC8" w14:textId="77777777" w:rsidR="00ED6B48" w:rsidRDefault="00ED6B48" w:rsidP="00ED6B48">
      <w:pPr>
        <w:spacing w:line="360" w:lineRule="auto"/>
        <w:jc w:val="both"/>
        <w:rPr>
          <w:rFonts w:ascii="Arial" w:hAnsi="Arial"/>
          <w:noProof w:val="0"/>
          <w:rtl/>
        </w:rPr>
      </w:pPr>
    </w:p>
    <w:p w14:paraId="004313D1" w14:textId="77777777" w:rsidR="00ED6B48" w:rsidRDefault="00ED6B48" w:rsidP="00ED6B48">
      <w:pPr>
        <w:spacing w:line="360" w:lineRule="auto"/>
        <w:jc w:val="both"/>
        <w:rPr>
          <w:rFonts w:ascii="Arial" w:hAnsi="Arial"/>
          <w:noProof w:val="0"/>
          <w:rtl/>
        </w:rPr>
      </w:pPr>
      <w:r>
        <w:rPr>
          <w:rFonts w:ascii="Arial" w:hAnsi="Arial" w:hint="cs"/>
          <w:noProof w:val="0"/>
          <w:rtl/>
        </w:rPr>
        <w:t>כן עתרה התביעה להשית על הנאשם עונש מאסר מותנה ארוך ומרתיע; קנס; חילוט הרכב (כפי שהוסכם בהסדר הטיעון).</w:t>
      </w:r>
    </w:p>
    <w:p w14:paraId="285BE955" w14:textId="77777777" w:rsidR="00ED6B48" w:rsidRDefault="00ED6B48" w:rsidP="00ED6B48">
      <w:pPr>
        <w:spacing w:line="360" w:lineRule="auto"/>
        <w:jc w:val="both"/>
        <w:rPr>
          <w:rFonts w:ascii="Arial" w:hAnsi="Arial"/>
          <w:noProof w:val="0"/>
          <w:rtl/>
        </w:rPr>
      </w:pPr>
    </w:p>
    <w:p w14:paraId="69132264" w14:textId="77777777" w:rsidR="00ED6B48" w:rsidRDefault="00ED6B48" w:rsidP="00ED6B48">
      <w:pPr>
        <w:spacing w:line="360" w:lineRule="auto"/>
        <w:jc w:val="both"/>
        <w:rPr>
          <w:rFonts w:ascii="Arial" w:hAnsi="Arial"/>
          <w:noProof w:val="0"/>
          <w:rtl/>
        </w:rPr>
      </w:pPr>
      <w:r>
        <w:rPr>
          <w:rFonts w:ascii="Arial" w:hAnsi="Arial" w:hint="cs"/>
          <w:noProof w:val="0"/>
          <w:u w:val="single"/>
          <w:rtl/>
        </w:rPr>
        <w:t>ההגנה</w:t>
      </w:r>
      <w:r>
        <w:rPr>
          <w:rFonts w:ascii="Arial" w:hAnsi="Arial" w:hint="cs"/>
          <w:noProof w:val="0"/>
          <w:rtl/>
        </w:rPr>
        <w:t xml:space="preserve"> טענה בנוגע לנסיבותיו האישיות של הנאשם, אשר, לאחרונה, הקים משפחה; אב לילדים; מפרנס.</w:t>
      </w:r>
    </w:p>
    <w:p w14:paraId="1E1B4D9E" w14:textId="77777777" w:rsidR="00ED6B48" w:rsidRDefault="00ED6B48" w:rsidP="00ED6B48">
      <w:pPr>
        <w:spacing w:line="360" w:lineRule="auto"/>
        <w:jc w:val="both"/>
        <w:rPr>
          <w:rFonts w:ascii="Arial" w:hAnsi="Arial"/>
          <w:noProof w:val="0"/>
          <w:rtl/>
        </w:rPr>
      </w:pPr>
    </w:p>
    <w:p w14:paraId="187D6078" w14:textId="77777777" w:rsidR="00ED6B48" w:rsidRDefault="00ED6B48" w:rsidP="00ED6B48">
      <w:pPr>
        <w:spacing w:line="360" w:lineRule="auto"/>
        <w:jc w:val="both"/>
        <w:rPr>
          <w:rFonts w:ascii="Arial" w:hAnsi="Arial"/>
          <w:noProof w:val="0"/>
          <w:rtl/>
        </w:rPr>
      </w:pPr>
      <w:r>
        <w:rPr>
          <w:rFonts w:ascii="Arial" w:hAnsi="Arial" w:hint="cs"/>
          <w:noProof w:val="0"/>
          <w:rtl/>
        </w:rPr>
        <w:t xml:space="preserve">לטענת ההגנה </w:t>
      </w:r>
      <w:r>
        <w:rPr>
          <w:rFonts w:ascii="Arial" w:hAnsi="Arial"/>
          <w:noProof w:val="0"/>
          <w:rtl/>
        </w:rPr>
        <w:t>–</w:t>
      </w:r>
      <w:r>
        <w:rPr>
          <w:rFonts w:ascii="Arial" w:hAnsi="Arial" w:hint="cs"/>
          <w:noProof w:val="0"/>
          <w:rtl/>
        </w:rPr>
        <w:t xml:space="preserve"> לא הוצעה לנאשם כלל מסגרת שיקומית מטעם שירות המבחן (יצוין, ההגנה עתרה לדחות שמיעת פרשת העונש לצורך הפניית הנאשם לתסקיר משלים, אך ביהמ"ש לא נעתר לבקשה, מאחר שלא נמצאה אי בהירות בתסקיר ונאמר במפורש, כי הנאשם הוא שביטא רצונו לסיים ההליך במסגרת מאסר).</w:t>
      </w:r>
    </w:p>
    <w:p w14:paraId="1CEAACAB" w14:textId="77777777" w:rsidR="00ED6B48" w:rsidRDefault="00ED6B48" w:rsidP="00ED6B48">
      <w:pPr>
        <w:spacing w:line="360" w:lineRule="auto"/>
        <w:jc w:val="both"/>
        <w:rPr>
          <w:rFonts w:ascii="Arial" w:hAnsi="Arial"/>
          <w:noProof w:val="0"/>
          <w:rtl/>
        </w:rPr>
      </w:pPr>
    </w:p>
    <w:p w14:paraId="71EEE420" w14:textId="77777777" w:rsidR="00ED6B48" w:rsidRDefault="00ED6B48" w:rsidP="00ED6B48">
      <w:pPr>
        <w:spacing w:line="360" w:lineRule="auto"/>
        <w:jc w:val="both"/>
        <w:rPr>
          <w:rFonts w:ascii="Arial" w:hAnsi="Arial"/>
          <w:noProof w:val="0"/>
          <w:rtl/>
        </w:rPr>
      </w:pPr>
      <w:r>
        <w:rPr>
          <w:rFonts w:ascii="Arial" w:hAnsi="Arial" w:hint="cs"/>
          <w:noProof w:val="0"/>
          <w:rtl/>
        </w:rPr>
        <w:t xml:space="preserve">ההגנה טענה למתחם ענישה, שינוע בין 6 עד 18 חודשים מאסר בפועל. </w:t>
      </w:r>
    </w:p>
    <w:p w14:paraId="74B28ED1" w14:textId="77777777" w:rsidR="00ED6B48" w:rsidRDefault="00ED6B48" w:rsidP="00ED6B48">
      <w:pPr>
        <w:spacing w:line="360" w:lineRule="auto"/>
        <w:jc w:val="both"/>
        <w:rPr>
          <w:rFonts w:ascii="Arial" w:hAnsi="Arial"/>
          <w:noProof w:val="0"/>
          <w:rtl/>
        </w:rPr>
      </w:pPr>
    </w:p>
    <w:p w14:paraId="011DD70C" w14:textId="77777777" w:rsidR="00ED6B48" w:rsidRDefault="00ED6B48" w:rsidP="00ED6B48">
      <w:pPr>
        <w:spacing w:line="360" w:lineRule="auto"/>
        <w:jc w:val="both"/>
        <w:rPr>
          <w:rFonts w:ascii="Arial" w:hAnsi="Arial"/>
          <w:noProof w:val="0"/>
          <w:rtl/>
        </w:rPr>
      </w:pPr>
      <w:r>
        <w:rPr>
          <w:rFonts w:ascii="Arial" w:hAnsi="Arial" w:hint="cs"/>
          <w:noProof w:val="0"/>
          <w:rtl/>
        </w:rPr>
        <w:t xml:space="preserve">במסגרת המתחם </w:t>
      </w:r>
      <w:r>
        <w:rPr>
          <w:rFonts w:ascii="Arial" w:hAnsi="Arial"/>
          <w:noProof w:val="0"/>
          <w:rtl/>
        </w:rPr>
        <w:t>–</w:t>
      </w:r>
      <w:r>
        <w:rPr>
          <w:rFonts w:ascii="Arial" w:hAnsi="Arial" w:hint="cs"/>
          <w:noProof w:val="0"/>
          <w:rtl/>
        </w:rPr>
        <w:t xml:space="preserve"> עתרה ההגנה, כי ביהמ"ש יאפשר לנאשם "לסיים ריצוי מאסרו במהרה".</w:t>
      </w:r>
    </w:p>
    <w:p w14:paraId="70CFA938" w14:textId="77777777" w:rsidR="00ED6B48" w:rsidRDefault="00ED6B48" w:rsidP="00ED6B48">
      <w:pPr>
        <w:spacing w:line="360" w:lineRule="auto"/>
        <w:jc w:val="both"/>
        <w:rPr>
          <w:rFonts w:ascii="Arial" w:hAnsi="Arial"/>
          <w:noProof w:val="0"/>
          <w:rtl/>
        </w:rPr>
      </w:pPr>
    </w:p>
    <w:p w14:paraId="699BBC95" w14:textId="77777777" w:rsidR="00ED6B48" w:rsidRDefault="00ED6B48" w:rsidP="00ED6B48">
      <w:pPr>
        <w:spacing w:line="360" w:lineRule="auto"/>
        <w:jc w:val="both"/>
        <w:rPr>
          <w:rFonts w:ascii="Arial" w:hAnsi="Arial"/>
          <w:noProof w:val="0"/>
          <w:rtl/>
        </w:rPr>
      </w:pPr>
      <w:r>
        <w:rPr>
          <w:rFonts w:ascii="Arial" w:hAnsi="Arial" w:hint="cs"/>
          <w:noProof w:val="0"/>
          <w:rtl/>
        </w:rPr>
        <w:t xml:space="preserve">עוד עתרה ההגנה, כי בנוגע לקנס </w:t>
      </w:r>
      <w:r>
        <w:rPr>
          <w:rFonts w:ascii="Arial" w:hAnsi="Arial"/>
          <w:noProof w:val="0"/>
          <w:rtl/>
        </w:rPr>
        <w:t>–</w:t>
      </w:r>
      <w:r>
        <w:rPr>
          <w:rFonts w:ascii="Arial" w:hAnsi="Arial" w:hint="cs"/>
          <w:noProof w:val="0"/>
          <w:rtl/>
        </w:rPr>
        <w:t xml:space="preserve"> ייקח בית המשפט בחשבון הסכמת ההגנה לחילוט הלקסוס.</w:t>
      </w:r>
    </w:p>
    <w:p w14:paraId="169E9372" w14:textId="77777777" w:rsidR="00ED6B48" w:rsidRDefault="00ED6B48" w:rsidP="00ED6B48">
      <w:pPr>
        <w:spacing w:line="360" w:lineRule="auto"/>
        <w:jc w:val="both"/>
        <w:rPr>
          <w:rFonts w:ascii="Arial" w:hAnsi="Arial"/>
          <w:noProof w:val="0"/>
          <w:rtl/>
        </w:rPr>
      </w:pPr>
    </w:p>
    <w:p w14:paraId="5C8B44CB" w14:textId="77777777" w:rsidR="00ED6B48" w:rsidRDefault="00ED6B48" w:rsidP="00ED6B48">
      <w:pPr>
        <w:spacing w:line="360" w:lineRule="auto"/>
        <w:jc w:val="both"/>
        <w:rPr>
          <w:rFonts w:ascii="Arial" w:hAnsi="Arial"/>
          <w:noProof w:val="0"/>
          <w:rtl/>
        </w:rPr>
      </w:pPr>
    </w:p>
    <w:p w14:paraId="65DB0B6B" w14:textId="77777777" w:rsidR="00ED6B48" w:rsidRDefault="00ED6B48" w:rsidP="00ED6B48">
      <w:pPr>
        <w:spacing w:line="360" w:lineRule="auto"/>
        <w:jc w:val="both"/>
        <w:rPr>
          <w:rFonts w:ascii="Arial" w:hAnsi="Arial"/>
          <w:noProof w:val="0"/>
          <w:rtl/>
        </w:rPr>
      </w:pPr>
    </w:p>
    <w:p w14:paraId="1F51E263" w14:textId="77777777" w:rsidR="00ED6B48" w:rsidRDefault="00ED6B48" w:rsidP="00ED6B48">
      <w:pPr>
        <w:spacing w:line="360" w:lineRule="auto"/>
        <w:jc w:val="both"/>
        <w:rPr>
          <w:rFonts w:ascii="Arial" w:hAnsi="Arial"/>
          <w:noProof w:val="0"/>
          <w:rtl/>
        </w:rPr>
      </w:pPr>
    </w:p>
    <w:p w14:paraId="2366B3A1" w14:textId="77777777" w:rsidR="00ED6B48" w:rsidRPr="00AA1D4A" w:rsidRDefault="00ED6B48" w:rsidP="00ED6B48">
      <w:pPr>
        <w:spacing w:line="360" w:lineRule="auto"/>
        <w:jc w:val="both"/>
        <w:rPr>
          <w:rFonts w:ascii="Arial" w:hAnsi="Arial"/>
          <w:noProof w:val="0"/>
          <w:rtl/>
        </w:rPr>
      </w:pPr>
      <w:r>
        <w:rPr>
          <w:rFonts w:ascii="Arial" w:hAnsi="Arial" w:hint="cs"/>
          <w:b/>
          <w:bCs/>
          <w:noProof w:val="0"/>
          <w:rtl/>
        </w:rPr>
        <w:t>דיון והכרעה</w:t>
      </w:r>
    </w:p>
    <w:p w14:paraId="3605DBCA" w14:textId="77777777" w:rsidR="00ED6B48" w:rsidRDefault="00ED6B48" w:rsidP="00ED6B48">
      <w:pPr>
        <w:spacing w:line="360" w:lineRule="auto"/>
        <w:jc w:val="both"/>
        <w:rPr>
          <w:rFonts w:ascii="Arial" w:hAnsi="Arial"/>
          <w:noProof w:val="0"/>
          <w:rtl/>
        </w:rPr>
      </w:pPr>
    </w:p>
    <w:p w14:paraId="19CDA5FB" w14:textId="77777777" w:rsidR="00ED6B48" w:rsidRDefault="00ED6B48" w:rsidP="00ED6B48">
      <w:pPr>
        <w:spacing w:line="360" w:lineRule="auto"/>
        <w:jc w:val="both"/>
        <w:rPr>
          <w:rFonts w:ascii="David" w:hAnsi="David"/>
          <w:noProof w:val="0"/>
        </w:rPr>
      </w:pPr>
      <w:r>
        <w:rPr>
          <w:rFonts w:ascii="David" w:hAnsi="David"/>
          <w:rtl/>
        </w:rPr>
        <w:t>אין צורך להכביר מילים על פוטנציאל הסיכון הנובע מהחזקת נשק חם קטלני, שלא כדין.</w:t>
      </w:r>
    </w:p>
    <w:p w14:paraId="0165609C" w14:textId="77777777" w:rsidR="00ED6B48" w:rsidRDefault="00ED6B48" w:rsidP="00ED6B48">
      <w:pPr>
        <w:spacing w:line="360" w:lineRule="auto"/>
        <w:jc w:val="both"/>
        <w:rPr>
          <w:rFonts w:ascii="Arial" w:hAnsi="Arial" w:cs="Arial"/>
        </w:rPr>
      </w:pPr>
    </w:p>
    <w:p w14:paraId="2937ECA8" w14:textId="77777777" w:rsidR="00ED6B48" w:rsidRDefault="00ED6B48" w:rsidP="00ED6B48">
      <w:pPr>
        <w:spacing w:line="360" w:lineRule="auto"/>
        <w:jc w:val="both"/>
        <w:rPr>
          <w:rFonts w:ascii="Arial" w:hAnsi="Arial" w:cs="Arial"/>
        </w:rPr>
      </w:pPr>
      <w:r>
        <w:rPr>
          <w:rFonts w:ascii="David" w:hAnsi="David"/>
          <w:rtl/>
        </w:rPr>
        <w:t>כלי הנשק עלול למצוא דרכו לפעילות שלילית, אם פלילית ואם נגד בטחון המדינה.</w:t>
      </w:r>
    </w:p>
    <w:p w14:paraId="617EB469" w14:textId="77777777" w:rsidR="00ED6B48" w:rsidRDefault="00ED6B48" w:rsidP="00ED6B48">
      <w:pPr>
        <w:spacing w:line="360" w:lineRule="auto"/>
        <w:jc w:val="both"/>
        <w:rPr>
          <w:rFonts w:ascii="Arial" w:hAnsi="Arial" w:cs="Arial"/>
        </w:rPr>
      </w:pPr>
    </w:p>
    <w:p w14:paraId="54DBFB25" w14:textId="77777777" w:rsidR="00ED6B48" w:rsidRDefault="00ED6B48" w:rsidP="00ED6B48">
      <w:pPr>
        <w:spacing w:line="360" w:lineRule="auto"/>
        <w:jc w:val="both"/>
        <w:rPr>
          <w:rFonts w:ascii="Arial" w:hAnsi="Arial" w:cs="Arial"/>
        </w:rPr>
      </w:pPr>
      <w:r>
        <w:rPr>
          <w:rFonts w:ascii="David" w:hAnsi="David"/>
          <w:rtl/>
        </w:rPr>
        <w:t>החזקת נשק על ידי מי שלא נבדק, לא נמצא מתאים ולא הוכשר לכך, בתנאים שאינם מבטיחים בידודו של הנשק מהסביבה (כיום, מי שמחזיק נשק ברישיון נדרש לאפסנו בכספת מאובטחת, מאחורי שני מנעולים), עלולה להביא לסיכון שלום הציבור, גם אם אין ראיות שהוחזק לצורך פעילות שלילית, כמפורט לעיל.</w:t>
      </w:r>
    </w:p>
    <w:p w14:paraId="163E9841" w14:textId="77777777" w:rsidR="00ED6B48" w:rsidRDefault="00ED6B48" w:rsidP="00ED6B48">
      <w:pPr>
        <w:spacing w:line="360" w:lineRule="auto"/>
        <w:jc w:val="both"/>
        <w:rPr>
          <w:rFonts w:cs="Times New Roman"/>
          <w:rtl/>
        </w:rPr>
      </w:pPr>
    </w:p>
    <w:p w14:paraId="7A63B8F8" w14:textId="77777777" w:rsidR="00ED6B48" w:rsidRDefault="00ED6B48" w:rsidP="00ED6B48">
      <w:pPr>
        <w:spacing w:line="360" w:lineRule="auto"/>
        <w:jc w:val="both"/>
        <w:rPr>
          <w:rtl/>
        </w:rPr>
      </w:pPr>
      <w:r>
        <w:rPr>
          <w:rFonts w:ascii="David" w:hAnsi="David"/>
          <w:rtl/>
        </w:rPr>
        <w:t>בנוסף, החזקת נשק כאמור עלולה להביא לפגיעה בשלטון החוק ובנושאי שלטון החוק, המבצעים את תפקידם.</w:t>
      </w:r>
    </w:p>
    <w:p w14:paraId="5EBC0D9C" w14:textId="77777777" w:rsidR="00ED6B48" w:rsidRDefault="00ED6B48" w:rsidP="00ED6B48">
      <w:pPr>
        <w:spacing w:line="360" w:lineRule="auto"/>
        <w:jc w:val="both"/>
      </w:pPr>
    </w:p>
    <w:p w14:paraId="6F62FBE6" w14:textId="77777777" w:rsidR="00ED6B48" w:rsidRDefault="00ED6B48" w:rsidP="00ED6B48">
      <w:pPr>
        <w:spacing w:line="360" w:lineRule="auto"/>
        <w:jc w:val="both"/>
        <w:rPr>
          <w:rFonts w:ascii="David" w:hAnsi="David"/>
        </w:rPr>
      </w:pPr>
      <w:r>
        <w:rPr>
          <w:rFonts w:ascii="David" w:hAnsi="David"/>
          <w:rtl/>
        </w:rPr>
        <w:t xml:space="preserve">בפסק הדין </w:t>
      </w:r>
      <w:hyperlink r:id="rId14" w:history="1">
        <w:r w:rsidR="00FB2F19" w:rsidRPr="00FB2F19">
          <w:rPr>
            <w:rFonts w:ascii="David" w:hAnsi="David"/>
            <w:color w:val="0000FF"/>
            <w:u w:val="single"/>
            <w:rtl/>
          </w:rPr>
          <w:t>ע.פ. 3288/14</w:t>
        </w:r>
      </w:hyperlink>
      <w:r>
        <w:rPr>
          <w:rFonts w:ascii="David" w:hAnsi="David"/>
          <w:rtl/>
        </w:rPr>
        <w:t xml:space="preserve"> </w:t>
      </w:r>
      <w:r>
        <w:rPr>
          <w:rFonts w:ascii="David" w:hAnsi="David"/>
          <w:b/>
          <w:bCs/>
          <w:rtl/>
        </w:rPr>
        <w:t>מדינת ישראל נ' קריספל</w:t>
      </w:r>
      <w:r>
        <w:rPr>
          <w:rFonts w:ascii="David" w:hAnsi="David"/>
          <w:rtl/>
        </w:rPr>
        <w:t xml:space="preserve"> (פורסם במאגרים), נאמר: </w:t>
      </w:r>
    </w:p>
    <w:p w14:paraId="4366ABC7" w14:textId="77777777" w:rsidR="00ED6B48" w:rsidRDefault="00ED6B48" w:rsidP="00ED6B48">
      <w:pPr>
        <w:spacing w:line="360" w:lineRule="auto"/>
        <w:jc w:val="both"/>
        <w:rPr>
          <w:rFonts w:ascii="David" w:hAnsi="David"/>
          <w:rtl/>
        </w:rPr>
      </w:pPr>
    </w:p>
    <w:p w14:paraId="54D8C9A2" w14:textId="77777777" w:rsidR="00ED6B48" w:rsidRDefault="00ED6B48" w:rsidP="00ED6B48">
      <w:pPr>
        <w:spacing w:line="360" w:lineRule="auto"/>
        <w:jc w:val="both"/>
        <w:rPr>
          <w:rFonts w:ascii="Calibri" w:hAnsi="Calibri" w:cs="Aharoni"/>
        </w:rPr>
      </w:pPr>
      <w:r>
        <w:rPr>
          <w:rFonts w:cs="Aharoni" w:hint="cs"/>
          <w:rtl/>
        </w:rPr>
        <w:t>בשל פוטנציאל ההרס הטמון בכלי נשק, הכולל גם אפשרות לפגיעה עיוורת באנשים מן הישוב, מתפקידו של בית המשפט להרתיע אף מפני עבירת החזקת נשק שלא כדין. זאת, כדי לבלום את שרשרת העבירות בשלב ראשוני.</w:t>
      </w:r>
    </w:p>
    <w:p w14:paraId="1BBC2B9D" w14:textId="77777777" w:rsidR="00ED6B48" w:rsidRDefault="00ED6B48" w:rsidP="00ED6B48">
      <w:pPr>
        <w:spacing w:line="360" w:lineRule="auto"/>
        <w:jc w:val="both"/>
        <w:rPr>
          <w:rFonts w:ascii="David" w:hAnsi="David"/>
        </w:rPr>
      </w:pPr>
    </w:p>
    <w:p w14:paraId="1CE1DEC2" w14:textId="77777777" w:rsidR="00ED6B48" w:rsidRDefault="00ED6B48" w:rsidP="00ED6B48">
      <w:pPr>
        <w:spacing w:line="360" w:lineRule="auto"/>
        <w:jc w:val="both"/>
        <w:rPr>
          <w:rFonts w:ascii="David" w:hAnsi="David"/>
        </w:rPr>
      </w:pPr>
      <w:r>
        <w:rPr>
          <w:rFonts w:ascii="David" w:hAnsi="David"/>
          <w:rtl/>
        </w:rPr>
        <w:t xml:space="preserve">בפסק הדין </w:t>
      </w:r>
      <w:hyperlink r:id="rId15" w:history="1">
        <w:r w:rsidR="00FB2F19" w:rsidRPr="00FB2F19">
          <w:rPr>
            <w:rFonts w:ascii="David" w:hAnsi="David"/>
            <w:color w:val="0000FF"/>
            <w:u w:val="single"/>
            <w:rtl/>
          </w:rPr>
          <w:t>ע.פ. 4945/13</w:t>
        </w:r>
      </w:hyperlink>
      <w:r>
        <w:rPr>
          <w:rFonts w:ascii="David" w:hAnsi="David"/>
          <w:rtl/>
        </w:rPr>
        <w:t xml:space="preserve"> </w:t>
      </w:r>
      <w:r>
        <w:rPr>
          <w:rFonts w:ascii="David" w:hAnsi="David"/>
          <w:b/>
          <w:bCs/>
          <w:rtl/>
        </w:rPr>
        <w:t>סלימאן, נ' מדינת ישראל</w:t>
      </w:r>
      <w:r>
        <w:rPr>
          <w:rFonts w:ascii="David" w:hAnsi="David"/>
          <w:rtl/>
        </w:rPr>
        <w:t xml:space="preserve"> (פורסם במאגרים), נאמר:</w:t>
      </w:r>
    </w:p>
    <w:p w14:paraId="202B7F36" w14:textId="77777777" w:rsidR="00ED6B48" w:rsidRDefault="00ED6B48" w:rsidP="00ED6B48">
      <w:pPr>
        <w:spacing w:line="360" w:lineRule="auto"/>
        <w:jc w:val="both"/>
        <w:rPr>
          <w:rFonts w:ascii="David" w:hAnsi="David"/>
        </w:rPr>
      </w:pPr>
    </w:p>
    <w:p w14:paraId="3FBC0013" w14:textId="77777777" w:rsidR="00ED6B48" w:rsidRDefault="00ED6B48" w:rsidP="00ED6B48">
      <w:pPr>
        <w:spacing w:line="360" w:lineRule="auto"/>
        <w:jc w:val="both"/>
        <w:rPr>
          <w:rFonts w:ascii="Calibri" w:hAnsi="Calibri" w:cs="Aharoni"/>
          <w:rtl/>
        </w:rPr>
      </w:pPr>
      <w:r>
        <w:rPr>
          <w:rFonts w:cs="Aharoni" w:hint="cs"/>
          <w:rtl/>
        </w:rPr>
        <w:t>... התגלגלותם של כלי נשק מיד ליד ללא פיקוח עלולה להוביל להגעתם בדרך לא דרך לגורמים פליליים ועוינים. אין לדעת מה יעלה בגורלם של</w:t>
      </w:r>
      <w:r w:rsidR="00FB2F19">
        <w:rPr>
          <w:rFonts w:cs="Aharoni" w:hint="cs"/>
          <w:rtl/>
        </w:rPr>
        <w:t xml:space="preserve"> </w:t>
      </w:r>
      <w:r>
        <w:rPr>
          <w:rFonts w:cs="Aharoni" w:hint="cs"/>
          <w:rtl/>
        </w:rPr>
        <w:t xml:space="preserve"> ולאלו תוצאות הרסניות יובילו. ודוק: הסיכון שנשקף לשלום הציבור צריך להילקח בחשבון על ידי כל מי שמחזיק בידו נשק שלא כדין, </w:t>
      </w:r>
      <w:r>
        <w:rPr>
          <w:rFonts w:cs="Aharoni" w:hint="cs"/>
          <w:u w:val="single"/>
          <w:rtl/>
        </w:rPr>
        <w:t>גם אם אינו מחזיק בו למטרת ביצוען של עבירות אחרות</w:t>
      </w:r>
      <w:r>
        <w:rPr>
          <w:rFonts w:cs="Aharoni" w:hint="cs"/>
          <w:rtl/>
        </w:rPr>
        <w:t>.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p>
    <w:p w14:paraId="2A5BC15B" w14:textId="77777777" w:rsidR="00ED6B48" w:rsidRDefault="00ED6B48" w:rsidP="00ED6B48">
      <w:pPr>
        <w:spacing w:line="360" w:lineRule="auto"/>
        <w:jc w:val="both"/>
        <w:rPr>
          <w:rFonts w:ascii="David" w:hAnsi="David"/>
          <w:rtl/>
        </w:rPr>
      </w:pPr>
      <w:r>
        <w:rPr>
          <w:rFonts w:ascii="David" w:hAnsi="David"/>
          <w:rtl/>
        </w:rPr>
        <w:t>[ההדגשה אינה במקור].</w:t>
      </w:r>
    </w:p>
    <w:p w14:paraId="1D157B7B" w14:textId="77777777" w:rsidR="00ED6B48" w:rsidRDefault="00ED6B48" w:rsidP="00ED6B48">
      <w:pPr>
        <w:spacing w:line="360" w:lineRule="auto"/>
        <w:jc w:val="both"/>
        <w:rPr>
          <w:rFonts w:ascii="David" w:hAnsi="David"/>
          <w:rtl/>
        </w:rPr>
      </w:pPr>
    </w:p>
    <w:p w14:paraId="5C2ED2BB" w14:textId="77777777" w:rsidR="00ED6B48" w:rsidRDefault="00ED6B48" w:rsidP="00ED6B48">
      <w:pPr>
        <w:spacing w:line="360" w:lineRule="auto"/>
        <w:jc w:val="both"/>
        <w:rPr>
          <w:rFonts w:ascii="David" w:hAnsi="David"/>
          <w:rtl/>
        </w:rPr>
      </w:pPr>
      <w:r>
        <w:rPr>
          <w:rFonts w:ascii="David" w:hAnsi="David"/>
          <w:rtl/>
        </w:rPr>
        <w:t xml:space="preserve">בשורה של פסקי דין נקבע, כי </w:t>
      </w:r>
      <w:r>
        <w:rPr>
          <w:rFonts w:ascii="David" w:hAnsi="David"/>
          <w:u w:val="single"/>
          <w:rtl/>
        </w:rPr>
        <w:t>חומרת הסיכון הנשקף מעבירות אלה, מחייבת השתת עונשי מאסר בפועל בגין עבירות אלה וזאת גם כאשר המדובר, לכאורה, במי שמנהל אורח חיים נורמטיבי ואין לחובתו הרשעות קודמות</w:t>
      </w:r>
      <w:r>
        <w:rPr>
          <w:rFonts w:ascii="David" w:hAnsi="David"/>
          <w:rtl/>
        </w:rPr>
        <w:t xml:space="preserve">. ראו </w:t>
      </w:r>
      <w:hyperlink r:id="rId16" w:history="1">
        <w:r w:rsidR="00FB2F19" w:rsidRPr="00FB2F19">
          <w:rPr>
            <w:rFonts w:ascii="David" w:hAnsi="David"/>
            <w:color w:val="0000FF"/>
            <w:u w:val="single"/>
            <w:rtl/>
          </w:rPr>
          <w:t>רע"פ 2718/04</w:t>
        </w:r>
      </w:hyperlink>
      <w:r>
        <w:rPr>
          <w:rFonts w:ascii="David" w:hAnsi="David"/>
          <w:rtl/>
        </w:rPr>
        <w:t xml:space="preserve"> </w:t>
      </w:r>
      <w:r>
        <w:rPr>
          <w:rFonts w:ascii="David" w:hAnsi="David"/>
          <w:b/>
          <w:bCs/>
          <w:rtl/>
        </w:rPr>
        <w:t>אבו דאחל נ' מדינת ישראל</w:t>
      </w:r>
      <w:r>
        <w:rPr>
          <w:rFonts w:ascii="David" w:hAnsi="David"/>
          <w:rtl/>
        </w:rPr>
        <w:t xml:space="preserve"> (פורסם במאגרים):</w:t>
      </w:r>
    </w:p>
    <w:p w14:paraId="0B5740DB" w14:textId="77777777" w:rsidR="00ED6B48" w:rsidRDefault="00ED6B48" w:rsidP="00ED6B48">
      <w:pPr>
        <w:spacing w:line="360" w:lineRule="auto"/>
        <w:jc w:val="both"/>
        <w:rPr>
          <w:rFonts w:ascii="David" w:hAnsi="David"/>
          <w:rtl/>
        </w:rPr>
      </w:pPr>
    </w:p>
    <w:p w14:paraId="2D5FBAC5" w14:textId="77777777" w:rsidR="00ED6B48" w:rsidRDefault="00ED6B48" w:rsidP="00ED6B48">
      <w:pPr>
        <w:spacing w:line="360" w:lineRule="auto"/>
        <w:jc w:val="both"/>
        <w:rPr>
          <w:rFonts w:ascii="Calibri" w:hAnsi="Calibri" w:cs="Aharoni"/>
          <w:rtl/>
        </w:rPr>
      </w:pPr>
      <w:r>
        <w:rPr>
          <w:rFonts w:cs="Aharoni" w:hint="cs"/>
          <w:rtl/>
        </w:rPr>
        <w:t>יוער כי הסכנה הטמונה בעבירה החמורה של החזקת נשק מצדיקה הטלת עונשי מאסר לריצוי בפועל גם על מי שזו עבירתו הראשונה. בבוא בית 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w:t>
      </w:r>
    </w:p>
    <w:p w14:paraId="4C8CEDA9" w14:textId="77777777" w:rsidR="00ED6B48" w:rsidRDefault="00ED6B48" w:rsidP="00ED6B48">
      <w:pPr>
        <w:spacing w:line="360" w:lineRule="auto"/>
        <w:jc w:val="both"/>
        <w:rPr>
          <w:rFonts w:ascii="David" w:hAnsi="David"/>
          <w:rtl/>
        </w:rPr>
      </w:pPr>
    </w:p>
    <w:p w14:paraId="55863AEB" w14:textId="77777777" w:rsidR="00ED6B48" w:rsidRDefault="00ED6B48" w:rsidP="00ED6B48">
      <w:pPr>
        <w:spacing w:line="360" w:lineRule="auto"/>
        <w:jc w:val="both"/>
        <w:rPr>
          <w:rFonts w:ascii="David" w:hAnsi="David"/>
          <w:rtl/>
        </w:rPr>
      </w:pPr>
      <w:r>
        <w:rPr>
          <w:rFonts w:ascii="David" w:hAnsi="David"/>
          <w:rtl/>
        </w:rPr>
        <w:t xml:space="preserve">עוד ראו </w:t>
      </w:r>
      <w:hyperlink r:id="rId17" w:history="1">
        <w:r w:rsidR="00FB2F19" w:rsidRPr="00FB2F19">
          <w:rPr>
            <w:rFonts w:ascii="David" w:hAnsi="David"/>
            <w:color w:val="0000FF"/>
            <w:u w:val="single"/>
            <w:rtl/>
          </w:rPr>
          <w:t>ע.פ. 5220/09</w:t>
        </w:r>
      </w:hyperlink>
      <w:r>
        <w:rPr>
          <w:rFonts w:ascii="David" w:hAnsi="David"/>
          <w:rtl/>
        </w:rPr>
        <w:t xml:space="preserve"> </w:t>
      </w:r>
      <w:r>
        <w:rPr>
          <w:rFonts w:ascii="David" w:hAnsi="David"/>
          <w:b/>
          <w:bCs/>
          <w:rtl/>
        </w:rPr>
        <w:t xml:space="preserve">עוואודה נ' מדינת ישראל </w:t>
      </w:r>
      <w:r>
        <w:rPr>
          <w:rFonts w:ascii="David" w:hAnsi="David"/>
          <w:rtl/>
        </w:rPr>
        <w:t>(פורסם במאגרים):</w:t>
      </w:r>
    </w:p>
    <w:p w14:paraId="198F3100" w14:textId="77777777" w:rsidR="00ED6B48" w:rsidRDefault="00ED6B48" w:rsidP="00ED6B48">
      <w:pPr>
        <w:spacing w:line="360" w:lineRule="auto"/>
        <w:jc w:val="both"/>
        <w:rPr>
          <w:rFonts w:ascii="David" w:hAnsi="David"/>
          <w:rtl/>
        </w:rPr>
      </w:pPr>
    </w:p>
    <w:p w14:paraId="2557887F" w14:textId="77777777" w:rsidR="00ED6B48" w:rsidRDefault="00ED6B48" w:rsidP="00ED6B48">
      <w:pPr>
        <w:spacing w:line="360" w:lineRule="auto"/>
        <w:jc w:val="both"/>
        <w:rPr>
          <w:rFonts w:ascii="David" w:hAnsi="David"/>
          <w:rtl/>
        </w:rPr>
      </w:pPr>
      <w:r>
        <w:rPr>
          <w:rFonts w:cs="Aharoni" w:hint="cs"/>
          <w:rtl/>
        </w:rPr>
        <w:t xml:space="preserve">אשר על כן משכבר נקבע הכלל לפיו </w:t>
      </w:r>
      <w:r>
        <w:rPr>
          <w:rFonts w:cs="Aharoni" w:hint="cs"/>
          <w:u w:val="single"/>
          <w:rtl/>
        </w:rPr>
        <w:t>ככלל יש לאסור את המבצעים עבירה זו, גם אם מדובר בעבירה ראשונה</w:t>
      </w:r>
      <w:r>
        <w:rPr>
          <w:rFonts w:cs="Aharoni" w:hint="cs"/>
          <w:rtl/>
        </w:rPr>
        <w:t>, מאחורי סורג ובריח, ואילו אורך התקופה כלול בנסיבות הספציפיות של העושה והמעשה.</w:t>
      </w:r>
    </w:p>
    <w:p w14:paraId="2A1C2C28" w14:textId="77777777" w:rsidR="00ED6B48" w:rsidRDefault="00ED6B48" w:rsidP="00ED6B48">
      <w:pPr>
        <w:spacing w:line="360" w:lineRule="auto"/>
        <w:jc w:val="both"/>
        <w:rPr>
          <w:rFonts w:ascii="David" w:hAnsi="David"/>
          <w:rtl/>
        </w:rPr>
      </w:pPr>
    </w:p>
    <w:p w14:paraId="15D6C0F7" w14:textId="77777777" w:rsidR="00ED6B48" w:rsidRDefault="00ED6B48" w:rsidP="00ED6B48">
      <w:pPr>
        <w:spacing w:line="360" w:lineRule="auto"/>
        <w:jc w:val="both"/>
        <w:rPr>
          <w:rFonts w:ascii="David" w:hAnsi="David"/>
          <w:rtl/>
        </w:rPr>
      </w:pPr>
      <w:r>
        <w:rPr>
          <w:rFonts w:ascii="David" w:hAnsi="David"/>
          <w:rtl/>
        </w:rPr>
        <w:t>[ההדגשה אינה במקור].</w:t>
      </w:r>
    </w:p>
    <w:p w14:paraId="6AB593AD" w14:textId="77777777" w:rsidR="00ED6B48" w:rsidRDefault="00ED6B48" w:rsidP="00ED6B48">
      <w:pPr>
        <w:spacing w:line="360" w:lineRule="auto"/>
        <w:jc w:val="both"/>
        <w:rPr>
          <w:rFonts w:ascii="David" w:hAnsi="David"/>
          <w:rtl/>
        </w:rPr>
      </w:pPr>
    </w:p>
    <w:p w14:paraId="52EF4CC8" w14:textId="77777777" w:rsidR="00ED6B48" w:rsidRPr="00AB0A97" w:rsidRDefault="00ED6B48" w:rsidP="00ED6B48">
      <w:pPr>
        <w:spacing w:line="360" w:lineRule="auto"/>
        <w:jc w:val="both"/>
        <w:rPr>
          <w:rFonts w:ascii="David" w:hAnsi="David"/>
          <w:b/>
          <w:bCs/>
          <w:rtl/>
        </w:rPr>
      </w:pPr>
      <w:r w:rsidRPr="00AB0A97">
        <w:rPr>
          <w:rFonts w:ascii="David" w:hAnsi="David"/>
          <w:b/>
          <w:bCs/>
          <w:rtl/>
        </w:rPr>
        <w:t>על אחת כמה וכמה פוטנציאל הסיכון כאשר כלי נשק חם מוחזק בתוך רכב.</w:t>
      </w:r>
      <w:r w:rsidRPr="00AB0A97">
        <w:rPr>
          <w:rFonts w:ascii="David" w:hAnsi="David" w:hint="cs"/>
          <w:b/>
          <w:bCs/>
          <w:rtl/>
        </w:rPr>
        <w:t xml:space="preserve"> ב</w:t>
      </w:r>
      <w:r w:rsidRPr="00AB0A97">
        <w:rPr>
          <w:rFonts w:ascii="David" w:hAnsi="David"/>
          <w:b/>
          <w:bCs/>
          <w:rtl/>
        </w:rPr>
        <w:t xml:space="preserve">נסיעה בדרכים, לא פעם, </w:t>
      </w:r>
      <w:r w:rsidRPr="00AB0A97">
        <w:rPr>
          <w:rFonts w:ascii="David" w:hAnsi="David" w:hint="cs"/>
          <w:b/>
          <w:bCs/>
          <w:rtl/>
        </w:rPr>
        <w:t>מתפתחים</w:t>
      </w:r>
      <w:r w:rsidRPr="00AB0A97">
        <w:rPr>
          <w:rFonts w:ascii="David" w:hAnsi="David"/>
          <w:b/>
          <w:bCs/>
          <w:rtl/>
        </w:rPr>
        <w:t xml:space="preserve"> חיכוכים בין נהגים או בינם לבין עוברי דרך שונים, כשהיצרים מתלהטים והנגישות לכלי נשק חם שהונח ברכב במערכה הראשונה – עלולה להביא לתוצאות קשות וקטלניות, במערכות שלאחר מכן.</w:t>
      </w:r>
    </w:p>
    <w:p w14:paraId="416174F0" w14:textId="77777777" w:rsidR="00ED6B48" w:rsidRDefault="00ED6B48" w:rsidP="00ED6B48">
      <w:pPr>
        <w:spacing w:line="360" w:lineRule="auto"/>
        <w:jc w:val="both"/>
        <w:rPr>
          <w:rFonts w:ascii="David" w:hAnsi="David"/>
          <w:u w:val="single"/>
          <w:rtl/>
        </w:rPr>
      </w:pPr>
    </w:p>
    <w:p w14:paraId="52D004B0" w14:textId="77777777" w:rsidR="00ED6B48" w:rsidRDefault="00ED6B48" w:rsidP="00ED6B48">
      <w:pPr>
        <w:spacing w:line="360" w:lineRule="auto"/>
        <w:jc w:val="both"/>
        <w:rPr>
          <w:rFonts w:ascii="David" w:hAnsi="David"/>
          <w:rtl/>
        </w:rPr>
      </w:pPr>
      <w:r>
        <w:rPr>
          <w:rFonts w:ascii="David" w:hAnsi="David"/>
          <w:rtl/>
        </w:rPr>
        <w:t xml:space="preserve">אשר למתחם הענישה, בפסק הדין </w:t>
      </w:r>
      <w:hyperlink r:id="rId18" w:history="1">
        <w:r w:rsidR="00FB2F19" w:rsidRPr="00FB2F19">
          <w:rPr>
            <w:rFonts w:ascii="David" w:hAnsi="David"/>
            <w:color w:val="0000FF"/>
            <w:u w:val="single"/>
            <w:rtl/>
          </w:rPr>
          <w:t>עפ"ג 23419-01-17</w:t>
        </w:r>
      </w:hyperlink>
      <w:r>
        <w:rPr>
          <w:rFonts w:ascii="David" w:hAnsi="David"/>
          <w:b/>
          <w:bCs/>
          <w:rtl/>
        </w:rPr>
        <w:t xml:space="preserve"> מדינת ישראל נ' זניד ואח'</w:t>
      </w:r>
      <w:r>
        <w:rPr>
          <w:rFonts w:ascii="David" w:hAnsi="David"/>
          <w:rtl/>
        </w:rPr>
        <w:t xml:space="preserve"> (פורסם במאגרים), נדון ערעור המדינה בעניינם של שני משיבים, האחד - נתפס מחזיק אקדח בקוטר 9 מ"מ ביחד עם מחסנית ובה 17</w:t>
      </w:r>
      <w:r w:rsidR="00FB2F19">
        <w:rPr>
          <w:rFonts w:ascii="David" w:hAnsi="David"/>
          <w:rtl/>
        </w:rPr>
        <w:t xml:space="preserve"> </w:t>
      </w:r>
      <w:r>
        <w:rPr>
          <w:rFonts w:ascii="David" w:hAnsi="David"/>
          <w:rtl/>
        </w:rPr>
        <w:t xml:space="preserve"> כדורים; וכן רובה סער מאולתר דמוי </w:t>
      </w:r>
      <w:r>
        <w:rPr>
          <w:rFonts w:ascii="Arial" w:hAnsi="Arial" w:cs="Arial"/>
        </w:rPr>
        <w:t>M16</w:t>
      </w:r>
      <w:r>
        <w:rPr>
          <w:rFonts w:ascii="David" w:hAnsi="David"/>
          <w:rtl/>
        </w:rPr>
        <w:t xml:space="preserve"> עם מחסנית ובה 28 כדורים; השני - נתפס מחזיק בשני אקדחים, גם כן בצירוף תחמושת. בית משפט קמא קבע מתחם ענישה שינוע בין 13 עד 30 חדשי מאסר בפועל בנוגע למשיב שהחזיק את שני האקדחים ומתחם שינוע בין 16 עד 36 חדשי מאסר בפועל בנוגע למשיב שהחזיק אקדח ורובה סער מאולתר. </w:t>
      </w:r>
    </w:p>
    <w:p w14:paraId="1150A430" w14:textId="77777777" w:rsidR="00ED6B48" w:rsidRDefault="00ED6B48" w:rsidP="00ED6B48">
      <w:pPr>
        <w:spacing w:line="360" w:lineRule="auto"/>
        <w:jc w:val="both"/>
        <w:rPr>
          <w:rFonts w:ascii="David" w:hAnsi="David"/>
          <w:rtl/>
        </w:rPr>
      </w:pPr>
    </w:p>
    <w:p w14:paraId="5DB78D84" w14:textId="77777777" w:rsidR="00ED6B48" w:rsidRDefault="00ED6B48" w:rsidP="00ED6B48">
      <w:pPr>
        <w:spacing w:line="360" w:lineRule="auto"/>
        <w:jc w:val="both"/>
        <w:rPr>
          <w:rFonts w:ascii="David" w:hAnsi="David"/>
          <w:rtl/>
        </w:rPr>
      </w:pPr>
      <w:r>
        <w:rPr>
          <w:rFonts w:ascii="David" w:hAnsi="David"/>
          <w:rtl/>
        </w:rPr>
        <w:t xml:space="preserve">ערעור המדינה התקבל בהסכמת הצדדים, תוך שהוחמרו עונשי המאסר שהושתו על המשיבים ל-26 ו-31 חדשי מאסר בפועל (בהתאמה). בית המשפט המחוזי, בשבתו כבית משפט לערעורים פליליים, אף מצא לציין, כי </w:t>
      </w:r>
      <w:r>
        <w:rPr>
          <w:rFonts w:ascii="David" w:hAnsi="David"/>
          <w:u w:val="single"/>
          <w:rtl/>
        </w:rPr>
        <w:t>המתחמים שנקבעו על ידי בית משפט השלום נמוכים יתר על המידה</w:t>
      </w:r>
      <w:r>
        <w:rPr>
          <w:rFonts w:ascii="David" w:hAnsi="David"/>
          <w:rtl/>
        </w:rPr>
        <w:t xml:space="preserve">. </w:t>
      </w:r>
    </w:p>
    <w:p w14:paraId="65BCF71D" w14:textId="77777777" w:rsidR="00ED6B48" w:rsidRDefault="00ED6B48" w:rsidP="00ED6B48">
      <w:pPr>
        <w:spacing w:line="360" w:lineRule="auto"/>
        <w:jc w:val="both"/>
        <w:rPr>
          <w:rFonts w:ascii="David" w:hAnsi="David"/>
          <w:rtl/>
        </w:rPr>
      </w:pPr>
    </w:p>
    <w:p w14:paraId="1D60FE89" w14:textId="77777777" w:rsidR="00ED6B48" w:rsidRDefault="00ED6B48" w:rsidP="00ED6B48">
      <w:pPr>
        <w:spacing w:line="360" w:lineRule="auto"/>
        <w:jc w:val="both"/>
        <w:rPr>
          <w:rFonts w:ascii="David" w:hAnsi="David"/>
          <w:rtl/>
        </w:rPr>
      </w:pPr>
      <w:r>
        <w:rPr>
          <w:rFonts w:ascii="David" w:hAnsi="David"/>
          <w:rtl/>
        </w:rPr>
        <w:t xml:space="preserve">בעקבות החלטת בית המשפט המחוזי בערעור זה, במקרה נוסף שנדון בסמוך לאחר מכן, קבע בית משפט השלום מתחם ענישה שינוע בין 13 עד 36 חדשי מאסר בפועל בגין החזקת כלי נשק מאולתר </w:t>
      </w:r>
      <w:r>
        <w:rPr>
          <w:rFonts w:ascii="David" w:hAnsi="David"/>
          <w:u w:val="single"/>
          <w:rtl/>
        </w:rPr>
        <w:t>אחד</w:t>
      </w:r>
      <w:r>
        <w:rPr>
          <w:rFonts w:ascii="David" w:hAnsi="David"/>
          <w:rtl/>
        </w:rPr>
        <w:t xml:space="preserve"> מסוג תת מקלע בצירוף מחסנית ובה 10 כדורים. ראו </w:t>
      </w:r>
      <w:hyperlink r:id="rId19" w:history="1">
        <w:r w:rsidR="00FB2F19" w:rsidRPr="00FB2F19">
          <w:rPr>
            <w:rFonts w:ascii="David" w:hAnsi="David"/>
            <w:color w:val="0000FF"/>
            <w:u w:val="single"/>
            <w:rtl/>
          </w:rPr>
          <w:t>ת.פ 7544-11-16</w:t>
        </w:r>
      </w:hyperlink>
      <w:r>
        <w:rPr>
          <w:rFonts w:ascii="David" w:hAnsi="David"/>
          <w:rtl/>
        </w:rPr>
        <w:t xml:space="preserve"> </w:t>
      </w:r>
      <w:r>
        <w:rPr>
          <w:rFonts w:ascii="David" w:hAnsi="David"/>
          <w:b/>
          <w:bCs/>
          <w:rtl/>
        </w:rPr>
        <w:t xml:space="preserve">מדינת ישראל נ' אלאסד </w:t>
      </w:r>
      <w:r>
        <w:rPr>
          <w:rFonts w:ascii="David" w:hAnsi="David"/>
          <w:rtl/>
        </w:rPr>
        <w:t xml:space="preserve">(פורסם במאגרים). באותו מקרה, הושת על הנאשם, בעל עבר פלילי שאינו מכביד, עונש מאסר בפועל בן 21 חדשים. ערעור שהוגש על גזר הדין – נדחה; ואף נקבע על ידי בית המשפט המחוזי, בשבתו כבית משפט לערעורים פליליים, כי העונש עומד במתחם ענישה ראוי. ראו </w:t>
      </w:r>
      <w:hyperlink r:id="rId20" w:history="1">
        <w:r w:rsidR="00FB2F19" w:rsidRPr="00FB2F19">
          <w:rPr>
            <w:rFonts w:ascii="David" w:hAnsi="David"/>
            <w:color w:val="0000FF"/>
            <w:u w:val="single"/>
            <w:rtl/>
          </w:rPr>
          <w:t>עפ"ג 22885-05-17</w:t>
        </w:r>
      </w:hyperlink>
      <w:r>
        <w:rPr>
          <w:rFonts w:ascii="David" w:hAnsi="David"/>
          <w:rtl/>
        </w:rPr>
        <w:t xml:space="preserve"> </w:t>
      </w:r>
      <w:r>
        <w:rPr>
          <w:rFonts w:ascii="David" w:hAnsi="David"/>
          <w:b/>
          <w:bCs/>
          <w:rtl/>
        </w:rPr>
        <w:t>אלאסד נ' מדינת ישראל</w:t>
      </w:r>
      <w:r>
        <w:rPr>
          <w:rFonts w:ascii="David" w:hAnsi="David"/>
          <w:rtl/>
        </w:rPr>
        <w:t xml:space="preserve"> (פורסם במאגרים).</w:t>
      </w:r>
    </w:p>
    <w:p w14:paraId="2D118FEF" w14:textId="77777777" w:rsidR="00ED6B48" w:rsidRDefault="00ED6B48" w:rsidP="00ED6B48">
      <w:pPr>
        <w:spacing w:line="360" w:lineRule="auto"/>
        <w:jc w:val="both"/>
        <w:rPr>
          <w:rFonts w:ascii="David" w:hAnsi="David"/>
          <w:rtl/>
        </w:rPr>
      </w:pPr>
    </w:p>
    <w:p w14:paraId="15CB8637" w14:textId="77777777" w:rsidR="00ED6B48" w:rsidRDefault="00ED6B48" w:rsidP="00ED6B48">
      <w:pPr>
        <w:spacing w:line="360" w:lineRule="auto"/>
        <w:jc w:val="both"/>
        <w:rPr>
          <w:rFonts w:ascii="David" w:hAnsi="David"/>
          <w:rtl/>
        </w:rPr>
      </w:pPr>
      <w:r>
        <w:rPr>
          <w:rFonts w:ascii="David" w:hAnsi="David"/>
          <w:rtl/>
        </w:rPr>
        <w:t xml:space="preserve">בפסק הדין </w:t>
      </w:r>
      <w:hyperlink r:id="rId21" w:history="1">
        <w:r w:rsidR="00FB2F19" w:rsidRPr="00FB2F19">
          <w:rPr>
            <w:rFonts w:ascii="David" w:hAnsi="David"/>
            <w:color w:val="0000FF"/>
            <w:u w:val="single"/>
            <w:rtl/>
          </w:rPr>
          <w:t>ע.פ. 4945/13</w:t>
        </w:r>
      </w:hyperlink>
      <w:r>
        <w:rPr>
          <w:rFonts w:ascii="David" w:hAnsi="David"/>
          <w:rtl/>
        </w:rPr>
        <w:t xml:space="preserve"> </w:t>
      </w:r>
      <w:r>
        <w:rPr>
          <w:rFonts w:ascii="David" w:hAnsi="David"/>
          <w:b/>
          <w:bCs/>
          <w:rtl/>
        </w:rPr>
        <w:t>מדינת ישראל נ' סלימאן</w:t>
      </w:r>
      <w:r>
        <w:rPr>
          <w:rFonts w:ascii="David" w:hAnsi="David"/>
          <w:rtl/>
        </w:rPr>
        <w:t xml:space="preserve"> (פורסם במאגרים), אושר מתחם ענישה שינוע בין שנה ועד שלוש שנות מאסר, בגין החזקת כלי נשק</w:t>
      </w:r>
      <w:r w:rsidR="00FB2F19">
        <w:rPr>
          <w:rFonts w:ascii="David" w:hAnsi="David"/>
          <w:rtl/>
        </w:rPr>
        <w:t xml:space="preserve"> </w:t>
      </w:r>
      <w:r>
        <w:rPr>
          <w:rFonts w:ascii="David" w:hAnsi="David"/>
          <w:rtl/>
        </w:rPr>
        <w:t xml:space="preserve"> בודד מסוג קרל גוסטב וכן מחסנית וכדורים. אף באותו מקרה, המדובר היה בצעיר, אשר ניהל אורח חיים נורמטיבי, כולל לימודים אקדמאיים בפקולטה לאדריכלות, ללא עבר פלילי. גם באותו מקרה, המליץ שירות המבחן להסתפק בעונש מאסר בפועל לריצוי בדרך של עבודות שירות. </w:t>
      </w:r>
    </w:p>
    <w:p w14:paraId="3BE89CE9" w14:textId="77777777" w:rsidR="00ED6B48" w:rsidRDefault="00ED6B48" w:rsidP="00ED6B48">
      <w:pPr>
        <w:spacing w:line="360" w:lineRule="auto"/>
        <w:jc w:val="both"/>
        <w:rPr>
          <w:rFonts w:ascii="David" w:hAnsi="David"/>
          <w:rtl/>
        </w:rPr>
      </w:pPr>
      <w:r>
        <w:rPr>
          <w:rFonts w:ascii="David" w:hAnsi="David"/>
          <w:rtl/>
        </w:rPr>
        <w:t xml:space="preserve">בית המשפט העליון ציין, כי ראוי לקבוע עונשים מרתיעים בגין עבירות אלה והעמיד המתחם שם בין 12 ועד 36 חדשי מאסר בפועל. אמנם, באותו מקרה הורשע המשיב גם בעבירה חמורה יותר, של נשיאת נשק, בניגוד </w:t>
      </w:r>
      <w:hyperlink r:id="rId22" w:history="1">
        <w:r w:rsidR="009B27B8" w:rsidRPr="009B27B8">
          <w:rPr>
            <w:rStyle w:val="Hyperlink"/>
            <w:rFonts w:ascii="David" w:hAnsi="David"/>
            <w:color w:val="0000FF"/>
            <w:rtl/>
          </w:rPr>
          <w:t>לסעיף 144(ב)</w:t>
        </w:r>
      </w:hyperlink>
      <w:r>
        <w:rPr>
          <w:rFonts w:ascii="David" w:hAnsi="David"/>
          <w:rtl/>
        </w:rPr>
        <w:t xml:space="preserve"> ל</w:t>
      </w:r>
      <w:hyperlink r:id="rId23" w:history="1">
        <w:r w:rsidR="00FB2F19" w:rsidRPr="00FB2F19">
          <w:rPr>
            <w:rFonts w:ascii="David" w:hAnsi="David"/>
            <w:color w:val="0000FF"/>
            <w:u w:val="single"/>
            <w:rtl/>
          </w:rPr>
          <w:t>חוק העונשין</w:t>
        </w:r>
      </w:hyperlink>
      <w:r>
        <w:rPr>
          <w:rFonts w:ascii="David" w:hAnsi="David"/>
          <w:rtl/>
        </w:rPr>
        <w:t>, תשל"ז-1977.</w:t>
      </w:r>
    </w:p>
    <w:p w14:paraId="65D86192" w14:textId="77777777" w:rsidR="00ED6B48" w:rsidRDefault="00ED6B48" w:rsidP="00ED6B48">
      <w:pPr>
        <w:spacing w:line="360" w:lineRule="auto"/>
        <w:jc w:val="both"/>
        <w:rPr>
          <w:rFonts w:ascii="David" w:hAnsi="David"/>
          <w:rtl/>
        </w:rPr>
      </w:pPr>
    </w:p>
    <w:p w14:paraId="39241075" w14:textId="77777777" w:rsidR="00ED6B48" w:rsidRDefault="00ED6B48" w:rsidP="00ED6B48">
      <w:pPr>
        <w:spacing w:line="360" w:lineRule="auto"/>
        <w:jc w:val="both"/>
        <w:rPr>
          <w:rFonts w:ascii="David" w:hAnsi="David"/>
          <w:rtl/>
        </w:rPr>
      </w:pPr>
      <w:r>
        <w:rPr>
          <w:rFonts w:ascii="David" w:hAnsi="David"/>
          <w:rtl/>
        </w:rPr>
        <w:t xml:space="preserve">לפני כשנה ומחצה, ניתן, בבית משפט זה, גזר דין, </w:t>
      </w:r>
      <w:hyperlink r:id="rId24" w:history="1">
        <w:r w:rsidR="00FB2F19" w:rsidRPr="00FB2F19">
          <w:rPr>
            <w:rFonts w:ascii="David" w:hAnsi="David"/>
            <w:color w:val="0000FF"/>
            <w:u w:val="single"/>
            <w:rtl/>
          </w:rPr>
          <w:t>ת.פ. 32560-12-16</w:t>
        </w:r>
      </w:hyperlink>
      <w:r>
        <w:rPr>
          <w:rFonts w:ascii="David" w:hAnsi="David"/>
          <w:rtl/>
        </w:rPr>
        <w:t xml:space="preserve"> </w:t>
      </w:r>
      <w:r>
        <w:rPr>
          <w:rFonts w:ascii="David" w:hAnsi="David"/>
          <w:b/>
          <w:bCs/>
          <w:rtl/>
        </w:rPr>
        <w:t>מדינת ישראל נ' אלסאריעה (</w:t>
      </w:r>
      <w:r>
        <w:rPr>
          <w:rFonts w:ascii="David" w:hAnsi="David"/>
          <w:rtl/>
        </w:rPr>
        <w:t xml:space="preserve">פורסם במאגרים). שם, נדון נאשם בגין עבירה של נסיון להחזקת אקדח מסוג ברטה (העבירה תוקנה לנסיון, במסגרת הסדר טעון, בשל כך </w:t>
      </w:r>
      <w:r>
        <w:rPr>
          <w:rFonts w:ascii="David" w:hAnsi="David"/>
          <w:u w:val="single"/>
          <w:rtl/>
        </w:rPr>
        <w:t>שהנשק לא היה תקין</w:t>
      </w:r>
      <w:r>
        <w:rPr>
          <w:rFonts w:ascii="David" w:hAnsi="David"/>
          <w:rtl/>
        </w:rPr>
        <w:t>), וכן תת מקלע מאולתר, כשכלי הנשק הוחזקו בביתו של הנאשם שם, לעונש מאסר בן 20 חדשים בפועל. זאת, במסגרת מתחם כולל שנע בין 18 עד 42 חדשי מאסר.</w:t>
      </w:r>
    </w:p>
    <w:p w14:paraId="379819FE" w14:textId="77777777" w:rsidR="00ED6B48" w:rsidRPr="00D51965" w:rsidRDefault="00ED6B48" w:rsidP="00ED6B48">
      <w:pPr>
        <w:spacing w:line="360" w:lineRule="auto"/>
        <w:jc w:val="both"/>
        <w:rPr>
          <w:rFonts w:ascii="David" w:hAnsi="David"/>
          <w:u w:val="single"/>
          <w:rtl/>
        </w:rPr>
      </w:pPr>
      <w:r w:rsidRPr="00D51965">
        <w:rPr>
          <w:rFonts w:ascii="David" w:hAnsi="David"/>
          <w:u w:val="single"/>
          <w:rtl/>
        </w:rPr>
        <w:t>בשבתו כבית משפט לערעורים פליליים, דחה בית המשפט המחוזי, הרכב אב"ד כב' הנשיאה ר' יפה-כץ, ערעור ההגנה על חומרת העונש, תוך שמצא, כי חרף העדר אינדיקציה על שימוש פלילי או אחר המתוכן בנשק, ועל אף נסיבותיו האישיות של המערער שם (צעיר ללא עבר פלילי) – הרי הנסיבות האישיות ואינטרס השיקום, נדחים מפני האינטרס הציבורי של מיגור עבירות מסוג זה.</w:t>
      </w:r>
    </w:p>
    <w:p w14:paraId="6129F5AB" w14:textId="77777777" w:rsidR="00ED6B48" w:rsidRDefault="00ED6B48" w:rsidP="00ED6B48">
      <w:pPr>
        <w:spacing w:line="360" w:lineRule="auto"/>
        <w:jc w:val="both"/>
        <w:rPr>
          <w:rFonts w:ascii="David" w:hAnsi="David"/>
          <w:b/>
          <w:bCs/>
          <w:u w:val="single"/>
          <w:rtl/>
        </w:rPr>
      </w:pPr>
    </w:p>
    <w:p w14:paraId="21C29D81" w14:textId="77777777" w:rsidR="00ED6B48" w:rsidRDefault="00ED6B48" w:rsidP="00ED6B48">
      <w:pPr>
        <w:spacing w:line="360" w:lineRule="auto"/>
        <w:jc w:val="both"/>
        <w:rPr>
          <w:rFonts w:ascii="David" w:hAnsi="David"/>
          <w:rtl/>
        </w:rPr>
      </w:pPr>
      <w:r>
        <w:rPr>
          <w:rFonts w:ascii="David" w:hAnsi="David"/>
          <w:rtl/>
        </w:rPr>
        <w:t>בפסק דין נוסף, שניתן בעת האחרונה, העמיד בית המשפט המחוזי, בשבתו כבית משפט לערעורים פליליים, העונש על אחזקת רובה סער בודד על 22 חדשי מאסר בפועל, כשאחת מחברי ההרכב, בדעת מיעוט, הציעה להעמידו על 28 חדשי מאסר בפועל. אכן, באותו מקרה (</w:t>
      </w:r>
      <w:hyperlink r:id="rId25" w:history="1">
        <w:r w:rsidR="00FB2F19" w:rsidRPr="00FB2F19">
          <w:rPr>
            <w:rFonts w:ascii="David" w:hAnsi="David"/>
            <w:color w:val="0000FF"/>
            <w:u w:val="single"/>
            <w:rtl/>
          </w:rPr>
          <w:t>עפ"ג 32503-04-19</w:t>
        </w:r>
      </w:hyperlink>
      <w:r>
        <w:rPr>
          <w:rFonts w:ascii="David" w:hAnsi="David"/>
          <w:rtl/>
        </w:rPr>
        <w:t xml:space="preserve"> </w:t>
      </w:r>
      <w:r>
        <w:rPr>
          <w:rFonts w:ascii="David" w:hAnsi="David"/>
          <w:b/>
          <w:bCs/>
          <w:rtl/>
        </w:rPr>
        <w:t>אלקורעאן נ'</w:t>
      </w:r>
      <w:r w:rsidR="00FB2F19">
        <w:rPr>
          <w:rFonts w:ascii="David" w:hAnsi="David"/>
          <w:b/>
          <w:bCs/>
          <w:rtl/>
        </w:rPr>
        <w:t xml:space="preserve"> </w:t>
      </w:r>
      <w:r>
        <w:rPr>
          <w:rFonts w:ascii="David" w:hAnsi="David"/>
          <w:b/>
          <w:bCs/>
          <w:rtl/>
        </w:rPr>
        <w:t xml:space="preserve"> מדינת ישראל</w:t>
      </w:r>
      <w:r>
        <w:rPr>
          <w:rFonts w:ascii="David" w:hAnsi="David"/>
          <w:rtl/>
        </w:rPr>
        <w:t>, פסק הדין מיום 12.06.19) היו נתונים לחומרה (המדובר היה בכלי נשק צה"לי תקני, שנעשה בו שימוש פלילי בעבר, ולנאשם שם גם היה עבר פלילי, אם כי לא מכביד), אך גם שם, נקבע, בבית משפט השלום, מתחם ענישה זהה ולא היה שינוי במתחם.</w:t>
      </w:r>
    </w:p>
    <w:p w14:paraId="4221256C" w14:textId="77777777" w:rsidR="00ED6B48" w:rsidRDefault="00ED6B48" w:rsidP="00ED6B48">
      <w:pPr>
        <w:spacing w:line="360" w:lineRule="auto"/>
        <w:jc w:val="both"/>
        <w:rPr>
          <w:rFonts w:ascii="David" w:hAnsi="David"/>
          <w:rtl/>
        </w:rPr>
      </w:pPr>
    </w:p>
    <w:p w14:paraId="0CA5659F" w14:textId="77777777" w:rsidR="00ED6B48" w:rsidRDefault="00ED6B48" w:rsidP="00ED6B48">
      <w:pPr>
        <w:spacing w:line="360" w:lineRule="auto"/>
        <w:jc w:val="both"/>
        <w:rPr>
          <w:rFonts w:ascii="David" w:hAnsi="David"/>
          <w:rtl/>
        </w:rPr>
      </w:pPr>
      <w:r>
        <w:rPr>
          <w:rFonts w:ascii="David" w:hAnsi="David"/>
          <w:rtl/>
        </w:rPr>
        <w:t>בפסק דין נוסף, שניתן בתקופה האחרונה, נדחה ערעור ההגנה על עונש בפועל בין 18 חודשים בתוספת מאסר מותנה וקנס בסך 12,000 ₪, שהושתו על צעיר שהחזיק כלי נשק מסוג תת מקלע מאולתר.</w:t>
      </w:r>
    </w:p>
    <w:p w14:paraId="40383FE1" w14:textId="77777777" w:rsidR="00ED6B48" w:rsidRDefault="00ED6B48" w:rsidP="00ED6B48">
      <w:pPr>
        <w:spacing w:line="360" w:lineRule="auto"/>
        <w:jc w:val="both"/>
        <w:rPr>
          <w:rFonts w:ascii="David" w:hAnsi="David"/>
          <w:rtl/>
        </w:rPr>
      </w:pPr>
      <w:r>
        <w:rPr>
          <w:rFonts w:ascii="David" w:hAnsi="David"/>
          <w:rtl/>
        </w:rPr>
        <w:t>אותו מערר החזיק בנשק למשך עשרה ימים בלבד ואף הוסכם, כי החזיקו בעבור אחר.</w:t>
      </w:r>
    </w:p>
    <w:p w14:paraId="48F780A4" w14:textId="77777777" w:rsidR="00ED6B48" w:rsidRDefault="00ED6B48" w:rsidP="00ED6B48">
      <w:pPr>
        <w:spacing w:line="360" w:lineRule="auto"/>
        <w:jc w:val="both"/>
        <w:rPr>
          <w:rFonts w:ascii="David" w:hAnsi="David"/>
          <w:rtl/>
        </w:rPr>
      </w:pPr>
      <w:r>
        <w:rPr>
          <w:rFonts w:ascii="David" w:hAnsi="David"/>
          <w:rtl/>
        </w:rPr>
        <w:t xml:space="preserve">בית המשפט המחוזי, בשבתו כבית משפט לערעורים פליליים, הרכב בראשות הנשיאה כב' השופטת ר' יפה-כץ, ציין: </w:t>
      </w:r>
    </w:p>
    <w:p w14:paraId="5A0EEE9D" w14:textId="77777777" w:rsidR="00ED6B48" w:rsidRDefault="00ED6B48" w:rsidP="00ED6B48">
      <w:pPr>
        <w:spacing w:line="360" w:lineRule="auto"/>
        <w:jc w:val="both"/>
        <w:rPr>
          <w:rFonts w:ascii="Calibri" w:hAnsi="Calibri" w:cs="Aharoni"/>
          <w:rtl/>
        </w:rPr>
      </w:pPr>
      <w:r>
        <w:rPr>
          <w:rFonts w:cs="Aharoni" w:hint="cs"/>
          <w:rtl/>
        </w:rPr>
        <w:t>בית המשפט קמה ציין ובצדק, את החומרה הרבה שיש לראות בעבירות הקשורות בנשק, ואף בצדק ציין, כי בית המשפט מצווה להחמיר את הענישה בעבירות כגון אלה, כדי להגן על הציבור. כך צדק גם בית המשפט בעת שקבע מתחם עונש כפי שקבע...</w:t>
      </w:r>
    </w:p>
    <w:p w14:paraId="09E4F17A" w14:textId="77777777" w:rsidR="00ED6B48" w:rsidRDefault="00ED6B48" w:rsidP="00ED6B48">
      <w:pPr>
        <w:spacing w:line="360" w:lineRule="auto"/>
        <w:jc w:val="both"/>
        <w:rPr>
          <w:rFonts w:cs="Aharoni"/>
          <w:rtl/>
        </w:rPr>
      </w:pPr>
    </w:p>
    <w:p w14:paraId="2F109323" w14:textId="77777777" w:rsidR="00ED6B48" w:rsidRDefault="00ED6B48" w:rsidP="00ED6B48">
      <w:pPr>
        <w:spacing w:line="360" w:lineRule="auto"/>
        <w:jc w:val="both"/>
        <w:rPr>
          <w:rFonts w:cs="Aharoni"/>
          <w:rtl/>
        </w:rPr>
      </w:pPr>
      <w:r>
        <w:rPr>
          <w:rFonts w:cs="Aharoni" w:hint="cs"/>
          <w:rtl/>
        </w:rPr>
        <w:t>בית משפט קמה הדגיש את העובדה כי העבירה של החזקת נשק הפכה למכה של</w:t>
      </w:r>
      <w:r w:rsidR="00FB2F19">
        <w:rPr>
          <w:rFonts w:cs="Aharoni" w:hint="cs"/>
          <w:rtl/>
        </w:rPr>
        <w:t xml:space="preserve"> </w:t>
      </w:r>
      <w:r>
        <w:rPr>
          <w:rFonts w:cs="Aharoni" w:hint="cs"/>
          <w:rtl/>
        </w:rPr>
        <w:t xml:space="preserve"> אזור הדרום, ואף צדק, כאשר קבע שלא ניתן להתעלם מנסיבה זו בעת קביעת העונש הראוי למערער.</w:t>
      </w:r>
    </w:p>
    <w:p w14:paraId="29E979F0" w14:textId="77777777" w:rsidR="00ED6B48" w:rsidRDefault="00ED6B48" w:rsidP="00ED6B48">
      <w:pPr>
        <w:spacing w:line="360" w:lineRule="auto"/>
        <w:jc w:val="both"/>
        <w:rPr>
          <w:rFonts w:ascii="David" w:hAnsi="David"/>
          <w:rtl/>
        </w:rPr>
      </w:pPr>
    </w:p>
    <w:p w14:paraId="7CF7A5F4" w14:textId="77777777" w:rsidR="00ED6B48" w:rsidRDefault="00ED6B48" w:rsidP="00ED6B48">
      <w:pPr>
        <w:spacing w:line="360" w:lineRule="auto"/>
        <w:jc w:val="both"/>
        <w:rPr>
          <w:rFonts w:ascii="David" w:hAnsi="David"/>
          <w:rtl/>
        </w:rPr>
      </w:pPr>
      <w:r>
        <w:rPr>
          <w:rFonts w:ascii="David" w:hAnsi="David"/>
          <w:rtl/>
        </w:rPr>
        <w:t xml:space="preserve">ראו </w:t>
      </w:r>
      <w:hyperlink r:id="rId26" w:history="1">
        <w:r w:rsidR="00FB2F19" w:rsidRPr="00FB2F19">
          <w:rPr>
            <w:rFonts w:ascii="David" w:hAnsi="David"/>
            <w:color w:val="0000FF"/>
            <w:u w:val="single"/>
            <w:rtl/>
          </w:rPr>
          <w:t>עפ"ג 4673-08-19</w:t>
        </w:r>
      </w:hyperlink>
      <w:r>
        <w:rPr>
          <w:rFonts w:ascii="David" w:hAnsi="David"/>
          <w:rtl/>
        </w:rPr>
        <w:t xml:space="preserve"> </w:t>
      </w:r>
      <w:r>
        <w:rPr>
          <w:rFonts w:ascii="David" w:hAnsi="David"/>
          <w:b/>
          <w:bCs/>
          <w:rtl/>
        </w:rPr>
        <w:t xml:space="preserve">אבו מוסא נ' מדינת ישראל </w:t>
      </w:r>
      <w:r>
        <w:rPr>
          <w:rFonts w:ascii="David" w:hAnsi="David"/>
          <w:rtl/>
        </w:rPr>
        <w:t>(פורסם במאגרים).</w:t>
      </w:r>
    </w:p>
    <w:p w14:paraId="43A68391" w14:textId="77777777" w:rsidR="00ED6B48" w:rsidRDefault="00ED6B48" w:rsidP="00ED6B48">
      <w:pPr>
        <w:spacing w:line="360" w:lineRule="auto"/>
        <w:jc w:val="both"/>
        <w:rPr>
          <w:rFonts w:ascii="David" w:hAnsi="David"/>
          <w:rtl/>
        </w:rPr>
      </w:pPr>
    </w:p>
    <w:p w14:paraId="66122A50" w14:textId="77777777" w:rsidR="00ED6B48" w:rsidRDefault="00ED6B48" w:rsidP="00ED6B48">
      <w:pPr>
        <w:spacing w:line="360" w:lineRule="auto"/>
        <w:jc w:val="both"/>
        <w:rPr>
          <w:rFonts w:ascii="David" w:hAnsi="David"/>
          <w:rtl/>
        </w:rPr>
      </w:pPr>
      <w:r>
        <w:rPr>
          <w:rFonts w:ascii="David" w:hAnsi="David"/>
          <w:rtl/>
        </w:rPr>
        <w:t xml:space="preserve">עוד ראו, לעניין מתחם הענישה, מספר גזרי דין שניתנו לאחרונה: </w:t>
      </w:r>
      <w:hyperlink r:id="rId27" w:history="1">
        <w:r w:rsidR="00FB2F19" w:rsidRPr="00FB2F19">
          <w:rPr>
            <w:rFonts w:ascii="David" w:hAnsi="David"/>
            <w:color w:val="0000FF"/>
            <w:u w:val="single"/>
            <w:rtl/>
          </w:rPr>
          <w:t>ת.פ. 30406-04-16</w:t>
        </w:r>
      </w:hyperlink>
      <w:r>
        <w:rPr>
          <w:rFonts w:ascii="David" w:hAnsi="David"/>
          <w:rtl/>
        </w:rPr>
        <w:t xml:space="preserve"> </w:t>
      </w:r>
      <w:r>
        <w:rPr>
          <w:rFonts w:ascii="David" w:hAnsi="David"/>
          <w:b/>
          <w:bCs/>
          <w:rtl/>
        </w:rPr>
        <w:t xml:space="preserve">מדינת ישראל נ' אבו עאמר; </w:t>
      </w:r>
      <w:hyperlink r:id="rId28" w:history="1">
        <w:r w:rsidR="00FB2F19" w:rsidRPr="00FB2F19">
          <w:rPr>
            <w:rFonts w:ascii="David" w:hAnsi="David"/>
            <w:color w:val="0000FF"/>
            <w:u w:val="single"/>
            <w:rtl/>
          </w:rPr>
          <w:t>ת.פ. 65912-01-18</w:t>
        </w:r>
      </w:hyperlink>
      <w:r>
        <w:rPr>
          <w:rFonts w:ascii="David" w:hAnsi="David"/>
          <w:b/>
          <w:bCs/>
          <w:rtl/>
        </w:rPr>
        <w:t xml:space="preserve"> מדינת ישראל נ' אבו מדעם ואח' </w:t>
      </w:r>
      <w:r>
        <w:rPr>
          <w:rFonts w:ascii="David" w:hAnsi="David"/>
          <w:rtl/>
        </w:rPr>
        <w:t xml:space="preserve">(גזרי הדין פורסמו במאגרים). </w:t>
      </w:r>
      <w:r>
        <w:rPr>
          <w:rFonts w:ascii="David" w:hAnsi="David"/>
          <w:u w:val="single"/>
          <w:rtl/>
        </w:rPr>
        <w:t>בגזר הדין האחרון – נדון אחד הנאשמים, שהורשע, על פי הודאתו, בהחזקת אקדח חצי אוטמטי בלבד - לעונש מאסר בפועל בין 18 חודשים. בערעור לבית המשפט המחוזי – הועמד העונש על 14 חודשי מאסר</w:t>
      </w:r>
      <w:r>
        <w:rPr>
          <w:rFonts w:ascii="David" w:hAnsi="David"/>
          <w:rtl/>
        </w:rPr>
        <w:t xml:space="preserve">. ראו </w:t>
      </w:r>
      <w:hyperlink r:id="rId29" w:history="1">
        <w:r w:rsidR="00FB2F19" w:rsidRPr="00FB2F19">
          <w:rPr>
            <w:rFonts w:ascii="David" w:hAnsi="David"/>
            <w:color w:val="0000FF"/>
            <w:u w:val="single"/>
            <w:rtl/>
          </w:rPr>
          <w:t>עפ"ג 23083-03-19</w:t>
        </w:r>
      </w:hyperlink>
      <w:r>
        <w:rPr>
          <w:rFonts w:ascii="David" w:hAnsi="David"/>
          <w:rtl/>
        </w:rPr>
        <w:t xml:space="preserve"> </w:t>
      </w:r>
      <w:r>
        <w:rPr>
          <w:rFonts w:ascii="David" w:hAnsi="David"/>
          <w:b/>
          <w:bCs/>
          <w:rtl/>
        </w:rPr>
        <w:t>אבו מדע'ם ואח' נ' מדינת ישראל (</w:t>
      </w:r>
      <w:r>
        <w:rPr>
          <w:rFonts w:ascii="David" w:hAnsi="David"/>
          <w:rtl/>
        </w:rPr>
        <w:t>פורסם במאגרים – 17.07.19)</w:t>
      </w:r>
      <w:r>
        <w:rPr>
          <w:rFonts w:ascii="David" w:hAnsi="David"/>
          <w:b/>
          <w:bCs/>
          <w:rtl/>
        </w:rPr>
        <w:t xml:space="preserve">. </w:t>
      </w:r>
      <w:r>
        <w:rPr>
          <w:rFonts w:ascii="David" w:hAnsi="David"/>
          <w:rtl/>
        </w:rPr>
        <w:t xml:space="preserve">ודוק': </w:t>
      </w:r>
      <w:r>
        <w:rPr>
          <w:rFonts w:ascii="David" w:hAnsi="David"/>
          <w:u w:val="single"/>
          <w:rtl/>
        </w:rPr>
        <w:t>באותו מקרה , הוחזק הנשק בתוך בית ולא בתוך רכב – כשהוא מוכן לשימוש</w:t>
      </w:r>
      <w:r>
        <w:rPr>
          <w:rFonts w:ascii="David" w:hAnsi="David"/>
          <w:rtl/>
        </w:rPr>
        <w:t>.</w:t>
      </w:r>
    </w:p>
    <w:p w14:paraId="61EE3AB1" w14:textId="77777777" w:rsidR="00ED6B48" w:rsidRDefault="00ED6B48" w:rsidP="00ED6B48">
      <w:pPr>
        <w:spacing w:line="360" w:lineRule="auto"/>
        <w:jc w:val="both"/>
        <w:rPr>
          <w:rFonts w:ascii="David" w:hAnsi="David"/>
          <w:rtl/>
        </w:rPr>
      </w:pPr>
    </w:p>
    <w:p w14:paraId="0B4E8D44" w14:textId="77777777" w:rsidR="00ED6B48" w:rsidRPr="00AB0A97" w:rsidRDefault="00ED6B48" w:rsidP="00ED6B48">
      <w:pPr>
        <w:spacing w:line="360" w:lineRule="auto"/>
        <w:jc w:val="both"/>
        <w:rPr>
          <w:rFonts w:ascii="David" w:hAnsi="David"/>
          <w:rtl/>
        </w:rPr>
      </w:pPr>
      <w:r>
        <w:rPr>
          <w:rFonts w:ascii="David" w:hAnsi="David" w:hint="cs"/>
          <w:u w:val="single"/>
          <w:rtl/>
        </w:rPr>
        <w:t>ו</w:t>
      </w:r>
      <w:r w:rsidRPr="00296699">
        <w:rPr>
          <w:rFonts w:ascii="David" w:hAnsi="David" w:hint="cs"/>
          <w:u w:val="single"/>
          <w:rtl/>
        </w:rPr>
        <w:t>לאחרונה ממש, נדון נאשם ללא הרשעות קודמות, אשר ניהל חיים אזרחיים עמלניים כבעלים של מספר עסקים בישוב חורה, לעונש מאסר בפועל בין 15 חודשים בגין החזקת אקדח חצי אוטומטי אחד</w:t>
      </w:r>
      <w:r>
        <w:rPr>
          <w:rFonts w:ascii="David" w:hAnsi="David" w:hint="cs"/>
          <w:u w:val="single"/>
          <w:rtl/>
        </w:rPr>
        <w:t>, במתחם שנקבע בין 15 עד 30 חודשי מאסר בפועל, כשהסיבה לקביעת המתחם שם הייתה (ממש כמו במקרה שלפנינו) כי הנזק הוחזק בליווית תחמושת, בתוך רכב, מוכן לשימוש</w:t>
      </w:r>
      <w:r w:rsidRPr="00296699">
        <w:rPr>
          <w:rFonts w:ascii="David" w:hAnsi="David" w:hint="cs"/>
          <w:u w:val="single"/>
          <w:rtl/>
        </w:rPr>
        <w:t xml:space="preserve">. </w:t>
      </w:r>
      <w:r w:rsidRPr="00AB0A97">
        <w:rPr>
          <w:rFonts w:ascii="David" w:hAnsi="David" w:hint="cs"/>
          <w:rtl/>
        </w:rPr>
        <w:t xml:space="preserve">ראו </w:t>
      </w:r>
      <w:hyperlink r:id="rId30" w:history="1">
        <w:r w:rsidR="00FB2F19" w:rsidRPr="00FB2F19">
          <w:rPr>
            <w:rFonts w:ascii="David" w:hAnsi="David"/>
            <w:color w:val="0000FF"/>
            <w:u w:val="single"/>
            <w:rtl/>
          </w:rPr>
          <w:t>ת.פ. 19417-11-16</w:t>
        </w:r>
      </w:hyperlink>
      <w:r w:rsidRPr="00AB0A97">
        <w:rPr>
          <w:rFonts w:ascii="David" w:hAnsi="David" w:hint="cs"/>
          <w:rtl/>
        </w:rPr>
        <w:t xml:space="preserve"> </w:t>
      </w:r>
      <w:r w:rsidRPr="00AB0A97">
        <w:rPr>
          <w:rFonts w:ascii="David" w:hAnsi="David" w:hint="cs"/>
          <w:b/>
          <w:bCs/>
          <w:rtl/>
        </w:rPr>
        <w:t>מדינת ישראל נ'</w:t>
      </w:r>
      <w:r w:rsidRPr="00AB0A97">
        <w:rPr>
          <w:rFonts w:ascii="David" w:hAnsi="David" w:hint="cs"/>
          <w:rtl/>
        </w:rPr>
        <w:t xml:space="preserve"> </w:t>
      </w:r>
      <w:r w:rsidRPr="00AB0A97">
        <w:rPr>
          <w:rFonts w:ascii="David" w:hAnsi="David" w:hint="cs"/>
          <w:b/>
          <w:bCs/>
          <w:rtl/>
        </w:rPr>
        <w:t>אבו אלקיעאן (פורסם במאגרים).</w:t>
      </w:r>
      <w:r>
        <w:rPr>
          <w:rFonts w:ascii="David" w:hAnsi="David" w:hint="cs"/>
          <w:b/>
          <w:bCs/>
          <w:rtl/>
        </w:rPr>
        <w:t xml:space="preserve"> </w:t>
      </w:r>
      <w:r>
        <w:rPr>
          <w:rFonts w:ascii="David" w:hAnsi="David" w:hint="cs"/>
          <w:rtl/>
        </w:rPr>
        <w:t>מקרה זה דומה בנסיבותיו למקרה דנן, למעט העובדה, כי שם דובר על נאשם, שהיה ללא הרשעות (ואף ללא רישומים) קודמים, לאחר שירות צבאי ארוך בסדיר ובקבע, מוכר כדמות ציבורית במגזר אליו משתייך.</w:t>
      </w:r>
    </w:p>
    <w:p w14:paraId="5F8E31EF" w14:textId="77777777" w:rsidR="00ED6B48" w:rsidRPr="00296699" w:rsidRDefault="00ED6B48" w:rsidP="00ED6B48">
      <w:pPr>
        <w:spacing w:line="360" w:lineRule="auto"/>
        <w:jc w:val="both"/>
        <w:rPr>
          <w:rFonts w:ascii="David" w:hAnsi="David"/>
          <w:b/>
          <w:bCs/>
          <w:u w:val="single"/>
          <w:rtl/>
        </w:rPr>
      </w:pPr>
    </w:p>
    <w:p w14:paraId="6D1E7B8F" w14:textId="77777777" w:rsidR="00ED6B48" w:rsidRDefault="00ED6B48" w:rsidP="00ED6B48">
      <w:pPr>
        <w:spacing w:line="360" w:lineRule="auto"/>
        <w:jc w:val="both"/>
        <w:rPr>
          <w:rFonts w:ascii="David" w:hAnsi="David"/>
          <w:rtl/>
        </w:rPr>
      </w:pPr>
      <w:r>
        <w:rPr>
          <w:rFonts w:ascii="David" w:hAnsi="David"/>
          <w:rtl/>
        </w:rPr>
        <w:t xml:space="preserve">לפני מספר שנים, פורסמה הנחיית פרקליט המדינה מס' </w:t>
      </w:r>
      <w:r w:rsidR="00FB2F19">
        <w:rPr>
          <w:rFonts w:ascii="David" w:hAnsi="David"/>
          <w:rtl/>
        </w:rPr>
        <w:t xml:space="preserve"> </w:t>
      </w:r>
      <w:r>
        <w:rPr>
          <w:rFonts w:ascii="David" w:hAnsi="David"/>
          <w:rtl/>
        </w:rPr>
        <w:t>9.16 (מיום ג' אב תשע"ו – 07/08/16) בנוגע למדיניות הענישה בעבירות נשק, במסגרתה הונחתה התביעה הכללית לפעול לכיוון החמרת הענישה בעבירות אלה, לנוכח הסיכון הרב הנשקף מהן והאינטרס הציבורי במיגורן. התביעה הכללית הונחתה לדרוש מאסר בפועל לתקופה ממשית, גם כאשר המדובר בעבירה ראשונה. מבחינת מדרג החומרה, הוצבה החזקה של רובה סער או תת מקלע – ברמה אחת לפני הרמה החמורה ביותר ואילו אחזקת נשק קצר - אקדח - ברמה נמוכה יותר. לנוכח הפסיקה, שפורטה באותה הנחיה, הונחתה התביעה הכללית לטעון למתחם שינוע בין שנתיים עד ארבע שנות מאסר בפועל בגין כל עבירה בודדת של החזקת רובה או תת מקלע; בין שנה לשלוש שנים בגין אחזקת נשק קצר מסוג אקדח; 6 חדשי מאסר בפועל, לריצוי בדרך של עבודות שירות, עד 6 חדשי מאסר בפועל ממש בגין אחזקת תחמושת.</w:t>
      </w:r>
    </w:p>
    <w:p w14:paraId="4576FFB4" w14:textId="77777777" w:rsidR="00ED6B48" w:rsidRDefault="00ED6B48" w:rsidP="00ED6B48">
      <w:pPr>
        <w:spacing w:line="360" w:lineRule="auto"/>
        <w:jc w:val="both"/>
        <w:rPr>
          <w:rFonts w:ascii="David" w:hAnsi="David"/>
          <w:rtl/>
        </w:rPr>
      </w:pPr>
    </w:p>
    <w:p w14:paraId="013C85D2" w14:textId="77777777" w:rsidR="00ED6B48" w:rsidRDefault="00ED6B48" w:rsidP="00ED6B48">
      <w:pPr>
        <w:spacing w:line="360" w:lineRule="auto"/>
        <w:jc w:val="both"/>
        <w:rPr>
          <w:rFonts w:ascii="David" w:hAnsi="David"/>
          <w:rtl/>
        </w:rPr>
      </w:pPr>
      <w:r>
        <w:rPr>
          <w:rFonts w:ascii="David" w:hAnsi="David"/>
          <w:rtl/>
        </w:rPr>
        <w:t xml:space="preserve">הצורך בהחמרת הענישה נומק במספר הרב של העבירות, אם פליליות ואם כאלה נגד בטחון המדינה, שנעברו לאחרונה, באמצעות כלי נשק, ואף הביאו, לעיתים מזומנות, לפגיעה באזרחים בלתי מעורבים. לשם המחשה, כפי המפורט בנתונים שהובאו במסגרת ההנחיה, בשנת 2013, אירעו בישראל 563 אירועים של פיגועים </w:t>
      </w:r>
      <w:r>
        <w:rPr>
          <w:rFonts w:ascii="David" w:hAnsi="David"/>
          <w:u w:val="single"/>
          <w:rtl/>
        </w:rPr>
        <w:t>פליליים</w:t>
      </w:r>
      <w:r>
        <w:rPr>
          <w:rFonts w:ascii="David" w:hAnsi="David"/>
          <w:rtl/>
        </w:rPr>
        <w:t xml:space="preserve"> באמצעות נשק חם. זאת, מבלי לקחת בחשבון פיגועים על רקע בטחוני או עבירות שנאה.</w:t>
      </w:r>
    </w:p>
    <w:p w14:paraId="09E66C36" w14:textId="77777777" w:rsidR="00ED6B48" w:rsidRDefault="00ED6B48" w:rsidP="00ED6B48">
      <w:pPr>
        <w:spacing w:line="360" w:lineRule="auto"/>
        <w:jc w:val="both"/>
        <w:rPr>
          <w:rFonts w:ascii="David" w:hAnsi="David"/>
          <w:rtl/>
        </w:rPr>
      </w:pPr>
    </w:p>
    <w:p w14:paraId="67D1F974" w14:textId="77777777" w:rsidR="00ED6B48" w:rsidRDefault="00ED6B48" w:rsidP="00ED6B48">
      <w:pPr>
        <w:spacing w:line="360" w:lineRule="auto"/>
        <w:jc w:val="both"/>
        <w:rPr>
          <w:rFonts w:ascii="David" w:hAnsi="David"/>
          <w:rtl/>
        </w:rPr>
      </w:pPr>
      <w:r>
        <w:rPr>
          <w:rFonts w:ascii="David" w:hAnsi="David"/>
          <w:rtl/>
        </w:rPr>
        <w:t xml:space="preserve">ריבוי כתבי האישום בגין עבירות אלה בשנים האחרונות, מאשש טענת התביעה, כי </w:t>
      </w:r>
      <w:r>
        <w:rPr>
          <w:rFonts w:ascii="David" w:hAnsi="David"/>
          <w:u w:val="single"/>
          <w:rtl/>
        </w:rPr>
        <w:t>העבירה הנדונה הפכה ל"מכת אזור"</w:t>
      </w:r>
      <w:r>
        <w:rPr>
          <w:rFonts w:ascii="David" w:hAnsi="David"/>
          <w:rtl/>
        </w:rPr>
        <w:t>. חלק מהגורמים לכך, הוא הנגישות הרבה לכלי נשק. נפיצות כלי הנשק יוצרת סכנה של ממש לבטחון הציבור, כפי הממרה הידועה</w:t>
      </w:r>
      <w:r>
        <w:rPr>
          <w:rFonts w:ascii="David" w:hAnsi="David" w:hint="cs"/>
          <w:rtl/>
        </w:rPr>
        <w:t>,</w:t>
      </w:r>
      <w:r>
        <w:rPr>
          <w:rFonts w:ascii="David" w:hAnsi="David"/>
          <w:rtl/>
        </w:rPr>
        <w:t xml:space="preserve"> לפיה, כלי הנשק שהופיע במערכה הראשונה, חוזר להופיע במערכות שלאחר מכן.</w:t>
      </w:r>
    </w:p>
    <w:p w14:paraId="7D5BD86D" w14:textId="77777777" w:rsidR="00ED6B48" w:rsidRDefault="00ED6B48" w:rsidP="00ED6B48">
      <w:pPr>
        <w:spacing w:line="360" w:lineRule="auto"/>
        <w:jc w:val="both"/>
        <w:rPr>
          <w:rFonts w:ascii="David" w:hAnsi="David"/>
          <w:rtl/>
        </w:rPr>
      </w:pPr>
    </w:p>
    <w:p w14:paraId="478ACABA" w14:textId="77777777" w:rsidR="00ED6B48" w:rsidRDefault="00ED6B48" w:rsidP="00ED6B48">
      <w:pPr>
        <w:spacing w:line="360" w:lineRule="auto"/>
        <w:jc w:val="both"/>
        <w:rPr>
          <w:rFonts w:ascii="David" w:hAnsi="David"/>
          <w:rtl/>
        </w:rPr>
      </w:pPr>
      <w:r>
        <w:rPr>
          <w:rFonts w:ascii="David" w:hAnsi="David"/>
          <w:rtl/>
        </w:rPr>
        <w:t xml:space="preserve">לאור כל האמור, מוצא בית המשפט לקבוע מתחם ענישה, בכל הנוגע לאחזקת נשק חם קצר, מסוג אקדח – חצי אוטומטי, </w:t>
      </w:r>
      <w:r>
        <w:rPr>
          <w:rFonts w:ascii="David" w:hAnsi="David" w:hint="cs"/>
          <w:rtl/>
        </w:rPr>
        <w:t>כ</w:t>
      </w:r>
      <w:r>
        <w:rPr>
          <w:rFonts w:ascii="David" w:hAnsi="David"/>
          <w:rtl/>
        </w:rPr>
        <w:t>שהוא מוחזק בלווית תחמושת מתאימה, במחסנית, מוכן לשימוש, בתוך כלי רכב – כך שינוע בין 15 עד 30 חודשי מאסר בפועל.</w:t>
      </w:r>
    </w:p>
    <w:p w14:paraId="32902899" w14:textId="77777777" w:rsidR="00ED6B48" w:rsidRDefault="00ED6B48" w:rsidP="00ED6B48">
      <w:pPr>
        <w:spacing w:line="360" w:lineRule="auto"/>
        <w:jc w:val="both"/>
        <w:rPr>
          <w:rFonts w:ascii="David" w:hAnsi="David"/>
          <w:rtl/>
        </w:rPr>
      </w:pPr>
    </w:p>
    <w:p w14:paraId="5F72460E" w14:textId="77777777" w:rsidR="00ED6B48" w:rsidRDefault="00ED6B48" w:rsidP="00ED6B48">
      <w:pPr>
        <w:spacing w:line="360" w:lineRule="auto"/>
        <w:jc w:val="both"/>
        <w:rPr>
          <w:rFonts w:ascii="David" w:hAnsi="David"/>
          <w:rtl/>
        </w:rPr>
      </w:pPr>
      <w:r>
        <w:rPr>
          <w:rFonts w:ascii="David" w:hAnsi="David"/>
          <w:rtl/>
        </w:rPr>
        <w:t>אם תימשך העליה במספר כתבי האישום המוגשים בגין עבירה זו, יתכן שנכון יהיה לדון גם בהחמרה נוספת של המתחם, כפי המבוקש על ידי התביעה.</w:t>
      </w:r>
    </w:p>
    <w:p w14:paraId="3DF66413" w14:textId="77777777" w:rsidR="00ED6B48" w:rsidRDefault="00ED6B48" w:rsidP="00ED6B48">
      <w:pPr>
        <w:spacing w:line="360" w:lineRule="auto"/>
        <w:jc w:val="both"/>
        <w:rPr>
          <w:rFonts w:ascii="David" w:hAnsi="David"/>
          <w:rtl/>
        </w:rPr>
      </w:pPr>
    </w:p>
    <w:p w14:paraId="3069F057" w14:textId="77777777" w:rsidR="00ED6B48" w:rsidRDefault="00ED6B48" w:rsidP="00ED6B48">
      <w:pPr>
        <w:spacing w:line="360" w:lineRule="auto"/>
        <w:jc w:val="both"/>
        <w:rPr>
          <w:rFonts w:ascii="David" w:hAnsi="David"/>
          <w:rtl/>
        </w:rPr>
      </w:pPr>
    </w:p>
    <w:p w14:paraId="6B35FF5D" w14:textId="77777777" w:rsidR="00ED6B48" w:rsidRDefault="00ED6B48" w:rsidP="00ED6B48">
      <w:pPr>
        <w:spacing w:line="360" w:lineRule="auto"/>
        <w:jc w:val="both"/>
        <w:rPr>
          <w:rFonts w:ascii="David" w:hAnsi="David"/>
          <w:b/>
          <w:bCs/>
          <w:rtl/>
        </w:rPr>
      </w:pPr>
      <w:r>
        <w:rPr>
          <w:rFonts w:ascii="David" w:hAnsi="David"/>
          <w:b/>
          <w:bCs/>
          <w:rtl/>
        </w:rPr>
        <w:t>קביעת הענישה הספציפית במסגרת המתחם</w:t>
      </w:r>
    </w:p>
    <w:p w14:paraId="119270C0" w14:textId="77777777" w:rsidR="00ED6B48" w:rsidRDefault="00ED6B48" w:rsidP="00ED6B48">
      <w:pPr>
        <w:spacing w:line="360" w:lineRule="auto"/>
        <w:jc w:val="both"/>
        <w:rPr>
          <w:rFonts w:ascii="David" w:hAnsi="David"/>
          <w:rtl/>
        </w:rPr>
      </w:pPr>
    </w:p>
    <w:p w14:paraId="39FC20D6" w14:textId="77777777" w:rsidR="00ED6B48" w:rsidRDefault="00ED6B48" w:rsidP="00ED6B48">
      <w:pPr>
        <w:spacing w:line="360" w:lineRule="auto"/>
        <w:rPr>
          <w:rFonts w:ascii="David" w:hAnsi="David"/>
          <w:rtl/>
        </w:rPr>
      </w:pPr>
      <w:r>
        <w:rPr>
          <w:rFonts w:ascii="David" w:hAnsi="David" w:hint="cs"/>
          <w:rtl/>
        </w:rPr>
        <w:t xml:space="preserve">לחובת הנאשם דנן הרשעות קודמות, המעידות על נטיה לעבור חוק (כפי שהתרשם גם שירות המבחן למבוגרים), ובין היתר </w:t>
      </w:r>
      <w:r>
        <w:rPr>
          <w:rFonts w:ascii="David" w:hAnsi="David"/>
          <w:rtl/>
        </w:rPr>
        <w:t>–</w:t>
      </w:r>
      <w:r>
        <w:rPr>
          <w:rFonts w:ascii="David" w:hAnsi="David" w:hint="cs"/>
          <w:rtl/>
        </w:rPr>
        <w:t xml:space="preserve"> נדון, לפני שנים לא רבות, בגין החזקת נשק חם, כשבאותה העת </w:t>
      </w:r>
      <w:r>
        <w:rPr>
          <w:rFonts w:ascii="David" w:hAnsi="David"/>
          <w:rtl/>
        </w:rPr>
        <w:t>–</w:t>
      </w:r>
      <w:r>
        <w:rPr>
          <w:rFonts w:ascii="David" w:hAnsi="David" w:hint="cs"/>
          <w:rtl/>
        </w:rPr>
        <w:t xml:space="preserve"> נערך עימו הסדר טיעון והוא ריצה עונש מאסר בפועל בדרך של עבודות שירות.</w:t>
      </w:r>
    </w:p>
    <w:p w14:paraId="1884763B" w14:textId="77777777" w:rsidR="00ED6B48" w:rsidRDefault="00ED6B48" w:rsidP="00ED6B48">
      <w:pPr>
        <w:spacing w:line="360" w:lineRule="auto"/>
        <w:rPr>
          <w:rFonts w:ascii="David" w:hAnsi="David"/>
          <w:rtl/>
        </w:rPr>
      </w:pPr>
    </w:p>
    <w:p w14:paraId="2CB869A9" w14:textId="77777777" w:rsidR="00ED6B48" w:rsidRDefault="00ED6B48" w:rsidP="00ED6B48">
      <w:pPr>
        <w:spacing w:line="360" w:lineRule="auto"/>
        <w:rPr>
          <w:rFonts w:ascii="David" w:hAnsi="David"/>
          <w:rtl/>
        </w:rPr>
      </w:pPr>
      <w:r>
        <w:rPr>
          <w:rFonts w:ascii="David" w:hAnsi="David" w:hint="cs"/>
          <w:rtl/>
        </w:rPr>
        <w:t>המציאות מלמדת, כי אותו עונש לא הרתיע הנאשם והוא שב ומסתבך בעבירות דומות.</w:t>
      </w:r>
    </w:p>
    <w:p w14:paraId="39BA4306" w14:textId="77777777" w:rsidR="00ED6B48" w:rsidRDefault="00ED6B48" w:rsidP="00ED6B48">
      <w:pPr>
        <w:spacing w:line="360" w:lineRule="auto"/>
        <w:rPr>
          <w:rFonts w:ascii="David" w:hAnsi="David"/>
          <w:rtl/>
        </w:rPr>
      </w:pPr>
    </w:p>
    <w:p w14:paraId="39AA13B9" w14:textId="77777777" w:rsidR="00ED6B48" w:rsidRDefault="00ED6B48" w:rsidP="00ED6B48">
      <w:pPr>
        <w:spacing w:line="360" w:lineRule="auto"/>
        <w:rPr>
          <w:rFonts w:ascii="David" w:hAnsi="David"/>
          <w:rtl/>
        </w:rPr>
      </w:pPr>
      <w:r>
        <w:rPr>
          <w:rFonts w:ascii="David" w:hAnsi="David" w:hint="cs"/>
          <w:rtl/>
        </w:rPr>
        <w:t xml:space="preserve">חרף התבטאותו המילולית של הנאשם, כי מעוניין בשיקום </w:t>
      </w:r>
      <w:r>
        <w:rPr>
          <w:rFonts w:ascii="David" w:hAnsi="David"/>
          <w:rtl/>
        </w:rPr>
        <w:t>–</w:t>
      </w:r>
      <w:r>
        <w:rPr>
          <w:rFonts w:ascii="David" w:hAnsi="David" w:hint="cs"/>
          <w:rtl/>
        </w:rPr>
        <w:t xml:space="preserve"> הרי התנהלותו אל מול שירות המבחן, במישור המעשה, אינה מלמדת על כך </w:t>
      </w:r>
      <w:r>
        <w:rPr>
          <w:rFonts w:ascii="David" w:hAnsi="David"/>
          <w:rtl/>
        </w:rPr>
        <w:t>–</w:t>
      </w:r>
      <w:r>
        <w:rPr>
          <w:rFonts w:ascii="David" w:hAnsi="David" w:hint="cs"/>
          <w:rtl/>
        </w:rPr>
        <w:t xml:space="preserve"> כאשר ביכר בענישה הכוללת מאסר, חלף ניסיונות שיקומיים.</w:t>
      </w:r>
    </w:p>
    <w:p w14:paraId="4CC3722E" w14:textId="77777777" w:rsidR="00ED6B48" w:rsidRDefault="00ED6B48" w:rsidP="00ED6B48">
      <w:pPr>
        <w:spacing w:line="360" w:lineRule="auto"/>
        <w:rPr>
          <w:rFonts w:ascii="David" w:hAnsi="David"/>
          <w:rtl/>
        </w:rPr>
      </w:pPr>
    </w:p>
    <w:p w14:paraId="01001D9D" w14:textId="77777777" w:rsidR="00ED6B48" w:rsidRDefault="00ED6B48" w:rsidP="00ED6B48">
      <w:pPr>
        <w:spacing w:line="360" w:lineRule="auto"/>
        <w:rPr>
          <w:rFonts w:ascii="David" w:hAnsi="David"/>
          <w:rtl/>
        </w:rPr>
      </w:pPr>
      <w:r>
        <w:rPr>
          <w:rFonts w:ascii="David" w:hAnsi="David" w:hint="cs"/>
          <w:rtl/>
        </w:rPr>
        <w:t xml:space="preserve">טענת הנאשם, כי בשנים האחרונות ניהל אורח חיים עמלני </w:t>
      </w:r>
      <w:r>
        <w:rPr>
          <w:rFonts w:ascii="David" w:hAnsi="David"/>
          <w:rtl/>
        </w:rPr>
        <w:t>–</w:t>
      </w:r>
      <w:r>
        <w:rPr>
          <w:rFonts w:ascii="David" w:hAnsi="David" w:hint="cs"/>
          <w:rtl/>
        </w:rPr>
        <w:t xml:space="preserve"> לא גובתה בראיות או אסמכתאות כלשהן. עם זאת, גם אם כך הדבר </w:t>
      </w:r>
      <w:r>
        <w:rPr>
          <w:rFonts w:ascii="David" w:hAnsi="David"/>
          <w:rtl/>
        </w:rPr>
        <w:t>–</w:t>
      </w:r>
      <w:r>
        <w:rPr>
          <w:rFonts w:ascii="David" w:hAnsi="David" w:hint="cs"/>
          <w:rtl/>
        </w:rPr>
        <w:t xml:space="preserve"> הרי המציאות מלמדת, כי בד בבד עם עבודתו </w:t>
      </w:r>
      <w:r>
        <w:rPr>
          <w:rFonts w:ascii="David" w:hAnsi="David"/>
          <w:rtl/>
        </w:rPr>
        <w:t>–</w:t>
      </w:r>
      <w:r>
        <w:rPr>
          <w:rFonts w:ascii="David" w:hAnsi="David" w:hint="cs"/>
          <w:rtl/>
        </w:rPr>
        <w:t xml:space="preserve"> אינו נרתע להפר חוק.</w:t>
      </w:r>
    </w:p>
    <w:p w14:paraId="7C7CCDC6" w14:textId="77777777" w:rsidR="00ED6B48" w:rsidRDefault="00ED6B48" w:rsidP="00ED6B48">
      <w:pPr>
        <w:spacing w:line="360" w:lineRule="auto"/>
        <w:rPr>
          <w:rFonts w:ascii="David" w:hAnsi="David"/>
          <w:rtl/>
        </w:rPr>
      </w:pPr>
    </w:p>
    <w:p w14:paraId="5AEF188B" w14:textId="77777777" w:rsidR="00ED6B48" w:rsidRDefault="00ED6B48" w:rsidP="00ED6B48">
      <w:pPr>
        <w:spacing w:line="360" w:lineRule="auto"/>
        <w:rPr>
          <w:rFonts w:ascii="David" w:hAnsi="David"/>
          <w:rtl/>
        </w:rPr>
      </w:pPr>
      <w:r>
        <w:rPr>
          <w:rFonts w:ascii="David" w:hAnsi="David" w:hint="cs"/>
          <w:rtl/>
        </w:rPr>
        <w:t>מנגד, ייקח בית המשפט בחשבון את הודאת הנאשם באשמה.</w:t>
      </w:r>
    </w:p>
    <w:p w14:paraId="218D7C5E" w14:textId="77777777" w:rsidR="00ED6B48" w:rsidRDefault="00ED6B48" w:rsidP="00ED6B48">
      <w:pPr>
        <w:spacing w:line="360" w:lineRule="auto"/>
        <w:rPr>
          <w:rFonts w:ascii="David" w:hAnsi="David"/>
          <w:rtl/>
        </w:rPr>
      </w:pPr>
    </w:p>
    <w:p w14:paraId="4BE8DCE4" w14:textId="77777777" w:rsidR="00ED6B48" w:rsidRDefault="00ED6B48" w:rsidP="00ED6B48">
      <w:pPr>
        <w:spacing w:line="360" w:lineRule="auto"/>
        <w:rPr>
          <w:rFonts w:ascii="David" w:hAnsi="David"/>
          <w:rtl/>
        </w:rPr>
      </w:pPr>
      <w:r>
        <w:rPr>
          <w:rFonts w:ascii="David" w:hAnsi="David" w:hint="cs"/>
          <w:rtl/>
        </w:rPr>
        <w:t>את היותו נשוי, אב לילדים קטנים, מפרנס יחיד במשפחה.</w:t>
      </w:r>
    </w:p>
    <w:p w14:paraId="3F6F0041" w14:textId="77777777" w:rsidR="00ED6B48" w:rsidRDefault="00ED6B48" w:rsidP="00ED6B48">
      <w:pPr>
        <w:spacing w:line="360" w:lineRule="auto"/>
        <w:rPr>
          <w:rFonts w:ascii="David" w:hAnsi="David"/>
          <w:rtl/>
        </w:rPr>
      </w:pPr>
    </w:p>
    <w:p w14:paraId="206986E5" w14:textId="77777777" w:rsidR="00ED6B48" w:rsidRDefault="00ED6B48" w:rsidP="00ED6B48">
      <w:pPr>
        <w:spacing w:line="360" w:lineRule="auto"/>
        <w:rPr>
          <w:rFonts w:ascii="David" w:hAnsi="David"/>
          <w:rtl/>
        </w:rPr>
      </w:pPr>
      <w:r>
        <w:rPr>
          <w:rFonts w:ascii="David" w:hAnsi="David" w:hint="cs"/>
          <w:rtl/>
        </w:rPr>
        <w:t>כן יינתן משקל של ממש להתנדבותו לשירות צבאי.</w:t>
      </w:r>
    </w:p>
    <w:p w14:paraId="0B68CB66" w14:textId="77777777" w:rsidR="00ED6B48" w:rsidRDefault="00ED6B48" w:rsidP="00ED6B48">
      <w:pPr>
        <w:spacing w:line="360" w:lineRule="auto"/>
        <w:rPr>
          <w:rFonts w:ascii="David" w:hAnsi="David"/>
          <w:rtl/>
        </w:rPr>
      </w:pPr>
    </w:p>
    <w:p w14:paraId="4E4FB11D" w14:textId="77777777" w:rsidR="00ED6B48" w:rsidRDefault="00ED6B48" w:rsidP="00ED6B48">
      <w:pPr>
        <w:spacing w:line="360" w:lineRule="auto"/>
        <w:rPr>
          <w:rFonts w:ascii="David" w:hAnsi="David"/>
          <w:rtl/>
        </w:rPr>
      </w:pPr>
      <w:r>
        <w:rPr>
          <w:rFonts w:ascii="David" w:hAnsi="David" w:hint="cs"/>
          <w:rtl/>
        </w:rPr>
        <w:t xml:space="preserve">מכלול הנתונים מצביע לכיוון ענישת הנאשם במחצית העליונה של המתחם, כפי עתירת התביעה, אך לאור הודאת הנאשם באשמה ויתר השיקולים שפורטו לעיל, לרבות התנדבותו לשירות </w:t>
      </w:r>
      <w:r>
        <w:rPr>
          <w:rFonts w:ascii="David" w:hAnsi="David"/>
          <w:rtl/>
        </w:rPr>
        <w:t>–</w:t>
      </w:r>
      <w:r>
        <w:rPr>
          <w:rFonts w:ascii="David" w:hAnsi="David" w:hint="cs"/>
          <w:rtl/>
        </w:rPr>
        <w:t xml:space="preserve"> תינתן הקלה מסוימת והוא ידון לעונש בחלק הבינוני-נמוך של המתחם. </w:t>
      </w:r>
    </w:p>
    <w:p w14:paraId="624A940D" w14:textId="77777777" w:rsidR="00ED6B48" w:rsidRDefault="00ED6B48" w:rsidP="00ED6B48">
      <w:pPr>
        <w:spacing w:line="360" w:lineRule="auto"/>
        <w:rPr>
          <w:rFonts w:ascii="David" w:hAnsi="David"/>
          <w:rtl/>
        </w:rPr>
      </w:pPr>
    </w:p>
    <w:p w14:paraId="621EB3DA" w14:textId="77777777" w:rsidR="00ED6B48" w:rsidRDefault="00ED6B48" w:rsidP="00ED6B48">
      <w:pPr>
        <w:spacing w:line="360" w:lineRule="auto"/>
        <w:jc w:val="both"/>
        <w:rPr>
          <w:rFonts w:ascii="David" w:hAnsi="David"/>
          <w:rtl/>
        </w:rPr>
      </w:pPr>
      <w:r>
        <w:rPr>
          <w:rFonts w:ascii="David" w:hAnsi="David"/>
          <w:rtl/>
        </w:rPr>
        <w:t>כמובן, יושת על הנאשם עונש צופה פני עתיד, לבל יהין להחזיק שוב בכלי נשק כלשהו, חם או קר.</w:t>
      </w:r>
    </w:p>
    <w:p w14:paraId="4EE69912" w14:textId="77777777" w:rsidR="00ED6B48" w:rsidRDefault="00ED6B48" w:rsidP="00ED6B48">
      <w:pPr>
        <w:spacing w:line="360" w:lineRule="auto"/>
        <w:jc w:val="both"/>
        <w:rPr>
          <w:rFonts w:ascii="David" w:hAnsi="David"/>
          <w:rtl/>
        </w:rPr>
      </w:pPr>
    </w:p>
    <w:p w14:paraId="7F8B306F" w14:textId="77777777" w:rsidR="00ED6B48" w:rsidRDefault="00ED6B48" w:rsidP="00ED6B48">
      <w:pPr>
        <w:spacing w:line="360" w:lineRule="auto"/>
        <w:jc w:val="both"/>
        <w:rPr>
          <w:rFonts w:ascii="David" w:hAnsi="David"/>
          <w:rtl/>
        </w:rPr>
      </w:pPr>
      <w:r>
        <w:rPr>
          <w:rFonts w:ascii="David" w:hAnsi="David"/>
          <w:rtl/>
        </w:rPr>
        <w:t>כן יושת על הנאשם עיצום כספי</w:t>
      </w:r>
      <w:r>
        <w:rPr>
          <w:rFonts w:ascii="David" w:hAnsi="David" w:hint="cs"/>
          <w:rtl/>
        </w:rPr>
        <w:t xml:space="preserve">. אך במקרה דנן </w:t>
      </w:r>
      <w:r>
        <w:rPr>
          <w:rFonts w:ascii="David" w:hAnsi="David"/>
          <w:rtl/>
        </w:rPr>
        <w:t>–</w:t>
      </w:r>
      <w:r>
        <w:rPr>
          <w:rFonts w:ascii="David" w:hAnsi="David" w:hint="cs"/>
          <w:rtl/>
        </w:rPr>
        <w:t xml:space="preserve"> לאור הסכמת הצדדים על חילוט רכבו של הנאשם </w:t>
      </w:r>
      <w:r>
        <w:rPr>
          <w:rFonts w:ascii="David" w:hAnsi="David"/>
          <w:rtl/>
        </w:rPr>
        <w:t>–</w:t>
      </w:r>
      <w:r>
        <w:rPr>
          <w:rFonts w:ascii="David" w:hAnsi="David" w:hint="cs"/>
          <w:rtl/>
        </w:rPr>
        <w:t xml:space="preserve"> בו נתפס הנשק </w:t>
      </w:r>
      <w:r>
        <w:rPr>
          <w:rFonts w:ascii="David" w:hAnsi="David"/>
          <w:rtl/>
        </w:rPr>
        <w:t>–</w:t>
      </w:r>
      <w:r>
        <w:rPr>
          <w:rFonts w:ascii="David" w:hAnsi="David" w:hint="cs"/>
          <w:rtl/>
        </w:rPr>
        <w:t xml:space="preserve"> יושת עיצום כספי ברף שאינו גבוה.</w:t>
      </w:r>
    </w:p>
    <w:p w14:paraId="19CE1DEB" w14:textId="77777777" w:rsidR="00ED6B48" w:rsidRDefault="00ED6B48" w:rsidP="00ED6B48">
      <w:pPr>
        <w:spacing w:line="360" w:lineRule="auto"/>
        <w:jc w:val="both"/>
        <w:rPr>
          <w:rFonts w:ascii="David" w:hAnsi="David"/>
          <w:rtl/>
        </w:rPr>
      </w:pPr>
    </w:p>
    <w:p w14:paraId="135E8323" w14:textId="77777777" w:rsidR="00ED6B48" w:rsidRDefault="00ED6B48" w:rsidP="00ED6B48">
      <w:pPr>
        <w:spacing w:line="360" w:lineRule="auto"/>
        <w:jc w:val="both"/>
        <w:rPr>
          <w:rFonts w:ascii="David" w:hAnsi="David"/>
          <w:rtl/>
        </w:rPr>
      </w:pPr>
      <w:r>
        <w:rPr>
          <w:rFonts w:ascii="David" w:hAnsi="David"/>
          <w:rtl/>
        </w:rPr>
        <w:t>לאור כל האמור, גוזר בית המשפט על הנאשם את העונשים הבאים:</w:t>
      </w:r>
    </w:p>
    <w:p w14:paraId="2BD9831F" w14:textId="77777777" w:rsidR="00ED6B48" w:rsidRDefault="00ED6B48" w:rsidP="00ED6B48">
      <w:pPr>
        <w:spacing w:line="360" w:lineRule="auto"/>
        <w:jc w:val="both"/>
        <w:rPr>
          <w:rFonts w:ascii="David" w:hAnsi="David"/>
          <w:rtl/>
        </w:rPr>
      </w:pPr>
    </w:p>
    <w:p w14:paraId="528818F2" w14:textId="77777777" w:rsidR="00ED6B48" w:rsidRDefault="00ED6B48" w:rsidP="00ED6B48">
      <w:pPr>
        <w:spacing w:line="360" w:lineRule="auto"/>
        <w:jc w:val="both"/>
        <w:rPr>
          <w:rFonts w:ascii="David" w:hAnsi="David"/>
          <w:rtl/>
        </w:rPr>
      </w:pPr>
      <w:r>
        <w:rPr>
          <w:rFonts w:ascii="David" w:hAnsi="David"/>
          <w:rtl/>
        </w:rPr>
        <w:t>א.</w:t>
      </w:r>
      <w:r w:rsidR="00FB2F19">
        <w:rPr>
          <w:rFonts w:ascii="David" w:hAnsi="David"/>
          <w:rtl/>
        </w:rPr>
        <w:t xml:space="preserve">        </w:t>
      </w:r>
      <w:r>
        <w:rPr>
          <w:rFonts w:ascii="David" w:hAnsi="David"/>
          <w:rtl/>
        </w:rPr>
        <w:t xml:space="preserve"> </w:t>
      </w:r>
      <w:r>
        <w:rPr>
          <w:rFonts w:ascii="David" w:hAnsi="David" w:hint="cs"/>
          <w:rtl/>
        </w:rPr>
        <w:t>18</w:t>
      </w:r>
      <w:r>
        <w:rPr>
          <w:rFonts w:ascii="David" w:hAnsi="David"/>
          <w:rtl/>
        </w:rPr>
        <w:t xml:space="preserve"> חודשי מאסר בפועל, בניכוי ימי מעצרו בהתאם לרישומי שב"ס;</w:t>
      </w:r>
    </w:p>
    <w:p w14:paraId="4A31F034" w14:textId="77777777" w:rsidR="00ED6B48" w:rsidRDefault="00ED6B48" w:rsidP="00ED6B48">
      <w:pPr>
        <w:spacing w:line="360" w:lineRule="auto"/>
        <w:ind w:left="720" w:hanging="720"/>
        <w:jc w:val="both"/>
        <w:rPr>
          <w:rFonts w:ascii="David" w:hAnsi="David"/>
          <w:rtl/>
        </w:rPr>
      </w:pPr>
      <w:r>
        <w:rPr>
          <w:rFonts w:ascii="David" w:hAnsi="David"/>
          <w:rtl/>
        </w:rPr>
        <w:t>ב.</w:t>
      </w:r>
      <w:r w:rsidR="00FB2F19">
        <w:rPr>
          <w:rFonts w:ascii="David" w:hAnsi="David"/>
          <w:rtl/>
        </w:rPr>
        <w:t xml:space="preserve">        </w:t>
      </w:r>
      <w:r>
        <w:rPr>
          <w:rFonts w:ascii="David" w:hAnsi="David"/>
          <w:rtl/>
        </w:rPr>
        <w:t xml:space="preserve"> 12 חודשי מאסר על תנאי למשך 3 שנים מהיום; והתנאי – שהנאשם לא יעבור עבירה מסוג פשע בניגוד </w:t>
      </w:r>
      <w:hyperlink r:id="rId31" w:history="1">
        <w:r w:rsidR="009B27B8" w:rsidRPr="009B27B8">
          <w:rPr>
            <w:rStyle w:val="Hyperlink"/>
            <w:rFonts w:ascii="David" w:hAnsi="David"/>
            <w:color w:val="0000FF"/>
            <w:rtl/>
          </w:rPr>
          <w:t>לסעיף 144</w:t>
        </w:r>
      </w:hyperlink>
      <w:r>
        <w:rPr>
          <w:rFonts w:ascii="David" w:hAnsi="David"/>
          <w:rtl/>
        </w:rPr>
        <w:t xml:space="preserve"> ל</w:t>
      </w:r>
      <w:hyperlink r:id="rId32" w:history="1">
        <w:r w:rsidR="00FB2F19" w:rsidRPr="00FB2F19">
          <w:rPr>
            <w:rFonts w:ascii="David" w:hAnsi="David"/>
            <w:color w:val="0000FF"/>
            <w:u w:val="single"/>
            <w:rtl/>
          </w:rPr>
          <w:t>חוק העונשין</w:t>
        </w:r>
      </w:hyperlink>
      <w:r>
        <w:rPr>
          <w:rFonts w:ascii="David" w:hAnsi="David"/>
          <w:rtl/>
        </w:rPr>
        <w:t xml:space="preserve">, תשל"ז – 1977; </w:t>
      </w:r>
    </w:p>
    <w:p w14:paraId="78D8D121" w14:textId="77777777" w:rsidR="00ED6B48" w:rsidRDefault="00ED6B48" w:rsidP="00ED6B48">
      <w:pPr>
        <w:spacing w:line="360" w:lineRule="auto"/>
        <w:ind w:left="720" w:hanging="720"/>
        <w:jc w:val="both"/>
        <w:rPr>
          <w:rFonts w:ascii="David" w:hAnsi="David"/>
          <w:rtl/>
        </w:rPr>
      </w:pPr>
      <w:r>
        <w:rPr>
          <w:rFonts w:ascii="David" w:hAnsi="David"/>
          <w:rtl/>
        </w:rPr>
        <w:t>ג.</w:t>
      </w:r>
      <w:r w:rsidR="00FB2F19">
        <w:rPr>
          <w:rFonts w:ascii="David" w:hAnsi="David"/>
          <w:rtl/>
        </w:rPr>
        <w:t xml:space="preserve">         </w:t>
      </w:r>
      <w:r>
        <w:rPr>
          <w:rFonts w:ascii="David" w:hAnsi="David"/>
          <w:rtl/>
        </w:rPr>
        <w:t xml:space="preserve"> 6 חודשי מאסר על תנאי למשך 3 שנים מהיום; והתנאי – שהנאשם לא יעבור עבירה מסוג עוון בניגוד </w:t>
      </w:r>
      <w:hyperlink r:id="rId33" w:history="1">
        <w:r w:rsidR="009B27B8" w:rsidRPr="009B27B8">
          <w:rPr>
            <w:rStyle w:val="Hyperlink"/>
            <w:rFonts w:ascii="David" w:hAnsi="David"/>
            <w:color w:val="0000FF"/>
            <w:rtl/>
          </w:rPr>
          <w:t>לסעיף 144</w:t>
        </w:r>
      </w:hyperlink>
      <w:r>
        <w:rPr>
          <w:rFonts w:ascii="David" w:hAnsi="David"/>
          <w:rtl/>
        </w:rPr>
        <w:t xml:space="preserve"> ל</w:t>
      </w:r>
      <w:hyperlink r:id="rId34" w:history="1">
        <w:r w:rsidR="00FB2F19" w:rsidRPr="00FB2F19">
          <w:rPr>
            <w:rFonts w:ascii="David" w:hAnsi="David"/>
            <w:color w:val="0000FF"/>
            <w:u w:val="single"/>
            <w:rtl/>
          </w:rPr>
          <w:t>חוק העונשין</w:t>
        </w:r>
      </w:hyperlink>
      <w:r>
        <w:rPr>
          <w:rFonts w:ascii="David" w:hAnsi="David"/>
          <w:rtl/>
        </w:rPr>
        <w:t>, תשל"ז – 1977;</w:t>
      </w:r>
      <w:r w:rsidR="00FB2F19">
        <w:rPr>
          <w:rFonts w:ascii="David" w:hAnsi="David"/>
          <w:rtl/>
        </w:rPr>
        <w:t xml:space="preserve"> </w:t>
      </w:r>
      <w:r>
        <w:rPr>
          <w:rFonts w:ascii="David" w:hAnsi="David"/>
          <w:rtl/>
        </w:rPr>
        <w:t xml:space="preserve"> או עבירה בניגוד </w:t>
      </w:r>
      <w:hyperlink r:id="rId35" w:history="1">
        <w:r w:rsidR="009B27B8" w:rsidRPr="009B27B8">
          <w:rPr>
            <w:rStyle w:val="Hyperlink"/>
            <w:rFonts w:ascii="David" w:hAnsi="David"/>
            <w:color w:val="0000FF"/>
            <w:rtl/>
          </w:rPr>
          <w:t>לסעיף 186</w:t>
        </w:r>
      </w:hyperlink>
      <w:r>
        <w:rPr>
          <w:rFonts w:ascii="David" w:hAnsi="David"/>
          <w:rtl/>
        </w:rPr>
        <w:t xml:space="preserve"> לאותו חוק;</w:t>
      </w:r>
    </w:p>
    <w:p w14:paraId="30DBE1D0" w14:textId="77777777" w:rsidR="00ED6B48" w:rsidRDefault="00ED6B48" w:rsidP="00ED6B48">
      <w:pPr>
        <w:spacing w:line="360" w:lineRule="auto"/>
        <w:ind w:left="720" w:hanging="720"/>
        <w:jc w:val="both"/>
        <w:rPr>
          <w:rFonts w:ascii="David" w:hAnsi="David"/>
          <w:rtl/>
        </w:rPr>
      </w:pPr>
      <w:r>
        <w:rPr>
          <w:rFonts w:ascii="David" w:hAnsi="David"/>
          <w:rtl/>
        </w:rPr>
        <w:t>ד.</w:t>
      </w:r>
      <w:r w:rsidR="00FB2F19">
        <w:rPr>
          <w:rFonts w:ascii="David" w:hAnsi="David"/>
          <w:rtl/>
        </w:rPr>
        <w:t xml:space="preserve">        </w:t>
      </w:r>
      <w:r>
        <w:rPr>
          <w:rFonts w:ascii="David" w:hAnsi="David"/>
          <w:rtl/>
        </w:rPr>
        <w:t xml:space="preserve"> קנס בסך </w:t>
      </w:r>
      <w:r>
        <w:rPr>
          <w:rFonts w:ascii="David" w:hAnsi="David" w:hint="cs"/>
          <w:rtl/>
        </w:rPr>
        <w:t>7</w:t>
      </w:r>
      <w:r>
        <w:rPr>
          <w:rFonts w:ascii="David" w:hAnsi="David"/>
          <w:rtl/>
        </w:rPr>
        <w:t>,</w:t>
      </w:r>
      <w:r>
        <w:rPr>
          <w:rFonts w:ascii="David" w:hAnsi="David" w:hint="cs"/>
          <w:rtl/>
        </w:rPr>
        <w:t>5</w:t>
      </w:r>
      <w:r>
        <w:rPr>
          <w:rFonts w:ascii="David" w:hAnsi="David"/>
          <w:rtl/>
        </w:rPr>
        <w:t xml:space="preserve">00 ₪ או 90 ימי מאסר תמורתו. הקנס ישולם ב-10 שיעורים שווים ורצופים החל מיום </w:t>
      </w:r>
      <w:r>
        <w:rPr>
          <w:rFonts w:ascii="David" w:hAnsi="David" w:hint="cs"/>
          <w:rtl/>
        </w:rPr>
        <w:t>15</w:t>
      </w:r>
      <w:r>
        <w:rPr>
          <w:rFonts w:ascii="David" w:hAnsi="David"/>
          <w:rtl/>
        </w:rPr>
        <w:t>.03.20</w:t>
      </w:r>
      <w:r w:rsidR="00FB2F19">
        <w:rPr>
          <w:rFonts w:ascii="David" w:hAnsi="David"/>
          <w:rtl/>
        </w:rPr>
        <w:t xml:space="preserve"> </w:t>
      </w:r>
      <w:r>
        <w:rPr>
          <w:rFonts w:ascii="David" w:hAnsi="David"/>
          <w:rtl/>
        </w:rPr>
        <w:t xml:space="preserve"> ובכל </w:t>
      </w:r>
      <w:r>
        <w:rPr>
          <w:rFonts w:ascii="David" w:hAnsi="David" w:hint="cs"/>
          <w:rtl/>
        </w:rPr>
        <w:t>15</w:t>
      </w:r>
      <w:r>
        <w:rPr>
          <w:rFonts w:ascii="David" w:hAnsi="David"/>
          <w:rtl/>
        </w:rPr>
        <w:t xml:space="preserve"> לחודש שלאחר מכן. לא יועבר אחד התשלומים במועד – תעמוד היתרה לפירעון מידי</w:t>
      </w:r>
      <w:r>
        <w:rPr>
          <w:rFonts w:ascii="David" w:hAnsi="David" w:hint="cs"/>
          <w:rtl/>
        </w:rPr>
        <w:t>;</w:t>
      </w:r>
    </w:p>
    <w:p w14:paraId="7E72C818" w14:textId="77777777" w:rsidR="00ED6B48" w:rsidRDefault="00ED6B48" w:rsidP="00ED6B48">
      <w:pPr>
        <w:spacing w:line="360" w:lineRule="auto"/>
        <w:ind w:left="720" w:hanging="720"/>
        <w:jc w:val="both"/>
        <w:rPr>
          <w:rFonts w:ascii="David" w:hAnsi="David"/>
          <w:rtl/>
        </w:rPr>
      </w:pPr>
      <w:r>
        <w:rPr>
          <w:rFonts w:ascii="David" w:hAnsi="David" w:hint="cs"/>
          <w:rtl/>
        </w:rPr>
        <w:t>ה.</w:t>
      </w:r>
      <w:r>
        <w:rPr>
          <w:rFonts w:ascii="David" w:hAnsi="David" w:hint="cs"/>
          <w:rtl/>
        </w:rPr>
        <w:tab/>
        <w:t xml:space="preserve">הלקסוס </w:t>
      </w:r>
      <w:r>
        <w:rPr>
          <w:rFonts w:ascii="David" w:hAnsi="David"/>
          <w:rtl/>
        </w:rPr>
        <w:t>–</w:t>
      </w:r>
      <w:r>
        <w:rPr>
          <w:rFonts w:ascii="David" w:hAnsi="David" w:hint="cs"/>
          <w:rtl/>
        </w:rPr>
        <w:t xml:space="preserve"> תחולט לטובת אוצר המדינה;</w:t>
      </w:r>
    </w:p>
    <w:p w14:paraId="14733144" w14:textId="77777777" w:rsidR="00ED6B48" w:rsidRDefault="00ED6B48" w:rsidP="00ED6B48">
      <w:pPr>
        <w:spacing w:line="360" w:lineRule="auto"/>
        <w:ind w:left="720" w:hanging="720"/>
        <w:jc w:val="both"/>
        <w:rPr>
          <w:rFonts w:ascii="David" w:hAnsi="David"/>
          <w:rtl/>
        </w:rPr>
      </w:pPr>
      <w:r>
        <w:rPr>
          <w:rFonts w:ascii="David" w:hAnsi="David" w:hint="cs"/>
          <w:rtl/>
        </w:rPr>
        <w:t>ו.</w:t>
      </w:r>
      <w:r>
        <w:rPr>
          <w:rFonts w:ascii="David" w:hAnsi="David" w:hint="cs"/>
          <w:rtl/>
        </w:rPr>
        <w:tab/>
        <w:t xml:space="preserve">נשק ותחמושת </w:t>
      </w:r>
      <w:r>
        <w:rPr>
          <w:rFonts w:ascii="David" w:hAnsi="David"/>
          <w:rtl/>
        </w:rPr>
        <w:t>–</w:t>
      </w:r>
      <w:r>
        <w:rPr>
          <w:rFonts w:ascii="David" w:hAnsi="David" w:hint="cs"/>
          <w:rtl/>
        </w:rPr>
        <w:t xml:space="preserve"> יחולטו/יושמדו בהתאם להחלטת התביעה הכללית.</w:t>
      </w:r>
    </w:p>
    <w:p w14:paraId="2235AA96" w14:textId="77777777" w:rsidR="00ED6B48" w:rsidRDefault="00ED6B48" w:rsidP="00ED6B48">
      <w:pPr>
        <w:spacing w:line="360" w:lineRule="auto"/>
        <w:ind w:left="720" w:hanging="720"/>
        <w:jc w:val="both"/>
        <w:rPr>
          <w:rFonts w:ascii="David" w:hAnsi="David"/>
          <w:rtl/>
        </w:rPr>
      </w:pPr>
    </w:p>
    <w:p w14:paraId="7FDE0EC3" w14:textId="77777777" w:rsidR="00ED6B48" w:rsidRDefault="00ED6B48" w:rsidP="00ED6B48">
      <w:pPr>
        <w:spacing w:line="360" w:lineRule="auto"/>
        <w:ind w:left="720" w:hanging="720"/>
        <w:jc w:val="both"/>
        <w:rPr>
          <w:rFonts w:ascii="David" w:hAnsi="David"/>
          <w:rtl/>
        </w:rPr>
      </w:pPr>
      <w:r>
        <w:rPr>
          <w:rFonts w:ascii="David" w:hAnsi="David" w:hint="cs"/>
          <w:rtl/>
        </w:rPr>
        <w:t>עותק גזר הדין יועבר לשירות המבחן למבוגרים.</w:t>
      </w:r>
    </w:p>
    <w:p w14:paraId="04E9399E" w14:textId="77777777" w:rsidR="00ED6B48" w:rsidRPr="00FB2F19" w:rsidRDefault="00FB2F19" w:rsidP="00ED6B48">
      <w:pPr>
        <w:spacing w:line="360" w:lineRule="auto"/>
        <w:ind w:left="720" w:hanging="720"/>
        <w:jc w:val="both"/>
        <w:rPr>
          <w:rFonts w:ascii="David" w:hAnsi="David"/>
          <w:color w:val="FFFFFF"/>
          <w:sz w:val="2"/>
          <w:szCs w:val="2"/>
          <w:rtl/>
        </w:rPr>
      </w:pPr>
      <w:r w:rsidRPr="00FB2F19">
        <w:rPr>
          <w:rFonts w:ascii="David" w:hAnsi="David"/>
          <w:color w:val="FFFFFF"/>
          <w:sz w:val="2"/>
          <w:szCs w:val="2"/>
          <w:rtl/>
        </w:rPr>
        <w:t>5129371</w:t>
      </w:r>
    </w:p>
    <w:p w14:paraId="02540FBC" w14:textId="77777777" w:rsidR="00ED6B48" w:rsidRDefault="00FB2F19" w:rsidP="00ED6B48">
      <w:pPr>
        <w:spacing w:line="360" w:lineRule="auto"/>
        <w:ind w:left="720" w:hanging="720"/>
        <w:jc w:val="both"/>
        <w:rPr>
          <w:rFonts w:ascii="David" w:hAnsi="David"/>
          <w:b/>
          <w:bCs/>
          <w:rtl/>
        </w:rPr>
      </w:pPr>
      <w:r w:rsidRPr="00FB2F19">
        <w:rPr>
          <w:rFonts w:ascii="David" w:hAnsi="David"/>
          <w:b/>
          <w:bCs/>
          <w:color w:val="FFFFFF"/>
          <w:sz w:val="2"/>
          <w:szCs w:val="2"/>
          <w:rtl/>
        </w:rPr>
        <w:t>54678313</w:t>
      </w:r>
      <w:r w:rsidR="00ED6B48">
        <w:rPr>
          <w:rFonts w:ascii="David" w:hAnsi="David"/>
          <w:b/>
          <w:bCs/>
          <w:rtl/>
        </w:rPr>
        <w:t xml:space="preserve">הודעה זכות הערעור. </w:t>
      </w:r>
    </w:p>
    <w:p w14:paraId="6DEC4EA6" w14:textId="77777777" w:rsidR="00ED6B48" w:rsidRDefault="00ED6B48" w:rsidP="00ED6B48">
      <w:pPr>
        <w:spacing w:line="360" w:lineRule="auto"/>
        <w:rPr>
          <w:rFonts w:ascii="David" w:hAnsi="David"/>
          <w:rtl/>
        </w:rPr>
      </w:pPr>
    </w:p>
    <w:p w14:paraId="1D922EB8" w14:textId="77777777" w:rsidR="00ED6B48" w:rsidRDefault="00FB2F19" w:rsidP="00ED6B48">
      <w:pPr>
        <w:spacing w:line="360" w:lineRule="auto"/>
        <w:jc w:val="both"/>
        <w:rPr>
          <w:rFonts w:ascii="Arial" w:hAnsi="Arial"/>
          <w:noProof w:val="0"/>
          <w:rtl/>
        </w:rPr>
      </w:pPr>
      <w:bookmarkStart w:id="8" w:name="Nitan"/>
      <w:r>
        <w:rPr>
          <w:rFonts w:ascii="Arial" w:hAnsi="Arial"/>
          <w:noProof w:val="0"/>
          <w:rtl/>
        </w:rPr>
        <w:t xml:space="preserve">ניתנה היום, ז' שבט תש"פ, 02 פברואר 2020, במעמד הצדדים. </w:t>
      </w:r>
      <w:bookmarkEnd w:id="8"/>
    </w:p>
    <w:p w14:paraId="0C170F5B" w14:textId="77777777" w:rsidR="00FB2F19" w:rsidRDefault="00FB2F19" w:rsidP="00FB2F19">
      <w:pPr>
        <w:rPr>
          <w:rtl/>
        </w:rPr>
      </w:pPr>
    </w:p>
    <w:p w14:paraId="6BB4C69C" w14:textId="77777777" w:rsidR="00FB2F19" w:rsidRDefault="00FB2F19" w:rsidP="00FB2F19">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1134437D" w14:textId="77777777" w:rsidR="009B27B8" w:rsidRPr="009B27B8" w:rsidRDefault="009B27B8" w:rsidP="009B27B8">
      <w:pPr>
        <w:keepNext/>
        <w:rPr>
          <w:rFonts w:ascii="David" w:hAnsi="David" w:hint="cs"/>
          <w:color w:val="000000"/>
          <w:sz w:val="22"/>
          <w:szCs w:val="22"/>
          <w:rtl/>
        </w:rPr>
      </w:pPr>
    </w:p>
    <w:p w14:paraId="1D0DCCC8" w14:textId="77777777" w:rsidR="009B27B8" w:rsidRPr="009B27B8" w:rsidRDefault="009B27B8" w:rsidP="009B27B8">
      <w:pPr>
        <w:keepNext/>
        <w:rPr>
          <w:rFonts w:ascii="David" w:hAnsi="David"/>
          <w:color w:val="000000"/>
          <w:sz w:val="22"/>
          <w:szCs w:val="22"/>
          <w:rtl/>
        </w:rPr>
      </w:pPr>
      <w:r w:rsidRPr="009B27B8">
        <w:rPr>
          <w:rFonts w:ascii="David" w:hAnsi="David"/>
          <w:color w:val="000000"/>
          <w:sz w:val="22"/>
          <w:szCs w:val="22"/>
          <w:rtl/>
        </w:rPr>
        <w:t>רון סולקין 54678313-/</w:t>
      </w:r>
    </w:p>
    <w:p w14:paraId="3575DB3D" w14:textId="77777777" w:rsidR="00FB2F19" w:rsidRPr="00FB2F19" w:rsidRDefault="009B27B8" w:rsidP="009B27B8">
      <w:pPr>
        <w:rPr>
          <w:rFonts w:hint="cs"/>
          <w:color w:val="0000FF"/>
          <w:u w:val="single"/>
        </w:rPr>
      </w:pPr>
      <w:r w:rsidRPr="009B27B8">
        <w:rPr>
          <w:color w:val="000000"/>
          <w:u w:val="single"/>
          <w:rtl/>
        </w:rPr>
        <w:t>נוסח מסמך זה כפוף לשינויי ניסוח ועריכה</w:t>
      </w:r>
    </w:p>
    <w:sectPr w:rsidR="00FB2F19" w:rsidRPr="00FB2F19" w:rsidSect="009B27B8">
      <w:headerReference w:type="even" r:id="rId37"/>
      <w:headerReference w:type="default" r:id="rId38"/>
      <w:footerReference w:type="even" r:id="rId39"/>
      <w:footerReference w:type="default" r:id="rId40"/>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449AF4" w14:textId="77777777" w:rsidR="00953052" w:rsidRDefault="00953052" w:rsidP="00412B0F">
      <w:r>
        <w:separator/>
      </w:r>
    </w:p>
  </w:endnote>
  <w:endnote w:type="continuationSeparator" w:id="0">
    <w:p w14:paraId="64553840" w14:textId="77777777" w:rsidR="00953052" w:rsidRDefault="00953052" w:rsidP="00412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C9391" w14:textId="77777777" w:rsidR="009B27B8" w:rsidRDefault="009B27B8" w:rsidP="009B27B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17462062" w14:textId="77777777" w:rsidR="00FB2F19" w:rsidRPr="009B27B8" w:rsidRDefault="009B27B8" w:rsidP="009B27B8">
    <w:pPr>
      <w:pStyle w:val="a5"/>
      <w:pBdr>
        <w:top w:val="single" w:sz="4" w:space="1" w:color="auto"/>
        <w:between w:val="single" w:sz="4" w:space="0" w:color="auto"/>
      </w:pBdr>
      <w:spacing w:after="60"/>
      <w:jc w:val="center"/>
      <w:rPr>
        <w:rFonts w:ascii="FrankRuehl" w:hAnsi="FrankRuehl" w:cs="FrankRuehl"/>
        <w:color w:val="000000"/>
      </w:rPr>
    </w:pPr>
    <w:r w:rsidRPr="009B27B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46FDB8" w14:textId="77777777" w:rsidR="009B27B8" w:rsidRDefault="009B27B8" w:rsidP="009B27B8">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9A55B0">
      <w:rPr>
        <w:rStyle w:val="a8"/>
        <w:rFonts w:ascii="FrankRuehl" w:hAnsi="FrankRuehl" w:cs="FrankRuehl"/>
        <w:rtl/>
      </w:rPr>
      <w:t>1</w:t>
    </w:r>
    <w:r>
      <w:rPr>
        <w:rStyle w:val="a8"/>
        <w:rFonts w:ascii="FrankRuehl" w:hAnsi="FrankRuehl" w:cs="FrankRuehl"/>
        <w:rtl/>
      </w:rPr>
      <w:fldChar w:fldCharType="end"/>
    </w:r>
  </w:p>
  <w:p w14:paraId="4B806904" w14:textId="77777777" w:rsidR="00B92734" w:rsidRPr="009B27B8" w:rsidRDefault="009B27B8" w:rsidP="009B27B8">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9B27B8">
      <w:rPr>
        <w:rStyle w:val="a8"/>
        <w:rFonts w:ascii="FrankRuehl" w:hAnsi="FrankRuehl" w:cs="FrankRuehl" w:hint="cs"/>
        <w:color w:val="000000"/>
      </w:rPr>
      <w:pict w14:anchorId="270BDE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9143B1" w14:textId="77777777" w:rsidR="00953052" w:rsidRDefault="00953052" w:rsidP="00412B0F">
      <w:r>
        <w:separator/>
      </w:r>
    </w:p>
  </w:footnote>
  <w:footnote w:type="continuationSeparator" w:id="0">
    <w:p w14:paraId="0878E78E" w14:textId="77777777" w:rsidR="00953052" w:rsidRDefault="00953052" w:rsidP="00412B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04F59" w14:textId="77777777" w:rsidR="00FB2F19" w:rsidRPr="009B27B8" w:rsidRDefault="009B27B8" w:rsidP="009B27B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60805-07-19</w:t>
    </w:r>
    <w:r>
      <w:rPr>
        <w:rFonts w:ascii="David" w:hAnsi="David"/>
        <w:color w:val="000000"/>
        <w:sz w:val="22"/>
        <w:szCs w:val="22"/>
        <w:rtl/>
      </w:rPr>
      <w:tab/>
      <w:t xml:space="preserve"> מדינת ישראל  נ' חמזה ג'בר אלקאדי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ADB7C" w14:textId="77777777" w:rsidR="00FB2F19" w:rsidRPr="009B27B8" w:rsidRDefault="009B27B8" w:rsidP="009B27B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60805-07-19</w:t>
    </w:r>
    <w:r>
      <w:rPr>
        <w:rFonts w:ascii="David" w:hAnsi="David"/>
        <w:color w:val="000000"/>
        <w:sz w:val="22"/>
        <w:szCs w:val="22"/>
        <w:rtl/>
      </w:rPr>
      <w:tab/>
      <w:t xml:space="preserve"> מדינת ישראל  נ' חמזה ג'בר אלקאדי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D6B48"/>
    <w:rsid w:val="001F1353"/>
    <w:rsid w:val="00347DA1"/>
    <w:rsid w:val="00396700"/>
    <w:rsid w:val="00412B0F"/>
    <w:rsid w:val="00953052"/>
    <w:rsid w:val="009A55B0"/>
    <w:rsid w:val="009B27B8"/>
    <w:rsid w:val="00B92734"/>
    <w:rsid w:val="00CB63BD"/>
    <w:rsid w:val="00ED6B48"/>
    <w:rsid w:val="00FB2F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BBA1140"/>
  <w15:chartTrackingRefBased/>
  <w15:docId w15:val="{73C8EA4C-7241-4852-8DD5-72B41465F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D6B48"/>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D6B48"/>
    <w:pPr>
      <w:tabs>
        <w:tab w:val="center" w:pos="4153"/>
        <w:tab w:val="right" w:pos="8306"/>
      </w:tabs>
    </w:pPr>
  </w:style>
  <w:style w:type="character" w:customStyle="1" w:styleId="a4">
    <w:name w:val="כותרת עליונה תו"/>
    <w:link w:val="a3"/>
    <w:rsid w:val="00ED6B48"/>
    <w:rPr>
      <w:rFonts w:ascii="Times New Roman" w:eastAsia="Times New Roman" w:hAnsi="Times New Roman" w:cs="David"/>
      <w:noProof/>
      <w:sz w:val="24"/>
      <w:szCs w:val="24"/>
    </w:rPr>
  </w:style>
  <w:style w:type="paragraph" w:styleId="a5">
    <w:name w:val="footer"/>
    <w:basedOn w:val="a"/>
    <w:link w:val="a6"/>
    <w:rsid w:val="00ED6B48"/>
    <w:pPr>
      <w:tabs>
        <w:tab w:val="center" w:pos="4153"/>
        <w:tab w:val="right" w:pos="8306"/>
      </w:tabs>
    </w:pPr>
  </w:style>
  <w:style w:type="character" w:customStyle="1" w:styleId="a6">
    <w:name w:val="כותרת תחתונה תו"/>
    <w:link w:val="a5"/>
    <w:rsid w:val="00ED6B48"/>
    <w:rPr>
      <w:rFonts w:ascii="Times New Roman" w:eastAsia="Times New Roman" w:hAnsi="Times New Roman" w:cs="David"/>
      <w:noProof/>
      <w:sz w:val="24"/>
      <w:szCs w:val="24"/>
    </w:rPr>
  </w:style>
  <w:style w:type="table" w:styleId="a7">
    <w:name w:val="Table Grid"/>
    <w:basedOn w:val="a1"/>
    <w:rsid w:val="00ED6B4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D6B48"/>
  </w:style>
  <w:style w:type="character" w:styleId="a9">
    <w:name w:val="line number"/>
    <w:rsid w:val="00ED6B48"/>
  </w:style>
  <w:style w:type="character" w:styleId="Hyperlink">
    <w:name w:val="Hyperlink"/>
    <w:rsid w:val="00FB2F1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2112345" TargetMode="External"/><Relationship Id="rId26" Type="http://schemas.openxmlformats.org/officeDocument/2006/relationships/hyperlink" Target="http://www.nevo.co.il/case/25923515" TargetMode="External"/><Relationship Id="rId39" Type="http://schemas.openxmlformats.org/officeDocument/2006/relationships/footer" Target="footer1.xml"/><Relationship Id="rId21" Type="http://schemas.openxmlformats.org/officeDocument/2006/relationships/hyperlink" Target="http://www.nevo.co.il/case/7791493" TargetMode="External"/><Relationship Id="rId34" Type="http://schemas.openxmlformats.org/officeDocument/2006/relationships/hyperlink" Target="http://www.nevo.co.il/law/70301" TargetMode="External"/><Relationship Id="rId42"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ettings" Target="settings.xml"/><Relationship Id="rId16" Type="http://schemas.openxmlformats.org/officeDocument/2006/relationships/hyperlink" Target="http://www.nevo.co.il/case/5852404" TargetMode="External"/><Relationship Id="rId20" Type="http://schemas.openxmlformats.org/officeDocument/2006/relationships/hyperlink" Target="http://www.nevo.co.il/case/22607175" TargetMode="External"/><Relationship Id="rId29" Type="http://schemas.openxmlformats.org/officeDocument/2006/relationships/hyperlink" Target="http://www.nevo.co.il/case/25526059"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case/25898057" TargetMode="External"/><Relationship Id="rId11" Type="http://schemas.openxmlformats.org/officeDocument/2006/relationships/hyperlink" Target="http://www.nevo.co.il/law/70301/186" TargetMode="External"/><Relationship Id="rId24" Type="http://schemas.openxmlformats.org/officeDocument/2006/relationships/hyperlink" Target="http://www.nevo.co.il/case/21778276" TargetMode="External"/><Relationship Id="rId32" Type="http://schemas.openxmlformats.org/officeDocument/2006/relationships/hyperlink" Target="http://www.nevo.co.il/law/70301"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case/7791493"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3588441"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case/22001830" TargetMode="External"/><Relationship Id="rId31" Type="http://schemas.openxmlformats.org/officeDocument/2006/relationships/hyperlink" Target="http://www.nevo.co.il/law/70301/144" TargetMode="Externa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case/16913730" TargetMode="External"/><Relationship Id="rId22" Type="http://schemas.openxmlformats.org/officeDocument/2006/relationships/hyperlink" Target="http://www.nevo.co.il/law/70301/144.b" TargetMode="External"/><Relationship Id="rId27" Type="http://schemas.openxmlformats.org/officeDocument/2006/relationships/hyperlink" Target="http://www.nevo.co.il/case/21303448" TargetMode="External"/><Relationship Id="rId30" Type="http://schemas.openxmlformats.org/officeDocument/2006/relationships/hyperlink" Target="http://www.nevo.co.il/case/21567481" TargetMode="External"/><Relationship Id="rId35" Type="http://schemas.openxmlformats.org/officeDocument/2006/relationships/hyperlink" Target="http://www.nevo.co.il/law/70301/186" TargetMode="External"/><Relationship Id="rId8" Type="http://schemas.openxmlformats.org/officeDocument/2006/relationships/hyperlink" Target="http://www.nevo.co.il/law/70301/144" TargetMode="External"/><Relationship Id="rId3" Type="http://schemas.openxmlformats.org/officeDocument/2006/relationships/webSettings" Target="webSettings.xml"/><Relationship Id="rId12" Type="http://schemas.openxmlformats.org/officeDocument/2006/relationships/hyperlink" Target="http://www.nevo.co.il/law/70301/144.a" TargetMode="External"/><Relationship Id="rId17" Type="http://schemas.openxmlformats.org/officeDocument/2006/relationships/hyperlink" Target="http://www.nevo.co.il/case/6000182" TargetMode="External"/><Relationship Id="rId25" Type="http://schemas.openxmlformats.org/officeDocument/2006/relationships/hyperlink" Target="http://www.nevo.co.il/case/25623200" TargetMode="External"/><Relationship Id="rId33" Type="http://schemas.openxmlformats.org/officeDocument/2006/relationships/hyperlink" Target="http://www.nevo.co.il/law/70301/144"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2877</Words>
  <Characters>14388</Characters>
  <Application>Microsoft Office Word</Application>
  <DocSecurity>0</DocSecurity>
  <Lines>119</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17231</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7143524</vt:i4>
      </vt:variant>
      <vt:variant>
        <vt:i4>87</vt:i4>
      </vt:variant>
      <vt:variant>
        <vt:i4>0</vt:i4>
      </vt:variant>
      <vt:variant>
        <vt:i4>5</vt:i4>
      </vt:variant>
      <vt:variant>
        <vt:lpwstr>http://www.nevo.co.il/law/70301/186</vt:lpwstr>
      </vt:variant>
      <vt:variant>
        <vt:lpwstr/>
      </vt:variant>
      <vt:variant>
        <vt:i4>7995492</vt:i4>
      </vt:variant>
      <vt:variant>
        <vt:i4>84</vt:i4>
      </vt:variant>
      <vt:variant>
        <vt:i4>0</vt:i4>
      </vt:variant>
      <vt:variant>
        <vt:i4>5</vt:i4>
      </vt:variant>
      <vt:variant>
        <vt:lpwstr>http://www.nevo.co.il/law/70301</vt:lpwstr>
      </vt:variant>
      <vt:variant>
        <vt:lpwstr/>
      </vt:variant>
      <vt:variant>
        <vt:i4>6357092</vt:i4>
      </vt:variant>
      <vt:variant>
        <vt:i4>81</vt:i4>
      </vt:variant>
      <vt:variant>
        <vt:i4>0</vt:i4>
      </vt:variant>
      <vt:variant>
        <vt:i4>5</vt:i4>
      </vt:variant>
      <vt:variant>
        <vt:lpwstr>http://www.nevo.co.il/law/70301/144</vt:lpwstr>
      </vt:variant>
      <vt:variant>
        <vt:lpwstr/>
      </vt:variant>
      <vt:variant>
        <vt:i4>7995492</vt:i4>
      </vt:variant>
      <vt:variant>
        <vt:i4>78</vt:i4>
      </vt:variant>
      <vt:variant>
        <vt:i4>0</vt:i4>
      </vt:variant>
      <vt:variant>
        <vt:i4>5</vt:i4>
      </vt:variant>
      <vt:variant>
        <vt:lpwstr>http://www.nevo.co.il/law/70301</vt:lpwstr>
      </vt:variant>
      <vt:variant>
        <vt:lpwstr/>
      </vt:variant>
      <vt:variant>
        <vt:i4>6357092</vt:i4>
      </vt:variant>
      <vt:variant>
        <vt:i4>75</vt:i4>
      </vt:variant>
      <vt:variant>
        <vt:i4>0</vt:i4>
      </vt:variant>
      <vt:variant>
        <vt:i4>5</vt:i4>
      </vt:variant>
      <vt:variant>
        <vt:lpwstr>http://www.nevo.co.il/law/70301/144</vt:lpwstr>
      </vt:variant>
      <vt:variant>
        <vt:lpwstr/>
      </vt:variant>
      <vt:variant>
        <vt:i4>3670135</vt:i4>
      </vt:variant>
      <vt:variant>
        <vt:i4>72</vt:i4>
      </vt:variant>
      <vt:variant>
        <vt:i4>0</vt:i4>
      </vt:variant>
      <vt:variant>
        <vt:i4>5</vt:i4>
      </vt:variant>
      <vt:variant>
        <vt:lpwstr>http://www.nevo.co.il/case/21567481</vt:lpwstr>
      </vt:variant>
      <vt:variant>
        <vt:lpwstr/>
      </vt:variant>
      <vt:variant>
        <vt:i4>3407987</vt:i4>
      </vt:variant>
      <vt:variant>
        <vt:i4>69</vt:i4>
      </vt:variant>
      <vt:variant>
        <vt:i4>0</vt:i4>
      </vt:variant>
      <vt:variant>
        <vt:i4>5</vt:i4>
      </vt:variant>
      <vt:variant>
        <vt:lpwstr>http://www.nevo.co.il/case/25526059</vt:lpwstr>
      </vt:variant>
      <vt:variant>
        <vt:lpwstr/>
      </vt:variant>
      <vt:variant>
        <vt:i4>3866747</vt:i4>
      </vt:variant>
      <vt:variant>
        <vt:i4>66</vt:i4>
      </vt:variant>
      <vt:variant>
        <vt:i4>0</vt:i4>
      </vt:variant>
      <vt:variant>
        <vt:i4>5</vt:i4>
      </vt:variant>
      <vt:variant>
        <vt:lpwstr>http://www.nevo.co.il/case/23588441</vt:lpwstr>
      </vt:variant>
      <vt:variant>
        <vt:lpwstr/>
      </vt:variant>
      <vt:variant>
        <vt:i4>3539057</vt:i4>
      </vt:variant>
      <vt:variant>
        <vt:i4>63</vt:i4>
      </vt:variant>
      <vt:variant>
        <vt:i4>0</vt:i4>
      </vt:variant>
      <vt:variant>
        <vt:i4>5</vt:i4>
      </vt:variant>
      <vt:variant>
        <vt:lpwstr>http://www.nevo.co.il/case/21303448</vt:lpwstr>
      </vt:variant>
      <vt:variant>
        <vt:lpwstr/>
      </vt:variant>
      <vt:variant>
        <vt:i4>3735670</vt:i4>
      </vt:variant>
      <vt:variant>
        <vt:i4>60</vt:i4>
      </vt:variant>
      <vt:variant>
        <vt:i4>0</vt:i4>
      </vt:variant>
      <vt:variant>
        <vt:i4>5</vt:i4>
      </vt:variant>
      <vt:variant>
        <vt:lpwstr>http://www.nevo.co.il/case/25923515</vt:lpwstr>
      </vt:variant>
      <vt:variant>
        <vt:lpwstr/>
      </vt:variant>
      <vt:variant>
        <vt:i4>3604593</vt:i4>
      </vt:variant>
      <vt:variant>
        <vt:i4>57</vt:i4>
      </vt:variant>
      <vt:variant>
        <vt:i4>0</vt:i4>
      </vt:variant>
      <vt:variant>
        <vt:i4>5</vt:i4>
      </vt:variant>
      <vt:variant>
        <vt:lpwstr>http://www.nevo.co.il/case/25623200</vt:lpwstr>
      </vt:variant>
      <vt:variant>
        <vt:lpwstr/>
      </vt:variant>
      <vt:variant>
        <vt:i4>3801200</vt:i4>
      </vt:variant>
      <vt:variant>
        <vt:i4>54</vt:i4>
      </vt:variant>
      <vt:variant>
        <vt:i4>0</vt:i4>
      </vt:variant>
      <vt:variant>
        <vt:i4>5</vt:i4>
      </vt:variant>
      <vt:variant>
        <vt:lpwstr>http://www.nevo.co.il/case/21778276</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3735675</vt:i4>
      </vt:variant>
      <vt:variant>
        <vt:i4>45</vt:i4>
      </vt:variant>
      <vt:variant>
        <vt:i4>0</vt:i4>
      </vt:variant>
      <vt:variant>
        <vt:i4>5</vt:i4>
      </vt:variant>
      <vt:variant>
        <vt:lpwstr>http://www.nevo.co.il/case/7791493</vt:lpwstr>
      </vt:variant>
      <vt:variant>
        <vt:lpwstr/>
      </vt:variant>
      <vt:variant>
        <vt:i4>3407991</vt:i4>
      </vt:variant>
      <vt:variant>
        <vt:i4>42</vt:i4>
      </vt:variant>
      <vt:variant>
        <vt:i4>0</vt:i4>
      </vt:variant>
      <vt:variant>
        <vt:i4>5</vt:i4>
      </vt:variant>
      <vt:variant>
        <vt:lpwstr>http://www.nevo.co.il/case/22607175</vt:lpwstr>
      </vt:variant>
      <vt:variant>
        <vt:lpwstr/>
      </vt:variant>
      <vt:variant>
        <vt:i4>3145854</vt:i4>
      </vt:variant>
      <vt:variant>
        <vt:i4>39</vt:i4>
      </vt:variant>
      <vt:variant>
        <vt:i4>0</vt:i4>
      </vt:variant>
      <vt:variant>
        <vt:i4>5</vt:i4>
      </vt:variant>
      <vt:variant>
        <vt:lpwstr>http://www.nevo.co.il/case/22001830</vt:lpwstr>
      </vt:variant>
      <vt:variant>
        <vt:lpwstr/>
      </vt:variant>
      <vt:variant>
        <vt:i4>3473524</vt:i4>
      </vt:variant>
      <vt:variant>
        <vt:i4>36</vt:i4>
      </vt:variant>
      <vt:variant>
        <vt:i4>0</vt:i4>
      </vt:variant>
      <vt:variant>
        <vt:i4>5</vt:i4>
      </vt:variant>
      <vt:variant>
        <vt:lpwstr>http://www.nevo.co.il/case/22112345</vt:lpwstr>
      </vt:variant>
      <vt:variant>
        <vt:lpwstr/>
      </vt:variant>
      <vt:variant>
        <vt:i4>3473532</vt:i4>
      </vt:variant>
      <vt:variant>
        <vt:i4>33</vt:i4>
      </vt:variant>
      <vt:variant>
        <vt:i4>0</vt:i4>
      </vt:variant>
      <vt:variant>
        <vt:i4>5</vt:i4>
      </vt:variant>
      <vt:variant>
        <vt:lpwstr>http://www.nevo.co.il/case/6000182</vt:lpwstr>
      </vt:variant>
      <vt:variant>
        <vt:lpwstr/>
      </vt:variant>
      <vt:variant>
        <vt:i4>3145854</vt:i4>
      </vt:variant>
      <vt:variant>
        <vt:i4>30</vt:i4>
      </vt:variant>
      <vt:variant>
        <vt:i4>0</vt:i4>
      </vt:variant>
      <vt:variant>
        <vt:i4>5</vt:i4>
      </vt:variant>
      <vt:variant>
        <vt:lpwstr>http://www.nevo.co.il/case/5852404</vt:lpwstr>
      </vt:variant>
      <vt:variant>
        <vt:lpwstr/>
      </vt:variant>
      <vt:variant>
        <vt:i4>3735675</vt:i4>
      </vt:variant>
      <vt:variant>
        <vt:i4>27</vt:i4>
      </vt:variant>
      <vt:variant>
        <vt:i4>0</vt:i4>
      </vt:variant>
      <vt:variant>
        <vt:i4>5</vt:i4>
      </vt:variant>
      <vt:variant>
        <vt:lpwstr>http://www.nevo.co.il/case/7791493</vt:lpwstr>
      </vt:variant>
      <vt:variant>
        <vt:lpwstr/>
      </vt:variant>
      <vt:variant>
        <vt:i4>3670132</vt:i4>
      </vt:variant>
      <vt:variant>
        <vt:i4>24</vt:i4>
      </vt:variant>
      <vt:variant>
        <vt:i4>0</vt:i4>
      </vt:variant>
      <vt:variant>
        <vt:i4>5</vt:i4>
      </vt:variant>
      <vt:variant>
        <vt:lpwstr>http://www.nevo.co.il/case/16913730</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7143524</vt:i4>
      </vt:variant>
      <vt:variant>
        <vt:i4>15</vt:i4>
      </vt:variant>
      <vt:variant>
        <vt:i4>0</vt:i4>
      </vt:variant>
      <vt:variant>
        <vt:i4>5</vt:i4>
      </vt:variant>
      <vt:variant>
        <vt:lpwstr>http://www.nevo.co.il/law/70301/186</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7995492</vt:i4>
      </vt:variant>
      <vt:variant>
        <vt:i4>3</vt:i4>
      </vt:variant>
      <vt:variant>
        <vt:i4>0</vt:i4>
      </vt:variant>
      <vt:variant>
        <vt:i4>5</vt:i4>
      </vt:variant>
      <vt:variant>
        <vt:lpwstr>http://www.nevo.co.il/law/70301</vt:lpwstr>
      </vt:variant>
      <vt:variant>
        <vt:lpwstr/>
      </vt:variant>
      <vt:variant>
        <vt:i4>3604600</vt:i4>
      </vt:variant>
      <vt:variant>
        <vt:i4>0</vt:i4>
      </vt:variant>
      <vt:variant>
        <vt:i4>0</vt:i4>
      </vt:variant>
      <vt:variant>
        <vt:i4>5</vt:i4>
      </vt:variant>
      <vt:variant>
        <vt:lpwstr>http://www.nevo.co.il/case/25898057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2025-01-19T17:42:00Z</dcterms:created>
  <dcterms:modified xsi:type="dcterms:W3CDTF">2025-01-19T17:42:00Z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60805</vt:lpwstr>
  </property>
  <property fmtid="{D5CDD505-2E9C-101B-9397-08002B2CF9AE}" pid="6" name="NEWPARTB">
    <vt:lpwstr>07</vt:lpwstr>
  </property>
  <property fmtid="{D5CDD505-2E9C-101B-9397-08002B2CF9AE}" pid="7" name="NEWPARTC">
    <vt:lpwstr>19</vt:lpwstr>
  </property>
  <property fmtid="{D5CDD505-2E9C-101B-9397-08002B2CF9AE}" pid="8" name="APPELLANT">
    <vt:lpwstr>מדינת ישראל </vt:lpwstr>
  </property>
  <property fmtid="{D5CDD505-2E9C-101B-9397-08002B2CF9AE}" pid="9" name="APPELLEE">
    <vt:lpwstr>חמזה ג'בר אלקאדי</vt:lpwstr>
  </property>
  <property fmtid="{D5CDD505-2E9C-101B-9397-08002B2CF9AE}" pid="10" name="LAWYER">
    <vt:lpwstr>שקד סעדון;גיא זהבי</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20200202</vt:lpwstr>
  </property>
  <property fmtid="{D5CDD505-2E9C-101B-9397-08002B2CF9AE}" pid="14" name="TYPE_N_DATE">
    <vt:lpwstr>38020200202</vt:lpwstr>
  </property>
  <property fmtid="{D5CDD505-2E9C-101B-9397-08002B2CF9AE}" pid="15" name="CASESLISTTMP1">
    <vt:lpwstr>25898057;16913730;7791493:2;5852404;6000182;22112345;22001830;22607175;21778276;25623200;25923515;21303448;23588441;25526059;21567481</vt:lpwstr>
  </property>
  <property fmtid="{D5CDD505-2E9C-101B-9397-08002B2CF9AE}" pid="16" name="WORDNUMPAGES">
    <vt:lpwstr>10</vt:lpwstr>
  </property>
  <property fmtid="{D5CDD505-2E9C-101B-9397-08002B2CF9AE}" pid="17" name="TYPE_ABS_DATE">
    <vt:lpwstr>380020200202</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70301/144.a;144.b;144:2;186</vt:lpwstr>
  </property>
</Properties>
</file>