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347C4" w:rsidRPr="005021F5" w14:paraId="2D565B88" w14:textId="77777777" w:rsidTr="007625B7">
        <w:trPr>
          <w:trHeight w:hRule="exact" w:val="418"/>
          <w:jc w:val="center"/>
        </w:trPr>
        <w:tc>
          <w:tcPr>
            <w:tcW w:w="8721" w:type="dxa"/>
            <w:gridSpan w:val="2"/>
          </w:tcPr>
          <w:p w14:paraId="336E6646" w14:textId="77777777" w:rsidR="00A347C4" w:rsidRPr="005021F5" w:rsidRDefault="00A347C4" w:rsidP="00426CD9">
            <w:pPr>
              <w:pStyle w:val="a3"/>
              <w:jc w:val="center"/>
              <w:rPr>
                <w:rFonts w:ascii="Tahoma" w:hAnsi="Tahoma" w:cs="Tahoma"/>
                <w:color w:val="000080"/>
                <w:rtl/>
              </w:rPr>
            </w:pPr>
            <w:r w:rsidRPr="005021F5">
              <w:rPr>
                <w:rFonts w:ascii="Tahoma" w:hAnsi="Tahoma" w:cs="Tahoma"/>
                <w:b/>
                <w:bCs/>
                <w:color w:val="000080"/>
                <w:rtl/>
              </w:rPr>
              <w:t>בית משפט השלום בראשון לציון</w:t>
            </w:r>
          </w:p>
        </w:tc>
      </w:tr>
      <w:tr w:rsidR="00A347C4" w:rsidRPr="005021F5" w14:paraId="4C0E610F" w14:textId="77777777" w:rsidTr="007625B7">
        <w:trPr>
          <w:trHeight w:val="337"/>
          <w:jc w:val="center"/>
        </w:trPr>
        <w:tc>
          <w:tcPr>
            <w:tcW w:w="5058" w:type="dxa"/>
          </w:tcPr>
          <w:p w14:paraId="65022A8C" w14:textId="77777777" w:rsidR="00A347C4" w:rsidRPr="005021F5" w:rsidRDefault="00A347C4" w:rsidP="00426CD9">
            <w:pPr>
              <w:rPr>
                <w:rFonts w:cs="FrankRuehl"/>
                <w:sz w:val="28"/>
                <w:szCs w:val="28"/>
                <w:rtl/>
              </w:rPr>
            </w:pPr>
            <w:r w:rsidRPr="005021F5">
              <w:rPr>
                <w:rFonts w:cs="FrankRuehl"/>
                <w:sz w:val="28"/>
                <w:szCs w:val="28"/>
                <w:rtl/>
              </w:rPr>
              <w:t>ת"פ</w:t>
            </w:r>
            <w:r w:rsidRPr="005021F5">
              <w:rPr>
                <w:rFonts w:cs="FrankRuehl" w:hint="cs"/>
                <w:sz w:val="28"/>
                <w:szCs w:val="28"/>
                <w:rtl/>
              </w:rPr>
              <w:t xml:space="preserve"> </w:t>
            </w:r>
            <w:r w:rsidRPr="005021F5">
              <w:rPr>
                <w:rFonts w:cs="FrankRuehl"/>
                <w:sz w:val="28"/>
                <w:szCs w:val="28"/>
                <w:rtl/>
              </w:rPr>
              <w:t>2724-08-19</w:t>
            </w:r>
            <w:r w:rsidRPr="005021F5">
              <w:rPr>
                <w:rFonts w:cs="FrankRuehl" w:hint="cs"/>
                <w:sz w:val="28"/>
                <w:szCs w:val="28"/>
                <w:rtl/>
              </w:rPr>
              <w:t xml:space="preserve"> </w:t>
            </w:r>
            <w:r w:rsidRPr="005021F5">
              <w:rPr>
                <w:rFonts w:cs="FrankRuehl"/>
                <w:sz w:val="28"/>
                <w:szCs w:val="28"/>
                <w:rtl/>
              </w:rPr>
              <w:t>מדינת ישראל נ' סבאח(עציר) ואח'</w:t>
            </w:r>
          </w:p>
          <w:p w14:paraId="1F273B44" w14:textId="77777777" w:rsidR="00A347C4" w:rsidRPr="005021F5" w:rsidRDefault="00A347C4" w:rsidP="00426CD9">
            <w:pPr>
              <w:pStyle w:val="a3"/>
              <w:rPr>
                <w:rFonts w:cs="FrankRuehl"/>
                <w:sz w:val="28"/>
                <w:szCs w:val="28"/>
                <w:rtl/>
              </w:rPr>
            </w:pPr>
          </w:p>
        </w:tc>
        <w:tc>
          <w:tcPr>
            <w:tcW w:w="3663" w:type="dxa"/>
          </w:tcPr>
          <w:p w14:paraId="3F196397" w14:textId="77777777" w:rsidR="00A347C4" w:rsidRPr="005021F5" w:rsidRDefault="00A347C4" w:rsidP="00426CD9">
            <w:pPr>
              <w:pStyle w:val="a3"/>
              <w:jc w:val="right"/>
              <w:rPr>
                <w:rFonts w:cs="FrankRuehl"/>
                <w:sz w:val="28"/>
                <w:szCs w:val="28"/>
                <w:rtl/>
              </w:rPr>
            </w:pPr>
          </w:p>
        </w:tc>
      </w:tr>
    </w:tbl>
    <w:p w14:paraId="5EAE680B" w14:textId="77777777" w:rsidR="00A347C4" w:rsidRPr="005021F5" w:rsidRDefault="00A347C4" w:rsidP="00A347C4">
      <w:pPr>
        <w:pStyle w:val="a3"/>
        <w:rPr>
          <w:rtl/>
        </w:rPr>
      </w:pPr>
      <w:r w:rsidRPr="005021F5">
        <w:rPr>
          <w:rFonts w:hint="cs"/>
          <w:rtl/>
        </w:rPr>
        <w:t xml:space="preserve"> </w:t>
      </w:r>
    </w:p>
    <w:p w14:paraId="63DA67E7" w14:textId="77777777" w:rsidR="00A347C4" w:rsidRPr="005021F5" w:rsidRDefault="00A347C4" w:rsidP="00A347C4">
      <w:pPr>
        <w:rPr>
          <w:rtl/>
        </w:rPr>
      </w:pPr>
    </w:p>
    <w:p w14:paraId="4CD0F710" w14:textId="77777777" w:rsidR="00A347C4" w:rsidRPr="005021F5" w:rsidRDefault="00A347C4" w:rsidP="00A347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347C4" w:rsidRPr="005021F5" w14:paraId="67612E40" w14:textId="77777777" w:rsidTr="00A347C4">
        <w:trPr>
          <w:trHeight w:val="295"/>
          <w:jc w:val="center"/>
        </w:trPr>
        <w:tc>
          <w:tcPr>
            <w:tcW w:w="923" w:type="dxa"/>
            <w:tcBorders>
              <w:top w:val="nil"/>
              <w:left w:val="nil"/>
              <w:bottom w:val="nil"/>
              <w:right w:val="nil"/>
            </w:tcBorders>
            <w:shd w:val="clear" w:color="auto" w:fill="auto"/>
          </w:tcPr>
          <w:p w14:paraId="07A2FB1B" w14:textId="77777777" w:rsidR="00A347C4" w:rsidRPr="005021F5" w:rsidRDefault="00A347C4" w:rsidP="00A347C4">
            <w:pPr>
              <w:jc w:val="both"/>
              <w:rPr>
                <w:rFonts w:ascii="Arial" w:hAnsi="Arial" w:cs="FrankRuehl"/>
                <w:sz w:val="28"/>
                <w:szCs w:val="28"/>
              </w:rPr>
            </w:pPr>
            <w:r w:rsidRPr="005021F5">
              <w:rPr>
                <w:rFonts w:ascii="Arial" w:hAnsi="Arial" w:cs="FrankRuehl" w:hint="cs"/>
                <w:sz w:val="28"/>
                <w:szCs w:val="28"/>
                <w:rtl/>
              </w:rPr>
              <w:t>ב</w:t>
            </w:r>
            <w:r w:rsidRPr="005021F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287E991" w14:textId="77777777" w:rsidR="00A347C4" w:rsidRPr="005021F5" w:rsidRDefault="00A347C4" w:rsidP="00426CD9">
            <w:pPr>
              <w:rPr>
                <w:rFonts w:ascii="Arial" w:hAnsi="Arial"/>
                <w:b/>
                <w:bCs/>
                <w:rtl/>
              </w:rPr>
            </w:pPr>
            <w:r w:rsidRPr="005021F5">
              <w:rPr>
                <w:rFonts w:ascii="Arial" w:hAnsi="Arial" w:hint="cs"/>
                <w:b/>
                <w:bCs/>
                <w:rtl/>
              </w:rPr>
              <w:t>כבוד ה</w:t>
            </w:r>
            <w:r w:rsidRPr="005021F5">
              <w:rPr>
                <w:rFonts w:ascii="Arial" w:hAnsi="Arial"/>
                <w:b/>
                <w:bCs/>
                <w:rtl/>
              </w:rPr>
              <w:t>שופטת - נשיאה</w:t>
            </w:r>
            <w:r w:rsidRPr="005021F5">
              <w:rPr>
                <w:rFonts w:ascii="Arial" w:hAnsi="Arial" w:hint="cs"/>
                <w:b/>
                <w:bCs/>
                <w:rtl/>
              </w:rPr>
              <w:t xml:space="preserve">  </w:t>
            </w:r>
            <w:r w:rsidRPr="005021F5">
              <w:rPr>
                <w:rFonts w:ascii="Arial" w:hAnsi="Arial"/>
                <w:b/>
                <w:bCs/>
                <w:rtl/>
              </w:rPr>
              <w:t>עינת רון</w:t>
            </w:r>
          </w:p>
          <w:p w14:paraId="03182058" w14:textId="77777777" w:rsidR="00A347C4" w:rsidRPr="005021F5" w:rsidRDefault="00A347C4" w:rsidP="00426CD9">
            <w:pPr>
              <w:rPr>
                <w:rtl/>
              </w:rPr>
            </w:pPr>
          </w:p>
          <w:p w14:paraId="4F9D7A14" w14:textId="77777777" w:rsidR="00A347C4" w:rsidRPr="005021F5" w:rsidRDefault="00A347C4" w:rsidP="00A347C4">
            <w:pPr>
              <w:jc w:val="both"/>
              <w:rPr>
                <w:rFonts w:ascii="Arial" w:hAnsi="Arial" w:cs="FrankRuehl"/>
                <w:sz w:val="28"/>
                <w:szCs w:val="28"/>
              </w:rPr>
            </w:pPr>
          </w:p>
        </w:tc>
      </w:tr>
      <w:tr w:rsidR="00A347C4" w:rsidRPr="005021F5" w14:paraId="22C7E07D" w14:textId="77777777" w:rsidTr="00A347C4">
        <w:trPr>
          <w:trHeight w:val="355"/>
          <w:jc w:val="center"/>
        </w:trPr>
        <w:tc>
          <w:tcPr>
            <w:tcW w:w="923" w:type="dxa"/>
            <w:tcBorders>
              <w:top w:val="nil"/>
              <w:left w:val="nil"/>
              <w:bottom w:val="nil"/>
              <w:right w:val="nil"/>
            </w:tcBorders>
            <w:shd w:val="clear" w:color="auto" w:fill="auto"/>
          </w:tcPr>
          <w:p w14:paraId="16384E0E" w14:textId="77777777" w:rsidR="00A347C4" w:rsidRPr="005021F5" w:rsidRDefault="00A347C4" w:rsidP="00A347C4">
            <w:pPr>
              <w:jc w:val="both"/>
              <w:rPr>
                <w:rFonts w:ascii="Arial" w:hAnsi="Arial" w:cs="FrankRuehl"/>
                <w:sz w:val="28"/>
                <w:szCs w:val="28"/>
              </w:rPr>
            </w:pPr>
            <w:bookmarkStart w:id="0" w:name="FirstAppellant"/>
            <w:bookmarkStart w:id="1" w:name="LastJudge"/>
            <w:bookmarkEnd w:id="1"/>
            <w:r w:rsidRPr="005021F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9172BC8" w14:textId="77777777" w:rsidR="00A347C4" w:rsidRPr="005021F5" w:rsidRDefault="00A347C4" w:rsidP="00426CD9">
            <w:r w:rsidRPr="005021F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8F75013" w14:textId="77777777" w:rsidR="00A347C4" w:rsidRPr="005021F5" w:rsidRDefault="00A347C4" w:rsidP="00A347C4">
            <w:pPr>
              <w:jc w:val="both"/>
              <w:rPr>
                <w:rFonts w:ascii="Arial" w:hAnsi="Arial" w:cs="FrankRuehl"/>
                <w:sz w:val="28"/>
                <w:szCs w:val="28"/>
              </w:rPr>
            </w:pPr>
          </w:p>
        </w:tc>
      </w:tr>
      <w:bookmarkEnd w:id="0"/>
      <w:tr w:rsidR="00A347C4" w:rsidRPr="005021F5" w14:paraId="32F2BB4F" w14:textId="77777777" w:rsidTr="00A347C4">
        <w:trPr>
          <w:trHeight w:val="355"/>
          <w:jc w:val="center"/>
        </w:trPr>
        <w:tc>
          <w:tcPr>
            <w:tcW w:w="923" w:type="dxa"/>
            <w:tcBorders>
              <w:top w:val="nil"/>
              <w:left w:val="nil"/>
              <w:bottom w:val="nil"/>
              <w:right w:val="nil"/>
            </w:tcBorders>
            <w:shd w:val="clear" w:color="auto" w:fill="auto"/>
          </w:tcPr>
          <w:p w14:paraId="68FBF15A" w14:textId="77777777" w:rsidR="00A347C4" w:rsidRPr="005021F5" w:rsidRDefault="00A347C4" w:rsidP="00A347C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466F0A6" w14:textId="77777777" w:rsidR="00A347C4" w:rsidRPr="005021F5" w:rsidRDefault="00A347C4" w:rsidP="00A347C4">
            <w:pPr>
              <w:jc w:val="both"/>
              <w:rPr>
                <w:rtl/>
              </w:rPr>
            </w:pPr>
          </w:p>
        </w:tc>
        <w:tc>
          <w:tcPr>
            <w:tcW w:w="3771" w:type="dxa"/>
            <w:tcBorders>
              <w:top w:val="nil"/>
              <w:left w:val="nil"/>
              <w:bottom w:val="nil"/>
              <w:right w:val="nil"/>
            </w:tcBorders>
            <w:shd w:val="clear" w:color="auto" w:fill="auto"/>
          </w:tcPr>
          <w:p w14:paraId="1C2AD9D0" w14:textId="77777777" w:rsidR="00A347C4" w:rsidRPr="005021F5" w:rsidRDefault="00A347C4" w:rsidP="00A347C4">
            <w:pPr>
              <w:jc w:val="right"/>
              <w:rPr>
                <w:rFonts w:ascii="Arial" w:hAnsi="Arial" w:cs="FrankRuehl"/>
                <w:sz w:val="28"/>
                <w:szCs w:val="28"/>
                <w:rtl/>
              </w:rPr>
            </w:pPr>
            <w:r w:rsidRPr="005021F5">
              <w:rPr>
                <w:rFonts w:ascii="Arial" w:hAnsi="Arial" w:cs="FrankRuehl" w:hint="cs"/>
                <w:sz w:val="28"/>
                <w:szCs w:val="28"/>
                <w:rtl/>
              </w:rPr>
              <w:t>ה</w:t>
            </w:r>
            <w:r w:rsidRPr="005021F5">
              <w:rPr>
                <w:rFonts w:ascii="Arial" w:hAnsi="Arial" w:cs="FrankRuehl"/>
                <w:sz w:val="28"/>
                <w:szCs w:val="28"/>
                <w:rtl/>
              </w:rPr>
              <w:t>מאשימה</w:t>
            </w:r>
          </w:p>
        </w:tc>
      </w:tr>
      <w:tr w:rsidR="00A347C4" w:rsidRPr="005021F5" w14:paraId="1BCF5431" w14:textId="77777777" w:rsidTr="00A347C4">
        <w:trPr>
          <w:trHeight w:val="355"/>
          <w:jc w:val="center"/>
        </w:trPr>
        <w:tc>
          <w:tcPr>
            <w:tcW w:w="923" w:type="dxa"/>
            <w:tcBorders>
              <w:top w:val="nil"/>
              <w:left w:val="nil"/>
              <w:bottom w:val="nil"/>
              <w:right w:val="nil"/>
            </w:tcBorders>
            <w:shd w:val="clear" w:color="auto" w:fill="auto"/>
          </w:tcPr>
          <w:p w14:paraId="250888C3" w14:textId="77777777" w:rsidR="00A347C4" w:rsidRPr="005021F5" w:rsidRDefault="00A347C4" w:rsidP="00A347C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3736A1E" w14:textId="77777777" w:rsidR="00A347C4" w:rsidRPr="005021F5" w:rsidRDefault="00A347C4" w:rsidP="00A347C4">
            <w:pPr>
              <w:jc w:val="center"/>
              <w:rPr>
                <w:rFonts w:ascii="Arial" w:hAnsi="Arial" w:cs="FrankRuehl"/>
                <w:b/>
                <w:bCs/>
                <w:sz w:val="28"/>
                <w:szCs w:val="28"/>
                <w:rtl/>
              </w:rPr>
            </w:pPr>
          </w:p>
          <w:p w14:paraId="0DBAF378" w14:textId="77777777" w:rsidR="00A347C4" w:rsidRPr="005021F5" w:rsidRDefault="00A347C4" w:rsidP="00A347C4">
            <w:pPr>
              <w:jc w:val="center"/>
              <w:rPr>
                <w:rFonts w:ascii="Arial" w:hAnsi="Arial" w:cs="FrankRuehl"/>
                <w:b/>
                <w:bCs/>
                <w:sz w:val="28"/>
                <w:szCs w:val="28"/>
                <w:rtl/>
              </w:rPr>
            </w:pPr>
            <w:r w:rsidRPr="005021F5">
              <w:rPr>
                <w:rFonts w:ascii="Arial" w:hAnsi="Arial" w:cs="FrankRuehl"/>
                <w:b/>
                <w:bCs/>
                <w:sz w:val="28"/>
                <w:szCs w:val="28"/>
                <w:rtl/>
              </w:rPr>
              <w:t>נגד</w:t>
            </w:r>
          </w:p>
          <w:p w14:paraId="581AEBA7" w14:textId="77777777" w:rsidR="00A347C4" w:rsidRPr="005021F5" w:rsidRDefault="00A347C4" w:rsidP="00A347C4">
            <w:pPr>
              <w:jc w:val="both"/>
              <w:rPr>
                <w:rFonts w:ascii="Arial" w:hAnsi="Arial" w:cs="FrankRuehl"/>
                <w:sz w:val="28"/>
                <w:szCs w:val="28"/>
              </w:rPr>
            </w:pPr>
          </w:p>
        </w:tc>
      </w:tr>
      <w:tr w:rsidR="00A347C4" w:rsidRPr="005021F5" w14:paraId="77C2A44B" w14:textId="77777777" w:rsidTr="00A347C4">
        <w:trPr>
          <w:trHeight w:val="355"/>
          <w:jc w:val="center"/>
        </w:trPr>
        <w:tc>
          <w:tcPr>
            <w:tcW w:w="923" w:type="dxa"/>
            <w:tcBorders>
              <w:top w:val="nil"/>
              <w:left w:val="nil"/>
              <w:bottom w:val="nil"/>
              <w:right w:val="nil"/>
            </w:tcBorders>
            <w:shd w:val="clear" w:color="auto" w:fill="auto"/>
          </w:tcPr>
          <w:p w14:paraId="7BDD8C33" w14:textId="77777777" w:rsidR="00A347C4" w:rsidRPr="005021F5" w:rsidRDefault="00A347C4" w:rsidP="00426CD9">
            <w:pPr>
              <w:rPr>
                <w:rFonts w:ascii="Arial" w:hAnsi="Arial" w:cs="FrankRuehl"/>
                <w:sz w:val="28"/>
                <w:szCs w:val="28"/>
                <w:rtl/>
              </w:rPr>
            </w:pPr>
          </w:p>
        </w:tc>
        <w:tc>
          <w:tcPr>
            <w:tcW w:w="4126" w:type="dxa"/>
            <w:tcBorders>
              <w:top w:val="nil"/>
              <w:left w:val="nil"/>
              <w:bottom w:val="nil"/>
              <w:right w:val="nil"/>
            </w:tcBorders>
            <w:shd w:val="clear" w:color="auto" w:fill="auto"/>
          </w:tcPr>
          <w:p w14:paraId="7D588DC4" w14:textId="77777777" w:rsidR="00A347C4" w:rsidRPr="005021F5" w:rsidRDefault="00A347C4" w:rsidP="00426CD9">
            <w:pPr>
              <w:rPr>
                <w:rtl/>
              </w:rPr>
            </w:pPr>
            <w:r w:rsidRPr="005021F5">
              <w:rPr>
                <w:rFonts w:ascii="Arial" w:hAnsi="Arial" w:cs="FrankRuehl"/>
                <w:sz w:val="28"/>
                <w:szCs w:val="28"/>
                <w:rtl/>
              </w:rPr>
              <w:t>1</w:t>
            </w:r>
            <w:r w:rsidRPr="005021F5">
              <w:rPr>
                <w:rFonts w:ascii="Arial" w:hAnsi="Arial" w:cs="FrankRuehl" w:hint="cs"/>
                <w:sz w:val="28"/>
                <w:szCs w:val="28"/>
                <w:rtl/>
              </w:rPr>
              <w:t>.</w:t>
            </w:r>
            <w:r w:rsidRPr="005021F5">
              <w:rPr>
                <w:rFonts w:ascii="Arial" w:hAnsi="Arial" w:cs="FrankRuehl"/>
                <w:sz w:val="28"/>
                <w:szCs w:val="28"/>
                <w:rtl/>
              </w:rPr>
              <w:t xml:space="preserve">מוחמד פריג' </w:t>
            </w:r>
          </w:p>
          <w:p w14:paraId="4943812D" w14:textId="77777777" w:rsidR="00A347C4" w:rsidRPr="005021F5" w:rsidRDefault="00A347C4" w:rsidP="00426CD9">
            <w:pPr>
              <w:rPr>
                <w:rtl/>
              </w:rPr>
            </w:pPr>
            <w:r w:rsidRPr="005021F5">
              <w:rPr>
                <w:rtl/>
              </w:rPr>
              <w:t xml:space="preserve">     </w:t>
            </w:r>
          </w:p>
        </w:tc>
        <w:tc>
          <w:tcPr>
            <w:tcW w:w="3771" w:type="dxa"/>
            <w:tcBorders>
              <w:top w:val="nil"/>
              <w:left w:val="nil"/>
              <w:bottom w:val="nil"/>
              <w:right w:val="nil"/>
            </w:tcBorders>
            <w:shd w:val="clear" w:color="auto" w:fill="auto"/>
          </w:tcPr>
          <w:p w14:paraId="3DBF879F" w14:textId="77777777" w:rsidR="00A347C4" w:rsidRPr="005021F5" w:rsidRDefault="00A347C4" w:rsidP="00A347C4">
            <w:pPr>
              <w:jc w:val="right"/>
              <w:rPr>
                <w:rFonts w:ascii="Arial" w:hAnsi="Arial" w:cs="FrankRuehl"/>
                <w:sz w:val="28"/>
                <w:szCs w:val="28"/>
              </w:rPr>
            </w:pPr>
          </w:p>
        </w:tc>
      </w:tr>
      <w:tr w:rsidR="00A347C4" w:rsidRPr="005021F5" w14:paraId="78D572D1" w14:textId="77777777" w:rsidTr="00A347C4">
        <w:trPr>
          <w:trHeight w:val="355"/>
          <w:jc w:val="center"/>
        </w:trPr>
        <w:tc>
          <w:tcPr>
            <w:tcW w:w="923" w:type="dxa"/>
            <w:tcBorders>
              <w:top w:val="nil"/>
              <w:left w:val="nil"/>
              <w:bottom w:val="nil"/>
              <w:right w:val="nil"/>
            </w:tcBorders>
            <w:shd w:val="clear" w:color="auto" w:fill="auto"/>
          </w:tcPr>
          <w:p w14:paraId="0125C0AB" w14:textId="77777777" w:rsidR="00A347C4" w:rsidRPr="005021F5" w:rsidRDefault="00A347C4" w:rsidP="00A347C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5D177F" w14:textId="77777777" w:rsidR="00A347C4" w:rsidRPr="005021F5" w:rsidRDefault="00A347C4" w:rsidP="00A347C4">
            <w:pPr>
              <w:jc w:val="both"/>
              <w:rPr>
                <w:rtl/>
              </w:rPr>
            </w:pPr>
          </w:p>
        </w:tc>
        <w:tc>
          <w:tcPr>
            <w:tcW w:w="3771" w:type="dxa"/>
            <w:tcBorders>
              <w:top w:val="nil"/>
              <w:left w:val="nil"/>
              <w:bottom w:val="nil"/>
              <w:right w:val="nil"/>
            </w:tcBorders>
            <w:shd w:val="clear" w:color="auto" w:fill="auto"/>
          </w:tcPr>
          <w:p w14:paraId="2E5B1F88" w14:textId="77777777" w:rsidR="00A347C4" w:rsidRPr="005021F5" w:rsidRDefault="00A347C4" w:rsidP="00A347C4">
            <w:pPr>
              <w:jc w:val="right"/>
              <w:rPr>
                <w:rFonts w:ascii="Arial" w:hAnsi="Arial" w:cs="FrankRuehl"/>
                <w:sz w:val="28"/>
                <w:szCs w:val="28"/>
              </w:rPr>
            </w:pPr>
            <w:r w:rsidRPr="005021F5">
              <w:rPr>
                <w:rFonts w:ascii="Arial" w:hAnsi="Arial" w:cs="FrankRuehl" w:hint="cs"/>
                <w:sz w:val="28"/>
                <w:szCs w:val="28"/>
                <w:rtl/>
              </w:rPr>
              <w:t>ה</w:t>
            </w:r>
            <w:r w:rsidRPr="005021F5">
              <w:rPr>
                <w:rFonts w:ascii="Arial" w:hAnsi="Arial" w:cs="FrankRuehl"/>
                <w:sz w:val="28"/>
                <w:szCs w:val="28"/>
                <w:rtl/>
              </w:rPr>
              <w:t>נאשם</w:t>
            </w:r>
          </w:p>
        </w:tc>
      </w:tr>
    </w:tbl>
    <w:p w14:paraId="2FA2AC48" w14:textId="77777777" w:rsidR="00A347C4" w:rsidRPr="005021F5" w:rsidRDefault="00A347C4" w:rsidP="00A347C4">
      <w:pPr>
        <w:rPr>
          <w:rtl/>
        </w:rPr>
      </w:pPr>
    </w:p>
    <w:p w14:paraId="0EB81B0E" w14:textId="77777777" w:rsidR="00A347C4" w:rsidRPr="005021F5" w:rsidRDefault="00A347C4" w:rsidP="00A347C4">
      <w:pPr>
        <w:rPr>
          <w:b/>
          <w:bCs/>
          <w:rtl/>
        </w:rPr>
      </w:pPr>
      <w:r w:rsidRPr="005021F5">
        <w:rPr>
          <w:rFonts w:hint="cs"/>
          <w:b/>
          <w:bCs/>
          <w:rtl/>
        </w:rPr>
        <w:t>נוכחים:</w:t>
      </w:r>
    </w:p>
    <w:p w14:paraId="47F293D8" w14:textId="77777777" w:rsidR="00A347C4" w:rsidRPr="005021F5" w:rsidRDefault="00A347C4" w:rsidP="00A347C4">
      <w:pPr>
        <w:rPr>
          <w:b/>
          <w:bCs/>
          <w:rtl/>
        </w:rPr>
      </w:pPr>
      <w:bookmarkStart w:id="2" w:name="FirstLawyer"/>
      <w:r w:rsidRPr="005021F5">
        <w:rPr>
          <w:rFonts w:hint="cs"/>
          <w:b/>
          <w:bCs/>
          <w:rtl/>
        </w:rPr>
        <w:t>ב"כ</w:t>
      </w:r>
      <w:bookmarkEnd w:id="2"/>
      <w:r w:rsidRPr="005021F5">
        <w:rPr>
          <w:rFonts w:hint="cs"/>
          <w:b/>
          <w:bCs/>
          <w:rtl/>
        </w:rPr>
        <w:t xml:space="preserve"> המאשימה עו"ד סיון דוק</w:t>
      </w:r>
    </w:p>
    <w:p w14:paraId="401EA24E" w14:textId="77777777" w:rsidR="00A347C4" w:rsidRPr="005021F5" w:rsidRDefault="00A347C4" w:rsidP="00A347C4">
      <w:pPr>
        <w:rPr>
          <w:b/>
          <w:bCs/>
          <w:rtl/>
        </w:rPr>
      </w:pPr>
      <w:r w:rsidRPr="005021F5">
        <w:rPr>
          <w:rFonts w:hint="cs"/>
          <w:b/>
          <w:bCs/>
          <w:rtl/>
        </w:rPr>
        <w:t>ב"כ הנאשם עו"ד וואליד כבוב</w:t>
      </w:r>
    </w:p>
    <w:p w14:paraId="72456632" w14:textId="77777777" w:rsidR="00A347C4" w:rsidRPr="005021F5" w:rsidRDefault="00A347C4" w:rsidP="00A347C4">
      <w:pPr>
        <w:rPr>
          <w:b/>
          <w:bCs/>
          <w:rtl/>
        </w:rPr>
      </w:pPr>
      <w:r w:rsidRPr="005021F5">
        <w:rPr>
          <w:rFonts w:hint="cs"/>
          <w:b/>
          <w:bCs/>
          <w:rtl/>
        </w:rPr>
        <w:t>הנאשם הובא באמצעות שב"ס</w:t>
      </w:r>
    </w:p>
    <w:p w14:paraId="6B6E8086" w14:textId="77777777" w:rsidR="00A347C4" w:rsidRPr="005021F5" w:rsidRDefault="00A347C4" w:rsidP="00A347C4">
      <w:pPr>
        <w:rPr>
          <w:rtl/>
        </w:rPr>
      </w:pPr>
    </w:p>
    <w:p w14:paraId="09459855" w14:textId="77777777" w:rsidR="005021F5" w:rsidRPr="005021F5" w:rsidRDefault="005021F5" w:rsidP="005021F5">
      <w:pPr>
        <w:spacing w:after="120" w:line="240" w:lineRule="exact"/>
        <w:ind w:left="283" w:hanging="283"/>
        <w:jc w:val="both"/>
        <w:rPr>
          <w:rFonts w:ascii="FrankRuehl" w:hAnsi="FrankRuehl" w:cs="FrankRuehl"/>
          <w:rtl/>
        </w:rPr>
      </w:pPr>
    </w:p>
    <w:p w14:paraId="4DF1ADE6" w14:textId="77777777" w:rsidR="005021F5" w:rsidRPr="005021F5" w:rsidRDefault="005021F5" w:rsidP="005021F5">
      <w:pPr>
        <w:rPr>
          <w:rtl/>
        </w:rPr>
      </w:pPr>
    </w:p>
    <w:p w14:paraId="4BA93329" w14:textId="77777777" w:rsidR="007625B7" w:rsidRPr="007625B7" w:rsidRDefault="007625B7" w:rsidP="007625B7">
      <w:pPr>
        <w:spacing w:before="120" w:after="120" w:line="240" w:lineRule="exact"/>
        <w:ind w:left="283" w:hanging="283"/>
        <w:jc w:val="both"/>
        <w:rPr>
          <w:rFonts w:ascii="FrankRuehl" w:hAnsi="FrankRuehl" w:cs="FrankRuehl"/>
        </w:rPr>
      </w:pPr>
      <w:bookmarkStart w:id="3" w:name="LawTable"/>
      <w:bookmarkEnd w:id="3"/>
      <w:r w:rsidRPr="007625B7">
        <w:rPr>
          <w:rFonts w:ascii="FrankRuehl" w:hAnsi="FrankRuehl" w:cs="FrankRuehl"/>
          <w:rtl/>
        </w:rPr>
        <w:t xml:space="preserve">חקיקה שאוזכרה: </w:t>
      </w:r>
    </w:p>
    <w:p w14:paraId="351C873C" w14:textId="77777777" w:rsidR="007625B7" w:rsidRPr="007625B7" w:rsidRDefault="007625B7" w:rsidP="007625B7">
      <w:pPr>
        <w:spacing w:before="120" w:after="120" w:line="240" w:lineRule="exact"/>
        <w:ind w:left="283" w:hanging="283"/>
        <w:jc w:val="both"/>
        <w:rPr>
          <w:rFonts w:ascii="FrankRuehl" w:hAnsi="FrankRuehl" w:cs="FrankRuehl"/>
        </w:rPr>
      </w:pPr>
      <w:hyperlink r:id="rId7" w:history="1">
        <w:r w:rsidRPr="007625B7">
          <w:rPr>
            <w:rFonts w:ascii="FrankRuehl" w:hAnsi="FrankRuehl" w:cs="FrankRuehl"/>
            <w:color w:val="0000FF"/>
            <w:u w:val="single"/>
            <w:rtl/>
          </w:rPr>
          <w:t>חוק העונשין, תשל"ז-1977</w:t>
        </w:r>
      </w:hyperlink>
      <w:r w:rsidRPr="007625B7">
        <w:rPr>
          <w:rFonts w:ascii="FrankRuehl" w:hAnsi="FrankRuehl" w:cs="FrankRuehl"/>
        </w:rPr>
        <w:t xml:space="preserve">: </w:t>
      </w:r>
      <w:r w:rsidRPr="007625B7">
        <w:rPr>
          <w:rFonts w:ascii="FrankRuehl" w:hAnsi="FrankRuehl" w:cs="FrankRuehl"/>
          <w:rtl/>
        </w:rPr>
        <w:t>סע</w:t>
      </w:r>
      <w:r w:rsidRPr="007625B7">
        <w:rPr>
          <w:rFonts w:ascii="FrankRuehl" w:hAnsi="FrankRuehl" w:cs="FrankRuehl"/>
        </w:rPr>
        <w:t xml:space="preserve">'  </w:t>
      </w:r>
      <w:hyperlink r:id="rId8" w:history="1">
        <w:r w:rsidRPr="007625B7">
          <w:rPr>
            <w:rFonts w:ascii="FrankRuehl" w:hAnsi="FrankRuehl" w:cs="FrankRuehl"/>
            <w:color w:val="0000FF"/>
            <w:u w:val="single"/>
          </w:rPr>
          <w:t>40</w:t>
        </w:r>
        <w:r w:rsidRPr="007625B7">
          <w:rPr>
            <w:rFonts w:ascii="FrankRuehl" w:hAnsi="FrankRuehl" w:cs="FrankRuehl"/>
            <w:color w:val="0000FF"/>
            <w:u w:val="single"/>
            <w:rtl/>
          </w:rPr>
          <w:t>ג (א</w:t>
        </w:r>
        <w:r w:rsidRPr="007625B7">
          <w:rPr>
            <w:rFonts w:ascii="FrankRuehl" w:hAnsi="FrankRuehl" w:cs="FrankRuehl"/>
            <w:color w:val="0000FF"/>
            <w:u w:val="single"/>
          </w:rPr>
          <w:t>)</w:t>
        </w:r>
      </w:hyperlink>
      <w:r w:rsidRPr="007625B7">
        <w:rPr>
          <w:rFonts w:ascii="FrankRuehl" w:hAnsi="FrankRuehl" w:cs="FrankRuehl"/>
        </w:rPr>
        <w:t xml:space="preserve">, </w:t>
      </w:r>
      <w:hyperlink r:id="rId9" w:history="1">
        <w:r w:rsidRPr="007625B7">
          <w:rPr>
            <w:rFonts w:ascii="FrankRuehl" w:hAnsi="FrankRuehl" w:cs="FrankRuehl"/>
            <w:color w:val="0000FF"/>
            <w:u w:val="single"/>
          </w:rPr>
          <w:t>144 (</w:t>
        </w:r>
        <w:r w:rsidRPr="007625B7">
          <w:rPr>
            <w:rFonts w:ascii="FrankRuehl" w:hAnsi="FrankRuehl" w:cs="FrankRuehl"/>
            <w:color w:val="0000FF"/>
            <w:u w:val="single"/>
            <w:rtl/>
          </w:rPr>
          <w:t>א</w:t>
        </w:r>
        <w:r w:rsidRPr="007625B7">
          <w:rPr>
            <w:rFonts w:ascii="FrankRuehl" w:hAnsi="FrankRuehl" w:cs="FrankRuehl"/>
            <w:color w:val="0000FF"/>
            <w:u w:val="single"/>
          </w:rPr>
          <w:t>)</w:t>
        </w:r>
      </w:hyperlink>
      <w:r w:rsidRPr="007625B7">
        <w:rPr>
          <w:rFonts w:ascii="FrankRuehl" w:hAnsi="FrankRuehl" w:cs="FrankRuehl"/>
        </w:rPr>
        <w:t xml:space="preserve">, </w:t>
      </w:r>
      <w:hyperlink r:id="rId10" w:history="1">
        <w:r w:rsidRPr="007625B7">
          <w:rPr>
            <w:rFonts w:ascii="FrankRuehl" w:hAnsi="FrankRuehl" w:cs="FrankRuehl"/>
            <w:color w:val="0000FF"/>
            <w:u w:val="single"/>
          </w:rPr>
          <w:t xml:space="preserve">40 </w:t>
        </w:r>
        <w:r w:rsidRPr="007625B7">
          <w:rPr>
            <w:rFonts w:ascii="FrankRuehl" w:hAnsi="FrankRuehl" w:cs="FrankRuehl"/>
            <w:color w:val="0000FF"/>
            <w:u w:val="single"/>
            <w:rtl/>
          </w:rPr>
          <w:t>יא</w:t>
        </w:r>
        <w:r w:rsidRPr="007625B7">
          <w:rPr>
            <w:rFonts w:ascii="FrankRuehl" w:hAnsi="FrankRuehl" w:cs="FrankRuehl"/>
            <w:color w:val="0000FF"/>
            <w:u w:val="single"/>
          </w:rPr>
          <w:t>'</w:t>
        </w:r>
      </w:hyperlink>
    </w:p>
    <w:p w14:paraId="227CCC62" w14:textId="77777777" w:rsidR="00A347C4" w:rsidRDefault="00A347C4" w:rsidP="007625B7">
      <w:pPr>
        <w:rPr>
          <w:rFonts w:hint="cs"/>
          <w:rtl/>
        </w:rPr>
      </w:pPr>
      <w:bookmarkStart w:id="4" w:name="LawTable_End"/>
      <w:bookmarkEnd w:id="4"/>
    </w:p>
    <w:p w14:paraId="28B99F4C" w14:textId="77777777" w:rsidR="007625B7" w:rsidRDefault="007625B7" w:rsidP="007625B7">
      <w:pPr>
        <w:rPr>
          <w:rFonts w:hint="cs"/>
          <w:rtl/>
        </w:rPr>
      </w:pPr>
    </w:p>
    <w:p w14:paraId="7420FC53" w14:textId="77777777" w:rsidR="007625B7" w:rsidRPr="007625B7" w:rsidRDefault="007625B7" w:rsidP="007625B7">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47C4" w14:paraId="7092BA90" w14:textId="77777777" w:rsidTr="00A347C4">
        <w:trPr>
          <w:trHeight w:val="355"/>
          <w:jc w:val="center"/>
        </w:trPr>
        <w:tc>
          <w:tcPr>
            <w:tcW w:w="8820" w:type="dxa"/>
            <w:tcBorders>
              <w:top w:val="nil"/>
              <w:left w:val="nil"/>
              <w:bottom w:val="nil"/>
              <w:right w:val="nil"/>
            </w:tcBorders>
            <w:shd w:val="clear" w:color="auto" w:fill="auto"/>
          </w:tcPr>
          <w:p w14:paraId="307CF490" w14:textId="77777777" w:rsidR="005021F5" w:rsidRPr="005021F5" w:rsidRDefault="005021F5" w:rsidP="005021F5">
            <w:pPr>
              <w:jc w:val="center"/>
              <w:rPr>
                <w:rFonts w:ascii="Arial" w:hAnsi="Arial" w:cs="FrankRuehl"/>
                <w:b/>
                <w:bCs/>
                <w:sz w:val="32"/>
                <w:szCs w:val="32"/>
                <w:u w:val="single"/>
                <w:rtl/>
              </w:rPr>
            </w:pPr>
            <w:bookmarkStart w:id="5" w:name="PsakDin" w:colFirst="0" w:colLast="0"/>
            <w:r w:rsidRPr="005021F5">
              <w:rPr>
                <w:rFonts w:ascii="Arial" w:hAnsi="Arial" w:cs="FrankRuehl"/>
                <w:b/>
                <w:bCs/>
                <w:sz w:val="32"/>
                <w:szCs w:val="32"/>
                <w:u w:val="single"/>
                <w:rtl/>
              </w:rPr>
              <w:t>גזר דין</w:t>
            </w:r>
          </w:p>
          <w:p w14:paraId="44BF0E41" w14:textId="77777777" w:rsidR="00A347C4" w:rsidRPr="005021F5" w:rsidRDefault="00A347C4" w:rsidP="005021F5">
            <w:pPr>
              <w:jc w:val="center"/>
              <w:rPr>
                <w:rFonts w:ascii="Arial" w:hAnsi="Arial" w:cs="FrankRuehl"/>
                <w:bCs/>
                <w:sz w:val="32"/>
                <w:szCs w:val="32"/>
                <w:u w:val="single"/>
                <w:rtl/>
              </w:rPr>
            </w:pPr>
          </w:p>
        </w:tc>
      </w:tr>
      <w:bookmarkEnd w:id="5"/>
    </w:tbl>
    <w:p w14:paraId="480C162E" w14:textId="77777777" w:rsidR="00A347C4" w:rsidRPr="00B05847" w:rsidRDefault="00A347C4" w:rsidP="00A347C4">
      <w:pPr>
        <w:rPr>
          <w:rFonts w:ascii="Arial" w:hAnsi="Arial"/>
          <w:rtl/>
        </w:rPr>
      </w:pPr>
    </w:p>
    <w:p w14:paraId="12BBC3E5" w14:textId="77777777" w:rsidR="00A347C4" w:rsidRPr="00B05847" w:rsidRDefault="00A347C4" w:rsidP="00A347C4">
      <w:pPr>
        <w:rPr>
          <w:rFonts w:ascii="Arial" w:hAnsi="Arial"/>
          <w:rtl/>
        </w:rPr>
      </w:pPr>
    </w:p>
    <w:p w14:paraId="4856F238" w14:textId="77777777" w:rsidR="00A347C4" w:rsidRPr="00B05847" w:rsidRDefault="00A347C4" w:rsidP="00A347C4">
      <w:pPr>
        <w:rPr>
          <w:rtl/>
        </w:rPr>
      </w:pPr>
    </w:p>
    <w:p w14:paraId="4A9739DE" w14:textId="77777777" w:rsidR="00A347C4" w:rsidRDefault="00A347C4" w:rsidP="00A347C4">
      <w:pPr>
        <w:spacing w:line="360" w:lineRule="auto"/>
        <w:jc w:val="both"/>
        <w:rPr>
          <w:b/>
          <w:bCs/>
          <w:sz w:val="28"/>
          <w:szCs w:val="28"/>
          <w:u w:val="single"/>
        </w:rPr>
      </w:pPr>
      <w:r>
        <w:rPr>
          <w:b/>
          <w:bCs/>
          <w:sz w:val="28"/>
          <w:szCs w:val="28"/>
          <w:u w:val="single"/>
          <w:rtl/>
        </w:rPr>
        <w:t>פתח דבר</w:t>
      </w:r>
    </w:p>
    <w:p w14:paraId="2693C63A" w14:textId="77777777" w:rsidR="00A347C4" w:rsidRDefault="00A347C4" w:rsidP="00A347C4">
      <w:pPr>
        <w:spacing w:line="360" w:lineRule="auto"/>
        <w:jc w:val="both"/>
        <w:rPr>
          <w:rtl/>
        </w:rPr>
      </w:pPr>
      <w:bookmarkStart w:id="6" w:name="ABSTRACT_START"/>
      <w:bookmarkEnd w:id="6"/>
      <w:r>
        <w:rPr>
          <w:rtl/>
        </w:rPr>
        <w:t xml:space="preserve">הנאשם הודה והורשע ביום 23/10/19, בכתב אישום בעבירה של רכישת/החזקת נשק שלא כדין - עבירה לפי סעיף </w:t>
      </w:r>
      <w:hyperlink r:id="rId11" w:history="1">
        <w:r w:rsidR="007625B7" w:rsidRPr="007625B7">
          <w:rPr>
            <w:color w:val="0000FF"/>
            <w:u w:val="single"/>
            <w:rtl/>
          </w:rPr>
          <w:t>144 (א)</w:t>
        </w:r>
      </w:hyperlink>
      <w:r>
        <w:rPr>
          <w:rtl/>
        </w:rPr>
        <w:t xml:space="preserve"> ל</w:t>
      </w:r>
      <w:hyperlink r:id="rId12" w:history="1">
        <w:r w:rsidR="005021F5" w:rsidRPr="005021F5">
          <w:rPr>
            <w:color w:val="0000FF"/>
            <w:u w:val="single"/>
            <w:rtl/>
          </w:rPr>
          <w:t>חוק העונשין</w:t>
        </w:r>
      </w:hyperlink>
      <w:r>
        <w:rPr>
          <w:rtl/>
        </w:rPr>
        <w:t xml:space="preserve">, התשל"ז 1977 (להלן: </w:t>
      </w:r>
      <w:r>
        <w:rPr>
          <w:b/>
          <w:bCs/>
          <w:rtl/>
        </w:rPr>
        <w:t>"חוק העונשין"</w:t>
      </w:r>
      <w:r>
        <w:rPr>
          <w:rtl/>
        </w:rPr>
        <w:t xml:space="preserve">).  </w:t>
      </w:r>
    </w:p>
    <w:p w14:paraId="0E286AFA" w14:textId="77777777" w:rsidR="00A347C4" w:rsidRDefault="00A347C4" w:rsidP="00A347C4">
      <w:pPr>
        <w:spacing w:line="360" w:lineRule="auto"/>
        <w:jc w:val="both"/>
        <w:rPr>
          <w:rtl/>
        </w:rPr>
      </w:pPr>
      <w:r>
        <w:rPr>
          <w:rtl/>
        </w:rPr>
        <w:t xml:space="preserve">במסגרת הסדר הטיעון, הוסכם כי הנאשם יופנה אל שירות המבחן, על מנת שיערך תסקיר, בין היתר נוכח גילו של הנאשם וקיומה של חובת עריכת תסקיר בעניינו וכי המאשימה תעתור לענישה ראויה של עד 14 חודשי מאסר בפועל בעוד שב"כ הנאשם יעתור ל- 9 חודשי מאסר בפועל. </w:t>
      </w:r>
    </w:p>
    <w:p w14:paraId="3F9CAC5F" w14:textId="77777777" w:rsidR="00A347C4" w:rsidRDefault="00A347C4" w:rsidP="00A347C4">
      <w:pPr>
        <w:spacing w:line="360" w:lineRule="auto"/>
        <w:jc w:val="both"/>
        <w:rPr>
          <w:b/>
          <w:bCs/>
          <w:sz w:val="28"/>
          <w:szCs w:val="28"/>
          <w:u w:val="single"/>
          <w:rtl/>
        </w:rPr>
      </w:pPr>
    </w:p>
    <w:p w14:paraId="788D9126" w14:textId="77777777" w:rsidR="00A347C4" w:rsidRDefault="00A347C4" w:rsidP="00A347C4">
      <w:pPr>
        <w:spacing w:line="360" w:lineRule="auto"/>
        <w:jc w:val="both"/>
        <w:rPr>
          <w:b/>
          <w:bCs/>
          <w:sz w:val="28"/>
          <w:szCs w:val="28"/>
          <w:u w:val="single"/>
          <w:rtl/>
        </w:rPr>
      </w:pPr>
      <w:bookmarkStart w:id="7" w:name="ABSTRACT_END"/>
      <w:bookmarkEnd w:id="7"/>
      <w:r>
        <w:rPr>
          <w:b/>
          <w:bCs/>
          <w:sz w:val="28"/>
          <w:szCs w:val="28"/>
          <w:u w:val="single"/>
          <w:rtl/>
        </w:rPr>
        <w:lastRenderedPageBreak/>
        <w:t>כתב האישום</w:t>
      </w:r>
    </w:p>
    <w:p w14:paraId="6A065A6F" w14:textId="77777777" w:rsidR="00A347C4" w:rsidRDefault="00A347C4" w:rsidP="00A347C4">
      <w:pPr>
        <w:spacing w:line="360" w:lineRule="auto"/>
        <w:jc w:val="both"/>
        <w:rPr>
          <w:rtl/>
        </w:rPr>
      </w:pPr>
      <w:r>
        <w:rPr>
          <w:rtl/>
        </w:rPr>
        <w:t xml:space="preserve">כעולה מעובדות כתב האישום בתאריך 29/7/19, בסמוך לשעה 18:00, שהו הנאשמים במתחם מגורים של בית משפחת פריג' הממוקם באזור התעשייה שבעיר כפר קאסם (להלן: </w:t>
      </w:r>
      <w:r>
        <w:rPr>
          <w:b/>
          <w:bCs/>
          <w:rtl/>
        </w:rPr>
        <w:t>"המתחם"</w:t>
      </w:r>
      <w:r>
        <w:rPr>
          <w:rtl/>
        </w:rPr>
        <w:t xml:space="preserve">). במהלך אותן הנסיבות, שהה הנאשם 2 (אשר עניינו הסתיים ביום 1/8/19), שהנו תושב האזור, בישראל, שלא כדין וללא כל היתר על פי חוק. </w:t>
      </w:r>
    </w:p>
    <w:p w14:paraId="10C84971" w14:textId="77777777" w:rsidR="00A347C4" w:rsidRDefault="00A347C4" w:rsidP="00A347C4">
      <w:pPr>
        <w:spacing w:line="360" w:lineRule="auto"/>
        <w:jc w:val="both"/>
        <w:rPr>
          <w:rtl/>
        </w:rPr>
      </w:pPr>
      <w:r>
        <w:rPr>
          <w:rtl/>
        </w:rPr>
        <w:t xml:space="preserve">בהמשך לאותן נסיבות, עם הגעת כוח משטרתי למתחם, הפריע הנאשם 2 לשוטרים כשהם ממלאים תפקידם כחוק בכך שמשהבחין בהם, החל מטפס על גג המצוי בצד הדרומי של המתחם לעבר שטח מפעל בטון הצמוד למתחם (להלן: </w:t>
      </w:r>
      <w:r>
        <w:rPr>
          <w:b/>
          <w:bCs/>
          <w:rtl/>
        </w:rPr>
        <w:t>"המפעל"</w:t>
      </w:r>
      <w:r>
        <w:rPr>
          <w:rtl/>
        </w:rPr>
        <w:t xml:space="preserve">), בעודו מזיז גדר טייל שהיוותה חוצץ בין המתחם לשטח המפעל, החל בורח בריצה, התחבא בתוך מכונית נטושה שהייתה בשטח המפעל, עד אשר נעצר, הכל בכוונה להכשיל השוטרים במילוי תפקידם. </w:t>
      </w:r>
    </w:p>
    <w:p w14:paraId="6EB623DA" w14:textId="77777777" w:rsidR="00A347C4" w:rsidRDefault="00A347C4" w:rsidP="00A347C4">
      <w:pPr>
        <w:spacing w:line="360" w:lineRule="auto"/>
        <w:jc w:val="both"/>
        <w:rPr>
          <w:rtl/>
        </w:rPr>
      </w:pPr>
      <w:r>
        <w:rPr>
          <w:rtl/>
        </w:rPr>
        <w:t xml:space="preserve">בנסיבות המתוארות, החזיק הנאשם, על גופו אקדח מסוג </w:t>
      </w:r>
      <w:r w:rsidRPr="00A347C4">
        <w:rPr>
          <w:rFonts w:cs="Times New Roman"/>
        </w:rPr>
        <w:t>STAR</w:t>
      </w:r>
      <w:r>
        <w:rPr>
          <w:rtl/>
        </w:rPr>
        <w:t xml:space="preserve"> 70522 הטעון מחסנית ובתוכה 7 כדורי 9 מ"מ ללא רשות על פי דין. </w:t>
      </w:r>
    </w:p>
    <w:p w14:paraId="5C8A5E0D" w14:textId="77777777" w:rsidR="00A347C4" w:rsidRDefault="00A347C4" w:rsidP="00A347C4">
      <w:pPr>
        <w:spacing w:line="360" w:lineRule="auto"/>
        <w:jc w:val="both"/>
        <w:rPr>
          <w:b/>
          <w:bCs/>
          <w:sz w:val="28"/>
          <w:szCs w:val="28"/>
          <w:u w:val="single"/>
          <w:rtl/>
        </w:rPr>
      </w:pPr>
    </w:p>
    <w:p w14:paraId="4346FC4D" w14:textId="77777777" w:rsidR="00A347C4" w:rsidRDefault="00A347C4" w:rsidP="00A347C4">
      <w:pPr>
        <w:spacing w:line="360" w:lineRule="auto"/>
        <w:jc w:val="both"/>
        <w:rPr>
          <w:b/>
          <w:bCs/>
          <w:sz w:val="28"/>
          <w:szCs w:val="28"/>
          <w:u w:val="single"/>
          <w:rtl/>
        </w:rPr>
      </w:pPr>
      <w:r>
        <w:rPr>
          <w:b/>
          <w:bCs/>
          <w:sz w:val="28"/>
          <w:szCs w:val="28"/>
          <w:u w:val="single"/>
          <w:rtl/>
        </w:rPr>
        <w:t>טיעוני המאשימה</w:t>
      </w:r>
    </w:p>
    <w:p w14:paraId="1549FF2D" w14:textId="77777777" w:rsidR="00A347C4" w:rsidRDefault="00A347C4" w:rsidP="00A347C4">
      <w:pPr>
        <w:spacing w:line="360" w:lineRule="auto"/>
        <w:jc w:val="both"/>
        <w:rPr>
          <w:rtl/>
        </w:rPr>
      </w:pPr>
      <w:r>
        <w:rPr>
          <w:rtl/>
        </w:rPr>
        <w:t xml:space="preserve">לטענת המאשימה, הנאשם יליד 2001, נעדר עבר פלילי, הודה והורשע בהחזקת נשק מסוג אקדח, אשר היה מצוי על גופו וכן החזיק במחסנית טעונה עם 7 כדורים בתוך האקדח. </w:t>
      </w:r>
    </w:p>
    <w:p w14:paraId="52CF15B9" w14:textId="77777777" w:rsidR="00A347C4" w:rsidRDefault="00A347C4" w:rsidP="00A347C4">
      <w:pPr>
        <w:spacing w:line="360" w:lineRule="auto"/>
        <w:jc w:val="both"/>
        <w:rPr>
          <w:rtl/>
        </w:rPr>
      </w:pPr>
      <w:r>
        <w:rPr>
          <w:rtl/>
        </w:rPr>
        <w:t xml:space="preserve">הערך החברתי שנפגע טמון בפוטנציאל סיכון הרסני, לפגיעה בשלום הציבור ובטחונו, החשש כי נשק מוחזק שלא כדין, ישמש לפעילות עבריינית, העלולה לפגוע בחפים מפשע ואף לקיפוח חייהם של אזרחים תמימים. </w:t>
      </w:r>
    </w:p>
    <w:p w14:paraId="6D8132C5" w14:textId="77777777" w:rsidR="00A347C4" w:rsidRDefault="00A347C4" w:rsidP="00A347C4">
      <w:pPr>
        <w:spacing w:line="360" w:lineRule="auto"/>
        <w:jc w:val="both"/>
        <w:rPr>
          <w:rtl/>
        </w:rPr>
      </w:pPr>
      <w:r>
        <w:rPr>
          <w:rtl/>
        </w:rPr>
        <w:t xml:space="preserve">זמינותם של כלי הנשק, בידי מי שאינם מורשים לכך, עלולה להביא לביצוע עבירות חמורות, משטרת ישראל פועלת למיגור התופעה ואיסוף כלי נשק. </w:t>
      </w:r>
    </w:p>
    <w:p w14:paraId="1085A43C" w14:textId="77777777" w:rsidR="00A347C4" w:rsidRDefault="00A347C4" w:rsidP="00A347C4">
      <w:pPr>
        <w:spacing w:line="360" w:lineRule="auto"/>
        <w:jc w:val="both"/>
        <w:rPr>
          <w:rtl/>
        </w:rPr>
      </w:pPr>
      <w:r>
        <w:rPr>
          <w:rtl/>
        </w:rPr>
        <w:t xml:space="preserve">באשר למדיניות הענישה הנוהגת, הרי שהפסיקה מדגישה כי קיים צורך ממשי במאבק בתופעה של החזקת כלי נשק ותחמושת המסכנת את החברה כולה. מתחם העונש ההולם בנסיבות ביצוע העבירה הינו בין 12 חודשי מאסר ועד ל- 36 חודשי מאסר ועונשים נלווים. </w:t>
      </w:r>
    </w:p>
    <w:p w14:paraId="71FA3E3A" w14:textId="77777777" w:rsidR="00A347C4" w:rsidRDefault="00A347C4" w:rsidP="00A347C4">
      <w:pPr>
        <w:spacing w:line="360" w:lineRule="auto"/>
        <w:jc w:val="both"/>
        <w:rPr>
          <w:rtl/>
        </w:rPr>
      </w:pPr>
      <w:r>
        <w:rPr>
          <w:rtl/>
        </w:rPr>
        <w:t xml:space="preserve">אשר לנסיבות שאינן קשורות לביצוע העבירה, הרי שהנאשם נעדר עבר פלילי, שירות המבחן מציין כי הנאשם מתקשה לקחת אחריות על מעשיו ונוטה לשיח שמאופיין במסרים מבלבלים, סותרים, מצמצמים ומטשטשים. הנאשם טען בפני שירות המבחן כי מצא את האקדח ושולל נזקקות טיפולית. </w:t>
      </w:r>
    </w:p>
    <w:p w14:paraId="28322C43" w14:textId="77777777" w:rsidR="00A347C4" w:rsidRDefault="00A347C4" w:rsidP="00A347C4">
      <w:pPr>
        <w:spacing w:line="360" w:lineRule="auto"/>
        <w:jc w:val="both"/>
        <w:rPr>
          <w:rtl/>
        </w:rPr>
      </w:pPr>
      <w:r>
        <w:rPr>
          <w:rtl/>
        </w:rPr>
        <w:t xml:space="preserve">שירות המבחן מעריך כי הנאשם שוהה סביב חברה עבריינית אשר מוגבלת ביכולתה להציב גבולות לשמירת חוק. בסיכומו של תסקיר, לא בא שירות המבחן בהמלצה שיקומית או טיפולית. </w:t>
      </w:r>
    </w:p>
    <w:p w14:paraId="27D8BD1D" w14:textId="77777777" w:rsidR="00A347C4" w:rsidRDefault="00A347C4" w:rsidP="00A347C4">
      <w:pPr>
        <w:spacing w:line="360" w:lineRule="auto"/>
        <w:jc w:val="both"/>
        <w:rPr>
          <w:rtl/>
        </w:rPr>
      </w:pPr>
      <w:r>
        <w:rPr>
          <w:rtl/>
        </w:rPr>
        <w:t xml:space="preserve">החזקת נשק הינה עבירה חמורה ועל כן, המאשימה עותרת כי ייגזרו על הנאשם 14 חודשי מאסר לריצוי בפועל, מאסר מותנה וקנס שיהלום את חומרת העבירה.  </w:t>
      </w:r>
    </w:p>
    <w:p w14:paraId="40DBD2E8" w14:textId="77777777" w:rsidR="00A347C4" w:rsidRDefault="00A347C4" w:rsidP="00A347C4">
      <w:pPr>
        <w:spacing w:line="360" w:lineRule="auto"/>
        <w:jc w:val="both"/>
        <w:rPr>
          <w:b/>
          <w:bCs/>
          <w:sz w:val="28"/>
          <w:szCs w:val="28"/>
          <w:u w:val="single"/>
          <w:rtl/>
        </w:rPr>
      </w:pPr>
    </w:p>
    <w:p w14:paraId="4C36F229" w14:textId="77777777" w:rsidR="00A347C4" w:rsidRDefault="00A347C4" w:rsidP="00A347C4">
      <w:pPr>
        <w:spacing w:line="360" w:lineRule="auto"/>
        <w:jc w:val="both"/>
        <w:rPr>
          <w:b/>
          <w:bCs/>
          <w:sz w:val="28"/>
          <w:szCs w:val="28"/>
          <w:u w:val="single"/>
          <w:rtl/>
        </w:rPr>
      </w:pPr>
      <w:r>
        <w:rPr>
          <w:b/>
          <w:bCs/>
          <w:sz w:val="28"/>
          <w:szCs w:val="28"/>
          <w:u w:val="single"/>
          <w:rtl/>
        </w:rPr>
        <w:t>טיעוני ב"כ הנאשם</w:t>
      </w:r>
    </w:p>
    <w:p w14:paraId="72F4ED9A" w14:textId="77777777" w:rsidR="00A347C4" w:rsidRDefault="00A347C4" w:rsidP="00A347C4">
      <w:pPr>
        <w:spacing w:line="360" w:lineRule="auto"/>
        <w:jc w:val="both"/>
        <w:rPr>
          <w:rtl/>
        </w:rPr>
      </w:pPr>
      <w:r>
        <w:rPr>
          <w:rtl/>
        </w:rPr>
        <w:lastRenderedPageBreak/>
        <w:t xml:space="preserve">לטענת ב"כ הנאשם, הנאשם נעדר עבר פלילי, זהו לו מעצרו הראשון, הנאשם חסך זמן שיפוטי ונטל אחריות בהזדמנות הראשונה, הביע חרטה והדברים אף עולים מתסקיר שירות המבחן. </w:t>
      </w:r>
    </w:p>
    <w:p w14:paraId="394C1D90" w14:textId="77777777" w:rsidR="00A347C4" w:rsidRDefault="00A347C4" w:rsidP="00A347C4">
      <w:pPr>
        <w:spacing w:line="360" w:lineRule="auto"/>
        <w:jc w:val="both"/>
        <w:rPr>
          <w:rtl/>
        </w:rPr>
      </w:pPr>
      <w:r>
        <w:rPr>
          <w:rtl/>
        </w:rPr>
        <w:t xml:space="preserve">בחקירתו, כך גם בפני שירות המבחן, מסר הנאשם כי מצא את האקדח, הוא מבין את הפסול במעשיו. שירות המבחן ממליץ להתחשב בגילו הצעיר של הנאשם במסגרת גזירת עונשו בשל החשיפה לאוכלוסייה עבריינית וההשפעה המדרדרת שיכולה להיות לנאשם בעקבות מאסרו. </w:t>
      </w:r>
    </w:p>
    <w:p w14:paraId="3816F774" w14:textId="77777777" w:rsidR="00A347C4" w:rsidRDefault="00A347C4" w:rsidP="00A347C4">
      <w:pPr>
        <w:spacing w:line="360" w:lineRule="auto"/>
        <w:jc w:val="both"/>
        <w:rPr>
          <w:rtl/>
        </w:rPr>
      </w:pPr>
      <w:r>
        <w:rPr>
          <w:rtl/>
        </w:rPr>
        <w:t xml:space="preserve">ב"כ הנאשם סבור כי ניתן להסתפק בהטלת עונש מאסר בן 9 חודשים וטען כי במקרים חמורים יותר נגזרו על נאשמים עונשים מעין אלה, עוד עתר כי בית המשפט יתחשב בעובדה כי צו החיפוש והמידעים המודיעיניים בתיק זה התייחסו לאחר. </w:t>
      </w:r>
    </w:p>
    <w:p w14:paraId="641FE452" w14:textId="77777777" w:rsidR="00A347C4" w:rsidRDefault="00A347C4" w:rsidP="00A347C4">
      <w:pPr>
        <w:spacing w:line="360" w:lineRule="auto"/>
        <w:jc w:val="both"/>
        <w:rPr>
          <w:b/>
          <w:bCs/>
          <w:sz w:val="28"/>
          <w:szCs w:val="28"/>
          <w:u w:val="single"/>
          <w:rtl/>
        </w:rPr>
      </w:pPr>
      <w:r>
        <w:rPr>
          <w:b/>
          <w:bCs/>
          <w:sz w:val="28"/>
          <w:szCs w:val="28"/>
          <w:u w:val="single"/>
          <w:rtl/>
        </w:rPr>
        <w:t>הנאשם בדברו האחרון</w:t>
      </w:r>
    </w:p>
    <w:p w14:paraId="36870D0F" w14:textId="77777777" w:rsidR="00A347C4" w:rsidRDefault="00A347C4" w:rsidP="00A347C4">
      <w:pPr>
        <w:spacing w:line="360" w:lineRule="auto"/>
        <w:jc w:val="both"/>
        <w:rPr>
          <w:rtl/>
        </w:rPr>
      </w:pPr>
      <w:r>
        <w:rPr>
          <w:rtl/>
        </w:rPr>
        <w:t xml:space="preserve">בדברו האחרון, הודה הנאשם כי טעה. </w:t>
      </w:r>
    </w:p>
    <w:p w14:paraId="760CC82C" w14:textId="77777777" w:rsidR="00A347C4" w:rsidRDefault="00A347C4" w:rsidP="00A347C4">
      <w:pPr>
        <w:spacing w:line="360" w:lineRule="auto"/>
        <w:jc w:val="both"/>
        <w:rPr>
          <w:b/>
          <w:bCs/>
          <w:sz w:val="28"/>
          <w:szCs w:val="28"/>
          <w:u w:val="single"/>
          <w:rtl/>
        </w:rPr>
      </w:pPr>
    </w:p>
    <w:p w14:paraId="63682403" w14:textId="77777777" w:rsidR="00A347C4" w:rsidRDefault="00A347C4" w:rsidP="00A347C4">
      <w:pPr>
        <w:spacing w:line="360" w:lineRule="auto"/>
        <w:jc w:val="both"/>
        <w:rPr>
          <w:b/>
          <w:bCs/>
          <w:sz w:val="28"/>
          <w:szCs w:val="28"/>
          <w:u w:val="single"/>
          <w:rtl/>
        </w:rPr>
      </w:pPr>
      <w:r>
        <w:rPr>
          <w:b/>
          <w:bCs/>
          <w:sz w:val="28"/>
          <w:szCs w:val="28"/>
          <w:u w:val="single"/>
          <w:rtl/>
        </w:rPr>
        <w:t>תסקיר שירות המבחן</w:t>
      </w:r>
    </w:p>
    <w:p w14:paraId="2D3A73D0" w14:textId="77777777" w:rsidR="00A347C4" w:rsidRDefault="00A347C4" w:rsidP="00A347C4">
      <w:pPr>
        <w:spacing w:line="360" w:lineRule="auto"/>
        <w:jc w:val="both"/>
        <w:rPr>
          <w:rtl/>
        </w:rPr>
      </w:pPr>
      <w:r>
        <w:rPr>
          <w:rtl/>
        </w:rPr>
        <w:t xml:space="preserve">מתסקיר שירות המבחן עולה כי הנאשם, בן 18, רווק ללא ילדים, קודם למעצרו התגורר בבית סבתו ודודו בכפר קאסם, כשהוא חסר מעש ותעסוקה. מסר כי סיים 11 שנות לימוד, ללא תעודת בגרות. </w:t>
      </w:r>
    </w:p>
    <w:p w14:paraId="3679BB8B" w14:textId="77777777" w:rsidR="00A347C4" w:rsidRDefault="00A347C4" w:rsidP="00A347C4">
      <w:pPr>
        <w:spacing w:line="360" w:lineRule="auto"/>
        <w:jc w:val="both"/>
        <w:rPr>
          <w:rtl/>
        </w:rPr>
      </w:pPr>
      <w:r>
        <w:rPr>
          <w:rtl/>
        </w:rPr>
        <w:t xml:space="preserve">מאז עזב את לימודיו בגיל 17, לא השתלב בעולם התעסוקה, וניהל אורח חיים חסר מעש כשאת רוב זמנו העביר בביתו או בבילוי עם חברים, שלל מעורבות עם גורמים שוליים או עברייניים כמו גם שלל שימוש או התמכרות לאלכוהול או סמים. </w:t>
      </w:r>
    </w:p>
    <w:p w14:paraId="771C9A2F" w14:textId="77777777" w:rsidR="00A347C4" w:rsidRDefault="00A347C4" w:rsidP="00A347C4">
      <w:pPr>
        <w:spacing w:line="360" w:lineRule="auto"/>
        <w:jc w:val="both"/>
        <w:rPr>
          <w:rtl/>
        </w:rPr>
      </w:pPr>
      <w:r>
        <w:rPr>
          <w:rtl/>
        </w:rPr>
        <w:t xml:space="preserve">עוד עולה כי הנאשם מתקשה לקחת אחריות על ביצועה של העבירה, נוטה לשיח שאופיין במסרים מבלבלים, סותרים, מצמצמים ומטשטשים, שלל היכרות קודמת עם נאשם 2, לדבריו מצא את האקדח עת הלך מבית סבתו למתחם המשפחתי בו היה עתיד לפגוש את בני משפחתו. מסר כי הרים את האקדח כיוון שלא ראה את הסיכון והסכנה שבכך ומבין כי כיום טעה ושגה באופן בו פעל. הנאשם שלל נכונות להשתמש באקדח ותיאר התנהגותו מתוך סקרנות בלבד, ללא שחשב על השלכות מעשיו. </w:t>
      </w:r>
    </w:p>
    <w:p w14:paraId="1F540359" w14:textId="77777777" w:rsidR="00A347C4" w:rsidRDefault="00A347C4" w:rsidP="00A347C4">
      <w:pPr>
        <w:spacing w:line="360" w:lineRule="auto"/>
        <w:jc w:val="both"/>
        <w:rPr>
          <w:rtl/>
        </w:rPr>
      </w:pPr>
      <w:r>
        <w:rPr>
          <w:rtl/>
        </w:rPr>
        <w:t xml:space="preserve">בעניין זה ציין שירות המבחן כי הנאשם לא הצליח להתייחס לבחינה עצמית ביקורתית ושלל סיוע מקצועי טיפולי. </w:t>
      </w:r>
    </w:p>
    <w:p w14:paraId="751133FD" w14:textId="77777777" w:rsidR="00A347C4" w:rsidRDefault="00A347C4" w:rsidP="00A347C4">
      <w:pPr>
        <w:spacing w:line="360" w:lineRule="auto"/>
        <w:jc w:val="both"/>
        <w:rPr>
          <w:rtl/>
        </w:rPr>
      </w:pPr>
      <w:r>
        <w:rPr>
          <w:rtl/>
        </w:rPr>
        <w:t xml:space="preserve">שירות המבחן מתרשם מהנאשם כבחור צעיר, נעדר יציבות במסגרות השונות בחייו, התקשה לשתף פעולה באופן מלא עם שירות המבחן ונטה לשיח דל, לקוני ומצומצם אשר אופין בהסתרה. שירות המבחן מעריך כי הדרך בה ניהל את חייו, קשריו החברתיים והסביבתיים והשיח שמאופיין בהסתרה, יש בהם כדי להצביע על קיום עמדות בעייתיות ביחס לגורמי חוק, אשר מגביר את הסיכון במצבו. גורמי השיקום בעיתוי הנוכחי מצומצמים אך יש לקחת בחשבון אף את גילו הצעיר והעובדה כי זו לו מעורבות ראשונה ויחידה בפלילים. </w:t>
      </w:r>
    </w:p>
    <w:p w14:paraId="300455C4" w14:textId="77777777" w:rsidR="00A347C4" w:rsidRDefault="00A347C4" w:rsidP="00A347C4">
      <w:pPr>
        <w:spacing w:line="360" w:lineRule="auto"/>
        <w:jc w:val="both"/>
        <w:rPr>
          <w:rtl/>
        </w:rPr>
      </w:pPr>
      <w:r>
        <w:rPr>
          <w:rtl/>
        </w:rPr>
        <w:t xml:space="preserve">עוד עתר שירות המבחן כי בשל גילו הצעיר יש להתחשב בתקופת המאסר, שכן חשיפה ממושכת לאוכלוסייה העבריינית עלולה להיות השפעה מדרדרת בטווח הרחוק. </w:t>
      </w:r>
    </w:p>
    <w:p w14:paraId="315B0690" w14:textId="77777777" w:rsidR="00A347C4" w:rsidRDefault="00A347C4" w:rsidP="00A347C4">
      <w:pPr>
        <w:spacing w:line="360" w:lineRule="auto"/>
        <w:jc w:val="both"/>
        <w:rPr>
          <w:b/>
          <w:bCs/>
          <w:sz w:val="28"/>
          <w:szCs w:val="28"/>
          <w:u w:val="single"/>
          <w:rtl/>
        </w:rPr>
      </w:pPr>
    </w:p>
    <w:p w14:paraId="0C178B4C" w14:textId="77777777" w:rsidR="00A347C4" w:rsidRDefault="00A347C4" w:rsidP="00A347C4">
      <w:pPr>
        <w:spacing w:line="360" w:lineRule="auto"/>
        <w:jc w:val="both"/>
        <w:rPr>
          <w:b/>
          <w:bCs/>
          <w:sz w:val="28"/>
          <w:szCs w:val="28"/>
          <w:u w:val="single"/>
          <w:rtl/>
        </w:rPr>
      </w:pPr>
      <w:r>
        <w:rPr>
          <w:b/>
          <w:bCs/>
          <w:sz w:val="28"/>
          <w:szCs w:val="28"/>
          <w:u w:val="single"/>
          <w:rtl/>
        </w:rPr>
        <w:t>דיון והכרעה</w:t>
      </w:r>
    </w:p>
    <w:p w14:paraId="7E4792EF" w14:textId="77777777" w:rsidR="00A347C4" w:rsidRDefault="00A347C4" w:rsidP="00A347C4">
      <w:pPr>
        <w:spacing w:line="360" w:lineRule="auto"/>
        <w:jc w:val="both"/>
        <w:rPr>
          <w:rtl/>
        </w:rPr>
      </w:pPr>
      <w:r>
        <w:rPr>
          <w:rtl/>
        </w:rPr>
        <w:t xml:space="preserve">סעיף </w:t>
      </w:r>
      <w:hyperlink r:id="rId13" w:history="1">
        <w:r w:rsidR="007625B7" w:rsidRPr="007625B7">
          <w:rPr>
            <w:rStyle w:val="Hyperlink"/>
            <w:color w:val="0000FF"/>
            <w:rtl/>
          </w:rPr>
          <w:t>40ג (א)</w:t>
        </w:r>
      </w:hyperlink>
      <w:r>
        <w:rPr>
          <w:rtl/>
        </w:rPr>
        <w:t xml:space="preserve"> ל</w:t>
      </w:r>
      <w:hyperlink r:id="rId14" w:history="1">
        <w:r w:rsidR="005021F5" w:rsidRPr="005021F5">
          <w:rPr>
            <w:color w:val="0000FF"/>
            <w:u w:val="single"/>
            <w:rtl/>
          </w:rPr>
          <w:t>חוק העונשין</w:t>
        </w:r>
      </w:hyperlink>
      <w:r>
        <w:rPr>
          <w:rtl/>
        </w:rPr>
        <w:t xml:space="preserve">, קובע כי בקביעת מתחם העונש ההולם את מעשי העבירות אותן ביצע הנאשם, על בית המשפט להתחשב בערכים החברתיים הנפגעים מביצוע העבירות, מידת הפגיעה בהם, מדיניות הענישה הנוהגת ובנסיבות ביצוע העבירה. </w:t>
      </w:r>
    </w:p>
    <w:p w14:paraId="1ADCE119" w14:textId="77777777" w:rsidR="00A347C4" w:rsidRDefault="00A347C4" w:rsidP="00A347C4">
      <w:pPr>
        <w:spacing w:line="360" w:lineRule="auto"/>
        <w:jc w:val="both"/>
        <w:rPr>
          <w:rtl/>
        </w:rPr>
      </w:pPr>
      <w:r>
        <w:rPr>
          <w:rtl/>
        </w:rPr>
        <w:t xml:space="preserve">על בית המשפט לקבוע מתחם ענישה ההולם את חומרת העבירה ונסיבותיה, על פי עקרון ההלימה ובמנותק מנסיבותיו האישיות של הנאשם. </w:t>
      </w:r>
    </w:p>
    <w:p w14:paraId="26B442BE" w14:textId="77777777" w:rsidR="00A347C4" w:rsidRDefault="00A347C4" w:rsidP="00A347C4">
      <w:pPr>
        <w:spacing w:line="360" w:lineRule="auto"/>
        <w:jc w:val="both"/>
        <w:rPr>
          <w:rtl/>
        </w:rPr>
      </w:pPr>
      <w:r>
        <w:rPr>
          <w:rtl/>
        </w:rPr>
        <w:t xml:space="preserve">בשלב זה, נבחן הערך החברתי שנפגע מביצוע העבירה ועצמת הפגיעה בה, מדיניות הענישה הנוהגת בעבירות אלה - מדובר בקביעה ערכית-נורמטיבית -אובייקטיבית, הנסמכת על מכלול השיקולים שנזכרו, שאינה תלויה בענישה הנוהגת (עניין סעד לעיל, וכן </w:t>
      </w:r>
      <w:hyperlink r:id="rId15" w:history="1">
        <w:r w:rsidR="005021F5" w:rsidRPr="005021F5">
          <w:rPr>
            <w:color w:val="0000FF"/>
            <w:u w:val="single"/>
            <w:rtl/>
          </w:rPr>
          <w:t>ע"פ 1656/16</w:t>
        </w:r>
      </w:hyperlink>
      <w:r>
        <w:rPr>
          <w:rtl/>
        </w:rPr>
        <w:t xml:space="preserve"> </w:t>
      </w:r>
      <w:r>
        <w:rPr>
          <w:b/>
          <w:bCs/>
          <w:rtl/>
        </w:rPr>
        <w:t>דוידוביץ נ' מדינת ישראל</w:t>
      </w:r>
      <w:r>
        <w:rPr>
          <w:rtl/>
        </w:rPr>
        <w:t xml:space="preserve"> (20.3.17) [פורסם בנבו]  (להלן: "</w:t>
      </w:r>
      <w:r>
        <w:rPr>
          <w:b/>
          <w:bCs/>
          <w:rtl/>
        </w:rPr>
        <w:t>הלכת דוידוביץ</w:t>
      </w:r>
      <w:r>
        <w:rPr>
          <w:rtl/>
        </w:rPr>
        <w:t xml:space="preserve">'")). </w:t>
      </w:r>
    </w:p>
    <w:p w14:paraId="6C713183" w14:textId="77777777" w:rsidR="00A347C4" w:rsidRDefault="00A347C4" w:rsidP="00A347C4">
      <w:pPr>
        <w:spacing w:line="360" w:lineRule="auto"/>
        <w:jc w:val="both"/>
      </w:pPr>
      <w:r>
        <w:rPr>
          <w:rtl/>
        </w:rPr>
        <w:t xml:space="preserve">לאחריו, בית המשפט גוזר את עונשו של הנאשם, בשלב זה יש להתחשב בשיקולי ענישה נוספים, לקולה ולחומרה, כגון שיקום הנאשם; הגנה על הציבור; הרתעה אישית וציבורית; מניעת יכולת; נסיבות אישיות ופרטניות; התנהלות דיונית כהודיה ושיתוף פעולה עם הרשויות ומאפיינים רפואיים (סעיף </w:t>
      </w:r>
      <w:hyperlink r:id="rId16" w:history="1">
        <w:r w:rsidR="007625B7" w:rsidRPr="007625B7">
          <w:rPr>
            <w:color w:val="0000FF"/>
            <w:u w:val="single"/>
            <w:rtl/>
          </w:rPr>
          <w:t>40 יא'</w:t>
        </w:r>
      </w:hyperlink>
      <w:r>
        <w:rPr>
          <w:rtl/>
        </w:rPr>
        <w:t xml:space="preserve"> ל</w:t>
      </w:r>
      <w:hyperlink r:id="rId17" w:history="1">
        <w:r w:rsidR="005021F5" w:rsidRPr="005021F5">
          <w:rPr>
            <w:color w:val="0000FF"/>
            <w:u w:val="single"/>
            <w:rtl/>
          </w:rPr>
          <w:t>חוק העונשין</w:t>
        </w:r>
      </w:hyperlink>
      <w:r>
        <w:rPr>
          <w:rtl/>
        </w:rPr>
        <w:t xml:space="preserve"> וכן </w:t>
      </w:r>
      <w:hyperlink r:id="rId18" w:history="1">
        <w:r w:rsidR="005021F5" w:rsidRPr="005021F5">
          <w:rPr>
            <w:color w:val="0000FF"/>
            <w:u w:val="single"/>
            <w:rtl/>
          </w:rPr>
          <w:t>ע"פ 2859/18</w:t>
        </w:r>
      </w:hyperlink>
      <w:r>
        <w:rPr>
          <w:rtl/>
        </w:rPr>
        <w:t xml:space="preserve"> </w:t>
      </w:r>
      <w:r>
        <w:rPr>
          <w:b/>
          <w:bCs/>
          <w:rtl/>
        </w:rPr>
        <w:t>ח'ארוף נ' מדינת ישראל</w:t>
      </w:r>
      <w:r>
        <w:rPr>
          <w:rtl/>
        </w:rPr>
        <w:t xml:space="preserve"> [פורסם בנבו] (ניתן ביום 11.11.18). עוד ובשלב זה נבחן האם קיים בעניינו שיקול שיקומי שיש בו כדי להשפיע על גזירת העונש, הרתעה ממשית או הגנה על הציבור המצדיקה סטייה מהמתחם לחומרה וכיו"ב. </w:t>
      </w:r>
    </w:p>
    <w:p w14:paraId="4D855B29" w14:textId="77777777" w:rsidR="00A347C4" w:rsidRDefault="00A347C4" w:rsidP="00A347C4">
      <w:pPr>
        <w:spacing w:line="360" w:lineRule="auto"/>
        <w:jc w:val="both"/>
        <w:rPr>
          <w:rtl/>
        </w:rPr>
      </w:pPr>
      <w:r>
        <w:rPr>
          <w:rtl/>
        </w:rPr>
        <w:t>אין צורך להכביר מילים על פוטנציאל הסיכון הנובע מהחזקת נשק חם קטלני שלא כדין, כלי נשק עלולים למצוא דרכם לפעילות שלילית, אם פלילית ואם נגד בטחון המדינה</w:t>
      </w:r>
      <w:r>
        <w:rPr>
          <w:rFonts w:hint="cs"/>
          <w:rtl/>
        </w:rPr>
        <w:t>.</w:t>
      </w:r>
      <w:r>
        <w:rPr>
          <w:rtl/>
        </w:rPr>
        <w:t xml:space="preserve"> אחזקת נשק ותחמושת על ידי מי שלא נמצא מתאים לכך ולא הוכשר לכך, בתנאים שאינם מבטיחים בידודו של הנשק מהסביבה, עלולה להביא לסיכון שלום הציבור ובטחונו. </w:t>
      </w:r>
    </w:p>
    <w:p w14:paraId="10071561" w14:textId="77777777" w:rsidR="00A347C4" w:rsidRDefault="00A347C4" w:rsidP="00A347C4">
      <w:pPr>
        <w:spacing w:line="360" w:lineRule="auto"/>
        <w:jc w:val="both"/>
        <w:rPr>
          <w:rtl/>
        </w:rPr>
      </w:pPr>
      <w:r>
        <w:rPr>
          <w:rtl/>
        </w:rPr>
        <w:t>בשל פוטנציאל ההרס הטמון בכלי נשק, הכולל גם אפשרות לפגיעה עיוורת באנשים מן הישוב, מתפקידו של בית המשפט להרתיע מפני עבירות אלה</w:t>
      </w:r>
      <w:r>
        <w:rPr>
          <w:rFonts w:hint="cs"/>
          <w:rtl/>
        </w:rPr>
        <w:t>.</w:t>
      </w:r>
      <w:r>
        <w:rPr>
          <w:rtl/>
        </w:rPr>
        <w:t xml:space="preserve"> על כן, נקבע כי היא מחייבת ענישה אשר תרתיע את היחיד והרבים - בשורה של פסקי דין נקבע כי חומרת הסיכון הנשקף מעבירות אלה, מחייבת השתת עונשי מאסר בפועל בגין עבירות אלה, גם כאשר מדובר, לכאורה, במי שמנהל אורח חיים נורמטיבי ואין לחובתו הרשעתו קודמות (</w:t>
      </w:r>
      <w:hyperlink r:id="rId19" w:history="1">
        <w:r w:rsidR="005021F5" w:rsidRPr="005021F5">
          <w:rPr>
            <w:color w:val="0000FF"/>
            <w:u w:val="single"/>
            <w:rtl/>
          </w:rPr>
          <w:t>רע"פ 2718/04</w:t>
        </w:r>
      </w:hyperlink>
      <w:r>
        <w:rPr>
          <w:rtl/>
        </w:rPr>
        <w:t xml:space="preserve"> </w:t>
      </w:r>
      <w:r>
        <w:rPr>
          <w:b/>
          <w:bCs/>
          <w:rtl/>
        </w:rPr>
        <w:t>אבו דאחל נ' מדינת ישראל</w:t>
      </w:r>
      <w:r>
        <w:rPr>
          <w:rtl/>
        </w:rPr>
        <w:t xml:space="preserve"> [פורסם בנבו] (ניתן ביום 29.3.04)). </w:t>
      </w:r>
    </w:p>
    <w:p w14:paraId="7ACBE9C6" w14:textId="77777777" w:rsidR="00A347C4" w:rsidRDefault="00A347C4" w:rsidP="00A347C4">
      <w:pPr>
        <w:spacing w:line="360" w:lineRule="auto"/>
        <w:jc w:val="both"/>
        <w:rPr>
          <w:rtl/>
        </w:rPr>
      </w:pPr>
      <w:r>
        <w:rPr>
          <w:rtl/>
        </w:rPr>
        <w:t>הערכים החברתיים המוגנים אשר נפגעו כתוצאה ממעשי הנאשם, החזקת נשק שלא כדין הינם הצורך להגן על שלום הציבור ובטחונו בשל הפוטנציאל העצום לגרימת נזק קטלני, כמו גם הגנה על שלטון החוק</w:t>
      </w:r>
      <w:r>
        <w:rPr>
          <w:rFonts w:hint="cs"/>
          <w:rtl/>
        </w:rPr>
        <w:t>.</w:t>
      </w:r>
      <w:r>
        <w:rPr>
          <w:rtl/>
        </w:rPr>
        <w:t xml:space="preserve"> </w:t>
      </w:r>
    </w:p>
    <w:p w14:paraId="7BD45254" w14:textId="77777777" w:rsidR="00A347C4" w:rsidRDefault="00A347C4" w:rsidP="00A347C4">
      <w:pPr>
        <w:spacing w:line="360" w:lineRule="auto"/>
        <w:jc w:val="both"/>
        <w:rPr>
          <w:rtl/>
        </w:rPr>
      </w:pPr>
      <w:r>
        <w:rPr>
          <w:rtl/>
        </w:rPr>
        <w:t>לעניין זה יפים הדברים שנקבעו ב</w:t>
      </w:r>
      <w:hyperlink r:id="rId20" w:history="1">
        <w:r w:rsidR="005021F5" w:rsidRPr="005021F5">
          <w:rPr>
            <w:color w:val="0000FF"/>
            <w:u w:val="single"/>
            <w:rtl/>
          </w:rPr>
          <w:t>ע"פ 3300/06</w:t>
        </w:r>
      </w:hyperlink>
      <w:r>
        <w:rPr>
          <w:rtl/>
        </w:rPr>
        <w:t xml:space="preserve"> </w:t>
      </w:r>
      <w:r>
        <w:rPr>
          <w:b/>
          <w:bCs/>
          <w:rtl/>
        </w:rPr>
        <w:t xml:space="preserve">אבו סנינה נ' מדינת ישראל </w:t>
      </w:r>
      <w:r>
        <w:rPr>
          <w:rtl/>
        </w:rPr>
        <w:t xml:space="preserve">[פורסם בנבו] (ניתן ביום 15.8.06)): </w:t>
      </w:r>
    </w:p>
    <w:p w14:paraId="1B675508" w14:textId="77777777" w:rsidR="00A347C4" w:rsidRDefault="00A347C4" w:rsidP="00A347C4">
      <w:pPr>
        <w:spacing w:line="360" w:lineRule="auto"/>
        <w:ind w:left="720"/>
        <w:jc w:val="both"/>
        <w:rPr>
          <w:b/>
          <w:bCs/>
          <w:rtl/>
        </w:rPr>
      </w:pPr>
      <w:r>
        <w:rPr>
          <w:rtl/>
        </w:rPr>
        <w:t xml:space="preserve">"[...] </w:t>
      </w:r>
      <w:r>
        <w:rPr>
          <w:b/>
          <w:bCs/>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p>
    <w:p w14:paraId="6635D8C3" w14:textId="77777777" w:rsidR="00A347C4" w:rsidRDefault="00A347C4" w:rsidP="00A347C4">
      <w:pPr>
        <w:spacing w:line="360" w:lineRule="auto"/>
        <w:jc w:val="both"/>
        <w:rPr>
          <w:rtl/>
        </w:rPr>
      </w:pPr>
      <w:r>
        <w:rPr>
          <w:rtl/>
        </w:rPr>
        <w:t>עוד בעניין זה, יפים הדברים שנקבעו ב</w:t>
      </w:r>
      <w:hyperlink r:id="rId21" w:history="1">
        <w:r w:rsidR="005021F5" w:rsidRPr="005021F5">
          <w:rPr>
            <w:color w:val="0000FF"/>
            <w:u w:val="single"/>
            <w:rtl/>
          </w:rPr>
          <w:t>רע"פ 5921/08</w:t>
        </w:r>
      </w:hyperlink>
      <w:r>
        <w:rPr>
          <w:rtl/>
        </w:rPr>
        <w:t xml:space="preserve"> </w:t>
      </w:r>
      <w:r>
        <w:rPr>
          <w:b/>
          <w:bCs/>
          <w:rtl/>
        </w:rPr>
        <w:t xml:space="preserve">רג'בי נ' מדינת ישראל </w:t>
      </w:r>
      <w:r>
        <w:rPr>
          <w:rtl/>
        </w:rPr>
        <w:t xml:space="preserve">[פורסם בנבו] (ניתן ביום 6.5.09)): </w:t>
      </w:r>
    </w:p>
    <w:p w14:paraId="3AC9AE45" w14:textId="77777777" w:rsidR="00A347C4" w:rsidRDefault="00A347C4" w:rsidP="00A347C4">
      <w:pPr>
        <w:spacing w:line="360" w:lineRule="auto"/>
        <w:ind w:left="720"/>
        <w:jc w:val="both"/>
        <w:rPr>
          <w:b/>
          <w:bCs/>
          <w:rtl/>
        </w:rPr>
      </w:pPr>
      <w:r>
        <w:rPr>
          <w:rtl/>
        </w:rPr>
        <w:t xml:space="preserve">"[...] </w:t>
      </w:r>
      <w:r>
        <w:rPr>
          <w:b/>
          <w:bCs/>
          <w:rtl/>
        </w:rPr>
        <w:t xml:space="preserve">החזקה של כלי נשק על ידי מי שאינו מורשה בכך, יש בה פוטנציאל להוביל להסלמה חמורה ולתוצאות קשות של כל אירוע בו יהיה מעורב נושא נשק, וזאת אף מקום שהנשק מוחזק אך ,למטרת 'הגנה עצמית בלבד'" </w:t>
      </w:r>
    </w:p>
    <w:p w14:paraId="662F6973" w14:textId="77777777" w:rsidR="00A347C4" w:rsidRDefault="00A347C4" w:rsidP="00A347C4">
      <w:pPr>
        <w:spacing w:line="360" w:lineRule="auto"/>
        <w:jc w:val="both"/>
        <w:rPr>
          <w:rtl/>
        </w:rPr>
      </w:pPr>
      <w:r>
        <w:rPr>
          <w:rtl/>
        </w:rPr>
        <w:t xml:space="preserve">בחינת מדיניות הענישה הנהוגה מעלה, כי במקרים דומים הוטלו על נאשמים, עונשי מאסר בפועל מאחורי סורג ובריח לתקופות משתנות, כאשר אורך התקופה כלול בנסיבות הספציפיות של העושה והמעשה, כך למשל: </w:t>
      </w:r>
    </w:p>
    <w:p w14:paraId="43ED5F8E" w14:textId="77777777" w:rsidR="00A347C4" w:rsidRDefault="00A347C4" w:rsidP="00A347C4">
      <w:pPr>
        <w:pStyle w:val="a9"/>
        <w:numPr>
          <w:ilvl w:val="0"/>
          <w:numId w:val="1"/>
        </w:numPr>
        <w:spacing w:line="360" w:lineRule="auto"/>
        <w:ind w:left="418"/>
        <w:jc w:val="both"/>
        <w:rPr>
          <w:rFonts w:ascii="David" w:eastAsia="David" w:hAnsi="David" w:cs="David"/>
          <w:sz w:val="24"/>
          <w:szCs w:val="24"/>
          <w:rtl/>
        </w:rPr>
      </w:pPr>
      <w:r>
        <w:rPr>
          <w:rFonts w:cs="David"/>
          <w:sz w:val="24"/>
          <w:szCs w:val="24"/>
          <w:rtl/>
        </w:rPr>
        <w:t xml:space="preserve">ע"פ 5520/09 </w:t>
      </w:r>
      <w:r>
        <w:rPr>
          <w:rFonts w:ascii="David" w:eastAsia="David" w:hAnsi="David" w:cs="David"/>
          <w:b/>
          <w:bCs/>
          <w:sz w:val="24"/>
          <w:szCs w:val="24"/>
          <w:rtl/>
        </w:rPr>
        <w:t>הייתם עוואודה נ' מדינת ישראל</w:t>
      </w:r>
      <w:r>
        <w:rPr>
          <w:rFonts w:ascii="David" w:eastAsia="David" w:hAnsi="David" w:cs="David"/>
          <w:sz w:val="24"/>
          <w:szCs w:val="24"/>
          <w:rtl/>
        </w:rPr>
        <w:t xml:space="preserve">, </w:t>
      </w:r>
      <w:r>
        <w:rPr>
          <w:rFonts w:ascii="Times New Roman" w:eastAsia="David" w:hAnsi="Times New Roman" w:cs="David"/>
          <w:szCs w:val="24"/>
          <w:rtl/>
        </w:rPr>
        <w:t xml:space="preserve">[פורסם בנבו] (ניתן ביום 30.12.09) - </w:t>
      </w:r>
      <w:r>
        <w:rPr>
          <w:rFonts w:ascii="David" w:eastAsia="David" w:hAnsi="David" w:cs="David"/>
          <w:sz w:val="24"/>
          <w:szCs w:val="24"/>
          <w:rtl/>
        </w:rPr>
        <w:t>נדון ערעורו של נאשם נעדר כל הרשעות קודמות, אשר הודה והורשע בעבירה שעניינה החזקת נשק ותחמושת. על נאשם זה הושתו 6 חודשי מאסר בפועל מאחורי סורג ובריח, מאסר מותנה וחיובו בתשלום קנס. ערעור על חומרת העונש נדחה.</w:t>
      </w:r>
    </w:p>
    <w:p w14:paraId="0477B151" w14:textId="77777777" w:rsidR="00A347C4" w:rsidRDefault="005021F5" w:rsidP="00A347C4">
      <w:pPr>
        <w:pStyle w:val="a9"/>
        <w:numPr>
          <w:ilvl w:val="0"/>
          <w:numId w:val="1"/>
        </w:numPr>
        <w:spacing w:line="360" w:lineRule="auto"/>
        <w:ind w:left="418"/>
        <w:jc w:val="both"/>
        <w:rPr>
          <w:rFonts w:ascii="David" w:eastAsia="David" w:hAnsi="David" w:cs="David"/>
          <w:sz w:val="24"/>
          <w:szCs w:val="24"/>
          <w:rtl/>
        </w:rPr>
      </w:pPr>
      <w:hyperlink r:id="rId22" w:history="1">
        <w:r w:rsidRPr="005021F5">
          <w:rPr>
            <w:rFonts w:ascii="David" w:eastAsia="David" w:hAnsi="David" w:cs="David"/>
            <w:color w:val="0000FF"/>
            <w:sz w:val="24"/>
            <w:szCs w:val="24"/>
            <w:u w:val="single"/>
            <w:rtl/>
          </w:rPr>
          <w:t>ע"פ 5604/11</w:t>
        </w:r>
      </w:hyperlink>
      <w:r w:rsidR="00A347C4">
        <w:rPr>
          <w:rFonts w:ascii="David" w:eastAsia="David" w:hAnsi="David" w:cs="David"/>
          <w:sz w:val="24"/>
          <w:szCs w:val="24"/>
          <w:rtl/>
        </w:rPr>
        <w:t xml:space="preserve"> </w:t>
      </w:r>
      <w:r w:rsidR="00A347C4">
        <w:rPr>
          <w:rFonts w:ascii="David" w:eastAsia="David" w:hAnsi="David" w:cs="David"/>
          <w:b/>
          <w:bCs/>
          <w:sz w:val="24"/>
          <w:szCs w:val="24"/>
          <w:rtl/>
        </w:rPr>
        <w:t>נאסר נ' מדינת ישראל</w:t>
      </w:r>
      <w:r w:rsidR="00A347C4">
        <w:rPr>
          <w:rFonts w:ascii="David" w:eastAsia="David" w:hAnsi="David" w:cs="David"/>
          <w:sz w:val="24"/>
          <w:szCs w:val="24"/>
          <w:rtl/>
        </w:rPr>
        <w:t xml:space="preserve">, </w:t>
      </w:r>
      <w:r w:rsidR="00A347C4">
        <w:rPr>
          <w:rFonts w:ascii="Times New Roman" w:eastAsia="David" w:hAnsi="Times New Roman" w:cs="David"/>
          <w:szCs w:val="24"/>
          <w:rtl/>
        </w:rPr>
        <w:t xml:space="preserve">[פורסם בנבו] </w:t>
      </w:r>
      <w:r w:rsidR="00A347C4">
        <w:rPr>
          <w:rFonts w:ascii="David" w:eastAsia="David" w:hAnsi="David" w:cs="David"/>
          <w:sz w:val="24"/>
          <w:szCs w:val="24"/>
          <w:rtl/>
        </w:rPr>
        <w:t>(ניתן ביום 5.10.11) - בית המשפט העליון אישר עונש מאסר בן 12 חודשים ועונשים נלווים לנאשם בעל עבר פלילי שאינו מכביד ואשר חלקו אף התיישן, אשר הורשע בעבירות בנשק לאחר שבביתו נתפסו אקדח ומחסנית לאקדח ובה שמונה כדורים.</w:t>
      </w:r>
    </w:p>
    <w:p w14:paraId="7EDA2506" w14:textId="77777777" w:rsidR="00A347C4" w:rsidRDefault="005021F5" w:rsidP="00A347C4">
      <w:pPr>
        <w:pStyle w:val="a9"/>
        <w:numPr>
          <w:ilvl w:val="0"/>
          <w:numId w:val="1"/>
        </w:numPr>
        <w:spacing w:line="360" w:lineRule="auto"/>
        <w:ind w:left="418"/>
        <w:jc w:val="both"/>
        <w:rPr>
          <w:rFonts w:ascii="Times New Roman" w:eastAsia="Times New Roman" w:hAnsi="Times New Roman" w:cs="Times New Roman"/>
          <w:sz w:val="24"/>
          <w:szCs w:val="24"/>
          <w:rtl/>
        </w:rPr>
      </w:pPr>
      <w:hyperlink r:id="rId23" w:history="1">
        <w:r w:rsidRPr="005021F5">
          <w:rPr>
            <w:rFonts w:ascii="David" w:eastAsia="Times New Roman" w:hAnsi="David" w:cs="David"/>
            <w:color w:val="0000FF"/>
            <w:sz w:val="24"/>
            <w:szCs w:val="24"/>
            <w:u w:val="single"/>
            <w:rtl/>
          </w:rPr>
          <w:t>עפ"ג 23419-01-17</w:t>
        </w:r>
      </w:hyperlink>
      <w:r w:rsidR="00A347C4">
        <w:rPr>
          <w:rFonts w:ascii="David" w:eastAsia="Times New Roman" w:hAnsi="David" w:cs="David"/>
          <w:b/>
          <w:bCs/>
          <w:sz w:val="24"/>
          <w:szCs w:val="24"/>
          <w:rtl/>
        </w:rPr>
        <w:t xml:space="preserve"> מדינת ישראל נ' זניד ואח'</w:t>
      </w:r>
      <w:r w:rsidR="00A347C4">
        <w:rPr>
          <w:rFonts w:ascii="David" w:eastAsia="Times New Roman" w:hAnsi="David" w:cs="David"/>
          <w:sz w:val="24"/>
          <w:szCs w:val="24"/>
          <w:rtl/>
        </w:rPr>
        <w:t xml:space="preserve"> [פורסם בנבו] (ניתן ביום 22.3.17) - הנאשמים נתפסו כשהם מחזיקים כלי נשק ומחסנית וכן רובה עם מחסנית, נקבע מתחם ענישה בין 13 עד 30 חודשי מאסר בפועל.</w:t>
      </w:r>
    </w:p>
    <w:p w14:paraId="11CB44A7" w14:textId="77777777" w:rsidR="00A347C4" w:rsidRDefault="005021F5" w:rsidP="00A347C4">
      <w:pPr>
        <w:pStyle w:val="a9"/>
        <w:numPr>
          <w:ilvl w:val="0"/>
          <w:numId w:val="1"/>
        </w:numPr>
        <w:spacing w:line="360" w:lineRule="auto"/>
        <w:ind w:left="418"/>
        <w:jc w:val="both"/>
        <w:rPr>
          <w:rFonts w:ascii="Times New Roman" w:eastAsia="Times New Roman" w:hAnsi="Times New Roman" w:cs="Times New Roman"/>
          <w:sz w:val="24"/>
          <w:szCs w:val="24"/>
        </w:rPr>
      </w:pPr>
      <w:hyperlink r:id="rId24" w:history="1">
        <w:r w:rsidRPr="005021F5">
          <w:rPr>
            <w:rFonts w:ascii="David" w:eastAsia="Times New Roman" w:hAnsi="David" w:cs="David"/>
            <w:color w:val="0000FF"/>
            <w:sz w:val="24"/>
            <w:szCs w:val="24"/>
            <w:u w:val="single"/>
            <w:rtl/>
          </w:rPr>
          <w:t>ע"פ 4945/13</w:t>
        </w:r>
      </w:hyperlink>
      <w:r w:rsidR="00A347C4">
        <w:rPr>
          <w:rFonts w:ascii="David" w:eastAsia="Times New Roman" w:hAnsi="David" w:cs="David"/>
          <w:sz w:val="24"/>
          <w:szCs w:val="24"/>
          <w:rtl/>
        </w:rPr>
        <w:t xml:space="preserve"> </w:t>
      </w:r>
      <w:r w:rsidR="00A347C4">
        <w:rPr>
          <w:rFonts w:ascii="David" w:eastAsia="Times New Roman" w:hAnsi="David" w:cs="David"/>
          <w:b/>
          <w:bCs/>
          <w:sz w:val="24"/>
          <w:szCs w:val="24"/>
          <w:rtl/>
        </w:rPr>
        <w:t xml:space="preserve">מדינת ישראל נ' סלימאן </w:t>
      </w:r>
      <w:r w:rsidR="00A347C4">
        <w:rPr>
          <w:rFonts w:ascii="David" w:eastAsia="Times New Roman" w:hAnsi="David" w:cs="David"/>
          <w:sz w:val="24"/>
          <w:szCs w:val="24"/>
          <w:rtl/>
        </w:rPr>
        <w:t xml:space="preserve">[פורסם בנבו] (ניתן ביום 8.1.14) - נקבע מתחם ענישה בין 12 ועד 36 חודשי מאסר, בגין החזקת כלי נשק בודד מסוג תת מקלע קרל גוסטב וכן מחסנית כדורית. בית המשפט העליון קבע כי ראוי לקבוע עונשים מרתיעים בגין עבירות אלה. </w:t>
      </w:r>
    </w:p>
    <w:p w14:paraId="3E157CAE" w14:textId="77777777" w:rsidR="00A347C4" w:rsidRDefault="005021F5" w:rsidP="00A347C4">
      <w:pPr>
        <w:pStyle w:val="a9"/>
        <w:numPr>
          <w:ilvl w:val="0"/>
          <w:numId w:val="1"/>
        </w:numPr>
        <w:spacing w:line="360" w:lineRule="auto"/>
        <w:ind w:left="418"/>
        <w:jc w:val="both"/>
        <w:rPr>
          <w:rFonts w:ascii="David" w:eastAsia="David" w:hAnsi="David" w:cs="David"/>
          <w:sz w:val="24"/>
          <w:szCs w:val="24"/>
        </w:rPr>
      </w:pPr>
      <w:hyperlink r:id="rId25" w:history="1">
        <w:r w:rsidRPr="005021F5">
          <w:rPr>
            <w:rFonts w:ascii="David" w:eastAsia="Times New Roman" w:hAnsi="David" w:cs="David"/>
            <w:color w:val="0000FF"/>
            <w:sz w:val="24"/>
            <w:szCs w:val="24"/>
            <w:u w:val="single"/>
            <w:rtl/>
          </w:rPr>
          <w:t>ת"פ 37846-11-11</w:t>
        </w:r>
      </w:hyperlink>
      <w:r w:rsidR="00A347C4">
        <w:rPr>
          <w:rFonts w:ascii="David" w:eastAsia="Times New Roman" w:hAnsi="David" w:cs="David"/>
          <w:sz w:val="24"/>
          <w:szCs w:val="24"/>
          <w:rtl/>
        </w:rPr>
        <w:t xml:space="preserve"> </w:t>
      </w:r>
      <w:r w:rsidR="00A347C4">
        <w:rPr>
          <w:rFonts w:ascii="David" w:eastAsia="David" w:hAnsi="David" w:cs="David"/>
          <w:b/>
          <w:bCs/>
          <w:sz w:val="24"/>
          <w:szCs w:val="24"/>
          <w:rtl/>
        </w:rPr>
        <w:t>מדינת ישראל נ' עידן גאון</w:t>
      </w:r>
      <w:r w:rsidR="00A347C4">
        <w:rPr>
          <w:rFonts w:ascii="David" w:eastAsia="David" w:hAnsi="David" w:cs="David"/>
          <w:sz w:val="24"/>
          <w:szCs w:val="24"/>
          <w:rtl/>
        </w:rPr>
        <w:t xml:space="preserve"> </w:t>
      </w:r>
      <w:r w:rsidR="00A347C4">
        <w:rPr>
          <w:rFonts w:ascii="Times New Roman" w:eastAsia="David" w:hAnsi="Times New Roman" w:cs="David"/>
          <w:szCs w:val="24"/>
          <w:rtl/>
        </w:rPr>
        <w:t xml:space="preserve">[פורסם בנבו] </w:t>
      </w:r>
      <w:r w:rsidR="00A347C4">
        <w:rPr>
          <w:rFonts w:ascii="David" w:eastAsia="David" w:hAnsi="David" w:cs="David"/>
          <w:sz w:val="24"/>
          <w:szCs w:val="24"/>
          <w:rtl/>
        </w:rPr>
        <w:t>(ניתן ביום 27.12.12). -  הורשע הנאשם על פי הודאתו בכתב אישום מתוקן בעבירות שעניינן, החזקת נשק שלא כדין (ריבוי עבירות) וגניבה. בין השנים 2005-2010 נטל הנאשם נשק, תחמושת וציוד מרשות צה"ל. בהמשך, ביום 2.2.10, החזיק הנאשם בביתו את הנשק והתחמושת. על נאשם זה נגזרו, בין היתר, 4 חודשי מאסר, שירוצו על דרך של עבודות שירות.</w:t>
      </w:r>
    </w:p>
    <w:p w14:paraId="595CFA06" w14:textId="77777777" w:rsidR="00A347C4" w:rsidRDefault="00A347C4" w:rsidP="00A347C4">
      <w:pPr>
        <w:pStyle w:val="a9"/>
        <w:numPr>
          <w:ilvl w:val="0"/>
          <w:numId w:val="1"/>
        </w:numPr>
        <w:spacing w:line="360" w:lineRule="auto"/>
        <w:ind w:left="418"/>
        <w:jc w:val="both"/>
        <w:rPr>
          <w:rFonts w:ascii="David" w:eastAsia="David" w:hAnsi="David" w:cs="David"/>
          <w:sz w:val="24"/>
          <w:szCs w:val="24"/>
          <w:rtl/>
        </w:rPr>
      </w:pPr>
      <w:r>
        <w:rPr>
          <w:rFonts w:ascii="David" w:eastAsia="David" w:hAnsi="David" w:cs="David"/>
          <w:sz w:val="24"/>
          <w:szCs w:val="24"/>
          <w:rtl/>
        </w:rPr>
        <w:t xml:space="preserve">ת"פ (מחוזי נצרת) 1162/11 </w:t>
      </w:r>
      <w:r>
        <w:rPr>
          <w:rFonts w:ascii="David" w:eastAsia="David" w:hAnsi="David" w:cs="David"/>
          <w:b/>
          <w:bCs/>
          <w:sz w:val="24"/>
          <w:szCs w:val="24"/>
          <w:rtl/>
        </w:rPr>
        <w:t>מדינת ישראל נ' וג'די סביח ואח'</w:t>
      </w:r>
      <w:r>
        <w:rPr>
          <w:rFonts w:ascii="David" w:eastAsia="David" w:hAnsi="David" w:cs="David"/>
          <w:sz w:val="24"/>
          <w:szCs w:val="24"/>
          <w:rtl/>
        </w:rPr>
        <w:t xml:space="preserve">, </w:t>
      </w:r>
      <w:r>
        <w:rPr>
          <w:rFonts w:ascii="Times New Roman" w:eastAsia="David" w:hAnsi="Times New Roman" w:cs="David"/>
          <w:szCs w:val="24"/>
          <w:rtl/>
        </w:rPr>
        <w:t xml:space="preserve">[פורסם בנבו] </w:t>
      </w:r>
      <w:r>
        <w:rPr>
          <w:rFonts w:ascii="David" w:eastAsia="David" w:hAnsi="David" w:cs="David"/>
          <w:sz w:val="24"/>
          <w:szCs w:val="24"/>
          <w:rtl/>
        </w:rPr>
        <w:t xml:space="preserve">(ניתן ביום 24.1.02) - הנאשמים הורשעו בכך שהחזיקו ללא רישיון כדין באקדח בקוטר 9 מ"מ ומחסנית שהכילה כדורים וכי הובילו את הנשק ברכבו של הנאשם 1. כאשר הבחינו במחסום משטרתי, הנאשם 1, אשר נהג ברכב, סטה לימין הדרך ובעוד שוטרי המחסום רצים לעבר הרכב שעורר את חשדם, השליך הנאשם 2 את הנשק מבעד לחלון הרכב. על הנאשם 1 הושת עונש מאסר בפועל למשך 15 חודשים וכן הופעל מאסר מותנה, כך שסך הכל נגזרו על הנאשם 24 חודשי מאסר בפועל בצד עונשים נלווים, על הנאשם 2, הושת עונש מאסר בפועל לתקופה של 10 חודשים, בצד עונשים נלווים. </w:t>
      </w:r>
    </w:p>
    <w:p w14:paraId="5EF097B6" w14:textId="77777777" w:rsidR="00A347C4" w:rsidRPr="00A347C4" w:rsidRDefault="00A347C4" w:rsidP="00A347C4">
      <w:pPr>
        <w:spacing w:line="360" w:lineRule="auto"/>
        <w:jc w:val="both"/>
        <w:rPr>
          <w:rFonts w:ascii="Calibri" w:eastAsia="Calibri" w:hAnsi="Calibri"/>
          <w:rtl/>
        </w:rPr>
      </w:pPr>
      <w:r>
        <w:rPr>
          <w:rtl/>
        </w:rPr>
        <w:t xml:space="preserve">באשר לנסיבות הקשורות בביצוע העבירה, הרי שהנאשם החזיק על גופו אקדח מסוג </w:t>
      </w:r>
      <w:r w:rsidRPr="00A347C4">
        <w:rPr>
          <w:rFonts w:cs="Times New Roman"/>
        </w:rPr>
        <w:t>STAR</w:t>
      </w:r>
      <w:r>
        <w:rPr>
          <w:rtl/>
        </w:rPr>
        <w:t xml:space="preserve"> 70522 הטעון מחסנית ובתוכה 7 כדורי 9 מ"מ ללא רשות על פי דין</w:t>
      </w:r>
      <w:r>
        <w:rPr>
          <w:rFonts w:hint="cs"/>
          <w:rtl/>
        </w:rPr>
        <w:t>.</w:t>
      </w:r>
      <w:r>
        <w:rPr>
          <w:rtl/>
        </w:rPr>
        <w:t xml:space="preserve"> לטענת הנאשם הוא מצא את האקדח ברחוב, זאת כאשר באירוע מעורב נוסף, אשר אף נמלט מהשוטרים. </w:t>
      </w:r>
    </w:p>
    <w:p w14:paraId="4EF911A9" w14:textId="77777777" w:rsidR="00A347C4" w:rsidRDefault="00A347C4" w:rsidP="00A347C4">
      <w:pPr>
        <w:spacing w:line="360" w:lineRule="auto"/>
        <w:jc w:val="both"/>
        <w:rPr>
          <w:rtl/>
        </w:rPr>
      </w:pPr>
      <w:r>
        <w:rPr>
          <w:rtl/>
        </w:rPr>
        <w:t>הנאשם הוא אחראי באופן מלא על מעשיו, היה עליו להיות מודע לפוטנציאל הקטלני שבהחזקת נשק מסוג זה. מתסקיר שירות המבחן עולה כי הנאשם הודה בביצוע העבירה</w:t>
      </w:r>
      <w:r>
        <w:rPr>
          <w:rFonts w:hint="cs"/>
          <w:rtl/>
        </w:rPr>
        <w:t>,</w:t>
      </w:r>
      <w:r>
        <w:rPr>
          <w:rtl/>
        </w:rPr>
        <w:t xml:space="preserve"> אך מתקשה לקחת אחריות על ביצועה של העבירה, נוטה לשיח שאופיין במסרים מבלבלים, סותרים, מצמצמים ומטשטשים, כאשר לטענתו לא חשב על השלכות מעשיו. </w:t>
      </w:r>
    </w:p>
    <w:p w14:paraId="4427537D" w14:textId="77777777" w:rsidR="00A347C4" w:rsidRDefault="00A347C4" w:rsidP="00A347C4">
      <w:pPr>
        <w:spacing w:line="360" w:lineRule="auto"/>
        <w:jc w:val="both"/>
        <w:rPr>
          <w:rtl/>
        </w:rPr>
      </w:pPr>
      <w:r>
        <w:rPr>
          <w:rtl/>
        </w:rPr>
        <w:t>באשר לנזק שנגרם מביצוע העבירות, אשוב ואדגיש כי עבירות הנשק בכללן טומנות בחובן פוטנציאל למסוכנות מוחשית וממשית לשלום הציבור ולבטחונו. כאשר הנזק שצפוי היה להיגרם מביצוע העבירות הינו גבוה, לו היה נעשה בנשק שימוש שלא כדין. בפועל, מעובדות כתב האישום, עולה כי לא נעשה שימוש בנ</w:t>
      </w:r>
      <w:r>
        <w:rPr>
          <w:rFonts w:hint="cs"/>
          <w:rtl/>
        </w:rPr>
        <w:t>ש</w:t>
      </w:r>
      <w:r>
        <w:rPr>
          <w:rtl/>
        </w:rPr>
        <w:t>ק ולא נגרם כל נזק ממשי ומ</w:t>
      </w:r>
      <w:r>
        <w:rPr>
          <w:rFonts w:hint="cs"/>
          <w:rtl/>
        </w:rPr>
        <w:t>וח</w:t>
      </w:r>
      <w:r>
        <w:rPr>
          <w:rtl/>
        </w:rPr>
        <w:t xml:space="preserve">שי בעטיו, וזאת מבלי להקל ראש בעצם נשיאת הנשק על גופו של הנאשם. </w:t>
      </w:r>
    </w:p>
    <w:p w14:paraId="33BACD1C" w14:textId="77777777" w:rsidR="00A347C4" w:rsidRDefault="00A347C4" w:rsidP="00A347C4">
      <w:pPr>
        <w:spacing w:line="360" w:lineRule="auto"/>
        <w:jc w:val="both"/>
        <w:rPr>
          <w:rtl/>
        </w:rPr>
      </w:pPr>
      <w:r>
        <w:rPr>
          <w:rtl/>
        </w:rPr>
        <w:t xml:space="preserve">בנסיבות אלה, בזיקה לערכים החברתיים המוגנים שנפגעו מביצוע העבירות ומידת הפגיעה בהם, מדיניות הענישה הנהוגה והנסיבות הקשורות בביצוע העבירות, אני סבורה כי מתחם העונש ההולם נע במקרה דנן בין </w:t>
      </w:r>
      <w:r>
        <w:rPr>
          <w:rFonts w:hint="cs"/>
          <w:rtl/>
        </w:rPr>
        <w:t xml:space="preserve">9 </w:t>
      </w:r>
      <w:r>
        <w:rPr>
          <w:rtl/>
        </w:rPr>
        <w:t>חוד</w:t>
      </w:r>
      <w:r>
        <w:rPr>
          <w:rFonts w:hint="cs"/>
          <w:rtl/>
        </w:rPr>
        <w:t>ש</w:t>
      </w:r>
      <w:r>
        <w:rPr>
          <w:rtl/>
        </w:rPr>
        <w:t xml:space="preserve">י מאסר בפועל לבין 36 חודשי מאסר בפועל, בצירוף עונשים נלווים. </w:t>
      </w:r>
    </w:p>
    <w:p w14:paraId="205B77D3" w14:textId="77777777" w:rsidR="00A347C4" w:rsidRDefault="00A347C4" w:rsidP="00A347C4">
      <w:pPr>
        <w:spacing w:line="360" w:lineRule="auto"/>
        <w:jc w:val="both"/>
        <w:rPr>
          <w:rtl/>
        </w:rPr>
      </w:pPr>
      <w:r>
        <w:rPr>
          <w:rtl/>
        </w:rPr>
        <w:t>אשר לנסיבות האישיות של הנאשם, בענייננו, הנאשם צעיר, כבן 18, נעדר עבר פלילי, כאמור לעיל, כפי העולה מתסקיר שירות המבחן, הנאשם התקשה לקחת אחריות על מעשיו ולהבין את החומרה שבהם, אף שבפני בית המשפט הביע חרטה, עולה כי הנאשם שולל נזקקות טיפולית ושירות המבחן סבור כי הדרך בה ניהל הנאשם את חייו, קשריו החברתיים והסביבתיים והשיח שמאופיין בהסתרה, יש בהם כדי להצביע על קיום עמדות בעייתיות ביחס לגורמי חוק, אשר מגביר את הסיכון במצבו.</w:t>
      </w:r>
    </w:p>
    <w:p w14:paraId="7010AC85" w14:textId="77777777" w:rsidR="00A347C4" w:rsidRDefault="00A347C4" w:rsidP="00A347C4">
      <w:pPr>
        <w:spacing w:line="360" w:lineRule="auto"/>
        <w:jc w:val="both"/>
        <w:rPr>
          <w:rtl/>
        </w:rPr>
      </w:pPr>
      <w:r>
        <w:rPr>
          <w:rtl/>
        </w:rPr>
        <w:t xml:space="preserve">לצד זאת מציין שירות המבחן את גילו הצעיר של הנאשם, עובדת היותו </w:t>
      </w:r>
      <w:r>
        <w:rPr>
          <w:rFonts w:hint="cs"/>
          <w:rtl/>
        </w:rPr>
        <w:t xml:space="preserve">נעדר </w:t>
      </w:r>
      <w:r>
        <w:rPr>
          <w:rtl/>
        </w:rPr>
        <w:t xml:space="preserve">עבר פלילי וההשלכות שעשויות להיות במאסר ממושך מאחורי סורג ובריח והחשיפה לעולם העברייני. </w:t>
      </w:r>
    </w:p>
    <w:p w14:paraId="4AB76679" w14:textId="77777777" w:rsidR="00A347C4" w:rsidRDefault="00A347C4" w:rsidP="00A347C4">
      <w:pPr>
        <w:spacing w:line="360" w:lineRule="auto"/>
        <w:jc w:val="both"/>
        <w:rPr>
          <w:rtl/>
        </w:rPr>
      </w:pPr>
      <w:r>
        <w:rPr>
          <w:rtl/>
        </w:rPr>
        <w:t>סבור</w:t>
      </w:r>
      <w:r>
        <w:rPr>
          <w:rFonts w:hint="cs"/>
          <w:rtl/>
        </w:rPr>
        <w:t>ת</w:t>
      </w:r>
      <w:r>
        <w:rPr>
          <w:rtl/>
        </w:rPr>
        <w:t xml:space="preserve">ני, כי בנסיבות אלה, אין מקום לסטות ממתחם העונש ההולם לחומרא או לקולא, וכי יש לגזור את עונשו של הנאשם בתוך המתחם. </w:t>
      </w:r>
    </w:p>
    <w:p w14:paraId="78E3090B" w14:textId="77777777" w:rsidR="00A347C4" w:rsidRDefault="00A347C4" w:rsidP="00A347C4">
      <w:pPr>
        <w:spacing w:line="360" w:lineRule="auto"/>
        <w:jc w:val="both"/>
        <w:rPr>
          <w:rtl/>
        </w:rPr>
      </w:pPr>
      <w:r>
        <w:rPr>
          <w:rtl/>
        </w:rPr>
        <w:t>במסגרת גזירת הדין לקחתי בחשבון את הודאת הנאשם, החיסכון בזמן שיפוטי, גילו הצעיר של הנאשם ועובדת היותו</w:t>
      </w:r>
      <w:r>
        <w:rPr>
          <w:rFonts w:hint="cs"/>
          <w:rtl/>
        </w:rPr>
        <w:t xml:space="preserve"> נעדר</w:t>
      </w:r>
      <w:r>
        <w:rPr>
          <w:rtl/>
        </w:rPr>
        <w:t xml:space="preserve"> עבר פלילי וכי זו היא לו הסתבכותו הראשונה בפלילים. </w:t>
      </w:r>
    </w:p>
    <w:p w14:paraId="38DEEA13" w14:textId="77777777" w:rsidR="00A347C4" w:rsidRDefault="00A347C4" w:rsidP="00A347C4">
      <w:pPr>
        <w:spacing w:line="360" w:lineRule="auto"/>
        <w:ind w:left="-7"/>
        <w:jc w:val="both"/>
        <w:rPr>
          <w:b/>
          <w:bCs/>
          <w:sz w:val="28"/>
          <w:szCs w:val="28"/>
          <w:u w:val="single"/>
          <w:rtl/>
        </w:rPr>
      </w:pPr>
    </w:p>
    <w:p w14:paraId="5AC6B723" w14:textId="77777777" w:rsidR="00A347C4" w:rsidRDefault="00A347C4" w:rsidP="00A347C4">
      <w:pPr>
        <w:spacing w:line="360" w:lineRule="auto"/>
        <w:ind w:left="-7"/>
        <w:jc w:val="both"/>
        <w:rPr>
          <w:b/>
          <w:bCs/>
          <w:sz w:val="28"/>
          <w:szCs w:val="28"/>
          <w:u w:val="single"/>
          <w:rtl/>
        </w:rPr>
      </w:pPr>
      <w:r>
        <w:rPr>
          <w:b/>
          <w:bCs/>
          <w:sz w:val="28"/>
          <w:szCs w:val="28"/>
          <w:u w:val="single"/>
          <w:rtl/>
        </w:rPr>
        <w:t>סוף דבר</w:t>
      </w:r>
    </w:p>
    <w:p w14:paraId="146CAA8F" w14:textId="77777777" w:rsidR="00A347C4" w:rsidRDefault="00A347C4" w:rsidP="00A347C4">
      <w:pPr>
        <w:spacing w:after="120" w:line="360" w:lineRule="auto"/>
        <w:ind w:left="-7"/>
        <w:jc w:val="both"/>
        <w:rPr>
          <w:rFonts w:ascii="David" w:hAnsi="David"/>
          <w:rtl/>
        </w:rPr>
      </w:pPr>
      <w:r>
        <w:rPr>
          <w:rFonts w:ascii="David" w:hAnsi="David"/>
          <w:rtl/>
        </w:rPr>
        <w:t>על כן ולאחר שיקול מכלול השיקולים, אני גוזרת על הנאשם את העונשים הבאים כדלקמן:</w:t>
      </w:r>
    </w:p>
    <w:p w14:paraId="27D7F88E" w14:textId="77777777" w:rsidR="00A347C4" w:rsidRDefault="00A347C4" w:rsidP="00A347C4">
      <w:pPr>
        <w:spacing w:after="120" w:line="360" w:lineRule="auto"/>
        <w:ind w:left="-7"/>
        <w:jc w:val="both"/>
        <w:rPr>
          <w:rFonts w:ascii="David" w:hAnsi="David"/>
          <w:rtl/>
        </w:rPr>
      </w:pPr>
      <w:r>
        <w:rPr>
          <w:rFonts w:ascii="David" w:hAnsi="David"/>
          <w:rtl/>
        </w:rPr>
        <w:t>11 חודשי מאסר לריצוי בפועל, בניכוי ימי מעצרו מיום 30/7/19.</w:t>
      </w:r>
    </w:p>
    <w:p w14:paraId="236739CD" w14:textId="77777777" w:rsidR="00A347C4" w:rsidRDefault="00A347C4" w:rsidP="00A347C4">
      <w:pPr>
        <w:spacing w:after="120" w:line="360" w:lineRule="auto"/>
        <w:ind w:left="-7"/>
        <w:jc w:val="both"/>
        <w:rPr>
          <w:rFonts w:ascii="David" w:hAnsi="David"/>
          <w:rtl/>
        </w:rPr>
      </w:pPr>
      <w:r>
        <w:rPr>
          <w:rFonts w:ascii="David" w:hAnsi="David" w:hint="cs"/>
          <w:rtl/>
        </w:rPr>
        <w:t xml:space="preserve">9 </w:t>
      </w:r>
      <w:r>
        <w:rPr>
          <w:rFonts w:ascii="David" w:hAnsi="David"/>
          <w:rtl/>
        </w:rPr>
        <w:t xml:space="preserve">חודשי מאסר על תנאי, למשך 3 שנים מיום שחרורו של הנאשם ממאסרו, שהנאשם לא יעבור עבירה בנשק מסוג פשע. </w:t>
      </w:r>
    </w:p>
    <w:p w14:paraId="4A213B9F" w14:textId="77777777" w:rsidR="00A347C4" w:rsidRDefault="00A347C4" w:rsidP="00A347C4">
      <w:pPr>
        <w:spacing w:after="120" w:line="360" w:lineRule="auto"/>
        <w:ind w:left="-7"/>
        <w:jc w:val="both"/>
        <w:rPr>
          <w:rFonts w:ascii="David" w:hAnsi="David"/>
          <w:rtl/>
        </w:rPr>
      </w:pPr>
      <w:r>
        <w:rPr>
          <w:rFonts w:ascii="David" w:hAnsi="David"/>
          <w:rtl/>
        </w:rPr>
        <w:t xml:space="preserve">6 חודשי מאסר על תנאי, למשך 3 שנים מיום שחרורו של הנאשם ממאסרו, שהנאשם לא יעבור עבירה בנשק מסוג עוון. </w:t>
      </w:r>
    </w:p>
    <w:p w14:paraId="77F92DE8" w14:textId="77777777" w:rsidR="00A347C4" w:rsidRDefault="00A347C4" w:rsidP="00A347C4">
      <w:pPr>
        <w:spacing w:after="120" w:line="360" w:lineRule="auto"/>
        <w:ind w:left="-7"/>
        <w:jc w:val="both"/>
        <w:rPr>
          <w:rFonts w:ascii="David" w:hAnsi="David"/>
          <w:rtl/>
        </w:rPr>
      </w:pPr>
      <w:r>
        <w:rPr>
          <w:rFonts w:ascii="David" w:hAnsi="David"/>
          <w:rtl/>
        </w:rPr>
        <w:t>קנס בסך 3,000 ₪ או 30 ימי מאסר תמורתם. הקנס ישולם בפריסה ל- 10 תשלומים חודשיים שווים ורצופים. התשלום הראשון ישולם עד ולא יאוחר מיום 10/2/20</w:t>
      </w:r>
      <w:r>
        <w:rPr>
          <w:rFonts w:ascii="David" w:hAnsi="David" w:hint="cs"/>
          <w:rtl/>
        </w:rPr>
        <w:t>.</w:t>
      </w:r>
      <w:r>
        <w:rPr>
          <w:rFonts w:ascii="David" w:hAnsi="David"/>
          <w:rtl/>
        </w:rPr>
        <w:t xml:space="preserve"> יתרת התשלומים תשולם ב- 10 לכל חודש הבא אחריו. לא ישולם תשלום במועד, יעמוד מלוא הסכום לפירעון מיידי. </w:t>
      </w:r>
    </w:p>
    <w:p w14:paraId="2D6313BF" w14:textId="77777777" w:rsidR="00A347C4" w:rsidRDefault="00A347C4" w:rsidP="00A347C4">
      <w:pPr>
        <w:pStyle w:val="a9"/>
        <w:spacing w:before="120" w:after="120" w:line="360" w:lineRule="auto"/>
        <w:ind w:left="-7"/>
        <w:jc w:val="both"/>
        <w:rPr>
          <w:rFonts w:ascii="David" w:hAnsi="David" w:cs="David"/>
          <w:sz w:val="24"/>
          <w:szCs w:val="24"/>
          <w:rtl/>
          <w:lang w:eastAsia="he-IL"/>
        </w:rPr>
      </w:pPr>
      <w:r>
        <w:rPr>
          <w:rFonts w:ascii="David" w:hAnsi="David" w:cs="David"/>
          <w:sz w:val="24"/>
          <w:szCs w:val="24"/>
          <w:rtl/>
          <w:lang w:eastAsia="he-IL"/>
        </w:rPr>
        <w:t>ניתן בזאת צו כללי למוצגים; חילוט, השמדה, השבה לבעלים וזאת על פי החלטת קצין חקירות ממונה.</w:t>
      </w:r>
    </w:p>
    <w:p w14:paraId="4CF9409B" w14:textId="77777777" w:rsidR="00A347C4" w:rsidRDefault="00A347C4" w:rsidP="00A347C4">
      <w:pPr>
        <w:pStyle w:val="a9"/>
        <w:ind w:left="-7"/>
        <w:rPr>
          <w:rFonts w:ascii="David" w:hAnsi="David" w:cs="David"/>
          <w:b/>
          <w:bCs/>
          <w:sz w:val="24"/>
          <w:szCs w:val="24"/>
          <w:u w:val="single"/>
        </w:rPr>
      </w:pPr>
    </w:p>
    <w:p w14:paraId="11305952" w14:textId="77777777" w:rsidR="00A347C4" w:rsidRPr="00FE5E98" w:rsidRDefault="00A347C4" w:rsidP="00A347C4">
      <w:pPr>
        <w:pStyle w:val="a9"/>
        <w:spacing w:before="120" w:line="360" w:lineRule="auto"/>
        <w:ind w:left="-7"/>
        <w:jc w:val="both"/>
        <w:rPr>
          <w:rFonts w:ascii="David" w:hAnsi="David" w:cs="David"/>
          <w:sz w:val="24"/>
          <w:szCs w:val="24"/>
          <w:rtl/>
          <w:lang w:eastAsia="he-IL"/>
        </w:rPr>
      </w:pPr>
      <w:r w:rsidRPr="00FE5E98">
        <w:rPr>
          <w:rFonts w:ascii="David" w:hAnsi="David" w:cs="David"/>
          <w:b/>
          <w:bCs/>
          <w:sz w:val="24"/>
          <w:szCs w:val="24"/>
          <w:rtl/>
        </w:rPr>
        <w:t xml:space="preserve">זכות ערעור כחוק. </w:t>
      </w:r>
    </w:p>
    <w:p w14:paraId="06DF5E8F" w14:textId="77777777" w:rsidR="00A347C4" w:rsidRDefault="00A347C4" w:rsidP="00A347C4">
      <w:pPr>
        <w:pStyle w:val="a9"/>
        <w:ind w:left="-7"/>
        <w:rPr>
          <w:rFonts w:ascii="David" w:hAnsi="David" w:cs="David"/>
          <w:b/>
          <w:bCs/>
          <w:sz w:val="24"/>
          <w:szCs w:val="24"/>
          <w:u w:val="single"/>
        </w:rPr>
      </w:pPr>
    </w:p>
    <w:p w14:paraId="423B372A" w14:textId="77777777" w:rsidR="00A347C4" w:rsidRPr="00FE5E98" w:rsidRDefault="00A347C4" w:rsidP="00A347C4">
      <w:pPr>
        <w:pStyle w:val="a9"/>
        <w:spacing w:before="120" w:line="360" w:lineRule="auto"/>
        <w:ind w:left="-7"/>
        <w:jc w:val="both"/>
        <w:rPr>
          <w:rFonts w:ascii="David" w:hAnsi="David" w:cs="David"/>
          <w:sz w:val="24"/>
          <w:szCs w:val="24"/>
          <w:rtl/>
        </w:rPr>
      </w:pPr>
      <w:r>
        <w:rPr>
          <w:rFonts w:ascii="David" w:hAnsi="David" w:cs="David" w:hint="cs"/>
          <w:sz w:val="24"/>
          <w:szCs w:val="24"/>
          <w:rtl/>
        </w:rPr>
        <w:t>עותק גזר הדין יועבר אל שירות המבחן.</w:t>
      </w:r>
    </w:p>
    <w:p w14:paraId="74C02E55" w14:textId="77777777" w:rsidR="00A347C4" w:rsidRPr="00B05847" w:rsidRDefault="00A347C4" w:rsidP="00A347C4">
      <w:pPr>
        <w:rPr>
          <w:rtl/>
        </w:rPr>
      </w:pPr>
    </w:p>
    <w:p w14:paraId="0BBE582F" w14:textId="77777777" w:rsidR="00A347C4" w:rsidRPr="005021F5" w:rsidRDefault="005021F5" w:rsidP="00A347C4">
      <w:pPr>
        <w:rPr>
          <w:color w:val="FFFFFF"/>
          <w:sz w:val="2"/>
          <w:szCs w:val="2"/>
          <w:rtl/>
        </w:rPr>
      </w:pPr>
      <w:r w:rsidRPr="005021F5">
        <w:rPr>
          <w:color w:val="FFFFFF"/>
          <w:sz w:val="2"/>
          <w:szCs w:val="2"/>
          <w:rtl/>
        </w:rPr>
        <w:t>5129371</w:t>
      </w:r>
    </w:p>
    <w:p w14:paraId="2049CCBB" w14:textId="77777777" w:rsidR="00A347C4" w:rsidRDefault="005021F5" w:rsidP="00A347C4">
      <w:pPr>
        <w:rPr>
          <w:rFonts w:cs="FrankRuehl"/>
          <w:sz w:val="28"/>
          <w:szCs w:val="28"/>
          <w:rtl/>
        </w:rPr>
      </w:pPr>
      <w:bookmarkStart w:id="8" w:name="Nitan"/>
      <w:r w:rsidRPr="005021F5">
        <w:rPr>
          <w:rFonts w:ascii="Arial" w:hAnsi="Arial"/>
          <w:color w:val="FFFFFF"/>
          <w:sz w:val="2"/>
          <w:szCs w:val="2"/>
          <w:rtl/>
        </w:rPr>
        <w:t>54678313</w:t>
      </w:r>
      <w:r>
        <w:rPr>
          <w:rFonts w:ascii="Arial" w:hAnsi="Arial"/>
          <w:rtl/>
        </w:rPr>
        <w:t xml:space="preserve">ניתן היום,  כ' כסלו תש"פ, 18 דצמבר 2019, במעמד הצדדים. </w:t>
      </w:r>
      <w:bookmarkEnd w:id="8"/>
    </w:p>
    <w:p w14:paraId="4A3FEA9D" w14:textId="77777777" w:rsidR="00A347C4" w:rsidRDefault="00A347C4" w:rsidP="005021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186A38" w14:textId="77777777" w:rsidR="00A347C4" w:rsidRDefault="00A347C4" w:rsidP="00A347C4">
      <w:pPr>
        <w:jc w:val="center"/>
        <w:rPr>
          <w:rFonts w:ascii="Arial" w:hAnsi="Arial" w:cs="FrankRuehl"/>
          <w:sz w:val="28"/>
          <w:szCs w:val="28"/>
          <w:rtl/>
        </w:rPr>
      </w:pPr>
    </w:p>
    <w:p w14:paraId="70AFB05F" w14:textId="77777777" w:rsidR="00A347C4" w:rsidRDefault="00A347C4" w:rsidP="00A347C4">
      <w:pPr>
        <w:rPr>
          <w:rFonts w:cs="FrankRuehl"/>
          <w:sz w:val="28"/>
          <w:szCs w:val="28"/>
          <w:rtl/>
        </w:rPr>
      </w:pPr>
    </w:p>
    <w:p w14:paraId="1F0E1809" w14:textId="77777777" w:rsidR="00A347C4" w:rsidRDefault="00A347C4" w:rsidP="00A347C4">
      <w:pPr>
        <w:pStyle w:val="a3"/>
        <w:jc w:val="center"/>
        <w:rPr>
          <w:rtl/>
        </w:rPr>
      </w:pPr>
    </w:p>
    <w:p w14:paraId="7ABCDDEB" w14:textId="77777777" w:rsidR="00A02CF6" w:rsidRPr="005021F5" w:rsidRDefault="00A02CF6" w:rsidP="005021F5">
      <w:pPr>
        <w:keepNext/>
        <w:rPr>
          <w:rFonts w:ascii="David" w:hAnsi="David"/>
          <w:color w:val="000000"/>
          <w:sz w:val="22"/>
          <w:szCs w:val="22"/>
          <w:rtl/>
        </w:rPr>
      </w:pPr>
    </w:p>
    <w:p w14:paraId="3A9A799B" w14:textId="77777777" w:rsidR="005021F5" w:rsidRPr="005021F5" w:rsidRDefault="005021F5" w:rsidP="005021F5">
      <w:pPr>
        <w:keepNext/>
        <w:rPr>
          <w:rFonts w:ascii="David" w:hAnsi="David"/>
          <w:color w:val="000000"/>
          <w:sz w:val="22"/>
          <w:szCs w:val="22"/>
          <w:rtl/>
        </w:rPr>
      </w:pPr>
      <w:r w:rsidRPr="005021F5">
        <w:rPr>
          <w:rFonts w:ascii="David" w:hAnsi="David"/>
          <w:color w:val="000000"/>
          <w:sz w:val="22"/>
          <w:szCs w:val="22"/>
          <w:rtl/>
        </w:rPr>
        <w:t>ה עינת רון 54678313</w:t>
      </w:r>
    </w:p>
    <w:p w14:paraId="53380540" w14:textId="77777777" w:rsidR="005021F5" w:rsidRDefault="005021F5" w:rsidP="005021F5">
      <w:r w:rsidRPr="005021F5">
        <w:rPr>
          <w:color w:val="000000"/>
          <w:rtl/>
        </w:rPr>
        <w:t>נוסח מסמך זה כפוף לשינויי ניסוח ועריכה</w:t>
      </w:r>
    </w:p>
    <w:p w14:paraId="272E4F34" w14:textId="77777777" w:rsidR="005021F5" w:rsidRDefault="005021F5" w:rsidP="005021F5">
      <w:pPr>
        <w:rPr>
          <w:rtl/>
        </w:rPr>
      </w:pPr>
    </w:p>
    <w:p w14:paraId="36A14765" w14:textId="77777777" w:rsidR="005021F5" w:rsidRDefault="005021F5" w:rsidP="005021F5">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43CCECC" w14:textId="77777777" w:rsidR="005021F5" w:rsidRPr="005021F5" w:rsidRDefault="005021F5" w:rsidP="005021F5">
      <w:pPr>
        <w:jc w:val="center"/>
        <w:rPr>
          <w:color w:val="0000FF"/>
          <w:u w:val="single"/>
        </w:rPr>
      </w:pPr>
    </w:p>
    <w:sectPr w:rsidR="005021F5" w:rsidRPr="005021F5" w:rsidSect="005021F5">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5D383" w14:textId="77777777" w:rsidR="006329CE" w:rsidRDefault="006329CE" w:rsidP="00BC0ECF">
      <w:r>
        <w:separator/>
      </w:r>
    </w:p>
  </w:endnote>
  <w:endnote w:type="continuationSeparator" w:id="0">
    <w:p w14:paraId="521A1358" w14:textId="77777777" w:rsidR="006329CE" w:rsidRDefault="006329CE" w:rsidP="00BC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0A26B" w14:textId="77777777" w:rsidR="005021F5" w:rsidRDefault="005021F5" w:rsidP="005021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33D3F0" w14:textId="77777777" w:rsidR="00426CD9" w:rsidRPr="005021F5" w:rsidRDefault="005021F5" w:rsidP="005021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44FE2" w14:textId="77777777" w:rsidR="005021F5" w:rsidRDefault="005021F5" w:rsidP="005021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2822">
      <w:rPr>
        <w:rFonts w:ascii="FrankRuehl" w:hAnsi="FrankRuehl" w:cs="FrankRuehl"/>
        <w:noProof/>
        <w:rtl/>
      </w:rPr>
      <w:t>1</w:t>
    </w:r>
    <w:r>
      <w:rPr>
        <w:rFonts w:ascii="FrankRuehl" w:hAnsi="FrankRuehl" w:cs="FrankRuehl"/>
        <w:rtl/>
      </w:rPr>
      <w:fldChar w:fldCharType="end"/>
    </w:r>
  </w:p>
  <w:p w14:paraId="3D093A16" w14:textId="77777777" w:rsidR="00426CD9" w:rsidRPr="005021F5" w:rsidRDefault="005021F5" w:rsidP="005021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2F5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2BE0D" w14:textId="77777777" w:rsidR="006329CE" w:rsidRDefault="006329CE" w:rsidP="00BC0ECF">
      <w:r>
        <w:separator/>
      </w:r>
    </w:p>
  </w:footnote>
  <w:footnote w:type="continuationSeparator" w:id="0">
    <w:p w14:paraId="622C8785" w14:textId="77777777" w:rsidR="006329CE" w:rsidRDefault="006329CE" w:rsidP="00BC0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BF337" w14:textId="77777777" w:rsidR="005021F5" w:rsidRPr="005021F5" w:rsidRDefault="005021F5" w:rsidP="005021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2724-08-19</w:t>
    </w:r>
    <w:r>
      <w:rPr>
        <w:rFonts w:ascii="David" w:hAnsi="David"/>
        <w:color w:val="000000"/>
        <w:sz w:val="22"/>
        <w:szCs w:val="22"/>
        <w:rtl/>
      </w:rPr>
      <w:tab/>
      <w:t xml:space="preserve"> מדינת ישראל נ' מוחמד פריג'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44676" w14:textId="77777777" w:rsidR="005021F5" w:rsidRPr="005021F5" w:rsidRDefault="005021F5" w:rsidP="005021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2724-08-19</w:t>
    </w:r>
    <w:r>
      <w:rPr>
        <w:rFonts w:ascii="David" w:hAnsi="David"/>
        <w:color w:val="000000"/>
        <w:sz w:val="22"/>
        <w:szCs w:val="22"/>
        <w:rtl/>
      </w:rPr>
      <w:tab/>
      <w:t xml:space="preserve"> מדינת ישראל נ' מוחמד פריג'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B77402"/>
    <w:multiLevelType w:val="hybridMultilevel"/>
    <w:tmpl w:val="5D002674"/>
    <w:lvl w:ilvl="0" w:tplc="AFF4AF5E">
      <w:start w:val="1"/>
      <w:numFmt w:val="hebrew1"/>
      <w:lvlText w:val="%1."/>
      <w:lvlJc w:val="left"/>
      <w:pPr>
        <w:ind w:left="720" w:hanging="360"/>
      </w:pPr>
      <w:rPr>
        <w:rFonts w:ascii="David" w:eastAsia="Calibri" w:hAnsi="David" w:cs="Davi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4761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7C4"/>
    <w:rsid w:val="00426CD9"/>
    <w:rsid w:val="005021F5"/>
    <w:rsid w:val="006329CE"/>
    <w:rsid w:val="00735678"/>
    <w:rsid w:val="007625B7"/>
    <w:rsid w:val="00795235"/>
    <w:rsid w:val="00A02CF6"/>
    <w:rsid w:val="00A347C4"/>
    <w:rsid w:val="00BC0ECF"/>
    <w:rsid w:val="00CB63BD"/>
    <w:rsid w:val="00ED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F88B32"/>
  <w15:chartTrackingRefBased/>
  <w15:docId w15:val="{E726B987-781D-4AB4-A538-5B2F88BB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47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47C4"/>
    <w:pPr>
      <w:tabs>
        <w:tab w:val="center" w:pos="4153"/>
        <w:tab w:val="right" w:pos="8306"/>
      </w:tabs>
    </w:pPr>
  </w:style>
  <w:style w:type="character" w:customStyle="1" w:styleId="a4">
    <w:name w:val="כותרת עליונה תו"/>
    <w:link w:val="a3"/>
    <w:rsid w:val="00A347C4"/>
    <w:rPr>
      <w:rFonts w:ascii="Times New Roman" w:eastAsia="Times New Roman" w:hAnsi="Times New Roman" w:cs="David"/>
      <w:sz w:val="24"/>
      <w:szCs w:val="24"/>
    </w:rPr>
  </w:style>
  <w:style w:type="paragraph" w:styleId="a5">
    <w:name w:val="footer"/>
    <w:basedOn w:val="a"/>
    <w:link w:val="a6"/>
    <w:rsid w:val="00A347C4"/>
    <w:pPr>
      <w:tabs>
        <w:tab w:val="center" w:pos="4153"/>
        <w:tab w:val="right" w:pos="8306"/>
      </w:tabs>
    </w:pPr>
  </w:style>
  <w:style w:type="character" w:customStyle="1" w:styleId="a6">
    <w:name w:val="כותרת תחתונה תו"/>
    <w:link w:val="a5"/>
    <w:rsid w:val="00A347C4"/>
    <w:rPr>
      <w:rFonts w:ascii="Times New Roman" w:eastAsia="Times New Roman" w:hAnsi="Times New Roman" w:cs="David"/>
      <w:sz w:val="24"/>
      <w:szCs w:val="24"/>
    </w:rPr>
  </w:style>
  <w:style w:type="table" w:styleId="a7">
    <w:name w:val="Table Grid"/>
    <w:basedOn w:val="a1"/>
    <w:rsid w:val="00A347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347C4"/>
  </w:style>
  <w:style w:type="paragraph" w:styleId="a9">
    <w:name w:val="List Paragraph"/>
    <w:basedOn w:val="a"/>
    <w:qFormat/>
    <w:rsid w:val="00A347C4"/>
    <w:pPr>
      <w:spacing w:after="160" w:line="256" w:lineRule="auto"/>
      <w:ind w:left="720"/>
      <w:contextualSpacing/>
    </w:pPr>
    <w:rPr>
      <w:rFonts w:ascii="Calibri" w:eastAsia="Calibri" w:hAnsi="Calibri" w:cs="Arial"/>
      <w:sz w:val="22"/>
      <w:szCs w:val="22"/>
    </w:rPr>
  </w:style>
  <w:style w:type="character" w:styleId="Hyperlink">
    <w:name w:val="Hyperlink"/>
    <w:rsid w:val="005021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c.a"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case/23855495"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604048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227752"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case/588766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779149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003552" TargetMode="External"/><Relationship Id="rId23" Type="http://schemas.openxmlformats.org/officeDocument/2006/relationships/hyperlink" Target="http://www.nevo.co.il/case/22112345" TargetMode="External"/><Relationship Id="rId28" Type="http://schemas.openxmlformats.org/officeDocument/2006/relationships/header" Target="header2.xml"/><Relationship Id="rId10" Type="http://schemas.openxmlformats.org/officeDocument/2006/relationships/hyperlink" Target="http://www.nevo.co.il/law/70301/40ja" TargetMode="External"/><Relationship Id="rId19" Type="http://schemas.openxmlformats.org/officeDocument/2006/relationships/hyperlink" Target="http://www.nevo.co.il/case/585240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2292</Words>
  <Characters>11460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3342452</vt:i4>
      </vt:variant>
      <vt:variant>
        <vt:i4>54</vt:i4>
      </vt:variant>
      <vt:variant>
        <vt:i4>0</vt:i4>
      </vt:variant>
      <vt:variant>
        <vt:i4>5</vt:i4>
      </vt:variant>
      <vt:variant>
        <vt:lpwstr>http://www.nevo.co.il/case/4227752</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3473524</vt:i4>
      </vt:variant>
      <vt:variant>
        <vt:i4>48</vt:i4>
      </vt:variant>
      <vt:variant>
        <vt:i4>0</vt:i4>
      </vt:variant>
      <vt:variant>
        <vt:i4>5</vt:i4>
      </vt:variant>
      <vt:variant>
        <vt:lpwstr>http://www.nevo.co.il/case/22112345</vt:lpwstr>
      </vt:variant>
      <vt:variant>
        <vt:lpwstr/>
      </vt:variant>
      <vt:variant>
        <vt:i4>3211379</vt:i4>
      </vt:variant>
      <vt:variant>
        <vt:i4>45</vt:i4>
      </vt:variant>
      <vt:variant>
        <vt:i4>0</vt:i4>
      </vt:variant>
      <vt:variant>
        <vt:i4>5</vt:i4>
      </vt:variant>
      <vt:variant>
        <vt:lpwstr>http://www.nevo.co.il/case/6024035</vt:lpwstr>
      </vt:variant>
      <vt:variant>
        <vt:lpwstr/>
      </vt:variant>
      <vt:variant>
        <vt:i4>3407996</vt:i4>
      </vt:variant>
      <vt:variant>
        <vt:i4>42</vt:i4>
      </vt:variant>
      <vt:variant>
        <vt:i4>0</vt:i4>
      </vt:variant>
      <vt:variant>
        <vt:i4>5</vt:i4>
      </vt:variant>
      <vt:variant>
        <vt:lpwstr>http://www.nevo.co.il/case/6040482</vt:lpwstr>
      </vt:variant>
      <vt:variant>
        <vt:lpwstr/>
      </vt:variant>
      <vt:variant>
        <vt:i4>4128893</vt:i4>
      </vt:variant>
      <vt:variant>
        <vt:i4>39</vt:i4>
      </vt:variant>
      <vt:variant>
        <vt:i4>0</vt:i4>
      </vt:variant>
      <vt:variant>
        <vt:i4>5</vt:i4>
      </vt:variant>
      <vt:variant>
        <vt:lpwstr>http://www.nevo.co.il/case/5887664</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3539062</vt:i4>
      </vt:variant>
      <vt:variant>
        <vt:i4>33</vt:i4>
      </vt:variant>
      <vt:variant>
        <vt:i4>0</vt:i4>
      </vt:variant>
      <vt:variant>
        <vt:i4>5</vt:i4>
      </vt:variant>
      <vt:variant>
        <vt:lpwstr>http://www.nevo.co.il/case/23855495</vt:lpwstr>
      </vt:variant>
      <vt:variant>
        <vt:lpwstr/>
      </vt:variant>
      <vt:variant>
        <vt:i4>7995492</vt:i4>
      </vt:variant>
      <vt:variant>
        <vt:i4>30</vt:i4>
      </vt:variant>
      <vt:variant>
        <vt:i4>0</vt:i4>
      </vt:variant>
      <vt:variant>
        <vt:i4>5</vt:i4>
      </vt:variant>
      <vt:variant>
        <vt:lpwstr>http://www.nevo.co.il/law/70301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3407984</vt:i4>
      </vt:variant>
      <vt:variant>
        <vt:i4>24</vt:i4>
      </vt:variant>
      <vt:variant>
        <vt:i4>0</vt:i4>
      </vt:variant>
      <vt:variant>
        <vt:i4>5</vt:i4>
      </vt:variant>
      <vt:variant>
        <vt:lpwstr>http://www.nevo.co.il/case/21003552</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2724</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פריג'</vt:lpwstr>
  </property>
  <property fmtid="{D5CDD505-2E9C-101B-9397-08002B2CF9AE}" pid="10" name="LAWYER">
    <vt:lpwstr>סיון דוק;וואליד כבוב</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20191218</vt:lpwstr>
  </property>
  <property fmtid="{D5CDD505-2E9C-101B-9397-08002B2CF9AE}" pid="14" name="TYPE_N_DATE">
    <vt:lpwstr>38020191218</vt:lpwstr>
  </property>
  <property fmtid="{D5CDD505-2E9C-101B-9397-08002B2CF9AE}" pid="15" name="CASESLISTTMP1">
    <vt:lpwstr>21003552;23855495;5852404;5887664;6040482;6024035;22112345;7791493;4227752</vt:lpwstr>
  </property>
  <property fmtid="{D5CDD505-2E9C-101B-9397-08002B2CF9AE}" pid="16" name="CASENOTES1">
    <vt:lpwstr>ProcID=133;209&amp;PartA=5520&amp;PartC=09</vt:lpwstr>
  </property>
  <property fmtid="{D5CDD505-2E9C-101B-9397-08002B2CF9AE}" pid="17" name="CASENOTES2">
    <vt:lpwstr>ProcID=209&amp;PartA=1162&amp;PartC=11</vt:lpwstr>
  </property>
  <property fmtid="{D5CDD505-2E9C-101B-9397-08002B2CF9AE}" pid="18" name="WORDNUMPAGES">
    <vt:lpwstr>7</vt:lpwstr>
  </property>
  <property fmtid="{D5CDD505-2E9C-101B-9397-08002B2CF9AE}" pid="19" name="TYPE_ABS_DATE">
    <vt:lpwstr>380020191218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70301/144.a;040c.a;40ja</vt:lpwstr>
  </property>
</Properties>
</file>