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3F609C" w:rsidRPr="003E1822" w14:paraId="119604A2" w14:textId="77777777" w:rsidTr="00052971">
        <w:trPr>
          <w:trHeight w:hRule="exact" w:val="418"/>
          <w:jc w:val="center"/>
        </w:trPr>
        <w:tc>
          <w:tcPr>
            <w:tcW w:w="8721" w:type="dxa"/>
            <w:gridSpan w:val="2"/>
          </w:tcPr>
          <w:p w14:paraId="3F0DDAF7" w14:textId="77777777" w:rsidR="003F609C" w:rsidRPr="003E1822" w:rsidRDefault="003F609C" w:rsidP="00B431FA">
            <w:pPr>
              <w:pStyle w:val="a3"/>
              <w:jc w:val="center"/>
              <w:rPr>
                <w:rFonts w:ascii="Tahoma" w:hAnsi="Tahoma" w:cs="Tahoma"/>
                <w:color w:val="000080"/>
                <w:rtl/>
              </w:rPr>
            </w:pPr>
            <w:bookmarkStart w:id="0" w:name="LastJudge"/>
            <w:r w:rsidRPr="003E1822">
              <w:rPr>
                <w:rFonts w:ascii="Tahoma" w:hAnsi="Tahoma" w:cs="Tahoma"/>
                <w:b/>
                <w:bCs/>
                <w:color w:val="000080"/>
                <w:rtl/>
              </w:rPr>
              <w:t>בית משפט השלום בתל אביב -יפו</w:t>
            </w:r>
          </w:p>
        </w:tc>
      </w:tr>
      <w:tr w:rsidR="003F609C" w:rsidRPr="003E1822" w14:paraId="7F9FEF05" w14:textId="77777777" w:rsidTr="00052971">
        <w:trPr>
          <w:trHeight w:val="337"/>
          <w:jc w:val="center"/>
        </w:trPr>
        <w:tc>
          <w:tcPr>
            <w:tcW w:w="5060" w:type="dxa"/>
          </w:tcPr>
          <w:p w14:paraId="433C7898" w14:textId="77777777" w:rsidR="003F609C" w:rsidRPr="003E1822" w:rsidRDefault="003F609C" w:rsidP="00B431FA">
            <w:pPr>
              <w:rPr>
                <w:rFonts w:ascii="David" w:hAnsi="David"/>
                <w:sz w:val="26"/>
                <w:szCs w:val="26"/>
                <w:rtl/>
              </w:rPr>
            </w:pPr>
            <w:r w:rsidRPr="003E1822">
              <w:rPr>
                <w:rFonts w:ascii="David" w:hAnsi="David"/>
                <w:sz w:val="26"/>
                <w:szCs w:val="26"/>
                <w:rtl/>
              </w:rPr>
              <w:t>ת"פ 3538-09-19 מדינת ישראל נ' KOUBROM</w:t>
            </w:r>
          </w:p>
          <w:p w14:paraId="01EB2C79" w14:textId="77777777" w:rsidR="003F609C" w:rsidRPr="003E1822" w:rsidRDefault="003F609C" w:rsidP="00B431FA">
            <w:pPr>
              <w:pStyle w:val="a3"/>
              <w:rPr>
                <w:rFonts w:cs="FrankRuehl"/>
                <w:sz w:val="28"/>
                <w:szCs w:val="28"/>
                <w:rtl/>
              </w:rPr>
            </w:pPr>
          </w:p>
        </w:tc>
        <w:tc>
          <w:tcPr>
            <w:tcW w:w="3661" w:type="dxa"/>
          </w:tcPr>
          <w:p w14:paraId="3615DBD9" w14:textId="77777777" w:rsidR="003F609C" w:rsidRPr="003E1822" w:rsidRDefault="003F609C" w:rsidP="00B431FA">
            <w:pPr>
              <w:pStyle w:val="a3"/>
              <w:jc w:val="right"/>
              <w:rPr>
                <w:rFonts w:cs="FrankRuehl"/>
                <w:sz w:val="28"/>
                <w:szCs w:val="28"/>
                <w:rtl/>
              </w:rPr>
            </w:pPr>
          </w:p>
        </w:tc>
      </w:tr>
    </w:tbl>
    <w:p w14:paraId="35A185D5" w14:textId="77777777" w:rsidR="003F609C" w:rsidRPr="003E1822" w:rsidRDefault="003F609C" w:rsidP="003F609C">
      <w:pPr>
        <w:pStyle w:val="a3"/>
        <w:rPr>
          <w:rtl/>
        </w:rPr>
      </w:pPr>
      <w:r w:rsidRPr="003E1822">
        <w:rPr>
          <w:rFonts w:hint="cs"/>
          <w:rtl/>
        </w:rPr>
        <w:t xml:space="preserve"> </w:t>
      </w:r>
    </w:p>
    <w:p w14:paraId="10980F54" w14:textId="77777777" w:rsidR="003F609C" w:rsidRPr="003E1822" w:rsidRDefault="003F609C" w:rsidP="003F609C">
      <w:pPr>
        <w:rPr>
          <w:rtl/>
        </w:rPr>
      </w:pPr>
    </w:p>
    <w:p w14:paraId="3490BFEA" w14:textId="77777777" w:rsidR="003F609C" w:rsidRPr="003E1822" w:rsidRDefault="003F609C" w:rsidP="003F609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3F609C" w:rsidRPr="003E1822" w14:paraId="4C5DA581" w14:textId="77777777" w:rsidTr="003F609C">
        <w:trPr>
          <w:trHeight w:val="295"/>
          <w:jc w:val="center"/>
        </w:trPr>
        <w:tc>
          <w:tcPr>
            <w:tcW w:w="923" w:type="dxa"/>
            <w:tcBorders>
              <w:top w:val="nil"/>
              <w:left w:val="nil"/>
              <w:bottom w:val="nil"/>
              <w:right w:val="nil"/>
            </w:tcBorders>
            <w:shd w:val="clear" w:color="auto" w:fill="auto"/>
          </w:tcPr>
          <w:p w14:paraId="301F48E7" w14:textId="77777777" w:rsidR="003F609C" w:rsidRPr="003E1822" w:rsidRDefault="003F609C" w:rsidP="003F609C">
            <w:pPr>
              <w:jc w:val="both"/>
              <w:rPr>
                <w:rFonts w:ascii="David" w:hAnsi="David"/>
                <w:sz w:val="26"/>
                <w:szCs w:val="26"/>
              </w:rPr>
            </w:pPr>
            <w:r w:rsidRPr="003E1822">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3B3C980A" w14:textId="77777777" w:rsidR="003F609C" w:rsidRPr="003E1822" w:rsidRDefault="003F609C" w:rsidP="00B431FA">
            <w:pPr>
              <w:rPr>
                <w:rFonts w:ascii="David" w:hAnsi="David"/>
                <w:b/>
                <w:bCs/>
                <w:sz w:val="26"/>
                <w:szCs w:val="26"/>
                <w:rtl/>
              </w:rPr>
            </w:pPr>
            <w:r w:rsidRPr="003E1822">
              <w:rPr>
                <w:rFonts w:ascii="David" w:hAnsi="David"/>
                <w:b/>
                <w:bCs/>
                <w:sz w:val="26"/>
                <w:szCs w:val="26"/>
                <w:rtl/>
              </w:rPr>
              <w:t>כבוד השופטת שלומית בן יצחק</w:t>
            </w:r>
          </w:p>
          <w:p w14:paraId="1EA19479" w14:textId="77777777" w:rsidR="003F609C" w:rsidRPr="003E1822" w:rsidRDefault="003F609C" w:rsidP="00B431FA">
            <w:pPr>
              <w:rPr>
                <w:rFonts w:ascii="David" w:hAnsi="David"/>
                <w:sz w:val="26"/>
                <w:szCs w:val="26"/>
                <w:rtl/>
              </w:rPr>
            </w:pPr>
          </w:p>
          <w:p w14:paraId="37C99B75" w14:textId="77777777" w:rsidR="003F609C" w:rsidRPr="003E1822" w:rsidRDefault="003F609C" w:rsidP="003F609C">
            <w:pPr>
              <w:jc w:val="both"/>
              <w:rPr>
                <w:rFonts w:ascii="David" w:hAnsi="David"/>
                <w:sz w:val="26"/>
                <w:szCs w:val="26"/>
              </w:rPr>
            </w:pPr>
          </w:p>
        </w:tc>
      </w:tr>
      <w:tr w:rsidR="003F609C" w:rsidRPr="003E1822" w14:paraId="69871537" w14:textId="77777777" w:rsidTr="003F609C">
        <w:trPr>
          <w:trHeight w:val="355"/>
          <w:jc w:val="center"/>
        </w:trPr>
        <w:tc>
          <w:tcPr>
            <w:tcW w:w="923" w:type="dxa"/>
            <w:tcBorders>
              <w:top w:val="nil"/>
              <w:left w:val="nil"/>
              <w:bottom w:val="nil"/>
              <w:right w:val="nil"/>
            </w:tcBorders>
            <w:shd w:val="clear" w:color="auto" w:fill="auto"/>
          </w:tcPr>
          <w:p w14:paraId="3FA32313" w14:textId="77777777" w:rsidR="003F609C" w:rsidRPr="003E1822" w:rsidRDefault="003F609C" w:rsidP="003F609C">
            <w:pPr>
              <w:jc w:val="both"/>
              <w:rPr>
                <w:rFonts w:ascii="David" w:hAnsi="David"/>
                <w:sz w:val="26"/>
                <w:szCs w:val="26"/>
              </w:rPr>
            </w:pPr>
            <w:bookmarkStart w:id="1" w:name="FirstAppellant"/>
            <w:r w:rsidRPr="003E1822">
              <w:rPr>
                <w:rFonts w:ascii="David" w:hAnsi="David"/>
                <w:sz w:val="26"/>
                <w:szCs w:val="26"/>
                <w:rtl/>
              </w:rPr>
              <w:t>בעניין:</w:t>
            </w:r>
          </w:p>
        </w:tc>
        <w:tc>
          <w:tcPr>
            <w:tcW w:w="3219" w:type="dxa"/>
            <w:tcBorders>
              <w:top w:val="nil"/>
              <w:left w:val="nil"/>
              <w:bottom w:val="nil"/>
              <w:right w:val="nil"/>
            </w:tcBorders>
            <w:shd w:val="clear" w:color="auto" w:fill="auto"/>
          </w:tcPr>
          <w:p w14:paraId="7085683D" w14:textId="77777777" w:rsidR="003F609C" w:rsidRPr="003E1822" w:rsidRDefault="003F609C" w:rsidP="003F609C">
            <w:pPr>
              <w:suppressLineNumbers/>
            </w:pPr>
            <w:r w:rsidRPr="003E1822">
              <w:rPr>
                <w:rFonts w:ascii="Arial" w:hAnsi="Arial" w:hint="cs"/>
                <w:b/>
                <w:bCs/>
                <w:sz w:val="26"/>
                <w:szCs w:val="26"/>
                <w:rtl/>
              </w:rPr>
              <w:t>המאשימה:</w:t>
            </w:r>
          </w:p>
          <w:p w14:paraId="48FCF248" w14:textId="77777777" w:rsidR="003F609C" w:rsidRPr="003E1822" w:rsidRDefault="003F609C" w:rsidP="00B431FA">
            <w:pPr>
              <w:rPr>
                <w:rFonts w:ascii="David" w:hAnsi="David"/>
                <w:sz w:val="26"/>
                <w:szCs w:val="26"/>
              </w:rPr>
            </w:pPr>
          </w:p>
        </w:tc>
        <w:tc>
          <w:tcPr>
            <w:tcW w:w="4678" w:type="dxa"/>
            <w:tcBorders>
              <w:top w:val="nil"/>
              <w:left w:val="nil"/>
              <w:bottom w:val="nil"/>
              <w:right w:val="nil"/>
            </w:tcBorders>
            <w:shd w:val="clear" w:color="auto" w:fill="auto"/>
            <w:vAlign w:val="center"/>
          </w:tcPr>
          <w:p w14:paraId="2AE79364" w14:textId="77777777" w:rsidR="003F609C" w:rsidRPr="003E1822" w:rsidRDefault="003F609C" w:rsidP="003F609C">
            <w:pPr>
              <w:suppressLineNumbers/>
              <w:rPr>
                <w:rFonts w:ascii="Arial" w:hAnsi="Arial"/>
                <w:b/>
                <w:bCs/>
                <w:sz w:val="26"/>
                <w:szCs w:val="26"/>
                <w:rtl/>
              </w:rPr>
            </w:pPr>
            <w:r w:rsidRPr="003E1822">
              <w:rPr>
                <w:rFonts w:ascii="Arial" w:hAnsi="Arial"/>
                <w:b/>
                <w:bCs/>
                <w:sz w:val="26"/>
                <w:szCs w:val="26"/>
                <w:rtl/>
              </w:rPr>
              <w:t>מדינת ישראל</w:t>
            </w:r>
            <w:r w:rsidRPr="003E1822">
              <w:rPr>
                <w:rFonts w:ascii="Arial" w:hAnsi="Arial" w:hint="cs"/>
                <w:b/>
                <w:bCs/>
                <w:sz w:val="26"/>
                <w:szCs w:val="26"/>
                <w:rtl/>
              </w:rPr>
              <w:t xml:space="preserve"> </w:t>
            </w:r>
          </w:p>
          <w:p w14:paraId="110E3800" w14:textId="77777777" w:rsidR="003F609C" w:rsidRPr="003E1822" w:rsidRDefault="003F609C" w:rsidP="003F609C">
            <w:pPr>
              <w:suppressLineNumbers/>
              <w:rPr>
                <w:rFonts w:ascii="David" w:hAnsi="David"/>
                <w:sz w:val="26"/>
                <w:szCs w:val="26"/>
              </w:rPr>
            </w:pPr>
          </w:p>
        </w:tc>
      </w:tr>
      <w:bookmarkEnd w:id="1"/>
      <w:tr w:rsidR="003F609C" w:rsidRPr="003E1822" w14:paraId="34EF90AE" w14:textId="77777777" w:rsidTr="003F609C">
        <w:trPr>
          <w:trHeight w:val="355"/>
          <w:jc w:val="center"/>
        </w:trPr>
        <w:tc>
          <w:tcPr>
            <w:tcW w:w="923" w:type="dxa"/>
            <w:tcBorders>
              <w:top w:val="nil"/>
              <w:left w:val="nil"/>
              <w:bottom w:val="nil"/>
              <w:right w:val="nil"/>
            </w:tcBorders>
            <w:shd w:val="clear" w:color="auto" w:fill="auto"/>
          </w:tcPr>
          <w:p w14:paraId="7E45C82D" w14:textId="77777777" w:rsidR="003F609C" w:rsidRPr="003E1822" w:rsidRDefault="003F609C" w:rsidP="003F609C">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561D6773" w14:textId="77777777" w:rsidR="003F609C" w:rsidRPr="003E1822" w:rsidRDefault="003F609C" w:rsidP="003F609C">
            <w:pPr>
              <w:jc w:val="center"/>
              <w:rPr>
                <w:rFonts w:ascii="David" w:hAnsi="David"/>
                <w:b/>
                <w:bCs/>
                <w:sz w:val="26"/>
                <w:szCs w:val="26"/>
                <w:rtl/>
              </w:rPr>
            </w:pPr>
          </w:p>
          <w:p w14:paraId="41167F6B" w14:textId="77777777" w:rsidR="003F609C" w:rsidRPr="003E1822" w:rsidRDefault="003F609C" w:rsidP="003F609C">
            <w:pPr>
              <w:jc w:val="center"/>
              <w:rPr>
                <w:rFonts w:ascii="David" w:hAnsi="David"/>
                <w:b/>
                <w:bCs/>
                <w:sz w:val="26"/>
                <w:szCs w:val="26"/>
                <w:rtl/>
              </w:rPr>
            </w:pPr>
            <w:r w:rsidRPr="003E1822">
              <w:rPr>
                <w:rFonts w:ascii="David" w:hAnsi="David"/>
                <w:b/>
                <w:bCs/>
                <w:sz w:val="26"/>
                <w:szCs w:val="26"/>
                <w:rtl/>
              </w:rPr>
              <w:t>נגד</w:t>
            </w:r>
          </w:p>
          <w:p w14:paraId="17230124" w14:textId="77777777" w:rsidR="003F609C" w:rsidRPr="003E1822" w:rsidRDefault="003F609C" w:rsidP="003F609C">
            <w:pPr>
              <w:jc w:val="both"/>
              <w:rPr>
                <w:rFonts w:ascii="David" w:hAnsi="David"/>
                <w:sz w:val="26"/>
                <w:szCs w:val="26"/>
              </w:rPr>
            </w:pPr>
          </w:p>
        </w:tc>
      </w:tr>
      <w:tr w:rsidR="003F609C" w:rsidRPr="003E1822" w14:paraId="0E7EAD9A" w14:textId="77777777" w:rsidTr="003F609C">
        <w:trPr>
          <w:trHeight w:val="355"/>
          <w:jc w:val="center"/>
        </w:trPr>
        <w:tc>
          <w:tcPr>
            <w:tcW w:w="923" w:type="dxa"/>
            <w:tcBorders>
              <w:top w:val="nil"/>
              <w:left w:val="nil"/>
              <w:bottom w:val="nil"/>
              <w:right w:val="nil"/>
            </w:tcBorders>
            <w:shd w:val="clear" w:color="auto" w:fill="auto"/>
          </w:tcPr>
          <w:p w14:paraId="658E2B71" w14:textId="77777777" w:rsidR="003F609C" w:rsidRPr="003E1822" w:rsidRDefault="003F609C" w:rsidP="00B431FA">
            <w:pPr>
              <w:rPr>
                <w:rFonts w:ascii="David" w:hAnsi="David"/>
                <w:sz w:val="26"/>
                <w:szCs w:val="26"/>
                <w:rtl/>
              </w:rPr>
            </w:pPr>
          </w:p>
        </w:tc>
        <w:tc>
          <w:tcPr>
            <w:tcW w:w="3219" w:type="dxa"/>
            <w:tcBorders>
              <w:top w:val="nil"/>
              <w:left w:val="nil"/>
              <w:bottom w:val="nil"/>
              <w:right w:val="nil"/>
            </w:tcBorders>
            <w:shd w:val="clear" w:color="auto" w:fill="auto"/>
          </w:tcPr>
          <w:p w14:paraId="1A256BCA" w14:textId="77777777" w:rsidR="003F609C" w:rsidRPr="003E1822" w:rsidRDefault="003F609C" w:rsidP="00B431FA">
            <w:pPr>
              <w:rPr>
                <w:rFonts w:ascii="Arial" w:hAnsi="Arial"/>
                <w:b/>
                <w:bCs/>
                <w:sz w:val="26"/>
                <w:szCs w:val="26"/>
                <w:rtl/>
              </w:rPr>
            </w:pPr>
            <w:r w:rsidRPr="003E1822">
              <w:rPr>
                <w:rFonts w:ascii="Arial" w:hAnsi="Arial" w:hint="cs"/>
                <w:b/>
                <w:bCs/>
                <w:sz w:val="26"/>
                <w:szCs w:val="26"/>
                <w:rtl/>
              </w:rPr>
              <w:t>הנאשם:</w:t>
            </w:r>
          </w:p>
        </w:tc>
        <w:tc>
          <w:tcPr>
            <w:tcW w:w="4678" w:type="dxa"/>
            <w:tcBorders>
              <w:top w:val="nil"/>
              <w:left w:val="nil"/>
              <w:bottom w:val="nil"/>
              <w:right w:val="nil"/>
            </w:tcBorders>
            <w:shd w:val="clear" w:color="auto" w:fill="auto"/>
            <w:vAlign w:val="center"/>
          </w:tcPr>
          <w:p w14:paraId="28A4E0C7" w14:textId="77777777" w:rsidR="003F609C" w:rsidRPr="003E1822" w:rsidRDefault="003F609C" w:rsidP="003F609C">
            <w:pPr>
              <w:suppressLineNumbers/>
              <w:rPr>
                <w:rFonts w:ascii="David" w:hAnsi="David"/>
                <w:b/>
                <w:bCs/>
                <w:sz w:val="26"/>
                <w:szCs w:val="26"/>
                <w:rtl/>
              </w:rPr>
            </w:pPr>
            <w:r w:rsidRPr="003E1822">
              <w:rPr>
                <w:rFonts w:ascii="David" w:hAnsi="David"/>
                <w:b/>
                <w:bCs/>
                <w:sz w:val="26"/>
                <w:szCs w:val="26"/>
              </w:rPr>
              <w:t>MARET KOUBROM</w:t>
            </w:r>
            <w:r w:rsidRPr="003E1822">
              <w:rPr>
                <w:rFonts w:ascii="David" w:hAnsi="David"/>
                <w:b/>
                <w:bCs/>
                <w:sz w:val="26"/>
                <w:szCs w:val="26"/>
                <w:rtl/>
              </w:rPr>
              <w:t xml:space="preserve"> </w:t>
            </w:r>
          </w:p>
          <w:p w14:paraId="584FF534" w14:textId="77777777" w:rsidR="003F609C" w:rsidRPr="003E1822" w:rsidRDefault="003F609C" w:rsidP="003F609C">
            <w:pPr>
              <w:suppressLineNumbers/>
              <w:rPr>
                <w:rFonts w:ascii="David" w:hAnsi="David"/>
                <w:sz w:val="26"/>
                <w:szCs w:val="26"/>
              </w:rPr>
            </w:pPr>
          </w:p>
        </w:tc>
      </w:tr>
    </w:tbl>
    <w:p w14:paraId="2CD69B07" w14:textId="77777777" w:rsidR="00052971" w:rsidRPr="00052971" w:rsidRDefault="00052971" w:rsidP="00052971">
      <w:pPr>
        <w:spacing w:before="120" w:after="120" w:line="240" w:lineRule="exact"/>
        <w:ind w:left="283" w:hanging="283"/>
        <w:jc w:val="both"/>
        <w:rPr>
          <w:rFonts w:ascii="FrankRuehl" w:hAnsi="FrankRuehl" w:cs="FrankRuehl"/>
          <w:rtl/>
        </w:rPr>
      </w:pPr>
    </w:p>
    <w:p w14:paraId="40062A38" w14:textId="77777777" w:rsidR="001B0721" w:rsidRPr="001B0721" w:rsidRDefault="001B0721" w:rsidP="001B0721">
      <w:pPr>
        <w:spacing w:before="120" w:after="120" w:line="240" w:lineRule="exact"/>
        <w:ind w:left="283" w:hanging="283"/>
        <w:jc w:val="both"/>
        <w:rPr>
          <w:rFonts w:ascii="FrankRuehl" w:hAnsi="FrankRuehl" w:cs="FrankRuehl"/>
          <w:rtl/>
        </w:rPr>
      </w:pPr>
    </w:p>
    <w:p w14:paraId="478E758B" w14:textId="77777777" w:rsidR="003572B1" w:rsidRDefault="003572B1" w:rsidP="003572B1">
      <w:pPr>
        <w:rPr>
          <w:sz w:val="26"/>
          <w:szCs w:val="26"/>
          <w:rtl/>
        </w:rPr>
      </w:pPr>
      <w:bookmarkStart w:id="2" w:name="LawTable"/>
      <w:bookmarkEnd w:id="2"/>
    </w:p>
    <w:p w14:paraId="3F402F1C" w14:textId="77777777" w:rsidR="003572B1" w:rsidRPr="003572B1" w:rsidRDefault="003572B1" w:rsidP="003572B1">
      <w:pPr>
        <w:spacing w:before="120" w:after="120" w:line="240" w:lineRule="exact"/>
        <w:ind w:left="283" w:hanging="283"/>
        <w:jc w:val="both"/>
        <w:rPr>
          <w:rFonts w:ascii="FrankRuehl" w:hAnsi="FrankRuehl" w:cs="FrankRuehl"/>
          <w:rtl/>
        </w:rPr>
      </w:pPr>
    </w:p>
    <w:p w14:paraId="1C5C284E" w14:textId="77777777" w:rsidR="003572B1" w:rsidRPr="003572B1" w:rsidRDefault="003572B1" w:rsidP="003572B1">
      <w:pPr>
        <w:spacing w:before="120" w:after="120" w:line="240" w:lineRule="exact"/>
        <w:ind w:left="283" w:hanging="283"/>
        <w:jc w:val="both"/>
        <w:rPr>
          <w:rFonts w:ascii="FrankRuehl" w:hAnsi="FrankRuehl" w:cs="FrankRuehl"/>
          <w:rtl/>
        </w:rPr>
      </w:pPr>
    </w:p>
    <w:p w14:paraId="1682F7BA" w14:textId="77777777" w:rsidR="003572B1" w:rsidRPr="003572B1" w:rsidRDefault="003572B1" w:rsidP="003572B1">
      <w:pPr>
        <w:spacing w:before="120" w:after="120" w:line="240" w:lineRule="exact"/>
        <w:ind w:left="283" w:hanging="283"/>
        <w:jc w:val="both"/>
        <w:rPr>
          <w:rFonts w:ascii="FrankRuehl" w:hAnsi="FrankRuehl" w:cs="FrankRuehl"/>
          <w:rtl/>
        </w:rPr>
      </w:pPr>
      <w:r w:rsidRPr="003572B1">
        <w:rPr>
          <w:rFonts w:ascii="FrankRuehl" w:hAnsi="FrankRuehl" w:cs="FrankRuehl"/>
          <w:rtl/>
        </w:rPr>
        <w:t xml:space="preserve">חקיקה שאוזכרה: </w:t>
      </w:r>
    </w:p>
    <w:p w14:paraId="396667AC" w14:textId="77777777" w:rsidR="003572B1" w:rsidRPr="003572B1" w:rsidRDefault="003572B1" w:rsidP="003572B1">
      <w:pPr>
        <w:spacing w:before="120" w:after="120" w:line="240" w:lineRule="exact"/>
        <w:ind w:left="283" w:hanging="283"/>
        <w:jc w:val="both"/>
        <w:rPr>
          <w:rFonts w:ascii="FrankRuehl" w:hAnsi="FrankRuehl" w:cs="FrankRuehl"/>
          <w:rtl/>
        </w:rPr>
      </w:pPr>
      <w:hyperlink r:id="rId7" w:history="1">
        <w:r w:rsidRPr="003572B1">
          <w:rPr>
            <w:rFonts w:ascii="FrankRuehl" w:hAnsi="FrankRuehl" w:cs="FrankRuehl"/>
            <w:color w:val="0000FF"/>
            <w:rtl/>
          </w:rPr>
          <w:t>חוק העונשין, תשל"ז-1977</w:t>
        </w:r>
      </w:hyperlink>
      <w:r w:rsidRPr="003572B1">
        <w:rPr>
          <w:rFonts w:ascii="FrankRuehl" w:hAnsi="FrankRuehl" w:cs="FrankRuehl"/>
          <w:rtl/>
        </w:rPr>
        <w:t xml:space="preserve">: סע'  </w:t>
      </w:r>
      <w:hyperlink r:id="rId8" w:history="1">
        <w:r w:rsidRPr="003572B1">
          <w:rPr>
            <w:rFonts w:ascii="FrankRuehl" w:hAnsi="FrankRuehl" w:cs="FrankRuehl"/>
            <w:color w:val="0000FF"/>
            <w:rtl/>
          </w:rPr>
          <w:t>40ג(א)</w:t>
        </w:r>
      </w:hyperlink>
      <w:r w:rsidRPr="003572B1">
        <w:rPr>
          <w:rFonts w:ascii="FrankRuehl" w:hAnsi="FrankRuehl" w:cs="FrankRuehl"/>
          <w:rtl/>
        </w:rPr>
        <w:t xml:space="preserve">, </w:t>
      </w:r>
      <w:hyperlink r:id="rId9" w:history="1">
        <w:r w:rsidRPr="003572B1">
          <w:rPr>
            <w:rFonts w:ascii="FrankRuehl" w:hAnsi="FrankRuehl" w:cs="FrankRuehl"/>
            <w:color w:val="0000FF"/>
            <w:rtl/>
          </w:rPr>
          <w:t>40ט(א)</w:t>
        </w:r>
      </w:hyperlink>
      <w:r w:rsidRPr="003572B1">
        <w:rPr>
          <w:rFonts w:ascii="FrankRuehl" w:hAnsi="FrankRuehl" w:cs="FrankRuehl"/>
          <w:rtl/>
        </w:rPr>
        <w:t xml:space="preserve">, </w:t>
      </w:r>
      <w:hyperlink r:id="rId10" w:history="1">
        <w:r w:rsidRPr="003572B1">
          <w:rPr>
            <w:rFonts w:ascii="FrankRuehl" w:hAnsi="FrankRuehl" w:cs="FrankRuehl"/>
            <w:color w:val="0000FF"/>
            <w:rtl/>
          </w:rPr>
          <w:t>40ט(א)(3)</w:t>
        </w:r>
      </w:hyperlink>
      <w:r w:rsidRPr="003572B1">
        <w:rPr>
          <w:rFonts w:ascii="FrankRuehl" w:hAnsi="FrankRuehl" w:cs="FrankRuehl"/>
          <w:rtl/>
        </w:rPr>
        <w:t xml:space="preserve">, </w:t>
      </w:r>
      <w:hyperlink r:id="rId11" w:history="1">
        <w:r w:rsidRPr="003572B1">
          <w:rPr>
            <w:rFonts w:ascii="FrankRuehl" w:hAnsi="FrankRuehl" w:cs="FrankRuehl"/>
            <w:color w:val="0000FF"/>
            <w:rtl/>
          </w:rPr>
          <w:t>40ט(א)(4)</w:t>
        </w:r>
      </w:hyperlink>
      <w:r w:rsidRPr="003572B1">
        <w:rPr>
          <w:rFonts w:ascii="FrankRuehl" w:hAnsi="FrankRuehl" w:cs="FrankRuehl"/>
          <w:rtl/>
        </w:rPr>
        <w:t xml:space="preserve">, </w:t>
      </w:r>
      <w:hyperlink r:id="rId12" w:history="1">
        <w:r w:rsidRPr="003572B1">
          <w:rPr>
            <w:rFonts w:ascii="FrankRuehl" w:hAnsi="FrankRuehl" w:cs="FrankRuehl"/>
            <w:color w:val="0000FF"/>
            <w:rtl/>
          </w:rPr>
          <w:t>379</w:t>
        </w:r>
      </w:hyperlink>
      <w:r w:rsidRPr="003572B1">
        <w:rPr>
          <w:rFonts w:ascii="FrankRuehl" w:hAnsi="FrankRuehl" w:cs="FrankRuehl"/>
          <w:rtl/>
        </w:rPr>
        <w:t xml:space="preserve">, </w:t>
      </w:r>
      <w:hyperlink r:id="rId13" w:history="1">
        <w:r w:rsidRPr="003572B1">
          <w:rPr>
            <w:rFonts w:ascii="FrankRuehl" w:hAnsi="FrankRuehl" w:cs="FrankRuehl"/>
            <w:color w:val="0000FF"/>
            <w:rtl/>
          </w:rPr>
          <w:t>384</w:t>
        </w:r>
      </w:hyperlink>
      <w:r w:rsidRPr="003572B1">
        <w:rPr>
          <w:rFonts w:ascii="FrankRuehl" w:hAnsi="FrankRuehl" w:cs="FrankRuehl"/>
          <w:rtl/>
        </w:rPr>
        <w:t xml:space="preserve">, </w:t>
      </w:r>
      <w:hyperlink r:id="rId14" w:history="1">
        <w:r w:rsidRPr="003572B1">
          <w:rPr>
            <w:rFonts w:ascii="FrankRuehl" w:hAnsi="FrankRuehl" w:cs="FrankRuehl"/>
            <w:color w:val="0000FF"/>
            <w:rtl/>
          </w:rPr>
          <w:t>40יא(1)</w:t>
        </w:r>
      </w:hyperlink>
      <w:r w:rsidRPr="003572B1">
        <w:rPr>
          <w:rFonts w:ascii="FrankRuehl" w:hAnsi="FrankRuehl" w:cs="FrankRuehl"/>
          <w:rtl/>
        </w:rPr>
        <w:t xml:space="preserve">, </w:t>
      </w:r>
      <w:hyperlink r:id="rId15" w:history="1">
        <w:r w:rsidRPr="003572B1">
          <w:rPr>
            <w:rFonts w:ascii="FrankRuehl" w:hAnsi="FrankRuehl" w:cs="FrankRuehl"/>
            <w:color w:val="0000FF"/>
            <w:rtl/>
          </w:rPr>
          <w:t>40יא(10)</w:t>
        </w:r>
      </w:hyperlink>
      <w:r w:rsidRPr="003572B1">
        <w:rPr>
          <w:rFonts w:ascii="FrankRuehl" w:hAnsi="FrankRuehl" w:cs="FrankRuehl"/>
          <w:rtl/>
        </w:rPr>
        <w:t xml:space="preserve">, </w:t>
      </w:r>
      <w:hyperlink r:id="rId16" w:history="1">
        <w:r w:rsidRPr="003572B1">
          <w:rPr>
            <w:rFonts w:ascii="FrankRuehl" w:hAnsi="FrankRuehl" w:cs="FrankRuehl"/>
            <w:color w:val="0000FF"/>
            <w:rtl/>
          </w:rPr>
          <w:t>40יא(11)</w:t>
        </w:r>
      </w:hyperlink>
      <w:r w:rsidRPr="003572B1">
        <w:rPr>
          <w:rFonts w:ascii="FrankRuehl" w:hAnsi="FrankRuehl" w:cs="FrankRuehl"/>
          <w:rtl/>
        </w:rPr>
        <w:t xml:space="preserve">, </w:t>
      </w:r>
      <w:hyperlink r:id="rId17" w:history="1">
        <w:r w:rsidRPr="003572B1">
          <w:rPr>
            <w:rFonts w:ascii="FrankRuehl" w:hAnsi="FrankRuehl" w:cs="FrankRuehl"/>
            <w:color w:val="0000FF"/>
            <w:rtl/>
          </w:rPr>
          <w:t>40יא(4)</w:t>
        </w:r>
      </w:hyperlink>
    </w:p>
    <w:p w14:paraId="28A407CE" w14:textId="77777777" w:rsidR="003572B1" w:rsidRPr="003572B1" w:rsidRDefault="003572B1" w:rsidP="003572B1">
      <w:pPr>
        <w:spacing w:before="120" w:after="120" w:line="240" w:lineRule="exact"/>
        <w:ind w:left="283" w:hanging="283"/>
        <w:jc w:val="both"/>
        <w:rPr>
          <w:rFonts w:ascii="FrankRuehl" w:hAnsi="FrankRuehl" w:cs="FrankRuehl"/>
          <w:rtl/>
        </w:rPr>
      </w:pPr>
      <w:hyperlink r:id="rId18" w:history="1">
        <w:r w:rsidRPr="003572B1">
          <w:rPr>
            <w:rFonts w:ascii="FrankRuehl" w:hAnsi="FrankRuehl" w:cs="FrankRuehl"/>
            <w:color w:val="0000FF"/>
            <w:rtl/>
          </w:rPr>
          <w:t>חוק סדר הדין הפלילי [נוסח משולב], תשמ"ב-1982</w:t>
        </w:r>
      </w:hyperlink>
      <w:r w:rsidRPr="003572B1">
        <w:rPr>
          <w:rFonts w:ascii="FrankRuehl" w:hAnsi="FrankRuehl" w:cs="FrankRuehl"/>
          <w:rtl/>
        </w:rPr>
        <w:t xml:space="preserve">: סע'  </w:t>
      </w:r>
      <w:hyperlink r:id="rId19" w:history="1">
        <w:r w:rsidRPr="003572B1">
          <w:rPr>
            <w:rFonts w:ascii="FrankRuehl" w:hAnsi="FrankRuehl" w:cs="FrankRuehl"/>
            <w:color w:val="0000FF"/>
            <w:rtl/>
          </w:rPr>
          <w:t>144</w:t>
        </w:r>
      </w:hyperlink>
    </w:p>
    <w:p w14:paraId="37CC26E7" w14:textId="77777777" w:rsidR="003572B1" w:rsidRPr="003572B1" w:rsidRDefault="003572B1" w:rsidP="003572B1">
      <w:pPr>
        <w:rPr>
          <w:sz w:val="26"/>
          <w:szCs w:val="26"/>
          <w:rtl/>
        </w:rPr>
      </w:pPr>
      <w:bookmarkStart w:id="3" w:name="LawTable_End"/>
      <w:bookmarkEnd w:id="3"/>
    </w:p>
    <w:p w14:paraId="2DFD472F" w14:textId="77777777" w:rsidR="003F609C" w:rsidRPr="001B0721" w:rsidRDefault="003F609C" w:rsidP="001B0721">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F609C" w14:paraId="702F1C3D" w14:textId="77777777" w:rsidTr="003F609C">
        <w:trPr>
          <w:trHeight w:val="355"/>
          <w:jc w:val="center"/>
        </w:trPr>
        <w:tc>
          <w:tcPr>
            <w:tcW w:w="8820" w:type="dxa"/>
            <w:tcBorders>
              <w:top w:val="nil"/>
              <w:left w:val="nil"/>
              <w:bottom w:val="nil"/>
              <w:right w:val="nil"/>
            </w:tcBorders>
            <w:shd w:val="clear" w:color="auto" w:fill="auto"/>
          </w:tcPr>
          <w:p w14:paraId="68A092B0" w14:textId="77777777" w:rsidR="003E1822" w:rsidRPr="003E1822" w:rsidRDefault="003E1822" w:rsidP="003E1822">
            <w:pPr>
              <w:jc w:val="center"/>
              <w:rPr>
                <w:rFonts w:ascii="David" w:hAnsi="David"/>
                <w:b/>
                <w:bCs/>
                <w:sz w:val="36"/>
                <w:szCs w:val="36"/>
                <w:u w:val="single"/>
                <w:rtl/>
              </w:rPr>
            </w:pPr>
            <w:bookmarkStart w:id="4" w:name="PsakDin" w:colFirst="0" w:colLast="0"/>
            <w:bookmarkEnd w:id="0"/>
            <w:r w:rsidRPr="003E1822">
              <w:rPr>
                <w:rFonts w:ascii="David" w:hAnsi="David"/>
                <w:b/>
                <w:bCs/>
                <w:sz w:val="36"/>
                <w:szCs w:val="36"/>
                <w:u w:val="single"/>
                <w:rtl/>
              </w:rPr>
              <w:t>גזר דין</w:t>
            </w:r>
          </w:p>
          <w:p w14:paraId="7328681D" w14:textId="77777777" w:rsidR="003F609C" w:rsidRPr="003E1822" w:rsidRDefault="003F609C" w:rsidP="003E1822">
            <w:pPr>
              <w:jc w:val="center"/>
              <w:rPr>
                <w:rFonts w:ascii="David" w:hAnsi="David"/>
                <w:bCs/>
                <w:sz w:val="36"/>
                <w:szCs w:val="36"/>
                <w:u w:val="single"/>
                <w:rtl/>
              </w:rPr>
            </w:pPr>
          </w:p>
        </w:tc>
      </w:tr>
      <w:bookmarkEnd w:id="4"/>
    </w:tbl>
    <w:p w14:paraId="5A5B4C2A" w14:textId="77777777" w:rsidR="003F609C" w:rsidRPr="000F2247" w:rsidRDefault="003F609C" w:rsidP="003F609C">
      <w:pPr>
        <w:rPr>
          <w:rFonts w:ascii="Arial" w:hAnsi="Arial"/>
          <w:b/>
          <w:bCs/>
          <w:sz w:val="26"/>
          <w:szCs w:val="26"/>
          <w:rtl/>
        </w:rPr>
      </w:pPr>
    </w:p>
    <w:p w14:paraId="7B85D8C5" w14:textId="77777777" w:rsidR="003F609C" w:rsidRDefault="003F609C" w:rsidP="003F609C">
      <w:pPr>
        <w:spacing w:line="260" w:lineRule="exact"/>
        <w:jc w:val="both"/>
        <w:rPr>
          <w:rFonts w:ascii="David" w:hAnsi="David"/>
          <w:b/>
          <w:bCs/>
        </w:rPr>
      </w:pPr>
      <w:r>
        <w:rPr>
          <w:rFonts w:ascii="David" w:hAnsi="David"/>
          <w:b/>
          <w:bCs/>
          <w:u w:val="single"/>
          <w:rtl/>
        </w:rPr>
        <w:t>רקע ותמצית השתלשלות ההליך</w:t>
      </w:r>
    </w:p>
    <w:p w14:paraId="58DA04E3"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bookmarkStart w:id="5" w:name="ABSTRACT_START"/>
      <w:bookmarkEnd w:id="5"/>
      <w:r>
        <w:rPr>
          <w:rFonts w:ascii="David" w:hAnsi="David" w:cs="David"/>
          <w:sz w:val="24"/>
          <w:szCs w:val="24"/>
          <w:rtl/>
        </w:rPr>
        <w:t xml:space="preserve">ביום 17.5.2022 הורשע הנאשם, על יסוד הודאתו, בעבירת גניבה, עבירה לפי </w:t>
      </w:r>
      <w:hyperlink r:id="rId20" w:history="1">
        <w:r w:rsidR="00052971" w:rsidRPr="00052971">
          <w:rPr>
            <w:rStyle w:val="Hyperlink"/>
            <w:rFonts w:ascii="David" w:hAnsi="David" w:cs="David"/>
            <w:sz w:val="24"/>
            <w:szCs w:val="24"/>
            <w:rtl/>
          </w:rPr>
          <w:t>סעיף 384</w:t>
        </w:r>
      </w:hyperlink>
      <w:r>
        <w:rPr>
          <w:rFonts w:ascii="David" w:hAnsi="David" w:cs="David"/>
          <w:sz w:val="24"/>
          <w:szCs w:val="24"/>
          <w:rtl/>
        </w:rPr>
        <w:t xml:space="preserve"> ל</w:t>
      </w:r>
      <w:hyperlink r:id="rId21" w:history="1">
        <w:r w:rsidR="003E1822" w:rsidRPr="003E1822">
          <w:rPr>
            <w:rFonts w:ascii="David" w:hAnsi="David" w:cs="David"/>
            <w:color w:val="0000FF"/>
            <w:sz w:val="24"/>
            <w:szCs w:val="24"/>
            <w:u w:val="single"/>
            <w:rtl/>
          </w:rPr>
          <w:t>חוק העונשין</w:t>
        </w:r>
      </w:hyperlink>
      <w:r>
        <w:rPr>
          <w:rFonts w:ascii="David" w:hAnsi="David" w:cs="David"/>
          <w:sz w:val="24"/>
          <w:szCs w:val="24"/>
          <w:rtl/>
        </w:rPr>
        <w:t xml:space="preserve">, תשל"ז – 1977 (להלן: </w:t>
      </w:r>
      <w:r>
        <w:rPr>
          <w:rFonts w:ascii="Miriam" w:hAnsi="Miriam" w:cs="Miriam"/>
          <w:rtl/>
        </w:rPr>
        <w:t>החוק</w:t>
      </w:r>
      <w:r>
        <w:rPr>
          <w:rFonts w:ascii="David" w:hAnsi="David" w:cs="David"/>
          <w:sz w:val="24"/>
          <w:szCs w:val="24"/>
          <w:rtl/>
        </w:rPr>
        <w:t xml:space="preserve">; </w:t>
      </w:r>
      <w:r>
        <w:rPr>
          <w:rFonts w:ascii="Miriam" w:hAnsi="Miriam" w:cs="Miriam"/>
          <w:rtl/>
        </w:rPr>
        <w:t>חוק העונשין</w:t>
      </w:r>
      <w:r>
        <w:rPr>
          <w:rFonts w:ascii="David" w:hAnsi="David" w:cs="David"/>
          <w:sz w:val="24"/>
          <w:szCs w:val="24"/>
          <w:rtl/>
        </w:rPr>
        <w:t xml:space="preserve">) ובעבירת תקיפה, עבירה לפי </w:t>
      </w:r>
      <w:hyperlink r:id="rId22" w:history="1">
        <w:r w:rsidR="00052971" w:rsidRPr="00052971">
          <w:rPr>
            <w:rStyle w:val="Hyperlink"/>
            <w:rFonts w:ascii="David" w:hAnsi="David" w:cs="David"/>
            <w:sz w:val="24"/>
            <w:szCs w:val="24"/>
            <w:rtl/>
          </w:rPr>
          <w:t>סעיף 379</w:t>
        </w:r>
      </w:hyperlink>
      <w:r>
        <w:rPr>
          <w:rFonts w:ascii="David" w:hAnsi="David" w:cs="David"/>
          <w:sz w:val="24"/>
          <w:szCs w:val="24"/>
          <w:rtl/>
        </w:rPr>
        <w:t xml:space="preserve"> לחוק העונשין. </w:t>
      </w:r>
    </w:p>
    <w:p w14:paraId="3EFA541A" w14:textId="77777777" w:rsidR="003F609C" w:rsidRDefault="003F609C" w:rsidP="003F609C">
      <w:pPr>
        <w:pStyle w:val="aa"/>
        <w:spacing w:line="260" w:lineRule="exact"/>
        <w:jc w:val="both"/>
        <w:rPr>
          <w:rFonts w:ascii="David" w:hAnsi="David" w:cs="David"/>
          <w:sz w:val="24"/>
          <w:szCs w:val="24"/>
        </w:rPr>
      </w:pPr>
      <w:bookmarkStart w:id="6" w:name="ABSTRACT_END"/>
      <w:bookmarkEnd w:id="6"/>
    </w:p>
    <w:p w14:paraId="247948E8"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t xml:space="preserve">ביום 4.4.2022 כפר הנאשם, באמצעות בא-כוחו, במיוחס לו והתיק נקבע לשמיעת ראיות ליום 17.5.2022. הנאשם לא התייצב לדיונים שנקבעו לפי </w:t>
      </w:r>
      <w:hyperlink r:id="rId23" w:history="1">
        <w:r w:rsidR="00052971" w:rsidRPr="00052971">
          <w:rPr>
            <w:rStyle w:val="Hyperlink"/>
            <w:rFonts w:ascii="David" w:hAnsi="David" w:cs="David"/>
            <w:sz w:val="24"/>
            <w:szCs w:val="24"/>
            <w:rtl/>
          </w:rPr>
          <w:t>סעיף 144</w:t>
        </w:r>
      </w:hyperlink>
      <w:r>
        <w:rPr>
          <w:rFonts w:ascii="David" w:hAnsi="David" w:cs="David"/>
          <w:sz w:val="24"/>
          <w:szCs w:val="24"/>
          <w:rtl/>
        </w:rPr>
        <w:t xml:space="preserve"> ל</w:t>
      </w:r>
      <w:hyperlink r:id="rId24" w:history="1">
        <w:r w:rsidR="003E1822" w:rsidRPr="003E1822">
          <w:rPr>
            <w:rFonts w:ascii="David" w:hAnsi="David" w:cs="David"/>
            <w:color w:val="0000FF"/>
            <w:sz w:val="24"/>
            <w:szCs w:val="24"/>
            <w:u w:val="single"/>
            <w:rtl/>
          </w:rPr>
          <w:t>חוק סדר הדין הפלילי</w:t>
        </w:r>
      </w:hyperlink>
      <w:r>
        <w:rPr>
          <w:rFonts w:ascii="David" w:hAnsi="David" w:cs="David"/>
          <w:sz w:val="24"/>
          <w:szCs w:val="24"/>
          <w:rtl/>
        </w:rPr>
        <w:t xml:space="preserve"> [נוסח משולב], התשמ"ב – 1982 (להלן: </w:t>
      </w:r>
      <w:r>
        <w:rPr>
          <w:rFonts w:ascii="Miriam" w:hAnsi="Miriam" w:cs="Miriam"/>
          <w:rtl/>
        </w:rPr>
        <w:t>חוק סדר הדין הפלילי</w:t>
      </w:r>
      <w:r>
        <w:rPr>
          <w:rFonts w:ascii="David" w:hAnsi="David" w:cs="David"/>
          <w:sz w:val="24"/>
          <w:szCs w:val="24"/>
          <w:rtl/>
        </w:rPr>
        <w:t>), אך בפתחו של הדיון שנקבע לשם שמיעת הראיות הודה במיוחס לו במסגרת הסדר טיעון שגובש בין הצדדים. בין הצדדים הוסכם, כי המאשימה תעתור לעונש מאסר בפועל, בצירוף רכיבי ענישה נלווים: מאסר מותנה ופיצוי למתלונן וההגנה חופשית בטיעוניה.</w:t>
      </w:r>
    </w:p>
    <w:p w14:paraId="5BEEAF7E" w14:textId="77777777" w:rsidR="003F609C" w:rsidRDefault="003F609C" w:rsidP="003F609C">
      <w:pPr>
        <w:pStyle w:val="aa"/>
        <w:spacing w:line="260" w:lineRule="exact"/>
        <w:rPr>
          <w:rFonts w:ascii="David" w:hAnsi="David" w:cs="David"/>
          <w:sz w:val="24"/>
          <w:szCs w:val="24"/>
        </w:rPr>
      </w:pPr>
    </w:p>
    <w:p w14:paraId="6ECF4BFD"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lastRenderedPageBreak/>
        <w:t xml:space="preserve">על פי </w:t>
      </w:r>
      <w:r>
        <w:rPr>
          <w:rFonts w:ascii="David" w:hAnsi="David" w:cs="David"/>
          <w:sz w:val="24"/>
          <w:szCs w:val="24"/>
          <w:u w:val="single"/>
          <w:rtl/>
        </w:rPr>
        <w:t>עובדות כתב האישום המתוקן</w:t>
      </w:r>
      <w:r>
        <w:rPr>
          <w:rFonts w:ascii="David" w:hAnsi="David" w:cs="David"/>
          <w:sz w:val="24"/>
          <w:szCs w:val="24"/>
          <w:rtl/>
        </w:rPr>
        <w:t xml:space="preserve"> בו הודה הנאשם, ביום 28.8.2019 ישב המתלונן על ספסל מחוץ לביתו ברחוב עקיבא איגר בתל-אביב. הנאשם, שהיה רכוב על קורקינט חשמלי, ניגש אליו וביקש ממנו לערוך שיחת טלפון ממכשיר מסוג סמסונג </w:t>
      </w:r>
      <w:r>
        <w:rPr>
          <w:rFonts w:ascii="David" w:hAnsi="David" w:cs="David"/>
          <w:sz w:val="24"/>
          <w:szCs w:val="24"/>
        </w:rPr>
        <w:t>A9</w:t>
      </w:r>
      <w:r>
        <w:rPr>
          <w:rFonts w:ascii="David" w:hAnsi="David" w:cs="David"/>
          <w:sz w:val="24"/>
          <w:szCs w:val="24"/>
          <w:rtl/>
        </w:rPr>
        <w:t xml:space="preserve"> שבבעלות המתלונן (להלן: </w:t>
      </w:r>
      <w:r>
        <w:rPr>
          <w:rFonts w:ascii="Miriam" w:hAnsi="Miriam" w:cs="Miriam"/>
          <w:rtl/>
        </w:rPr>
        <w:t>המכשיר</w:t>
      </w:r>
      <w:r>
        <w:rPr>
          <w:rFonts w:ascii="David" w:hAnsi="David" w:cs="David"/>
          <w:sz w:val="24"/>
          <w:szCs w:val="24"/>
          <w:rtl/>
        </w:rPr>
        <w:t xml:space="preserve">); המתלונן מסר את המכשיר לנאשם. אז אמר הנאשם למתלונן: "מי אתה בכלל", הוציא מכיסו גז מדמיע והתיזו לעבר פני המתלונן ולאחר מכן נטל את המכשיר וברח מהמקום, רכוב על הקורקינט. נטען, כי למתלונן נגרמו אדמומיות ורגישות בעיניו. </w:t>
      </w:r>
    </w:p>
    <w:p w14:paraId="21A3133C" w14:textId="77777777" w:rsidR="003F609C" w:rsidRDefault="003F609C" w:rsidP="003F609C">
      <w:pPr>
        <w:pStyle w:val="aa"/>
        <w:spacing w:line="260" w:lineRule="exact"/>
        <w:rPr>
          <w:rFonts w:ascii="David" w:hAnsi="David" w:cs="David"/>
          <w:sz w:val="24"/>
          <w:szCs w:val="24"/>
          <w:rtl/>
        </w:rPr>
      </w:pPr>
    </w:p>
    <w:p w14:paraId="0825B50C"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t xml:space="preserve">ביום 8.6.2022 נשמעו </w:t>
      </w:r>
      <w:r>
        <w:rPr>
          <w:rFonts w:ascii="David" w:hAnsi="David" w:cs="David"/>
          <w:sz w:val="24"/>
          <w:szCs w:val="24"/>
          <w:u w:val="single"/>
          <w:rtl/>
        </w:rPr>
        <w:t>טיעוני הצדדים לעונש</w:t>
      </w:r>
      <w:r>
        <w:rPr>
          <w:rFonts w:ascii="David" w:hAnsi="David" w:cs="David"/>
          <w:sz w:val="24"/>
          <w:szCs w:val="24"/>
          <w:rtl/>
        </w:rPr>
        <w:t>.</w:t>
      </w:r>
    </w:p>
    <w:p w14:paraId="299F5571" w14:textId="77777777" w:rsidR="003F609C" w:rsidRDefault="003F609C" w:rsidP="003F609C">
      <w:pPr>
        <w:pStyle w:val="aa"/>
        <w:spacing w:line="260" w:lineRule="exact"/>
        <w:jc w:val="both"/>
        <w:rPr>
          <w:rFonts w:ascii="David" w:hAnsi="David" w:cs="David"/>
          <w:sz w:val="24"/>
          <w:szCs w:val="24"/>
        </w:rPr>
      </w:pPr>
    </w:p>
    <w:p w14:paraId="609D9FD9"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b/>
          <w:bCs/>
          <w:sz w:val="24"/>
          <w:szCs w:val="24"/>
          <w:rtl/>
        </w:rPr>
        <w:t>בא-כח המאשימה</w:t>
      </w:r>
      <w:r>
        <w:rPr>
          <w:rFonts w:ascii="David" w:hAnsi="David" w:cs="David"/>
          <w:sz w:val="24"/>
          <w:szCs w:val="24"/>
          <w:rtl/>
        </w:rPr>
        <w:t xml:space="preserve"> הפנה לערכים המוגנים שנפגעו: שמירה על גופו, בטחונו ושלוות נפשו של המתלונן ומניעת פגיעה בפרטיותו. אשר לעוצמת הפגיעה בערכים, נטען כי יש למקמה ברף הבינוני-עליון, שכן גניבת של טלפון סלולרי אינה עבירת רכוש רגילה. </w:t>
      </w:r>
    </w:p>
    <w:p w14:paraId="1A0A32D5" w14:textId="77777777" w:rsidR="003F609C" w:rsidRDefault="003F609C" w:rsidP="003F609C">
      <w:pPr>
        <w:pStyle w:val="aa"/>
        <w:spacing w:line="260" w:lineRule="exact"/>
        <w:rPr>
          <w:rFonts w:ascii="David" w:hAnsi="David" w:cs="David"/>
          <w:sz w:val="24"/>
          <w:szCs w:val="24"/>
        </w:rPr>
      </w:pPr>
    </w:p>
    <w:p w14:paraId="144CD78B" w14:textId="77777777" w:rsidR="003F609C" w:rsidRDefault="003F609C" w:rsidP="003F609C">
      <w:pPr>
        <w:pStyle w:val="aa"/>
        <w:spacing w:line="260" w:lineRule="exact"/>
        <w:ind w:left="-58" w:firstLine="778"/>
        <w:jc w:val="both"/>
        <w:rPr>
          <w:rFonts w:ascii="David" w:hAnsi="David" w:cs="David"/>
          <w:sz w:val="24"/>
          <w:szCs w:val="24"/>
          <w:rtl/>
        </w:rPr>
      </w:pPr>
      <w:r>
        <w:rPr>
          <w:rFonts w:ascii="David" w:hAnsi="David" w:cs="David"/>
          <w:sz w:val="24"/>
          <w:szCs w:val="24"/>
          <w:rtl/>
        </w:rPr>
        <w:t>לטענת המאשימה מתחם הענישה נע בין 8 ל-15 חודשי מאסר בפועל, כאשר מיקום הנאשם הוא בחלקו התחתון של המתחם, בשל היותו נעדר עבר פלילי ולאור הודאתו, שחסכה בזמן שיפוטי. עוד נטען, כי על-אף שכלל ניתן לרצות המאסר בנסיבות אלו בדרך של עבודות שירות, לא נכון לעשות כן בעניין הנאשם, בשל היותו נתין זר. לפיכך עתרה המאשימה להשית על הנאשם עונש מאסר בפועל לתקופה של 8 חודשים, לצד ענישה נלווית, לרבות מאסר על תנאי ופיצוי.</w:t>
      </w:r>
    </w:p>
    <w:p w14:paraId="62F5B1E1" w14:textId="77777777" w:rsidR="003F609C" w:rsidRDefault="003F609C" w:rsidP="003F609C">
      <w:pPr>
        <w:pStyle w:val="aa"/>
        <w:spacing w:line="260" w:lineRule="exact"/>
        <w:jc w:val="both"/>
        <w:rPr>
          <w:rFonts w:ascii="David" w:hAnsi="David" w:cs="David"/>
          <w:b/>
          <w:bCs/>
          <w:sz w:val="24"/>
          <w:szCs w:val="24"/>
        </w:rPr>
      </w:pPr>
    </w:p>
    <w:p w14:paraId="06B60266"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t xml:space="preserve">לטענת </w:t>
      </w:r>
      <w:r>
        <w:rPr>
          <w:rFonts w:ascii="David" w:hAnsi="David" w:cs="David"/>
          <w:b/>
          <w:bCs/>
          <w:sz w:val="24"/>
          <w:szCs w:val="24"/>
          <w:rtl/>
        </w:rPr>
        <w:t>בא-כח הנאשם</w:t>
      </w:r>
      <w:r>
        <w:rPr>
          <w:rFonts w:ascii="David" w:hAnsi="David" w:cs="David"/>
          <w:sz w:val="24"/>
          <w:szCs w:val="24"/>
          <w:rtl/>
        </w:rPr>
        <w:t>, הנאשם, נטול עבר פלילי, שוהה בישראל 12 שנה ושולט ברזי החברה, עובד ומפרנס עצמו, ונמצא בזוגיות ממושכת. עוד הדגיש כי מדובר בטעות קשה, שהנאשם הפנימה וכי הטלפון הושב למתלונן דקות לאחר האירוע, כך שהנזק שנגרם לו אינו גדול וכי ההליך המשפטי פעל פעולתו המרתיעה. הסנגור הפנה אף למצבו הרפואי של הנאשם והגיש מסמכים בעניין זה. מכל האמור, עתרה ההגנה לעונש צופה פני עתיד.</w:t>
      </w:r>
    </w:p>
    <w:p w14:paraId="0F86A79F" w14:textId="77777777" w:rsidR="003F609C" w:rsidRDefault="003F609C" w:rsidP="003F609C">
      <w:pPr>
        <w:pStyle w:val="aa"/>
        <w:spacing w:line="260" w:lineRule="exact"/>
        <w:ind w:left="-58"/>
        <w:jc w:val="both"/>
        <w:rPr>
          <w:rFonts w:ascii="David" w:hAnsi="David" w:cs="David"/>
          <w:sz w:val="24"/>
          <w:szCs w:val="24"/>
        </w:rPr>
      </w:pPr>
    </w:p>
    <w:p w14:paraId="3BD94AD1"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b/>
          <w:bCs/>
          <w:sz w:val="24"/>
          <w:szCs w:val="24"/>
          <w:rtl/>
        </w:rPr>
        <w:t>הנאשם</w:t>
      </w:r>
      <w:r>
        <w:rPr>
          <w:rFonts w:ascii="David" w:hAnsi="David" w:cs="David"/>
          <w:sz w:val="24"/>
          <w:szCs w:val="24"/>
          <w:rtl/>
        </w:rPr>
        <w:t>, בדבריו האחרונים מסר כי מדובר במקרה יחיד, הביע חרטה על מעשיו וביקש סליחה בגינם. עוד ציין כי מצבו הבריאותי אינו שפיר, כי הוא אינו עובד ונדרש עדיין לניתוח.</w:t>
      </w:r>
    </w:p>
    <w:p w14:paraId="1A17F56A" w14:textId="77777777" w:rsidR="003F609C" w:rsidRDefault="003F609C" w:rsidP="003F609C">
      <w:pPr>
        <w:pStyle w:val="aa"/>
        <w:spacing w:line="260" w:lineRule="exact"/>
        <w:ind w:left="-58"/>
        <w:jc w:val="both"/>
        <w:rPr>
          <w:rFonts w:ascii="David" w:hAnsi="David" w:cs="David"/>
          <w:sz w:val="24"/>
          <w:szCs w:val="24"/>
        </w:rPr>
      </w:pPr>
    </w:p>
    <w:p w14:paraId="242EB3E8" w14:textId="77777777" w:rsidR="003F609C" w:rsidRDefault="003F609C" w:rsidP="003F609C">
      <w:pPr>
        <w:pStyle w:val="aa"/>
        <w:numPr>
          <w:ilvl w:val="0"/>
          <w:numId w:val="1"/>
        </w:numPr>
        <w:spacing w:line="260" w:lineRule="exact"/>
        <w:ind w:left="-58" w:firstLine="0"/>
        <w:jc w:val="both"/>
        <w:rPr>
          <w:rFonts w:ascii="David" w:hAnsi="David" w:cs="David"/>
          <w:sz w:val="24"/>
          <w:szCs w:val="24"/>
        </w:rPr>
      </w:pPr>
      <w:r>
        <w:rPr>
          <w:rFonts w:ascii="David" w:hAnsi="David" w:cs="David"/>
          <w:sz w:val="24"/>
          <w:szCs w:val="24"/>
          <w:rtl/>
        </w:rPr>
        <w:t>לאחר ששמעתי טיעוני הצדדים הוריתי, בהחלטתי מיום 16.6.2022, כי בעניינו של הנאשם תינתן חוות דעת מטעם הממונה על עבודות השירות וגזר הדין יישמע ביום 20.7.2022. אלא שהנאשם לא התייצב בפני הממונה ולבקשת בא כוחו נדחה מועד שימוע גזר הדין ליום 19.9.2022. לאחר שהנאשם הגיע לראיון אצל הממונה, אך ללא המסמכים הנדרשים הוריתי ביום 22.8.2022 כי הדיון ידחה ליום 3.10.2022 וכי על הממונה לזמן את הנאשם לפניו פעם נוספת, ואולם הנאשם לא התייצב כאמור.</w:t>
      </w:r>
    </w:p>
    <w:p w14:paraId="2EB8A14D" w14:textId="77777777" w:rsidR="003F609C" w:rsidRPr="00076BD5" w:rsidRDefault="003F609C" w:rsidP="003F609C">
      <w:pPr>
        <w:pStyle w:val="aa"/>
        <w:rPr>
          <w:rFonts w:ascii="David" w:hAnsi="David" w:cs="David"/>
          <w:sz w:val="24"/>
          <w:szCs w:val="24"/>
          <w:rtl/>
        </w:rPr>
      </w:pPr>
    </w:p>
    <w:p w14:paraId="7C10CE87" w14:textId="77777777" w:rsidR="003F609C" w:rsidRDefault="003F609C" w:rsidP="003F609C">
      <w:pPr>
        <w:pStyle w:val="aa"/>
        <w:numPr>
          <w:ilvl w:val="0"/>
          <w:numId w:val="1"/>
        </w:numPr>
        <w:spacing w:line="260" w:lineRule="exact"/>
        <w:ind w:left="-58" w:firstLine="0"/>
        <w:jc w:val="both"/>
        <w:rPr>
          <w:rFonts w:ascii="David" w:hAnsi="David" w:cs="David"/>
          <w:sz w:val="24"/>
          <w:szCs w:val="24"/>
        </w:rPr>
      </w:pPr>
      <w:r>
        <w:rPr>
          <w:rFonts w:ascii="David" w:hAnsi="David" w:cs="David"/>
          <w:sz w:val="24"/>
          <w:szCs w:val="24"/>
          <w:rtl/>
        </w:rPr>
        <w:t xml:space="preserve">ביום 20.12.2022 הותלו ההליכים בתיק לאחר שהנאשם לא התייצב לדיונים בעניינו בימים 3.10.2022, 20.11.2022 ו-20.12.2022; עם איתורו של הנאשם חודשו ההליכים ביום 28.3.2023. בדיון שהתקיים לפני ביום 16.4.2023 הוריתי על שליחת הנאשם פעם נוספת לממונה עבודות השירות, אך גם הפעם התקבלה הודעה מטעמו על אי-התייצבותו של הנאשם. הנאשם לא התייצב לדיון שנקבע ביום 13.7.2023 והוריתי על צו הבאה ללא שחרור בעניינו ועל דחיית הדיון ליום 6.9.2023. במועד זה חודש צו ההבאה והדיון נדחה ליום </w:t>
      </w:r>
      <w:r>
        <w:rPr>
          <w:rFonts w:ascii="David" w:hAnsi="David" w:cs="David" w:hint="cs"/>
          <w:sz w:val="24"/>
          <w:szCs w:val="24"/>
          <w:rtl/>
        </w:rPr>
        <w:t xml:space="preserve">14.12.2023. במועד זה נעתרתי לבקשת המאשימה לחידוש צו ההבאה והדיון נדחה ליום 23.1.2024. </w:t>
      </w:r>
      <w:r>
        <w:rPr>
          <w:rFonts w:ascii="David" w:hAnsi="David" w:cs="David"/>
          <w:sz w:val="24"/>
          <w:szCs w:val="24"/>
          <w:rtl/>
        </w:rPr>
        <w:t xml:space="preserve">ביום 25.12.2023 נעצר הנאשם והובא לפני. </w:t>
      </w:r>
    </w:p>
    <w:p w14:paraId="2BCFFCCB" w14:textId="77777777" w:rsidR="003F609C" w:rsidRDefault="003F609C" w:rsidP="003F609C">
      <w:pPr>
        <w:spacing w:line="260" w:lineRule="exact"/>
        <w:jc w:val="both"/>
        <w:rPr>
          <w:rFonts w:ascii="David" w:hAnsi="David"/>
          <w:b/>
          <w:bCs/>
          <w:u w:val="single"/>
        </w:rPr>
      </w:pPr>
      <w:r>
        <w:rPr>
          <w:rFonts w:ascii="David" w:hAnsi="David"/>
          <w:b/>
          <w:bCs/>
          <w:u w:val="single"/>
          <w:rtl/>
        </w:rPr>
        <w:t>דיון והכרעה</w:t>
      </w:r>
    </w:p>
    <w:p w14:paraId="6521B303" w14:textId="77777777" w:rsidR="003F609C" w:rsidRDefault="003F609C" w:rsidP="003F609C">
      <w:pPr>
        <w:spacing w:line="260" w:lineRule="exact"/>
        <w:jc w:val="both"/>
        <w:rPr>
          <w:rFonts w:ascii="David" w:hAnsi="David"/>
          <w:u w:val="single"/>
        </w:rPr>
      </w:pPr>
      <w:r>
        <w:rPr>
          <w:rFonts w:ascii="David" w:hAnsi="David"/>
          <w:u w:val="single"/>
          <w:rtl/>
        </w:rPr>
        <w:t>מתחם העונש ההולם</w:t>
      </w:r>
    </w:p>
    <w:p w14:paraId="58DD6DEE" w14:textId="77777777" w:rsidR="003F609C" w:rsidRDefault="003F609C" w:rsidP="003F609C">
      <w:pPr>
        <w:pStyle w:val="aa"/>
        <w:numPr>
          <w:ilvl w:val="0"/>
          <w:numId w:val="1"/>
        </w:numPr>
        <w:spacing w:line="260" w:lineRule="exact"/>
        <w:ind w:left="-58" w:firstLine="0"/>
        <w:jc w:val="both"/>
        <w:rPr>
          <w:rFonts w:ascii="David" w:hAnsi="David" w:cs="David"/>
          <w:sz w:val="24"/>
          <w:szCs w:val="24"/>
        </w:rPr>
      </w:pPr>
      <w:r>
        <w:rPr>
          <w:rFonts w:ascii="David" w:hAnsi="David" w:cs="David"/>
          <w:sz w:val="24"/>
          <w:szCs w:val="24"/>
          <w:rtl/>
        </w:rPr>
        <w:t xml:space="preserve"> על פי הוראות</w:t>
      </w:r>
      <w:r w:rsidR="003E1822">
        <w:rPr>
          <w:rFonts w:ascii="David" w:hAnsi="David" w:cs="David"/>
          <w:sz w:val="24"/>
          <w:szCs w:val="24"/>
          <w:rtl/>
        </w:rPr>
        <w:t xml:space="preserve"> </w:t>
      </w:r>
      <w:hyperlink r:id="rId25" w:history="1">
        <w:r w:rsidR="00052971" w:rsidRPr="00052971">
          <w:rPr>
            <w:rStyle w:val="Hyperlink"/>
            <w:rFonts w:ascii="David" w:hAnsi="David" w:cs="David"/>
            <w:sz w:val="24"/>
            <w:szCs w:val="24"/>
            <w:rtl/>
          </w:rPr>
          <w:t>סעיף 40ג(א)</w:t>
        </w:r>
      </w:hyperlink>
      <w:r w:rsidR="003E1822">
        <w:rPr>
          <w:rFonts w:ascii="David" w:hAnsi="David" w:cs="David"/>
          <w:sz w:val="24"/>
          <w:szCs w:val="24"/>
          <w:rtl/>
        </w:rPr>
        <w:t xml:space="preserve"> </w:t>
      </w:r>
      <w:r>
        <w:rPr>
          <w:rFonts w:ascii="David" w:hAnsi="David" w:cs="David"/>
          <w:sz w:val="24"/>
          <w:szCs w:val="24"/>
          <w:rtl/>
        </w:rPr>
        <w:t xml:space="preserve">לחוק, טרם גזירת העונש יש לקבוע, בגין כל אחד מהאירועים שבכתב האישום, מתחם עונש הולם למעשה העבירה, תוך התחשבות בערך החברתי שנפגע כתוצאה </w:t>
      </w:r>
      <w:r>
        <w:rPr>
          <w:rFonts w:ascii="David" w:hAnsi="David" w:cs="David"/>
          <w:sz w:val="24"/>
          <w:szCs w:val="24"/>
          <w:rtl/>
        </w:rPr>
        <w:lastRenderedPageBreak/>
        <w:t>מביצוע העבירה ומידת הפגיעה בערך זה, במדיניות הענישה הנהוגה ובנסיבות הקשורות בביצוע העבירה. בענייננו, מדובר באירוע אחד, מתוחם בזמן ובמקום.</w:t>
      </w:r>
    </w:p>
    <w:p w14:paraId="41CF1642" w14:textId="77777777" w:rsidR="003F609C" w:rsidRDefault="003F609C" w:rsidP="003F609C">
      <w:pPr>
        <w:pStyle w:val="aa"/>
        <w:spacing w:line="260" w:lineRule="exact"/>
        <w:ind w:left="-58"/>
        <w:jc w:val="both"/>
        <w:rPr>
          <w:rFonts w:ascii="David" w:hAnsi="David" w:cs="David"/>
          <w:sz w:val="24"/>
          <w:szCs w:val="24"/>
        </w:rPr>
      </w:pPr>
    </w:p>
    <w:p w14:paraId="4095B0CD"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b/>
          <w:bCs/>
          <w:sz w:val="24"/>
          <w:szCs w:val="24"/>
          <w:rtl/>
        </w:rPr>
        <w:t>הערכים החברתיים שנפגעו</w:t>
      </w:r>
      <w:r>
        <w:rPr>
          <w:rFonts w:ascii="David" w:hAnsi="David" w:cs="David"/>
          <w:sz w:val="24"/>
          <w:szCs w:val="24"/>
          <w:rtl/>
        </w:rPr>
        <w:t xml:space="preserve"> נוגעים לשלמות הגוף, תחושת הביטחון במרחב הציבורי, שמירת קניינו של אדם ופגיעה בפרטיות. </w:t>
      </w:r>
      <w:r>
        <w:rPr>
          <w:rFonts w:ascii="David" w:hAnsi="David" w:cs="David"/>
          <w:b/>
          <w:bCs/>
          <w:sz w:val="24"/>
          <w:szCs w:val="24"/>
          <w:rtl/>
        </w:rPr>
        <w:t>מידת הפגיעה</w:t>
      </w:r>
      <w:r>
        <w:rPr>
          <w:rFonts w:ascii="David" w:hAnsi="David" w:cs="David"/>
          <w:sz w:val="24"/>
          <w:szCs w:val="24"/>
          <w:rtl/>
        </w:rPr>
        <w:t xml:space="preserve"> בערכים המוגנים, בנסיבות שיפורט להלן, היא משמעותית, גם אם אינה ברף הגבוה ביותר.</w:t>
      </w:r>
    </w:p>
    <w:p w14:paraId="49AC859C" w14:textId="77777777" w:rsidR="003F609C" w:rsidRDefault="003F609C" w:rsidP="003F609C">
      <w:pPr>
        <w:pStyle w:val="aa"/>
        <w:spacing w:line="260" w:lineRule="exact"/>
        <w:rPr>
          <w:rFonts w:ascii="David" w:hAnsi="David" w:cs="David"/>
          <w:sz w:val="24"/>
          <w:szCs w:val="24"/>
        </w:rPr>
      </w:pPr>
    </w:p>
    <w:p w14:paraId="7A8E830A"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b/>
          <w:bCs/>
          <w:sz w:val="24"/>
          <w:szCs w:val="24"/>
          <w:rtl/>
        </w:rPr>
        <w:t>נסיבות ביצוע העבירה</w:t>
      </w:r>
      <w:r>
        <w:rPr>
          <w:rFonts w:ascii="David" w:hAnsi="David" w:cs="David"/>
          <w:sz w:val="24"/>
          <w:szCs w:val="24"/>
          <w:rtl/>
        </w:rPr>
        <w:t xml:space="preserve"> מפורטות בכתב האישום המתוקן; </w:t>
      </w:r>
      <w:hyperlink r:id="rId26" w:history="1">
        <w:r w:rsidR="00052971" w:rsidRPr="00052971">
          <w:rPr>
            <w:rStyle w:val="Hyperlink"/>
            <w:rFonts w:ascii="David" w:hAnsi="David" w:cs="David"/>
            <w:sz w:val="24"/>
            <w:szCs w:val="24"/>
            <w:rtl/>
          </w:rPr>
          <w:t>סעיף 40ט(א)</w:t>
        </w:r>
      </w:hyperlink>
      <w:r>
        <w:rPr>
          <w:rFonts w:ascii="David" w:hAnsi="David" w:cs="David"/>
          <w:sz w:val="24"/>
          <w:szCs w:val="24"/>
          <w:rtl/>
        </w:rPr>
        <w:t xml:space="preserve"> לחוק קובע כי על בית המשפט להתחשב בקביעת העונש ההולם, בנסיבות, מקלות ומחמירות כאחד, הקשורות בביצוע העבירה "ככל שסבר שהן משפיעות... על אשמו של הנאשם".</w:t>
      </w:r>
    </w:p>
    <w:p w14:paraId="484620E0" w14:textId="77777777" w:rsidR="003F609C" w:rsidRDefault="003F609C" w:rsidP="003F609C">
      <w:pPr>
        <w:pStyle w:val="aa"/>
        <w:spacing w:line="260" w:lineRule="exact"/>
        <w:rPr>
          <w:rFonts w:ascii="David" w:hAnsi="David" w:cs="David"/>
          <w:sz w:val="24"/>
          <w:szCs w:val="24"/>
        </w:rPr>
      </w:pPr>
    </w:p>
    <w:p w14:paraId="45681029"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t>מדובר באירוע מתפתח אשר החל בבקשת הנאשם לבצע שיחת טלפון ממכשיר הטלפון של המתלונן והסתיים בתקיפתו של האחרון, באמצעות גז מדמיע, ובגניבת המכשיר.</w:t>
      </w:r>
    </w:p>
    <w:p w14:paraId="4440C61E" w14:textId="77777777" w:rsidR="003F609C" w:rsidRDefault="003F609C" w:rsidP="003F609C">
      <w:pPr>
        <w:pStyle w:val="aa"/>
        <w:spacing w:line="260" w:lineRule="exact"/>
        <w:ind w:left="-58"/>
        <w:jc w:val="both"/>
        <w:rPr>
          <w:rFonts w:ascii="David" w:hAnsi="David" w:cs="David"/>
          <w:sz w:val="24"/>
          <w:szCs w:val="24"/>
        </w:rPr>
      </w:pPr>
    </w:p>
    <w:p w14:paraId="03FD42D8" w14:textId="77777777" w:rsidR="003F609C" w:rsidRDefault="003F609C" w:rsidP="003F609C">
      <w:pPr>
        <w:pStyle w:val="aa"/>
        <w:numPr>
          <w:ilvl w:val="0"/>
          <w:numId w:val="1"/>
        </w:numPr>
        <w:spacing w:line="260" w:lineRule="exact"/>
        <w:ind w:left="-58" w:firstLine="0"/>
        <w:jc w:val="both"/>
        <w:rPr>
          <w:rFonts w:ascii="David" w:hAnsi="David" w:cs="David"/>
          <w:sz w:val="24"/>
          <w:szCs w:val="24"/>
        </w:rPr>
      </w:pPr>
      <w:r>
        <w:rPr>
          <w:rFonts w:ascii="David" w:hAnsi="David" w:cs="David"/>
          <w:i/>
          <w:iCs/>
          <w:sz w:val="24"/>
          <w:szCs w:val="24"/>
          <w:rtl/>
        </w:rPr>
        <w:t>אשר לגניבת המכשיר</w:t>
      </w:r>
      <w:r>
        <w:rPr>
          <w:rFonts w:ascii="David" w:hAnsi="David" w:cs="David"/>
          <w:sz w:val="24"/>
          <w:szCs w:val="24"/>
          <w:rtl/>
        </w:rPr>
        <w:t xml:space="preserve">: בכל הנוגע לנזק שהיה צפוי להיגרם מביצוע העבירה, בהתאם להוראות </w:t>
      </w:r>
      <w:hyperlink r:id="rId27" w:history="1">
        <w:r w:rsidR="00052971" w:rsidRPr="00052971">
          <w:rPr>
            <w:rStyle w:val="Hyperlink"/>
            <w:rFonts w:ascii="David" w:hAnsi="David" w:cs="David"/>
            <w:sz w:val="24"/>
            <w:szCs w:val="24"/>
            <w:rtl/>
          </w:rPr>
          <w:t>סעיף 40ט(א)(3)</w:t>
        </w:r>
      </w:hyperlink>
      <w:r>
        <w:rPr>
          <w:rFonts w:ascii="David" w:hAnsi="David" w:cs="David"/>
          <w:sz w:val="24"/>
          <w:szCs w:val="24"/>
          <w:rtl/>
        </w:rPr>
        <w:t xml:space="preserve"> לחוק, גניבת מכשיר טלפון סלולארי בו משתמש אדם מצמיחה פגיעה מוגברת, החורגת מערך הרכוש כשלעצמו. מידע אישי רב מאוחסן במכשירי טלפון ניידים ונטילת המכשיר, בו אצור לא רק מידע רב, אלא תיעוד של חוויות אישיות ורגשיות המחזיק בו, מקימה חשש לפגיעה בפרטיות ומסבה עגמת-נפש רבה, וזאת מעבר לנזק הכספי (</w:t>
      </w:r>
      <w:hyperlink r:id="rId28" w:history="1">
        <w:r w:rsidR="003E1822" w:rsidRPr="003E1822">
          <w:rPr>
            <w:rFonts w:ascii="David" w:hAnsi="David" w:cs="David"/>
            <w:color w:val="0000FF"/>
            <w:sz w:val="24"/>
            <w:szCs w:val="24"/>
            <w:u w:val="single"/>
            <w:rtl/>
          </w:rPr>
          <w:t>עפ"ג (מחוזי ת"א) 51662-12-14</w:t>
        </w:r>
      </w:hyperlink>
      <w:r>
        <w:rPr>
          <w:rFonts w:ascii="David" w:hAnsi="David" w:cs="David"/>
          <w:sz w:val="24"/>
          <w:szCs w:val="24"/>
          <w:rtl/>
        </w:rPr>
        <w:t xml:space="preserve"> </w:t>
      </w:r>
      <w:r>
        <w:rPr>
          <w:rFonts w:ascii="David" w:hAnsi="David" w:cs="David"/>
          <w:b/>
          <w:bCs/>
          <w:sz w:val="24"/>
          <w:szCs w:val="24"/>
          <w:rtl/>
        </w:rPr>
        <w:t>מדינת ישראל נ' ג'אבר</w:t>
      </w:r>
      <w:r>
        <w:rPr>
          <w:rFonts w:ascii="David" w:hAnsi="David" w:cs="David"/>
          <w:sz w:val="24"/>
          <w:szCs w:val="24"/>
          <w:rtl/>
        </w:rPr>
        <w:t>, פסקה 5 (20.4.2015)). יחד עם זאת, על אף פוטנציאל הנזק הגלום במעשי הנאשם (</w:t>
      </w:r>
      <w:hyperlink r:id="rId29" w:history="1">
        <w:r w:rsidR="00052971" w:rsidRPr="00052971">
          <w:rPr>
            <w:rStyle w:val="Hyperlink"/>
            <w:rFonts w:ascii="David" w:hAnsi="David" w:cs="David"/>
            <w:sz w:val="24"/>
            <w:szCs w:val="24"/>
            <w:rtl/>
          </w:rPr>
          <w:t>סעיף 40ט(א)(3)</w:t>
        </w:r>
      </w:hyperlink>
      <w:r>
        <w:rPr>
          <w:rFonts w:ascii="David" w:hAnsi="David" w:cs="David"/>
          <w:sz w:val="24"/>
          <w:szCs w:val="24"/>
          <w:rtl/>
        </w:rPr>
        <w:t xml:space="preserve"> לחוק) מכשיר הטלפון הושב למתלונן בסמוך לביצועה של העבירה, כך שבכל הנוגע להיבט הרכושי - נזק מוחשי וקונקרטי לא נגרם (</w:t>
      </w:r>
      <w:hyperlink r:id="rId30" w:history="1">
        <w:r w:rsidR="00052971" w:rsidRPr="00052971">
          <w:rPr>
            <w:rStyle w:val="Hyperlink"/>
            <w:rFonts w:ascii="David" w:hAnsi="David" w:cs="David"/>
            <w:sz w:val="24"/>
            <w:szCs w:val="24"/>
            <w:rtl/>
          </w:rPr>
          <w:t>סעיף 40ט(א)(4)</w:t>
        </w:r>
      </w:hyperlink>
      <w:r>
        <w:rPr>
          <w:rFonts w:ascii="David" w:hAnsi="David" w:cs="David"/>
          <w:sz w:val="24"/>
          <w:szCs w:val="24"/>
          <w:rtl/>
        </w:rPr>
        <w:t xml:space="preserve"> לחוק). </w:t>
      </w:r>
    </w:p>
    <w:p w14:paraId="25FA190F" w14:textId="77777777" w:rsidR="003F609C" w:rsidRDefault="003F609C" w:rsidP="003F609C">
      <w:pPr>
        <w:pStyle w:val="aa"/>
        <w:spacing w:line="260" w:lineRule="exact"/>
        <w:rPr>
          <w:rFonts w:ascii="David" w:hAnsi="David" w:cs="David"/>
          <w:sz w:val="24"/>
          <w:szCs w:val="24"/>
        </w:rPr>
      </w:pPr>
    </w:p>
    <w:p w14:paraId="06A01DF5"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i/>
          <w:iCs/>
          <w:sz w:val="24"/>
          <w:szCs w:val="24"/>
          <w:rtl/>
        </w:rPr>
        <w:t>אשר לשימוש בגז המדמיע</w:t>
      </w:r>
      <w:r>
        <w:rPr>
          <w:rFonts w:ascii="David" w:hAnsi="David" w:cs="David"/>
          <w:sz w:val="24"/>
          <w:szCs w:val="24"/>
          <w:rtl/>
        </w:rPr>
        <w:t>: על מנת להשיג את המכשיר, שלא כדין, פנה הנאשם תחילה למתלונן, ביקש ממנו לערוך שיחה ולאחר שהמכשיר נמסר לו, אמר למתלונן: "מי אתה בכלל" ותקפו בהתזת גז לעבר פניו; לאחר מכן נמלט מהמקום רכוב על קורקינט. בהתזת גז לעבר פני אדם גלומה חומרה רבה; מדובר בשימוש באביזר פוגעני העלול להסב מכאובים משמעותיים ונזק של ממש לקרבן העבירה.</w:t>
      </w:r>
    </w:p>
    <w:p w14:paraId="47A9FABF" w14:textId="77777777" w:rsidR="003F609C" w:rsidRDefault="003F609C" w:rsidP="003F609C">
      <w:pPr>
        <w:pStyle w:val="aa"/>
        <w:spacing w:line="260" w:lineRule="exact"/>
        <w:rPr>
          <w:rFonts w:ascii="David" w:hAnsi="David" w:cs="David"/>
          <w:sz w:val="24"/>
          <w:szCs w:val="24"/>
        </w:rPr>
      </w:pPr>
    </w:p>
    <w:p w14:paraId="5F055ACF" w14:textId="77777777" w:rsidR="003F609C" w:rsidRDefault="003F609C" w:rsidP="003F609C">
      <w:pPr>
        <w:pStyle w:val="aa"/>
        <w:spacing w:line="260" w:lineRule="exact"/>
        <w:ind w:left="-58" w:firstLine="778"/>
        <w:jc w:val="both"/>
        <w:rPr>
          <w:rFonts w:ascii="David" w:hAnsi="David" w:cs="David"/>
          <w:color w:val="000000"/>
          <w:sz w:val="24"/>
          <w:szCs w:val="24"/>
          <w:rtl/>
        </w:rPr>
      </w:pPr>
      <w:r>
        <w:rPr>
          <w:rFonts w:ascii="David" w:hAnsi="David" w:cs="David"/>
          <w:sz w:val="24"/>
          <w:szCs w:val="24"/>
          <w:rtl/>
        </w:rPr>
        <w:t xml:space="preserve">בעניין </w:t>
      </w:r>
      <w:r>
        <w:rPr>
          <w:rFonts w:ascii="David" w:hAnsi="David" w:cs="David"/>
          <w:b/>
          <w:bCs/>
          <w:sz w:val="24"/>
          <w:szCs w:val="24"/>
          <w:rtl/>
        </w:rPr>
        <w:t>סלאימה</w:t>
      </w:r>
      <w:r>
        <w:rPr>
          <w:rFonts w:ascii="David" w:hAnsi="David" w:cs="David"/>
          <w:sz w:val="24"/>
          <w:szCs w:val="24"/>
          <w:rtl/>
        </w:rPr>
        <w:t xml:space="preserve"> (</w:t>
      </w:r>
      <w:hyperlink r:id="rId31" w:history="1">
        <w:r w:rsidR="003E1822" w:rsidRPr="003E1822">
          <w:rPr>
            <w:rFonts w:ascii="David" w:hAnsi="David" w:cs="David"/>
            <w:color w:val="0000FF"/>
            <w:sz w:val="24"/>
            <w:szCs w:val="24"/>
            <w:u w:val="single"/>
            <w:rtl/>
          </w:rPr>
          <w:t>ת"פ 63594-05-21</w:t>
        </w:r>
      </w:hyperlink>
      <w:r>
        <w:rPr>
          <w:rFonts w:ascii="David" w:hAnsi="David" w:cs="David"/>
          <w:sz w:val="24"/>
          <w:szCs w:val="24"/>
          <w:rtl/>
        </w:rPr>
        <w:t xml:space="preserve"> (מחוזי י-ם) </w:t>
      </w:r>
      <w:r>
        <w:rPr>
          <w:rFonts w:ascii="David" w:hAnsi="David" w:cs="David"/>
          <w:b/>
          <w:bCs/>
          <w:sz w:val="24"/>
          <w:szCs w:val="24"/>
          <w:rtl/>
        </w:rPr>
        <w:t>מדינת ישראל נ' סלאימה</w:t>
      </w:r>
      <w:r>
        <w:rPr>
          <w:rFonts w:ascii="David" w:hAnsi="David" w:cs="David"/>
          <w:sz w:val="24"/>
          <w:szCs w:val="24"/>
          <w:rtl/>
        </w:rPr>
        <w:t>, פסקה 29 (23.1.2023)) ציין בית המשפט המחוזי כי "ההתייחסות בפסיקה אל יידוי אבן היא כאל שימוש בנשק קר" וקבע כי "הדברים נכונים גם לגבי ריסוס גז פלפל כאמצעי לתקוף ולפגוע"; ערעורו של סלאימה על חומרת עונשו – נדחה (</w:t>
      </w:r>
      <w:hyperlink r:id="rId32" w:history="1">
        <w:r w:rsidR="003E1822" w:rsidRPr="003E1822">
          <w:rPr>
            <w:rFonts w:ascii="David" w:hAnsi="David" w:cs="David"/>
            <w:color w:val="0000FF"/>
            <w:sz w:val="24"/>
            <w:szCs w:val="24"/>
            <w:u w:val="single"/>
            <w:rtl/>
          </w:rPr>
          <w:t>ע"פ 2018/23</w:t>
        </w:r>
      </w:hyperlink>
      <w:r>
        <w:rPr>
          <w:rFonts w:ascii="David" w:hAnsi="David" w:cs="David"/>
          <w:sz w:val="24"/>
          <w:szCs w:val="24"/>
          <w:rtl/>
        </w:rPr>
        <w:t xml:space="preserve"> </w:t>
      </w:r>
      <w:r>
        <w:rPr>
          <w:rFonts w:ascii="David" w:hAnsi="David" w:cs="David"/>
          <w:b/>
          <w:bCs/>
          <w:sz w:val="24"/>
          <w:szCs w:val="24"/>
          <w:rtl/>
        </w:rPr>
        <w:t xml:space="preserve">סלאימה נ' מדינת ישראל </w:t>
      </w:r>
      <w:r>
        <w:rPr>
          <w:rFonts w:ascii="David" w:hAnsi="David" w:cs="David"/>
          <w:sz w:val="24"/>
          <w:szCs w:val="24"/>
          <w:rtl/>
        </w:rPr>
        <w:t xml:space="preserve">(12.10.2023)). בעניין </w:t>
      </w:r>
      <w:r>
        <w:rPr>
          <w:rFonts w:ascii="David" w:hAnsi="David" w:cs="David"/>
          <w:b/>
          <w:bCs/>
          <w:sz w:val="24"/>
          <w:szCs w:val="24"/>
          <w:rtl/>
        </w:rPr>
        <w:t>ששון</w:t>
      </w:r>
      <w:r>
        <w:rPr>
          <w:rFonts w:ascii="David" w:hAnsi="David" w:cs="David"/>
          <w:sz w:val="24"/>
          <w:szCs w:val="24"/>
          <w:rtl/>
        </w:rPr>
        <w:t xml:space="preserve"> נדון אדם ששדד שעון יקר ערך ו-"</w:t>
      </w:r>
      <w:r>
        <w:rPr>
          <w:rFonts w:ascii="David" w:hAnsi="David" w:cs="David"/>
          <w:color w:val="000000"/>
          <w:sz w:val="24"/>
          <w:szCs w:val="24"/>
          <w:rtl/>
        </w:rPr>
        <w:t>ריסס" את פני המתלונן ועיניו "בגז פלפל וברח מהמקום</w:t>
      </w:r>
      <w:r>
        <w:rPr>
          <w:rFonts w:ascii="David" w:hAnsi="David" w:cs="David"/>
          <w:color w:val="000000"/>
          <w:sz w:val="24"/>
          <w:szCs w:val="24"/>
        </w:rPr>
        <w:t>"</w:t>
      </w:r>
      <w:r>
        <w:rPr>
          <w:rFonts w:ascii="David" w:hAnsi="David" w:cs="David"/>
          <w:color w:val="000000"/>
          <w:sz w:val="24"/>
          <w:szCs w:val="24"/>
          <w:rtl/>
        </w:rPr>
        <w:t>; בית המשפט המחוזי התייחס לגז הפלפל כנשק קר של ממש (</w:t>
      </w:r>
      <w:hyperlink r:id="rId33" w:history="1">
        <w:r w:rsidR="003E1822" w:rsidRPr="003E1822">
          <w:rPr>
            <w:rFonts w:ascii="David" w:hAnsi="David" w:cs="David"/>
            <w:color w:val="0000FF"/>
            <w:sz w:val="24"/>
            <w:szCs w:val="24"/>
            <w:u w:val="single"/>
            <w:rtl/>
          </w:rPr>
          <w:t>ת"פ (מחוזי מר') 26281-12-21</w:t>
        </w:r>
      </w:hyperlink>
      <w:r>
        <w:rPr>
          <w:rFonts w:ascii="David" w:hAnsi="David" w:cs="David"/>
          <w:color w:val="000000"/>
          <w:sz w:val="24"/>
          <w:szCs w:val="24"/>
          <w:rtl/>
        </w:rPr>
        <w:t xml:space="preserve"> </w:t>
      </w:r>
      <w:r>
        <w:rPr>
          <w:rFonts w:ascii="David" w:hAnsi="David" w:cs="David"/>
          <w:b/>
          <w:bCs/>
          <w:color w:val="000000"/>
          <w:sz w:val="24"/>
          <w:szCs w:val="24"/>
          <w:rtl/>
        </w:rPr>
        <w:t>מדינת ישראל נ' ששון</w:t>
      </w:r>
      <w:r>
        <w:rPr>
          <w:rFonts w:ascii="David" w:hAnsi="David" w:cs="David"/>
          <w:color w:val="000000"/>
          <w:sz w:val="24"/>
          <w:szCs w:val="24"/>
          <w:rtl/>
        </w:rPr>
        <w:t xml:space="preserve"> (26.12.2022); הערעור נדחה (</w:t>
      </w:r>
      <w:hyperlink r:id="rId34" w:history="1">
        <w:r w:rsidR="003E1822" w:rsidRPr="003E1822">
          <w:rPr>
            <w:rFonts w:ascii="David" w:hAnsi="David" w:cs="David"/>
            <w:color w:val="0000FF"/>
            <w:sz w:val="24"/>
            <w:szCs w:val="24"/>
            <w:u w:val="single"/>
            <w:rtl/>
          </w:rPr>
          <w:t>ע"פ 1027/23</w:t>
        </w:r>
      </w:hyperlink>
      <w:r>
        <w:rPr>
          <w:rFonts w:ascii="David" w:hAnsi="David" w:cs="David"/>
          <w:color w:val="000000"/>
          <w:sz w:val="24"/>
          <w:szCs w:val="24"/>
          <w:rtl/>
        </w:rPr>
        <w:t xml:space="preserve"> </w:t>
      </w:r>
      <w:r>
        <w:rPr>
          <w:rFonts w:ascii="David" w:hAnsi="David" w:cs="David"/>
          <w:b/>
          <w:bCs/>
          <w:color w:val="000000"/>
          <w:sz w:val="24"/>
          <w:szCs w:val="24"/>
          <w:rtl/>
        </w:rPr>
        <w:t xml:space="preserve">ששון נ' מדינת ישראל </w:t>
      </w:r>
      <w:r>
        <w:rPr>
          <w:rFonts w:ascii="David" w:hAnsi="David" w:cs="David"/>
          <w:color w:val="000000"/>
          <w:sz w:val="24"/>
          <w:szCs w:val="24"/>
          <w:rtl/>
        </w:rPr>
        <w:t xml:space="preserve">(20.6.2023)). </w:t>
      </w:r>
    </w:p>
    <w:p w14:paraId="6B79A6D7" w14:textId="77777777" w:rsidR="003F609C" w:rsidRDefault="003F609C" w:rsidP="003F609C">
      <w:pPr>
        <w:pStyle w:val="aa"/>
        <w:spacing w:line="260" w:lineRule="exact"/>
        <w:ind w:left="-58" w:firstLine="778"/>
        <w:jc w:val="both"/>
        <w:rPr>
          <w:rFonts w:ascii="David" w:hAnsi="David" w:cs="David"/>
          <w:sz w:val="24"/>
          <w:szCs w:val="24"/>
          <w:rtl/>
        </w:rPr>
      </w:pPr>
    </w:p>
    <w:p w14:paraId="350278AC" w14:textId="77777777" w:rsidR="003F609C" w:rsidRDefault="003F609C" w:rsidP="003F609C">
      <w:pPr>
        <w:pStyle w:val="aa"/>
        <w:numPr>
          <w:ilvl w:val="0"/>
          <w:numId w:val="1"/>
        </w:numPr>
        <w:spacing w:line="260" w:lineRule="exact"/>
        <w:ind w:left="-58" w:firstLine="0"/>
        <w:jc w:val="both"/>
        <w:rPr>
          <w:rFonts w:ascii="David" w:hAnsi="David" w:cs="David"/>
          <w:sz w:val="24"/>
          <w:szCs w:val="24"/>
        </w:rPr>
      </w:pPr>
      <w:r>
        <w:rPr>
          <w:rFonts w:ascii="David" w:hAnsi="David" w:cs="David"/>
          <w:i/>
          <w:iCs/>
          <w:sz w:val="24"/>
          <w:szCs w:val="24"/>
          <w:rtl/>
        </w:rPr>
        <w:t>אשר לפגיעה במתלונן:</w:t>
      </w:r>
      <w:r>
        <w:rPr>
          <w:rFonts w:ascii="David" w:hAnsi="David" w:cs="David"/>
          <w:sz w:val="24"/>
          <w:szCs w:val="24"/>
          <w:rtl/>
        </w:rPr>
        <w:t xml:space="preserve"> אף כי כתב האישום המתוקן לא מייחס לנאשם תקיפה הגורמת חבלה של ממש, הנזק הפיזי שנגרם למתלונן מפורט בו - אדמומיות ורגישות בעיניו. כפי שנפסק: את "עיקר הדגש ראוי לשים על העובדות המתוארות בכתב האישום, ואלה ישמשו כנקודת מוצא לגזירת עונשו של הנאשם" (</w:t>
      </w:r>
      <w:hyperlink r:id="rId35" w:history="1">
        <w:r w:rsidR="003E1822" w:rsidRPr="003E1822">
          <w:rPr>
            <w:rFonts w:ascii="David" w:hAnsi="David" w:cs="David"/>
            <w:color w:val="0000FF"/>
            <w:sz w:val="24"/>
            <w:szCs w:val="24"/>
            <w:u w:val="single"/>
            <w:rtl/>
          </w:rPr>
          <w:t>ע"פ 1997/13</w:t>
        </w:r>
      </w:hyperlink>
      <w:r w:rsidR="003E1822">
        <w:rPr>
          <w:rFonts w:ascii="David" w:hAnsi="David" w:cs="David"/>
          <w:sz w:val="24"/>
          <w:szCs w:val="24"/>
          <w:rtl/>
        </w:rPr>
        <w:t xml:space="preserve"> </w:t>
      </w:r>
      <w:r>
        <w:rPr>
          <w:rFonts w:ascii="David" w:hAnsi="David" w:cs="David"/>
          <w:b/>
          <w:bCs/>
          <w:sz w:val="24"/>
          <w:szCs w:val="24"/>
          <w:rtl/>
        </w:rPr>
        <w:t>פלוני נ' מדינת ישראל</w:t>
      </w:r>
      <w:r>
        <w:rPr>
          <w:rFonts w:ascii="David" w:hAnsi="David" w:cs="David"/>
          <w:sz w:val="24"/>
          <w:szCs w:val="24"/>
          <w:rtl/>
        </w:rPr>
        <w:t xml:space="preserve">, פסקה 12 (29.8.2013)). ועוד: ברור לחלוטין כי הסיטואציה שנקלע אליה המתלונן, באשמת הנאשם, היא מטרידה, מאיימת ומטילת אימה. </w:t>
      </w:r>
    </w:p>
    <w:p w14:paraId="3ADC2DFC" w14:textId="77777777" w:rsidR="003F609C" w:rsidRDefault="003F609C" w:rsidP="003F609C">
      <w:pPr>
        <w:pStyle w:val="aa"/>
        <w:spacing w:line="260" w:lineRule="exact"/>
        <w:ind w:left="-58"/>
        <w:jc w:val="both"/>
        <w:rPr>
          <w:rFonts w:ascii="David" w:hAnsi="David" w:cs="David"/>
          <w:sz w:val="24"/>
          <w:szCs w:val="24"/>
          <w:rtl/>
        </w:rPr>
      </w:pPr>
    </w:p>
    <w:p w14:paraId="2BDCEBAC" w14:textId="77777777" w:rsidR="003F609C" w:rsidRDefault="003F609C" w:rsidP="003F609C">
      <w:pPr>
        <w:pStyle w:val="aa"/>
        <w:numPr>
          <w:ilvl w:val="0"/>
          <w:numId w:val="1"/>
        </w:numPr>
        <w:spacing w:line="260" w:lineRule="exact"/>
        <w:ind w:left="-58" w:firstLine="0"/>
        <w:jc w:val="both"/>
        <w:rPr>
          <w:rFonts w:ascii="David" w:hAnsi="David" w:cs="David"/>
          <w:sz w:val="24"/>
          <w:szCs w:val="24"/>
        </w:rPr>
      </w:pPr>
      <w:r>
        <w:rPr>
          <w:rFonts w:ascii="David" w:hAnsi="David" w:cs="David"/>
          <w:sz w:val="24"/>
          <w:szCs w:val="24"/>
          <w:rtl/>
        </w:rPr>
        <w:t xml:space="preserve">אשר </w:t>
      </w:r>
      <w:r>
        <w:rPr>
          <w:rFonts w:ascii="David" w:hAnsi="David" w:cs="David"/>
          <w:b/>
          <w:bCs/>
          <w:sz w:val="24"/>
          <w:szCs w:val="24"/>
          <w:rtl/>
        </w:rPr>
        <w:t>למדיניות הענישה</w:t>
      </w:r>
      <w:r>
        <w:rPr>
          <w:rFonts w:ascii="David" w:hAnsi="David" w:cs="David"/>
          <w:sz w:val="24"/>
          <w:szCs w:val="24"/>
          <w:rtl/>
        </w:rPr>
        <w:t>:</w:t>
      </w:r>
    </w:p>
    <w:p w14:paraId="5549F821" w14:textId="77777777" w:rsidR="003F609C" w:rsidRPr="00360AE3" w:rsidRDefault="003F609C" w:rsidP="003F609C">
      <w:pPr>
        <w:pStyle w:val="aa"/>
        <w:rPr>
          <w:rFonts w:ascii="David" w:hAnsi="David" w:cs="David"/>
          <w:sz w:val="24"/>
          <w:szCs w:val="24"/>
          <w:rtl/>
        </w:rPr>
      </w:pPr>
    </w:p>
    <w:p w14:paraId="11C0F13E" w14:textId="77777777" w:rsidR="003F609C" w:rsidRDefault="003F609C" w:rsidP="003F609C">
      <w:pPr>
        <w:pStyle w:val="aa"/>
        <w:spacing w:line="260" w:lineRule="exact"/>
        <w:ind w:left="-58" w:firstLine="778"/>
        <w:jc w:val="both"/>
        <w:rPr>
          <w:rFonts w:ascii="David" w:hAnsi="David" w:cs="David"/>
          <w:sz w:val="24"/>
          <w:szCs w:val="24"/>
          <w:rtl/>
        </w:rPr>
      </w:pPr>
      <w:r>
        <w:rPr>
          <w:rFonts w:ascii="David" w:hAnsi="David" w:cs="David"/>
          <w:sz w:val="24"/>
          <w:szCs w:val="24"/>
          <w:rtl/>
        </w:rPr>
        <w:t xml:space="preserve">בא- כח הנאשם לא הציג החלטות לעניין זה. </w:t>
      </w:r>
    </w:p>
    <w:p w14:paraId="31F3968A" w14:textId="77777777" w:rsidR="003F609C" w:rsidRDefault="003F609C" w:rsidP="003F609C">
      <w:pPr>
        <w:pStyle w:val="aa"/>
        <w:spacing w:line="260" w:lineRule="exact"/>
        <w:ind w:left="-58"/>
        <w:jc w:val="both"/>
        <w:rPr>
          <w:rFonts w:ascii="David" w:hAnsi="David" w:cs="David"/>
          <w:sz w:val="24"/>
          <w:szCs w:val="24"/>
        </w:rPr>
      </w:pPr>
    </w:p>
    <w:p w14:paraId="68E2FCC1" w14:textId="77777777" w:rsidR="003F609C" w:rsidRDefault="003F609C" w:rsidP="003F609C">
      <w:pPr>
        <w:pStyle w:val="aa"/>
        <w:spacing w:line="260" w:lineRule="exact"/>
        <w:ind w:left="-58" w:firstLine="778"/>
        <w:jc w:val="both"/>
        <w:rPr>
          <w:rFonts w:ascii="David" w:hAnsi="David" w:cs="David"/>
          <w:sz w:val="24"/>
          <w:szCs w:val="24"/>
          <w:rtl/>
        </w:rPr>
      </w:pPr>
      <w:r>
        <w:rPr>
          <w:rFonts w:ascii="David" w:hAnsi="David" w:cs="David"/>
          <w:sz w:val="24"/>
          <w:szCs w:val="24"/>
          <w:rtl/>
        </w:rPr>
        <w:t>המאשימה הציגה מספר החלטות בתמיכה לטענותיה; יאמר כי חלקן הגדול נוגע לעבירות שוד.</w:t>
      </w:r>
    </w:p>
    <w:p w14:paraId="67076309" w14:textId="77777777" w:rsidR="003F609C" w:rsidRDefault="003F609C" w:rsidP="003F609C">
      <w:pPr>
        <w:pStyle w:val="aa"/>
        <w:spacing w:line="260" w:lineRule="exact"/>
        <w:ind w:left="-58" w:firstLine="778"/>
        <w:jc w:val="both"/>
        <w:rPr>
          <w:rFonts w:ascii="David" w:hAnsi="David" w:cs="David"/>
          <w:sz w:val="24"/>
          <w:szCs w:val="24"/>
          <w:rtl/>
        </w:rPr>
      </w:pPr>
    </w:p>
    <w:p w14:paraId="216F31D4" w14:textId="77777777" w:rsidR="003F609C" w:rsidRPr="00360AE3" w:rsidRDefault="003F609C" w:rsidP="003F609C">
      <w:pPr>
        <w:pStyle w:val="aa"/>
        <w:numPr>
          <w:ilvl w:val="0"/>
          <w:numId w:val="1"/>
        </w:numPr>
        <w:spacing w:line="260" w:lineRule="exact"/>
        <w:ind w:left="-58" w:firstLine="58"/>
        <w:jc w:val="both"/>
        <w:rPr>
          <w:rFonts w:ascii="David" w:hAnsi="David" w:cs="David"/>
          <w:sz w:val="24"/>
          <w:szCs w:val="24"/>
        </w:rPr>
      </w:pPr>
      <w:r w:rsidRPr="00360AE3">
        <w:rPr>
          <w:rFonts w:ascii="David" w:hAnsi="David" w:cs="David"/>
          <w:sz w:val="24"/>
          <w:szCs w:val="24"/>
          <w:rtl/>
        </w:rPr>
        <w:t>עיון בפסיקה מלמד על קיומה של מגמת החמרה בכל הנוגע לגניבת מכשיר טלפון נייד, גם אם זו נעשית ללא עבירת אלימות נלווית, נסיבה מחמירה שמתקיימת בענייננו אנו.</w:t>
      </w:r>
    </w:p>
    <w:p w14:paraId="41D75886" w14:textId="77777777" w:rsidR="003F609C" w:rsidRDefault="003F609C" w:rsidP="003F609C">
      <w:pPr>
        <w:pStyle w:val="aa"/>
        <w:spacing w:line="260" w:lineRule="exact"/>
        <w:ind w:left="-58"/>
        <w:jc w:val="both"/>
        <w:rPr>
          <w:rFonts w:ascii="David" w:hAnsi="David" w:cs="David"/>
          <w:sz w:val="24"/>
          <w:szCs w:val="24"/>
        </w:rPr>
      </w:pPr>
    </w:p>
    <w:p w14:paraId="7D6BE398" w14:textId="77777777" w:rsidR="003F609C" w:rsidRDefault="003F609C" w:rsidP="003F609C">
      <w:pPr>
        <w:pStyle w:val="aa"/>
        <w:spacing w:line="260" w:lineRule="exact"/>
        <w:ind w:left="-58" w:firstLine="778"/>
        <w:jc w:val="both"/>
        <w:rPr>
          <w:rFonts w:ascii="David" w:hAnsi="David" w:cs="David"/>
          <w:sz w:val="24"/>
          <w:szCs w:val="24"/>
          <w:rtl/>
        </w:rPr>
      </w:pPr>
      <w:r>
        <w:rPr>
          <w:rFonts w:ascii="David" w:hAnsi="David" w:cs="David"/>
          <w:sz w:val="24"/>
          <w:szCs w:val="24"/>
          <w:rtl/>
        </w:rPr>
        <w:t xml:space="preserve">בעניין </w:t>
      </w:r>
      <w:r>
        <w:rPr>
          <w:rFonts w:ascii="David" w:hAnsi="David" w:cs="David"/>
          <w:b/>
          <w:bCs/>
          <w:sz w:val="24"/>
          <w:szCs w:val="24"/>
          <w:rtl/>
        </w:rPr>
        <w:t>אל גאוז</w:t>
      </w:r>
      <w:r>
        <w:rPr>
          <w:rFonts w:ascii="David" w:hAnsi="David" w:cs="David"/>
          <w:sz w:val="24"/>
          <w:szCs w:val="24"/>
          <w:rtl/>
        </w:rPr>
        <w:t xml:space="preserve"> (</w:t>
      </w:r>
      <w:hyperlink r:id="rId36" w:history="1">
        <w:r w:rsidR="003E1822" w:rsidRPr="003E1822">
          <w:rPr>
            <w:rFonts w:ascii="David" w:hAnsi="David" w:cs="David"/>
            <w:color w:val="0000FF"/>
            <w:sz w:val="24"/>
            <w:szCs w:val="24"/>
            <w:u w:val="single"/>
            <w:rtl/>
          </w:rPr>
          <w:t>רע"פ 8016/22</w:t>
        </w:r>
      </w:hyperlink>
      <w:r>
        <w:rPr>
          <w:rFonts w:ascii="David" w:hAnsi="David" w:cs="David"/>
          <w:sz w:val="24"/>
          <w:szCs w:val="24"/>
          <w:rtl/>
        </w:rPr>
        <w:t xml:space="preserve"> </w:t>
      </w:r>
      <w:r>
        <w:rPr>
          <w:rFonts w:ascii="David" w:hAnsi="David" w:cs="David"/>
          <w:b/>
          <w:bCs/>
          <w:sz w:val="24"/>
          <w:szCs w:val="24"/>
          <w:rtl/>
        </w:rPr>
        <w:t>אל גאוז נ' מדינת ישראל</w:t>
      </w:r>
      <w:r>
        <w:rPr>
          <w:rFonts w:ascii="David" w:hAnsi="David" w:cs="David"/>
          <w:sz w:val="24"/>
          <w:szCs w:val="24"/>
          <w:rtl/>
        </w:rPr>
        <w:t xml:space="preserve"> (24.11.2022)), דחה בית המשפט העליון את בקשת הערעור שהגיש המבקש, בעל עבר פלילי שהורשע על יסוד הודאתו בגניבת מכשיר טלפון סלולארי, ללא אלימות נלווית. בעניין זה, קבע בית משפט השלום כי מתחם העונש ההולם נע בין 4 חודשי מאסר לשנת מאסר והשית על המבקש 4 חודשי מאסר בדרך של עבודות שירות.</w:t>
      </w:r>
    </w:p>
    <w:p w14:paraId="2F073309" w14:textId="77777777" w:rsidR="003F609C" w:rsidRDefault="003F609C" w:rsidP="003F609C">
      <w:pPr>
        <w:pStyle w:val="aa"/>
        <w:spacing w:line="260" w:lineRule="exact"/>
        <w:ind w:left="-58"/>
        <w:jc w:val="both"/>
        <w:rPr>
          <w:rFonts w:ascii="David" w:hAnsi="David" w:cs="David"/>
          <w:sz w:val="24"/>
          <w:szCs w:val="24"/>
        </w:rPr>
      </w:pPr>
    </w:p>
    <w:p w14:paraId="423D9AA4" w14:textId="77777777" w:rsidR="003F609C" w:rsidRDefault="003F609C" w:rsidP="003F609C">
      <w:pPr>
        <w:pStyle w:val="aa"/>
        <w:spacing w:line="260" w:lineRule="exact"/>
        <w:ind w:left="-58" w:firstLine="778"/>
        <w:jc w:val="both"/>
        <w:rPr>
          <w:rFonts w:ascii="David" w:hAnsi="David" w:cs="David"/>
          <w:sz w:val="24"/>
          <w:szCs w:val="24"/>
          <w:rtl/>
        </w:rPr>
      </w:pPr>
      <w:r>
        <w:rPr>
          <w:rFonts w:ascii="David" w:hAnsi="David" w:cs="David"/>
          <w:sz w:val="24"/>
          <w:szCs w:val="24"/>
          <w:rtl/>
        </w:rPr>
        <w:t xml:space="preserve">בעניין </w:t>
      </w:r>
      <w:r>
        <w:rPr>
          <w:rFonts w:ascii="David" w:hAnsi="David" w:cs="David"/>
          <w:b/>
          <w:bCs/>
          <w:sz w:val="24"/>
          <w:szCs w:val="24"/>
          <w:rtl/>
        </w:rPr>
        <w:t>קליינר</w:t>
      </w:r>
      <w:r>
        <w:rPr>
          <w:rFonts w:ascii="David" w:hAnsi="David" w:cs="David"/>
          <w:sz w:val="24"/>
          <w:szCs w:val="24"/>
          <w:rtl/>
        </w:rPr>
        <w:t xml:space="preserve"> (</w:t>
      </w:r>
      <w:hyperlink r:id="rId37" w:history="1">
        <w:r w:rsidR="003E1822" w:rsidRPr="003E1822">
          <w:rPr>
            <w:rFonts w:ascii="David" w:hAnsi="David" w:cs="David"/>
            <w:color w:val="0000FF"/>
            <w:sz w:val="24"/>
            <w:szCs w:val="24"/>
            <w:u w:val="single"/>
            <w:rtl/>
          </w:rPr>
          <w:t>רע"פ 6365/13</w:t>
        </w:r>
      </w:hyperlink>
      <w:r>
        <w:rPr>
          <w:rFonts w:ascii="David" w:hAnsi="David" w:cs="David"/>
          <w:sz w:val="24"/>
          <w:szCs w:val="24"/>
          <w:rtl/>
        </w:rPr>
        <w:t xml:space="preserve"> </w:t>
      </w:r>
      <w:r>
        <w:rPr>
          <w:rFonts w:ascii="David" w:hAnsi="David" w:cs="David"/>
          <w:b/>
          <w:bCs/>
          <w:sz w:val="24"/>
          <w:szCs w:val="24"/>
          <w:rtl/>
        </w:rPr>
        <w:t>קליינר נ' מדינת ישראל</w:t>
      </w:r>
      <w:r>
        <w:rPr>
          <w:rFonts w:ascii="David" w:hAnsi="David" w:cs="David"/>
          <w:sz w:val="24"/>
          <w:szCs w:val="24"/>
          <w:rtl/>
        </w:rPr>
        <w:t xml:space="preserve"> (23.9.2013)) דחה בית המשפט העליון את בקשת רשות הערעור שהגיש המבקש, בעל עבר פלילי, שהורשע על יסוד הודאתו בגניבת מכשיר טלפון סלולארי. בית המשפט השלום קבע כי מתחם העונש המקובל נע בין חודשיים ל-8 חודשי מאסר בפועל והשית עליו ארבעה חודשי מאסר בפועל, לצד ענישה נלווית. ערעור המבקש לבית המשפט המחוזי נדחה, תוך קביעה כי מדובר בעונש מקל. בית המשפט העליון ציין כי מדובר במתחם ענישה סביר ובעונש שאינו חורג לחומרה מהמתחם וכי: "אף אם הייתי מקבל את טענתו של המבקש וכולל במתחם הענישה אפשרות לענישה על תנאי ללא מאסר בפועל כגבול התחתון של המתחם, ואינני מכריע ביחס לשאלה זו, עדיין גזר הדין של בית משפט השלום נמצא בתוך מתחם זה... אוסיף, כי גניבת מכשירי טלפון ניידים הפכה, למרבה הצער, לתופעה נפוצה הפוגעת באזרחים תמימים ומערערת את תחושת הביטחון של הציבור. אין להקל ראש בעבירה זו ויש להטיל על המורשעים בביצועה עונשים הולמים</w:t>
      </w:r>
      <w:r>
        <w:rPr>
          <w:rFonts w:ascii="David" w:hAnsi="David" w:cs="David"/>
          <w:sz w:val="24"/>
          <w:szCs w:val="24"/>
        </w:rPr>
        <w:t>"</w:t>
      </w:r>
      <w:r>
        <w:rPr>
          <w:rFonts w:ascii="David" w:hAnsi="David" w:cs="David"/>
          <w:sz w:val="24"/>
          <w:szCs w:val="24"/>
          <w:rtl/>
        </w:rPr>
        <w:t>.</w:t>
      </w:r>
    </w:p>
    <w:p w14:paraId="50624C29" w14:textId="77777777" w:rsidR="003F609C" w:rsidRDefault="003F609C" w:rsidP="003F609C">
      <w:pPr>
        <w:pStyle w:val="aa"/>
        <w:spacing w:line="260" w:lineRule="exact"/>
        <w:ind w:left="-58"/>
        <w:jc w:val="both"/>
        <w:rPr>
          <w:rFonts w:ascii="David" w:hAnsi="David" w:cs="David"/>
          <w:sz w:val="24"/>
          <w:szCs w:val="24"/>
        </w:rPr>
      </w:pPr>
    </w:p>
    <w:p w14:paraId="66109EC7" w14:textId="77777777" w:rsidR="003F609C" w:rsidRDefault="003F609C" w:rsidP="003F609C">
      <w:pPr>
        <w:pStyle w:val="aa"/>
        <w:spacing w:line="260" w:lineRule="exact"/>
        <w:ind w:left="-58" w:firstLine="778"/>
        <w:jc w:val="both"/>
        <w:rPr>
          <w:rFonts w:ascii="David" w:hAnsi="David" w:cs="David"/>
          <w:sz w:val="24"/>
          <w:szCs w:val="24"/>
          <w:rtl/>
        </w:rPr>
      </w:pPr>
      <w:r>
        <w:rPr>
          <w:rFonts w:ascii="David" w:hAnsi="David" w:cs="David"/>
          <w:sz w:val="24"/>
          <w:szCs w:val="24"/>
          <w:rtl/>
        </w:rPr>
        <w:t xml:space="preserve">בעניין </w:t>
      </w:r>
      <w:r>
        <w:rPr>
          <w:rFonts w:ascii="David" w:hAnsi="David" w:cs="David"/>
          <w:b/>
          <w:bCs/>
          <w:sz w:val="24"/>
          <w:szCs w:val="24"/>
          <w:rtl/>
        </w:rPr>
        <w:t>אסף</w:t>
      </w:r>
      <w:r>
        <w:rPr>
          <w:rFonts w:ascii="David" w:hAnsi="David" w:cs="David"/>
          <w:sz w:val="24"/>
          <w:szCs w:val="24"/>
          <w:rtl/>
        </w:rPr>
        <w:t xml:space="preserve"> (</w:t>
      </w:r>
      <w:hyperlink r:id="rId38" w:history="1">
        <w:r w:rsidR="003E1822" w:rsidRPr="003E1822">
          <w:rPr>
            <w:rFonts w:ascii="David" w:hAnsi="David" w:cs="David"/>
            <w:color w:val="0000FF"/>
            <w:sz w:val="24"/>
            <w:szCs w:val="24"/>
            <w:u w:val="single"/>
            <w:rtl/>
          </w:rPr>
          <w:t>ת"פ (שלום כפ"ס) 43271-02-14</w:t>
        </w:r>
      </w:hyperlink>
      <w:r>
        <w:rPr>
          <w:rFonts w:ascii="David" w:hAnsi="David" w:cs="David"/>
          <w:sz w:val="24"/>
          <w:szCs w:val="24"/>
          <w:rtl/>
        </w:rPr>
        <w:t xml:space="preserve"> </w:t>
      </w:r>
      <w:r>
        <w:rPr>
          <w:rFonts w:ascii="David" w:hAnsi="David" w:cs="David"/>
          <w:b/>
          <w:bCs/>
          <w:sz w:val="24"/>
          <w:szCs w:val="24"/>
          <w:rtl/>
        </w:rPr>
        <w:t>מדינת ישראל נ' אסף</w:t>
      </w:r>
      <w:r>
        <w:rPr>
          <w:rFonts w:ascii="David" w:hAnsi="David" w:cs="David"/>
          <w:sz w:val="24"/>
          <w:szCs w:val="24"/>
          <w:rtl/>
        </w:rPr>
        <w:t xml:space="preserve"> (11.11.2015)) הורשע הנאשם, בעל עבר פלילי, על יסוד הודאתו בכך שגנב מתיקי מתעמלות באולם ספורט שלושה מכשירי טלפון סלולאריים, ודחף אישה שהבחינה במעשיו וניסתה לעצרו. המכשירים הושלכו במהלך מנוסתו. בית המשפט השלום קבע מתחם עונש שנע בין מאסר לריצוי בעבודות שירות לבין שנת מאסר, לצד רכיבי ענישה נלווים והטיל עליו חודש מאסר בפועל לתקופה של 31 יום, לאחר שלא נמצא מתאים לביצוע עבודות שירות. אעיר, כי במקרה זה מדובר באלימות שנועדה לאפשר לעבריין להימלט מזירת האירוע ולא כזו שמטרתה היתה לאפשר השגת הרכוש הגנוב. הנאשם משך את הערעור שהגיש לאחר שמיעת דברי בית המשפט (</w:t>
      </w:r>
      <w:hyperlink r:id="rId39" w:history="1">
        <w:r w:rsidR="003E1822" w:rsidRPr="003E1822">
          <w:rPr>
            <w:rFonts w:ascii="David" w:hAnsi="David" w:cs="David"/>
            <w:color w:val="0000FF"/>
            <w:sz w:val="24"/>
            <w:szCs w:val="24"/>
            <w:u w:val="single"/>
            <w:rtl/>
          </w:rPr>
          <w:t>עפ"ג 48487-12-15</w:t>
        </w:r>
      </w:hyperlink>
      <w:r>
        <w:rPr>
          <w:rFonts w:ascii="David" w:hAnsi="David" w:cs="David"/>
          <w:sz w:val="24"/>
          <w:szCs w:val="24"/>
          <w:rtl/>
        </w:rPr>
        <w:t xml:space="preserve"> (מחוזי מר') </w:t>
      </w:r>
      <w:r>
        <w:rPr>
          <w:rFonts w:ascii="David" w:hAnsi="David" w:cs="David"/>
          <w:b/>
          <w:bCs/>
          <w:sz w:val="24"/>
          <w:szCs w:val="24"/>
          <w:rtl/>
        </w:rPr>
        <w:t>אסף נ' מדינת ישראל</w:t>
      </w:r>
      <w:r>
        <w:rPr>
          <w:rFonts w:ascii="David" w:hAnsi="David" w:cs="David"/>
          <w:sz w:val="24"/>
          <w:szCs w:val="24"/>
          <w:rtl/>
        </w:rPr>
        <w:t xml:space="preserve"> (15.2.2016)). </w:t>
      </w:r>
    </w:p>
    <w:p w14:paraId="26A828FD" w14:textId="77777777" w:rsidR="003F609C" w:rsidRDefault="003F609C" w:rsidP="003F609C">
      <w:pPr>
        <w:pStyle w:val="aa"/>
        <w:spacing w:line="260" w:lineRule="exact"/>
        <w:ind w:left="-58"/>
        <w:jc w:val="both"/>
        <w:rPr>
          <w:rFonts w:ascii="David" w:hAnsi="David" w:cs="David"/>
          <w:sz w:val="24"/>
          <w:szCs w:val="24"/>
        </w:rPr>
      </w:pPr>
    </w:p>
    <w:p w14:paraId="1C392C95" w14:textId="77777777" w:rsidR="003F609C" w:rsidRDefault="003F609C" w:rsidP="003F609C">
      <w:pPr>
        <w:pStyle w:val="aa"/>
        <w:spacing w:line="260" w:lineRule="exact"/>
        <w:ind w:left="-58" w:firstLine="778"/>
        <w:jc w:val="both"/>
        <w:rPr>
          <w:rFonts w:ascii="David" w:hAnsi="David" w:cs="David"/>
          <w:sz w:val="24"/>
          <w:szCs w:val="24"/>
        </w:rPr>
      </w:pPr>
      <w:r>
        <w:rPr>
          <w:rFonts w:ascii="David" w:hAnsi="David" w:cs="David"/>
          <w:sz w:val="24"/>
          <w:szCs w:val="24"/>
          <w:rtl/>
        </w:rPr>
        <w:t xml:space="preserve">בעניין </w:t>
      </w:r>
      <w:r>
        <w:rPr>
          <w:rFonts w:ascii="David" w:hAnsi="David" w:cs="David"/>
          <w:b/>
          <w:bCs/>
          <w:sz w:val="24"/>
          <w:szCs w:val="24"/>
          <w:rtl/>
        </w:rPr>
        <w:t>צגאי</w:t>
      </w:r>
      <w:r>
        <w:rPr>
          <w:rFonts w:ascii="David" w:hAnsi="David" w:cs="David"/>
          <w:sz w:val="24"/>
          <w:szCs w:val="24"/>
          <w:rtl/>
        </w:rPr>
        <w:t xml:space="preserve"> (</w:t>
      </w:r>
      <w:hyperlink r:id="rId40" w:history="1">
        <w:r w:rsidR="003E1822" w:rsidRPr="003E1822">
          <w:rPr>
            <w:rFonts w:ascii="David" w:hAnsi="David" w:cs="David"/>
            <w:color w:val="0000FF"/>
            <w:sz w:val="24"/>
            <w:szCs w:val="24"/>
            <w:u w:val="single"/>
            <w:rtl/>
          </w:rPr>
          <w:t>ת"פ (שלום נת') 60399-05-13</w:t>
        </w:r>
      </w:hyperlink>
      <w:r>
        <w:rPr>
          <w:rFonts w:ascii="David" w:hAnsi="David" w:cs="David"/>
          <w:sz w:val="24"/>
          <w:szCs w:val="24"/>
          <w:rtl/>
        </w:rPr>
        <w:t xml:space="preserve"> </w:t>
      </w:r>
      <w:r>
        <w:rPr>
          <w:rFonts w:ascii="David" w:hAnsi="David" w:cs="David"/>
          <w:b/>
          <w:bCs/>
          <w:sz w:val="24"/>
          <w:szCs w:val="24"/>
          <w:rtl/>
        </w:rPr>
        <w:t>מדינת ישראל נ' צגאי</w:t>
      </w:r>
      <w:r>
        <w:rPr>
          <w:rFonts w:ascii="David" w:hAnsi="David" w:cs="David"/>
          <w:sz w:val="24"/>
          <w:szCs w:val="24"/>
          <w:rtl/>
        </w:rPr>
        <w:t xml:space="preserve"> (8.5.2014)) הורשע הנאשם, צעיר, נעדר עבר פלילי, על יסוד הודאתו במסגרת הסדר טיעון בעבירות של תקיפה לשם גניבה וגניבה, בכך שדחף את המתלוננת, נטל את מכשיר הטלפון הנייד שברשותה ונמלט מהמקום. למתלוננת לא נגרם נזק פיזי והטלפון הוחזר עוד באותו היום. הצדדים עתרו במשותף להטלת עונש של 6 חודשי מאסר אשר ירוצו בדרך של עבודות שירות, לצד ענישה נלווית; בית המשפט לא התערב בהסכמה העונשית והשית עונש בהתאם לה.</w:t>
      </w:r>
    </w:p>
    <w:p w14:paraId="58700C38" w14:textId="77777777" w:rsidR="003F609C" w:rsidRDefault="003F609C" w:rsidP="003F609C">
      <w:pPr>
        <w:pStyle w:val="aa"/>
        <w:spacing w:line="260" w:lineRule="exact"/>
        <w:rPr>
          <w:rFonts w:ascii="David" w:hAnsi="David" w:cs="David"/>
          <w:sz w:val="24"/>
          <w:szCs w:val="24"/>
        </w:rPr>
      </w:pPr>
    </w:p>
    <w:p w14:paraId="5D91B41B" w14:textId="77777777" w:rsidR="003F609C" w:rsidRDefault="003F609C" w:rsidP="003F609C">
      <w:pPr>
        <w:pStyle w:val="aa"/>
        <w:spacing w:line="260" w:lineRule="exact"/>
        <w:ind w:left="-58" w:firstLine="778"/>
        <w:jc w:val="both"/>
        <w:rPr>
          <w:rFonts w:ascii="David" w:hAnsi="David" w:cs="David"/>
          <w:sz w:val="24"/>
          <w:szCs w:val="24"/>
          <w:rtl/>
        </w:rPr>
      </w:pPr>
      <w:r>
        <w:rPr>
          <w:rFonts w:ascii="David" w:hAnsi="David" w:cs="David"/>
          <w:sz w:val="24"/>
          <w:szCs w:val="24"/>
          <w:rtl/>
        </w:rPr>
        <w:t xml:space="preserve">ראו גם עניין </w:t>
      </w:r>
      <w:r>
        <w:rPr>
          <w:rFonts w:ascii="David" w:hAnsi="David" w:cs="David"/>
          <w:b/>
          <w:bCs/>
          <w:sz w:val="24"/>
          <w:szCs w:val="24"/>
          <w:rtl/>
        </w:rPr>
        <w:t>ערבליך</w:t>
      </w:r>
      <w:r>
        <w:rPr>
          <w:rFonts w:ascii="David" w:hAnsi="David" w:cs="David"/>
          <w:sz w:val="24"/>
          <w:szCs w:val="24"/>
          <w:rtl/>
        </w:rPr>
        <w:t xml:space="preserve"> (</w:t>
      </w:r>
      <w:hyperlink r:id="rId41" w:history="1">
        <w:r w:rsidR="003E1822" w:rsidRPr="003E1822">
          <w:rPr>
            <w:rFonts w:ascii="David" w:hAnsi="David" w:cs="David"/>
            <w:color w:val="0000FF"/>
            <w:sz w:val="24"/>
            <w:szCs w:val="24"/>
            <w:u w:val="single"/>
            <w:rtl/>
          </w:rPr>
          <w:t>ת"פ (שלום י-ם) 21107-09-21</w:t>
        </w:r>
      </w:hyperlink>
      <w:r>
        <w:rPr>
          <w:rFonts w:ascii="David" w:hAnsi="David" w:cs="David"/>
          <w:sz w:val="24"/>
          <w:szCs w:val="24"/>
          <w:rtl/>
        </w:rPr>
        <w:t xml:space="preserve"> </w:t>
      </w:r>
      <w:r>
        <w:rPr>
          <w:rFonts w:ascii="David" w:hAnsi="David" w:cs="David"/>
          <w:b/>
          <w:bCs/>
          <w:sz w:val="24"/>
          <w:szCs w:val="24"/>
          <w:rtl/>
        </w:rPr>
        <w:t>מדינת ישראל נ' ערבליך,</w:t>
      </w:r>
      <w:r>
        <w:rPr>
          <w:rFonts w:ascii="David" w:hAnsi="David" w:cs="David"/>
          <w:sz w:val="24"/>
          <w:szCs w:val="24"/>
          <w:rtl/>
        </w:rPr>
        <w:t xml:space="preserve"> פסקה 15(א) (30.4.2023)).</w:t>
      </w:r>
    </w:p>
    <w:p w14:paraId="39B76200" w14:textId="77777777" w:rsidR="003F609C" w:rsidRDefault="003F609C" w:rsidP="003F609C">
      <w:pPr>
        <w:pStyle w:val="aa"/>
        <w:spacing w:line="260" w:lineRule="exact"/>
        <w:ind w:left="-58"/>
        <w:jc w:val="both"/>
        <w:rPr>
          <w:rFonts w:ascii="David" w:hAnsi="David" w:cs="David"/>
          <w:sz w:val="24"/>
          <w:szCs w:val="24"/>
        </w:rPr>
      </w:pPr>
      <w:r>
        <w:rPr>
          <w:rFonts w:ascii="David" w:hAnsi="David" w:cs="David"/>
          <w:sz w:val="24"/>
          <w:szCs w:val="24"/>
          <w:rtl/>
        </w:rPr>
        <w:t xml:space="preserve"> </w:t>
      </w:r>
    </w:p>
    <w:p w14:paraId="4B376CF2"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t xml:space="preserve">בשים לב לערכים המוגנים שנפגעו, ומידת הפגיעה בהם, לנסיבות הקשורות לביצוע העבירה כפי שתוארו לעיל ולמדיניות הענישה הנוהגת, מתחם העונש ההולם בעניינו של הנאשם נע בין </w:t>
      </w:r>
      <w:r>
        <w:rPr>
          <w:rFonts w:ascii="David" w:hAnsi="David" w:cs="David" w:hint="cs"/>
          <w:sz w:val="24"/>
          <w:szCs w:val="24"/>
          <w:rtl/>
        </w:rPr>
        <w:t xml:space="preserve">תקופת </w:t>
      </w:r>
      <w:r>
        <w:rPr>
          <w:rFonts w:ascii="David" w:hAnsi="David" w:cs="David"/>
          <w:sz w:val="24"/>
          <w:szCs w:val="24"/>
          <w:rtl/>
        </w:rPr>
        <w:t>מאסר שיכול ו</w:t>
      </w:r>
      <w:r>
        <w:rPr>
          <w:rFonts w:ascii="David" w:hAnsi="David" w:cs="David" w:hint="cs"/>
          <w:sz w:val="24"/>
          <w:szCs w:val="24"/>
          <w:rtl/>
        </w:rPr>
        <w:t>תרוצה</w:t>
      </w:r>
      <w:r>
        <w:rPr>
          <w:rFonts w:ascii="David" w:hAnsi="David" w:cs="David"/>
          <w:sz w:val="24"/>
          <w:szCs w:val="24"/>
          <w:rtl/>
        </w:rPr>
        <w:t xml:space="preserve"> בעבודות שירות לבין 18 חודשי מאסר בפועל בצירוף ענישה נלווית; אעיר, כי על רף הענישה העליון להיות ממוקם גבוה מכפי שהוצע על ידי המאשימה.</w:t>
      </w:r>
    </w:p>
    <w:p w14:paraId="285B5CAD" w14:textId="77777777" w:rsidR="003F609C" w:rsidRDefault="003F609C" w:rsidP="003F609C">
      <w:pPr>
        <w:spacing w:line="260" w:lineRule="exact"/>
        <w:jc w:val="both"/>
        <w:rPr>
          <w:rFonts w:ascii="David" w:hAnsi="David"/>
          <w:b/>
          <w:bCs/>
        </w:rPr>
      </w:pPr>
      <w:r>
        <w:rPr>
          <w:rFonts w:ascii="David" w:hAnsi="David"/>
          <w:b/>
          <w:bCs/>
          <w:rtl/>
        </w:rPr>
        <w:t>העונש שיש להטיל על הנאשם במסגרת מתחם העונש ההולם</w:t>
      </w:r>
    </w:p>
    <w:p w14:paraId="53FF2DBE" w14:textId="77777777" w:rsidR="003F609C" w:rsidRDefault="003F609C" w:rsidP="003F609C">
      <w:pPr>
        <w:pStyle w:val="aa"/>
        <w:numPr>
          <w:ilvl w:val="0"/>
          <w:numId w:val="1"/>
        </w:numPr>
        <w:spacing w:line="260" w:lineRule="exact"/>
        <w:ind w:left="-58" w:firstLine="0"/>
        <w:jc w:val="both"/>
        <w:rPr>
          <w:rFonts w:ascii="David" w:hAnsi="David" w:cs="David"/>
          <w:sz w:val="24"/>
          <w:szCs w:val="24"/>
        </w:rPr>
      </w:pPr>
      <w:r>
        <w:rPr>
          <w:rFonts w:ascii="David" w:hAnsi="David" w:cs="David"/>
          <w:sz w:val="24"/>
          <w:szCs w:val="24"/>
          <w:rtl/>
        </w:rPr>
        <w:t xml:space="preserve">בגזירת עונשו של נאשם רשאי בית המשפט להתחשב בהתקיימות נסיבות שאינן קשורות בביצוע העבירה. </w:t>
      </w:r>
    </w:p>
    <w:p w14:paraId="7F8AA424" w14:textId="77777777" w:rsidR="003F609C" w:rsidRDefault="003F609C" w:rsidP="003F609C">
      <w:pPr>
        <w:pStyle w:val="aa"/>
        <w:spacing w:line="260" w:lineRule="exact"/>
        <w:ind w:left="-58"/>
        <w:jc w:val="both"/>
        <w:rPr>
          <w:rFonts w:ascii="David" w:hAnsi="David" w:cs="David"/>
          <w:sz w:val="24"/>
          <w:szCs w:val="24"/>
        </w:rPr>
      </w:pPr>
    </w:p>
    <w:p w14:paraId="04C7FC48" w14:textId="77777777" w:rsidR="003F609C" w:rsidRDefault="003F609C" w:rsidP="003F609C">
      <w:pPr>
        <w:pStyle w:val="aa"/>
        <w:numPr>
          <w:ilvl w:val="0"/>
          <w:numId w:val="1"/>
        </w:numPr>
        <w:spacing w:line="260" w:lineRule="exact"/>
        <w:ind w:left="-58" w:firstLine="0"/>
        <w:jc w:val="both"/>
        <w:rPr>
          <w:rFonts w:ascii="David" w:hAnsi="David" w:cs="David"/>
          <w:sz w:val="24"/>
          <w:szCs w:val="24"/>
        </w:rPr>
      </w:pPr>
      <w:r>
        <w:rPr>
          <w:rFonts w:ascii="David" w:hAnsi="David" w:cs="David"/>
          <w:sz w:val="24"/>
          <w:szCs w:val="24"/>
          <w:rtl/>
        </w:rPr>
        <w:t>לא נטען, וממילא אין לקבל כי יש מקום לחרוג בעניין הנאשם, לקולה או לחומרה.</w:t>
      </w:r>
    </w:p>
    <w:p w14:paraId="07260BBC" w14:textId="77777777" w:rsidR="003F609C" w:rsidRDefault="003F609C" w:rsidP="003F609C">
      <w:pPr>
        <w:pStyle w:val="aa"/>
        <w:spacing w:line="260" w:lineRule="exact"/>
        <w:ind w:left="-58"/>
        <w:jc w:val="both"/>
        <w:rPr>
          <w:rFonts w:ascii="David" w:hAnsi="David" w:cs="David"/>
          <w:sz w:val="24"/>
          <w:szCs w:val="24"/>
        </w:rPr>
      </w:pPr>
    </w:p>
    <w:p w14:paraId="599CD9E7"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t>הנאשם, השוהה בישראל על פי הנטען שנים רבות נעדר עבר פלילי (</w:t>
      </w:r>
      <w:hyperlink r:id="rId42" w:history="1">
        <w:r w:rsidR="00052971" w:rsidRPr="00052971">
          <w:rPr>
            <w:rStyle w:val="Hyperlink"/>
            <w:rFonts w:ascii="David" w:hAnsi="David" w:cs="David"/>
            <w:sz w:val="24"/>
            <w:szCs w:val="24"/>
            <w:rtl/>
          </w:rPr>
          <w:t>סעיף 40יא(11)</w:t>
        </w:r>
      </w:hyperlink>
      <w:r>
        <w:rPr>
          <w:rFonts w:ascii="David" w:hAnsi="David" w:cs="David"/>
          <w:sz w:val="24"/>
          <w:szCs w:val="24"/>
          <w:rtl/>
        </w:rPr>
        <w:t xml:space="preserve"> לחוק), לקח אחריות על מעשיו והביע חרטה בנוגע אליהם (</w:t>
      </w:r>
      <w:hyperlink r:id="rId43" w:history="1">
        <w:r w:rsidR="00052971" w:rsidRPr="00052971">
          <w:rPr>
            <w:rStyle w:val="Hyperlink"/>
            <w:rFonts w:ascii="David" w:hAnsi="David" w:cs="David"/>
            <w:sz w:val="24"/>
            <w:szCs w:val="24"/>
            <w:rtl/>
          </w:rPr>
          <w:t>סעיף 40יא(4)</w:t>
        </w:r>
      </w:hyperlink>
      <w:r>
        <w:rPr>
          <w:rFonts w:ascii="David" w:hAnsi="David" w:cs="David"/>
          <w:sz w:val="24"/>
          <w:szCs w:val="24"/>
          <w:rtl/>
        </w:rPr>
        <w:t xml:space="preserve"> לחוק). הסנגור הדגיש כי הנאשם פגש במתלונן באולם בית המשפט, ביקש סליחתו בפניו, והמתלונן אף איחל לו לסיים את ההליך "בטוב". </w:t>
      </w:r>
    </w:p>
    <w:p w14:paraId="71604C01" w14:textId="77777777" w:rsidR="003F609C" w:rsidRDefault="003F609C" w:rsidP="003F609C">
      <w:pPr>
        <w:pStyle w:val="aa"/>
        <w:spacing w:line="260" w:lineRule="exact"/>
        <w:ind w:left="-58"/>
        <w:jc w:val="both"/>
        <w:rPr>
          <w:rFonts w:ascii="David" w:hAnsi="David" w:cs="David"/>
          <w:sz w:val="24"/>
          <w:szCs w:val="24"/>
          <w:rtl/>
        </w:rPr>
      </w:pPr>
    </w:p>
    <w:p w14:paraId="1650C172" w14:textId="77777777" w:rsidR="003F609C" w:rsidRDefault="003F609C" w:rsidP="003F609C">
      <w:pPr>
        <w:pStyle w:val="aa"/>
        <w:numPr>
          <w:ilvl w:val="0"/>
          <w:numId w:val="1"/>
        </w:numPr>
        <w:spacing w:line="260" w:lineRule="exact"/>
        <w:ind w:left="-58" w:firstLine="0"/>
        <w:jc w:val="both"/>
        <w:rPr>
          <w:rFonts w:ascii="David" w:hAnsi="David" w:cs="David"/>
          <w:sz w:val="24"/>
          <w:szCs w:val="24"/>
        </w:rPr>
      </w:pPr>
      <w:r>
        <w:rPr>
          <w:rFonts w:ascii="David" w:hAnsi="David" w:cs="David"/>
          <w:sz w:val="24"/>
          <w:szCs w:val="24"/>
          <w:rtl/>
        </w:rPr>
        <w:t>אשר לחלוף הזמן (</w:t>
      </w:r>
      <w:hyperlink r:id="rId44" w:history="1">
        <w:r w:rsidR="00052971" w:rsidRPr="00052971">
          <w:rPr>
            <w:rStyle w:val="Hyperlink"/>
            <w:rFonts w:ascii="David" w:hAnsi="David" w:cs="David"/>
            <w:sz w:val="24"/>
            <w:szCs w:val="24"/>
            <w:rtl/>
          </w:rPr>
          <w:t>סעיף 40יא(10)</w:t>
        </w:r>
      </w:hyperlink>
      <w:r>
        <w:rPr>
          <w:rFonts w:ascii="David" w:hAnsi="David" w:cs="David"/>
          <w:sz w:val="24"/>
          <w:szCs w:val="24"/>
          <w:rtl/>
        </w:rPr>
        <w:t xml:space="preserve"> לחוק): כתב האישום הוגש בחודש ספטמבר 2019, כחודש בלבד לאחר ההתרחשויות מושא התיק, אך ההליכים בתיק הותלו בחודש מאי 2021 וחודשו בחודש ספטמבר 2021. בחודש דצמבר 2021 הותלו ההליכים כנגד הנאשם בשנית וחודשו בחודש פברואר 2022. מדובר בפרק זמן של למעלה משלוש שנים שיש ליתן לו את הדעת, אף </w:t>
      </w:r>
      <w:r>
        <w:rPr>
          <w:rFonts w:ascii="David" w:hAnsi="David" w:cs="David" w:hint="cs"/>
          <w:sz w:val="24"/>
          <w:szCs w:val="24"/>
          <w:rtl/>
        </w:rPr>
        <w:t>בצד זאת לא ניתן להתעלם מחלקו של הנאשם בהתמשכות ההליכים, כפי שפורט בהרחבה לעיל.</w:t>
      </w:r>
    </w:p>
    <w:p w14:paraId="3319E84A" w14:textId="77777777" w:rsidR="003F609C" w:rsidRPr="00360AE3" w:rsidRDefault="003F609C" w:rsidP="003F609C">
      <w:pPr>
        <w:pStyle w:val="aa"/>
        <w:rPr>
          <w:rFonts w:ascii="David" w:hAnsi="David" w:cs="David"/>
          <w:sz w:val="24"/>
          <w:szCs w:val="24"/>
        </w:rPr>
      </w:pPr>
    </w:p>
    <w:p w14:paraId="03F1295E"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t>אשר למצבו הרפואי של הנאשם, הנאשם סובל מנכות רפואית וממסמכים רפואיים שהוגשו עולה כי הנאשם עבר אירוע תקיפה לאחר האירוע מושא התיק ונדרש לטיפולים רפואיים, לרבות ניתוח. ניתן להניח כי ריצוי עונש בדרך של מאסר מאחורי סורג בריח או בדרך של עבודות שירות עשוי להיות קשה עבורו אף מעבר לקושי האינהרנטי הטמון בו עבור כל אדם (</w:t>
      </w:r>
      <w:hyperlink r:id="rId45" w:history="1">
        <w:r w:rsidR="00052971" w:rsidRPr="00052971">
          <w:rPr>
            <w:rStyle w:val="Hyperlink"/>
            <w:rFonts w:ascii="David" w:hAnsi="David" w:cs="David"/>
            <w:sz w:val="24"/>
            <w:szCs w:val="24"/>
            <w:rtl/>
          </w:rPr>
          <w:t>סעיף 40יא(1)</w:t>
        </w:r>
      </w:hyperlink>
      <w:r>
        <w:rPr>
          <w:rFonts w:ascii="David" w:hAnsi="David" w:cs="David"/>
          <w:sz w:val="24"/>
          <w:szCs w:val="24"/>
          <w:rtl/>
        </w:rPr>
        <w:t xml:space="preserve"> לחוק). </w:t>
      </w:r>
    </w:p>
    <w:p w14:paraId="55CC9D64" w14:textId="77777777" w:rsidR="003F609C" w:rsidRDefault="003F609C" w:rsidP="003F609C">
      <w:pPr>
        <w:pStyle w:val="aa"/>
        <w:spacing w:line="260" w:lineRule="exact"/>
        <w:rPr>
          <w:rFonts w:ascii="David" w:hAnsi="David" w:cs="David"/>
          <w:sz w:val="24"/>
          <w:szCs w:val="24"/>
        </w:rPr>
      </w:pPr>
    </w:p>
    <w:p w14:paraId="25BEDF8B"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t>על משקל הנתונים שפורטו לעיל, יש למקם הנאשם בחלקו התחתון של מתחם העונש ההולם.</w:t>
      </w:r>
    </w:p>
    <w:p w14:paraId="2692A5A6" w14:textId="77777777" w:rsidR="003F609C" w:rsidRDefault="003F609C" w:rsidP="003F609C">
      <w:pPr>
        <w:pStyle w:val="aa"/>
        <w:spacing w:line="260" w:lineRule="exact"/>
        <w:ind w:left="-58"/>
        <w:jc w:val="both"/>
        <w:rPr>
          <w:rFonts w:ascii="David" w:hAnsi="David" w:cs="David"/>
          <w:sz w:val="24"/>
          <w:szCs w:val="24"/>
        </w:rPr>
      </w:pPr>
    </w:p>
    <w:p w14:paraId="62E99616" w14:textId="77777777" w:rsidR="003F609C" w:rsidRDefault="003F609C" w:rsidP="003F609C">
      <w:pPr>
        <w:pStyle w:val="aa"/>
        <w:spacing w:line="260" w:lineRule="exact"/>
        <w:ind w:left="-58"/>
        <w:jc w:val="both"/>
        <w:rPr>
          <w:rFonts w:ascii="David" w:hAnsi="David" w:cs="David"/>
          <w:b/>
          <w:bCs/>
          <w:sz w:val="24"/>
          <w:szCs w:val="24"/>
          <w:rtl/>
        </w:rPr>
      </w:pPr>
      <w:r>
        <w:rPr>
          <w:rFonts w:ascii="David" w:hAnsi="David" w:cs="David"/>
          <w:b/>
          <w:bCs/>
          <w:sz w:val="24"/>
          <w:szCs w:val="24"/>
          <w:rtl/>
        </w:rPr>
        <w:t>בחינת אפשרות ריצוי העונש בדרך של עבודות שירות</w:t>
      </w:r>
    </w:p>
    <w:p w14:paraId="362FC074" w14:textId="77777777" w:rsidR="003F609C" w:rsidRDefault="003F609C" w:rsidP="003F609C">
      <w:pPr>
        <w:pStyle w:val="aa"/>
        <w:numPr>
          <w:ilvl w:val="0"/>
          <w:numId w:val="1"/>
        </w:numPr>
        <w:spacing w:line="260" w:lineRule="exact"/>
        <w:ind w:left="-58" w:firstLine="0"/>
        <w:jc w:val="both"/>
        <w:rPr>
          <w:rFonts w:ascii="David" w:hAnsi="David" w:cs="David"/>
          <w:sz w:val="24"/>
          <w:szCs w:val="24"/>
        </w:rPr>
      </w:pPr>
      <w:r>
        <w:rPr>
          <w:rFonts w:ascii="David" w:hAnsi="David" w:cs="David"/>
          <w:sz w:val="24"/>
          <w:szCs w:val="24"/>
          <w:rtl/>
        </w:rPr>
        <w:t>לטענת המאשימה, על אף קיומה של סמכות לעשות כן, בשל העובדה כי מדובר בנתין זר, אין מקום לאפשר ביצוע העונש במסגרת עבודות שירות. עובדת היותו של הנאשם נתין זר היא אכן רלבנטית, גם נוכח העובדה כי משקל שיקולי שיקום אדם בנתוניו - שונה (ראו הנחיית פרקליט המדינה מס'  9.11). עם זאת סמכות כאמור קיימת (</w:t>
      </w:r>
      <w:hyperlink r:id="rId46" w:history="1">
        <w:r w:rsidR="003E1822" w:rsidRPr="003E1822">
          <w:rPr>
            <w:rFonts w:ascii="David" w:hAnsi="David" w:cs="David"/>
            <w:color w:val="0000FF"/>
            <w:sz w:val="24"/>
            <w:szCs w:val="24"/>
            <w:u w:val="single"/>
            <w:rtl/>
          </w:rPr>
          <w:t>ע"פ 8881/17</w:t>
        </w:r>
      </w:hyperlink>
      <w:r>
        <w:rPr>
          <w:rFonts w:ascii="David" w:hAnsi="David" w:cs="David"/>
          <w:sz w:val="24"/>
          <w:szCs w:val="24"/>
          <w:rtl/>
        </w:rPr>
        <w:t xml:space="preserve"> </w:t>
      </w:r>
      <w:r>
        <w:rPr>
          <w:rFonts w:ascii="David" w:hAnsi="David" w:cs="David"/>
          <w:b/>
          <w:bCs/>
          <w:sz w:val="24"/>
          <w:szCs w:val="24"/>
          <w:rtl/>
        </w:rPr>
        <w:t>פלונית נ' מדינת ישראל</w:t>
      </w:r>
      <w:r>
        <w:rPr>
          <w:rFonts w:ascii="David" w:hAnsi="David" w:cs="David"/>
          <w:sz w:val="24"/>
          <w:szCs w:val="24"/>
          <w:rtl/>
        </w:rPr>
        <w:t xml:space="preserve"> (11.6.2018)), ואף לעובדה כי הנאשם שוהה בישראל תקופה ממושכת, ללא רישום פלילי, קיימת משמעות הפועלת לזכותו. משכך, לאחר שקילת טיעוני הצדדים ונסיבות העניין, החלטתי כי יש מקום לבחון אפשרות ריצוי תקופת המאסר בדרך של עבודות שירות. </w:t>
      </w:r>
    </w:p>
    <w:p w14:paraId="60F702A6" w14:textId="77777777" w:rsidR="003F609C" w:rsidRDefault="003F609C" w:rsidP="003F609C">
      <w:pPr>
        <w:pStyle w:val="aa"/>
        <w:spacing w:line="260" w:lineRule="exact"/>
        <w:ind w:left="-58"/>
        <w:jc w:val="both"/>
        <w:rPr>
          <w:rFonts w:ascii="David" w:hAnsi="David" w:cs="David"/>
          <w:sz w:val="24"/>
          <w:szCs w:val="24"/>
        </w:rPr>
      </w:pPr>
    </w:p>
    <w:p w14:paraId="7F2D7258"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t>אלא שהנאשם לא התייצב לפני הממונה, על אף מספר לא-מבוטל של הזדמנויות, האחרונה בהן אחר אי-התייצבותו לדיונים בעניינו והתליית ההליכים, תוך הוצאת צו הבאה. צו הבאה נוסף הוצא לאחר ששוב נמנע הנאשם להתייצב לדיון, ו</w:t>
      </w:r>
      <w:r>
        <w:rPr>
          <w:rFonts w:ascii="David" w:hAnsi="David" w:cs="David" w:hint="cs"/>
          <w:sz w:val="24"/>
          <w:szCs w:val="24"/>
          <w:rtl/>
        </w:rPr>
        <w:t xml:space="preserve">חודש, מספר פעמים, עד שלבסוף אותר והובא היום לפני. </w:t>
      </w:r>
    </w:p>
    <w:p w14:paraId="0D888438" w14:textId="77777777" w:rsidR="003F609C" w:rsidRDefault="003F609C" w:rsidP="003F609C">
      <w:pPr>
        <w:pStyle w:val="aa"/>
        <w:spacing w:line="260" w:lineRule="exact"/>
        <w:ind w:left="-58"/>
        <w:jc w:val="both"/>
        <w:rPr>
          <w:rFonts w:ascii="David" w:hAnsi="David" w:cs="David"/>
          <w:sz w:val="24"/>
          <w:szCs w:val="24"/>
        </w:rPr>
      </w:pPr>
    </w:p>
    <w:p w14:paraId="494521B3"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t>ריצוי מאסר בדרך של עבודות שירות הוא "זכות יתר המוענקת לנידון מתוך תכלית שיקומית כחלופה לריצוי מאסר מאחורי סורג ובריח וכבר נפסק כי זכות יתר זו היא הדירה וניתנת לביטול בכל שלב, מקום שהנאשם אינו עומד בציפיות המתחייבות ממנו לצורך מימושה. נאשם המבקש לרצות את מאסרו בעבודות שירות חייב לקבל על עצמו עול אחריות הנילוה למסלול עונשי מיוחד זה, ולבצע את המוטל עליו על פי הוראות הממונים, בלא סטייה והפרה של הכללים" (</w:t>
      </w:r>
      <w:hyperlink r:id="rId47" w:history="1">
        <w:r w:rsidR="003E1822" w:rsidRPr="003E1822">
          <w:rPr>
            <w:rFonts w:ascii="David" w:hAnsi="David" w:cs="David"/>
            <w:color w:val="0000FF"/>
            <w:sz w:val="24"/>
            <w:szCs w:val="24"/>
            <w:u w:val="single"/>
            <w:rtl/>
          </w:rPr>
          <w:t>רע"ב 2334/11</w:t>
        </w:r>
      </w:hyperlink>
      <w:r>
        <w:rPr>
          <w:rFonts w:ascii="David" w:hAnsi="David" w:cs="David"/>
          <w:sz w:val="24"/>
          <w:szCs w:val="24"/>
          <w:rtl/>
        </w:rPr>
        <w:t xml:space="preserve"> </w:t>
      </w:r>
      <w:r>
        <w:rPr>
          <w:rFonts w:ascii="David" w:hAnsi="David" w:cs="David"/>
          <w:b/>
          <w:bCs/>
          <w:sz w:val="24"/>
          <w:szCs w:val="24"/>
          <w:rtl/>
        </w:rPr>
        <w:t>בן דוד נ' מדינת ישראל</w:t>
      </w:r>
      <w:r>
        <w:rPr>
          <w:rFonts w:ascii="David" w:hAnsi="David" w:cs="David"/>
          <w:sz w:val="24"/>
          <w:szCs w:val="24"/>
          <w:rtl/>
        </w:rPr>
        <w:t xml:space="preserve">, פסקה 5 (2.5.2011)). </w:t>
      </w:r>
    </w:p>
    <w:p w14:paraId="7C2AA332" w14:textId="77777777" w:rsidR="003F609C" w:rsidRDefault="003F609C" w:rsidP="003F609C">
      <w:pPr>
        <w:pStyle w:val="aa"/>
        <w:spacing w:line="260" w:lineRule="exact"/>
        <w:ind w:left="-58"/>
        <w:jc w:val="both"/>
        <w:rPr>
          <w:rFonts w:ascii="David" w:hAnsi="David" w:cs="David"/>
          <w:sz w:val="24"/>
          <w:szCs w:val="24"/>
        </w:rPr>
      </w:pPr>
    </w:p>
    <w:p w14:paraId="0AC3A6D5" w14:textId="77777777" w:rsidR="003F609C" w:rsidRDefault="003F609C" w:rsidP="003F609C">
      <w:pPr>
        <w:pStyle w:val="aa"/>
        <w:spacing w:line="260" w:lineRule="exact"/>
        <w:ind w:left="-58" w:firstLine="778"/>
        <w:jc w:val="both"/>
        <w:rPr>
          <w:rFonts w:ascii="David" w:hAnsi="David" w:cs="David"/>
          <w:sz w:val="24"/>
          <w:szCs w:val="24"/>
          <w:rtl/>
        </w:rPr>
      </w:pPr>
      <w:r>
        <w:rPr>
          <w:rFonts w:ascii="David" w:hAnsi="David" w:cs="David"/>
          <w:sz w:val="24"/>
          <w:szCs w:val="24"/>
          <w:rtl/>
        </w:rPr>
        <w:t xml:space="preserve">בעניין </w:t>
      </w:r>
      <w:r>
        <w:rPr>
          <w:rFonts w:ascii="David" w:hAnsi="David" w:cs="David"/>
          <w:b/>
          <w:bCs/>
          <w:sz w:val="24"/>
          <w:szCs w:val="24"/>
          <w:rtl/>
        </w:rPr>
        <w:t>יפרח</w:t>
      </w:r>
      <w:r>
        <w:rPr>
          <w:rFonts w:ascii="David" w:hAnsi="David" w:cs="David"/>
          <w:sz w:val="24"/>
          <w:szCs w:val="24"/>
          <w:rtl/>
        </w:rPr>
        <w:t xml:space="preserve"> (ע"פ </w:t>
      </w:r>
      <w:hyperlink r:id="rId48" w:history="1">
        <w:r w:rsidR="001B0721" w:rsidRPr="001B0721">
          <w:rPr>
            <w:rFonts w:ascii="David" w:hAnsi="David" w:cs="David"/>
            <w:color w:val="0000FF"/>
            <w:sz w:val="24"/>
            <w:szCs w:val="24"/>
            <w:u w:val="single"/>
            <w:rtl/>
          </w:rPr>
          <w:t xml:space="preserve">4030/22 </w:t>
        </w:r>
      </w:hyperlink>
      <w:r>
        <w:rPr>
          <w:rFonts w:ascii="David" w:hAnsi="David" w:cs="David"/>
          <w:sz w:val="24"/>
          <w:szCs w:val="24"/>
          <w:rtl/>
        </w:rPr>
        <w:t xml:space="preserve"> </w:t>
      </w:r>
      <w:r>
        <w:rPr>
          <w:rFonts w:ascii="David" w:hAnsi="David" w:cs="David"/>
          <w:b/>
          <w:bCs/>
          <w:sz w:val="24"/>
          <w:szCs w:val="24"/>
          <w:rtl/>
        </w:rPr>
        <w:t>יפרח נ' מדינת ישראל</w:t>
      </w:r>
      <w:r>
        <w:rPr>
          <w:rFonts w:ascii="David" w:hAnsi="David" w:cs="David"/>
          <w:sz w:val="24"/>
          <w:szCs w:val="24"/>
          <w:rtl/>
        </w:rPr>
        <w:t xml:space="preserve"> (19.6.2022)) נקבע: "חרף חומרת העבירות בהן הורשע המבקש ועברו הפלילי העומד לחובתו, בית משפט השלום נעתר לבקשתו כי יופנה לקבלת חוות דעת הממונה על עבודות השירות. המבקש הדף בהתנהגותו הזדמנות זו שהושטה לידו, ובחר שלא להתייצב בשני מועדים שונים לפני הממונה אליהם זומן כדין. אף אם תתקבל טענתו כי הזימון הראשון לא הובא לידיעתו, אין באמור כדי להועיל לו, משלא התייצב לזימון השני ללא שסיפק הסבר סביר במועדו. להזכיר, כי המבקש לא התייצב לחלק מן הדיונים בבית משפט השלום באופן חוזר ונשנה, ומשכך הוצאו צווי הבאה בעניינו. אך לאחרונה, קבעתי בעניין אחר: בהיעדר חוות דעת הממונה על עבודות שירות או תסקיר שירות מבחן, התנהלות המבקש כבלה את ידיו של בית המשפט ולא אפשרה לו לשקול כל חלופה עונשית – ומשכך, לא ניתן אלא להשית על המבקש עונש מאסר בפועל, מאחורי סורג ובריח... לאור האמור, לא נותר למבקש להלין – אלא על עצמו". </w:t>
      </w:r>
    </w:p>
    <w:p w14:paraId="0EE401FD" w14:textId="77777777" w:rsidR="003F609C" w:rsidRDefault="003F609C" w:rsidP="003F609C">
      <w:pPr>
        <w:pStyle w:val="aa"/>
        <w:spacing w:line="260" w:lineRule="exact"/>
        <w:rPr>
          <w:rFonts w:ascii="David" w:hAnsi="David" w:cs="David"/>
          <w:sz w:val="24"/>
          <w:szCs w:val="24"/>
        </w:rPr>
      </w:pPr>
    </w:p>
    <w:p w14:paraId="5C2CFAC2" w14:textId="77777777" w:rsidR="003F609C" w:rsidRDefault="003F609C" w:rsidP="003F609C">
      <w:pPr>
        <w:pStyle w:val="aa"/>
        <w:spacing w:line="260" w:lineRule="exact"/>
        <w:ind w:left="-58" w:firstLine="778"/>
        <w:jc w:val="both"/>
        <w:rPr>
          <w:rFonts w:ascii="David" w:hAnsi="David" w:cs="David"/>
          <w:sz w:val="24"/>
          <w:szCs w:val="24"/>
          <w:rtl/>
        </w:rPr>
      </w:pPr>
      <w:r>
        <w:rPr>
          <w:rFonts w:ascii="David" w:hAnsi="David" w:cs="David"/>
          <w:sz w:val="24"/>
          <w:szCs w:val="24"/>
          <w:rtl/>
        </w:rPr>
        <w:t xml:space="preserve">דברים אלה יפים, בהתאמות הנדרשות, אף לעניין הנאשם (ראו גם גזר דיני בעניין </w:t>
      </w:r>
      <w:r>
        <w:rPr>
          <w:rFonts w:ascii="David" w:hAnsi="David" w:cs="David"/>
          <w:b/>
          <w:bCs/>
          <w:sz w:val="24"/>
          <w:szCs w:val="24"/>
          <w:rtl/>
        </w:rPr>
        <w:t>פרץ</w:t>
      </w:r>
      <w:r>
        <w:rPr>
          <w:rFonts w:ascii="David" w:hAnsi="David" w:cs="David"/>
          <w:sz w:val="24"/>
          <w:szCs w:val="24"/>
          <w:rtl/>
        </w:rPr>
        <w:t xml:space="preserve"> (</w:t>
      </w:r>
      <w:hyperlink r:id="rId49" w:history="1">
        <w:r w:rsidR="003E1822" w:rsidRPr="003E1822">
          <w:rPr>
            <w:rFonts w:ascii="David" w:hAnsi="David" w:cs="David"/>
            <w:color w:val="0000FF"/>
            <w:sz w:val="24"/>
            <w:szCs w:val="24"/>
            <w:u w:val="single"/>
            <w:rtl/>
          </w:rPr>
          <w:t>ת"פ 33143-03-17</w:t>
        </w:r>
      </w:hyperlink>
      <w:r>
        <w:rPr>
          <w:rFonts w:ascii="David" w:hAnsi="David" w:cs="David"/>
          <w:sz w:val="24"/>
          <w:szCs w:val="24"/>
          <w:rtl/>
        </w:rPr>
        <w:t xml:space="preserve"> </w:t>
      </w:r>
      <w:r>
        <w:rPr>
          <w:rFonts w:ascii="David" w:hAnsi="David" w:cs="David"/>
          <w:b/>
          <w:bCs/>
          <w:sz w:val="24"/>
          <w:szCs w:val="24"/>
          <w:rtl/>
        </w:rPr>
        <w:t>מדינת ישראל נ' פרץ</w:t>
      </w:r>
      <w:r>
        <w:rPr>
          <w:rFonts w:ascii="David" w:hAnsi="David" w:cs="David"/>
          <w:sz w:val="24"/>
          <w:szCs w:val="24"/>
          <w:rtl/>
        </w:rPr>
        <w:t xml:space="preserve"> (12.7.2022)). </w:t>
      </w:r>
    </w:p>
    <w:p w14:paraId="449CD8FD" w14:textId="77777777" w:rsidR="003F609C" w:rsidRDefault="003F609C" w:rsidP="003F609C">
      <w:pPr>
        <w:pStyle w:val="aa"/>
        <w:spacing w:line="260" w:lineRule="exact"/>
        <w:ind w:left="-58"/>
        <w:jc w:val="both"/>
        <w:rPr>
          <w:rFonts w:ascii="David" w:hAnsi="David" w:cs="David"/>
          <w:sz w:val="24"/>
          <w:szCs w:val="24"/>
        </w:rPr>
      </w:pPr>
    </w:p>
    <w:p w14:paraId="503D4D0F"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t xml:space="preserve">יש להניח כי קשיי הנאשם, כנתין זר בישראל ומצבו הרפואי, עומדים אף הם בבסיס אי-התייצבותו החוזרת והנשנית לפני הממונה, ובשל כך, לפנים משורת הדין, נתאפשרו לו מספר הזדמנויות לעשות כן אך הוא לא פעל למצותן. התנהלות זו, בצירוף אי-התייצבותו למשפט פעמים לא-מעטות בנסיבות שאף הובילו להתליית ההליכים כנגדו בשלב מסוים, מלמדת כי יתקשה לרצות עונשו בדרך זו, הדורשת מחויבות, התמדה ורצינות. </w:t>
      </w:r>
    </w:p>
    <w:p w14:paraId="5AC2088C" w14:textId="77777777" w:rsidR="003F609C" w:rsidRDefault="003F609C" w:rsidP="003F609C">
      <w:pPr>
        <w:pStyle w:val="aa"/>
        <w:spacing w:line="260" w:lineRule="exact"/>
        <w:ind w:left="-58"/>
        <w:jc w:val="both"/>
        <w:rPr>
          <w:rFonts w:ascii="David" w:hAnsi="David" w:cs="David"/>
          <w:sz w:val="24"/>
          <w:szCs w:val="24"/>
        </w:rPr>
      </w:pPr>
    </w:p>
    <w:p w14:paraId="60CEC35E"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t xml:space="preserve">בנסיבות אלו, אין מנוס אלא לקבוע כי הנאשם ירצה עונש המאסר בכלא, אך לתקופה קצרה יותר מזו אותה היה עליו לשאת במסגרת עבודות השירות, שהרי אין חולק כי מאסר מאחורי סורג ובריח קשה לריצוי יותר, באופן משמעותי. בעניין </w:t>
      </w:r>
      <w:r>
        <w:rPr>
          <w:rFonts w:ascii="David" w:hAnsi="David" w:cs="David"/>
          <w:b/>
          <w:bCs/>
          <w:sz w:val="24"/>
          <w:szCs w:val="24"/>
          <w:rtl/>
        </w:rPr>
        <w:t>אסף</w:t>
      </w:r>
      <w:r>
        <w:rPr>
          <w:rFonts w:ascii="David" w:hAnsi="David" w:cs="David"/>
          <w:sz w:val="24"/>
          <w:szCs w:val="24"/>
          <w:rtl/>
        </w:rPr>
        <w:t xml:space="preserve"> שלעיל נקבע כי "... לו היה הנאשם כשיר לרצות מאסר בעבודות שרות, כי אז היה מוטל עליו עונש מאסר בפועל לתקופה ארוכה באופן משמעותי מזו שתוטל עליו בסופו של דבר. ... </w:t>
      </w:r>
      <w:r>
        <w:rPr>
          <w:rFonts w:ascii="David" w:hAnsi="David" w:cs="David" w:hint="cs"/>
          <w:sz w:val="24"/>
          <w:szCs w:val="24"/>
          <w:rtl/>
        </w:rPr>
        <w:t>מ</w:t>
      </w:r>
      <w:r>
        <w:rPr>
          <w:rFonts w:ascii="David" w:hAnsi="David" w:cs="David"/>
          <w:sz w:val="24"/>
          <w:szCs w:val="24"/>
          <w:rtl/>
        </w:rPr>
        <w:t>שנמצא הנאשם בלתי כשיר מבחינה רפואית לבצע עבודות שרות, שוב אין מנוס מקביעה שאת עונשו ירצה הנאשם בכליאה ממשית, אולם, כאמור, התקופה שתיגזר עליו תהא קצרה באופן משמעותי מזו שהיתה מוטלת לריצוי בעבודות שרות" (ראו לענין זה אף</w:t>
      </w:r>
      <w:r>
        <w:rPr>
          <w:rtl/>
        </w:rPr>
        <w:t xml:space="preserve"> </w:t>
      </w:r>
      <w:hyperlink r:id="rId50" w:history="1">
        <w:r w:rsidR="003E1822" w:rsidRPr="003E1822">
          <w:rPr>
            <w:rFonts w:ascii="David" w:hAnsi="David" w:cs="David"/>
            <w:color w:val="0000FF"/>
            <w:sz w:val="24"/>
            <w:szCs w:val="24"/>
            <w:u w:val="single"/>
            <w:rtl/>
          </w:rPr>
          <w:t>עפ"ג (מחוזי מרכז) 57350-01-15</w:t>
        </w:r>
      </w:hyperlink>
      <w:r>
        <w:rPr>
          <w:rFonts w:ascii="David" w:hAnsi="David" w:cs="David"/>
          <w:sz w:val="24"/>
          <w:szCs w:val="24"/>
          <w:rtl/>
        </w:rPr>
        <w:t xml:space="preserve"> </w:t>
      </w:r>
      <w:r>
        <w:rPr>
          <w:rFonts w:ascii="David" w:hAnsi="David" w:cs="David" w:hint="cs"/>
          <w:b/>
          <w:bCs/>
          <w:sz w:val="24"/>
          <w:szCs w:val="24"/>
          <w:rtl/>
        </w:rPr>
        <w:t>חרז נ' מדינת ישראל</w:t>
      </w:r>
      <w:r>
        <w:rPr>
          <w:rFonts w:ascii="David" w:hAnsi="David" w:cs="David" w:hint="cs"/>
          <w:sz w:val="24"/>
          <w:szCs w:val="24"/>
          <w:rtl/>
        </w:rPr>
        <w:t xml:space="preserve"> (10.5.2015)).</w:t>
      </w:r>
    </w:p>
    <w:p w14:paraId="7729C530" w14:textId="77777777" w:rsidR="003F609C" w:rsidRDefault="003F609C" w:rsidP="003F609C">
      <w:pPr>
        <w:pStyle w:val="aa"/>
        <w:spacing w:line="260" w:lineRule="exact"/>
        <w:rPr>
          <w:rFonts w:ascii="David" w:hAnsi="David" w:cs="David"/>
          <w:sz w:val="24"/>
          <w:szCs w:val="24"/>
        </w:rPr>
      </w:pPr>
    </w:p>
    <w:p w14:paraId="187EACB0"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t>כאמור, גם לנתוניו האישיים של הנאשם, מצב בריאותו והעדר עבר פלילי קיימת משמעות בעת קביעת משך תקופת המאסר; אתחשב אף בתקופת מעצר הבית בה היה נתון הנאשם, כמפורט בדברי המאשימה במסגרת טיעוניה לעונש והודעתה מיום 9.7.2023 (</w:t>
      </w:r>
      <w:hyperlink r:id="rId51" w:history="1">
        <w:r w:rsidR="003E1822" w:rsidRPr="003E1822">
          <w:rPr>
            <w:rFonts w:ascii="David" w:hAnsi="David" w:cs="David"/>
            <w:color w:val="0000FF"/>
            <w:sz w:val="24"/>
            <w:szCs w:val="24"/>
            <w:u w:val="single"/>
            <w:rtl/>
          </w:rPr>
          <w:t>ע"פ 7768/16</w:t>
        </w:r>
      </w:hyperlink>
      <w:r w:rsidR="003E1822">
        <w:rPr>
          <w:rFonts w:ascii="David" w:hAnsi="David" w:cs="David"/>
          <w:sz w:val="24"/>
          <w:szCs w:val="24"/>
          <w:rtl/>
        </w:rPr>
        <w:t xml:space="preserve"> </w:t>
      </w:r>
      <w:r>
        <w:rPr>
          <w:rFonts w:ascii="David" w:hAnsi="David" w:cs="David"/>
          <w:b/>
          <w:bCs/>
          <w:sz w:val="24"/>
          <w:szCs w:val="24"/>
          <w:rtl/>
        </w:rPr>
        <w:t>פלוני נ' מדינת ישראל</w:t>
      </w:r>
      <w:r w:rsidR="003E1822">
        <w:rPr>
          <w:rFonts w:ascii="David" w:hAnsi="David" w:cs="David"/>
          <w:sz w:val="24"/>
          <w:szCs w:val="24"/>
          <w:rtl/>
        </w:rPr>
        <w:t xml:space="preserve"> </w:t>
      </w:r>
      <w:r>
        <w:rPr>
          <w:rFonts w:ascii="David" w:hAnsi="David" w:cs="David"/>
          <w:sz w:val="24"/>
          <w:szCs w:val="24"/>
          <w:rtl/>
        </w:rPr>
        <w:t>(20.4.2016)).</w:t>
      </w:r>
    </w:p>
    <w:p w14:paraId="4EB3A54B" w14:textId="77777777" w:rsidR="003F609C" w:rsidRDefault="003F609C" w:rsidP="003F609C">
      <w:pPr>
        <w:pStyle w:val="aa"/>
        <w:spacing w:line="260" w:lineRule="exact"/>
        <w:rPr>
          <w:rFonts w:ascii="David" w:hAnsi="David" w:cs="David"/>
          <w:sz w:val="24"/>
          <w:szCs w:val="24"/>
        </w:rPr>
      </w:pPr>
    </w:p>
    <w:p w14:paraId="5CD9016A" w14:textId="77777777" w:rsidR="003F609C" w:rsidRDefault="003F609C" w:rsidP="003F609C">
      <w:pPr>
        <w:pStyle w:val="aa"/>
        <w:spacing w:line="260" w:lineRule="exact"/>
        <w:ind w:left="-58"/>
        <w:rPr>
          <w:rFonts w:ascii="David" w:hAnsi="David" w:cs="David"/>
          <w:b/>
          <w:bCs/>
          <w:sz w:val="24"/>
          <w:szCs w:val="24"/>
          <w:u w:val="single"/>
          <w:rtl/>
        </w:rPr>
      </w:pPr>
      <w:r>
        <w:rPr>
          <w:rFonts w:ascii="David" w:hAnsi="David" w:cs="David"/>
          <w:b/>
          <w:bCs/>
          <w:sz w:val="24"/>
          <w:szCs w:val="24"/>
          <w:u w:val="single"/>
          <w:rtl/>
        </w:rPr>
        <w:t>סוף דבר</w:t>
      </w:r>
    </w:p>
    <w:p w14:paraId="0C18312D" w14:textId="77777777" w:rsidR="003F609C" w:rsidRDefault="003F609C" w:rsidP="003F609C">
      <w:pPr>
        <w:pStyle w:val="aa"/>
        <w:numPr>
          <w:ilvl w:val="0"/>
          <w:numId w:val="1"/>
        </w:numPr>
        <w:spacing w:line="260" w:lineRule="exact"/>
        <w:ind w:left="-58" w:firstLine="0"/>
        <w:jc w:val="both"/>
        <w:rPr>
          <w:rFonts w:ascii="David" w:hAnsi="David" w:cs="David"/>
          <w:sz w:val="24"/>
          <w:szCs w:val="24"/>
          <w:rtl/>
        </w:rPr>
      </w:pPr>
      <w:r>
        <w:rPr>
          <w:rFonts w:ascii="David" w:hAnsi="David" w:cs="David"/>
          <w:sz w:val="24"/>
          <w:szCs w:val="24"/>
          <w:rtl/>
        </w:rPr>
        <w:t>הנאשם יישא בעונשים הבאים:</w:t>
      </w:r>
    </w:p>
    <w:p w14:paraId="172353E2" w14:textId="77777777" w:rsidR="003F609C" w:rsidRDefault="003F609C" w:rsidP="003F609C">
      <w:pPr>
        <w:pStyle w:val="aa"/>
        <w:spacing w:line="260" w:lineRule="exact"/>
        <w:ind w:left="-58"/>
        <w:jc w:val="both"/>
        <w:rPr>
          <w:rFonts w:ascii="David" w:hAnsi="David" w:cs="David"/>
          <w:sz w:val="24"/>
          <w:szCs w:val="24"/>
        </w:rPr>
      </w:pPr>
    </w:p>
    <w:p w14:paraId="4155B1FC" w14:textId="77777777" w:rsidR="003F609C" w:rsidRDefault="003F609C" w:rsidP="003F609C">
      <w:pPr>
        <w:pStyle w:val="aa"/>
        <w:numPr>
          <w:ilvl w:val="0"/>
          <w:numId w:val="2"/>
        </w:numPr>
        <w:spacing w:after="0" w:line="260" w:lineRule="exact"/>
        <w:ind w:left="84" w:firstLine="0"/>
        <w:jc w:val="both"/>
        <w:rPr>
          <w:rFonts w:ascii="David" w:hAnsi="David" w:cs="David"/>
          <w:sz w:val="24"/>
          <w:szCs w:val="24"/>
        </w:rPr>
      </w:pPr>
      <w:r>
        <w:rPr>
          <w:rFonts w:ascii="David" w:hAnsi="David" w:cs="David"/>
          <w:sz w:val="24"/>
          <w:szCs w:val="24"/>
          <w:rtl/>
        </w:rPr>
        <w:t xml:space="preserve">מאסר בפועל לתקופה של ארבעה חודשים. מתקופה זו יש לנכות ימי מעצר בהם שהה הנאשם, בקשר לתיק זה, על פי רישומי שב"ס. </w:t>
      </w:r>
    </w:p>
    <w:p w14:paraId="0F99E2D2" w14:textId="77777777" w:rsidR="003F609C" w:rsidRDefault="003F609C" w:rsidP="003F609C">
      <w:pPr>
        <w:pStyle w:val="aa"/>
        <w:spacing w:line="260" w:lineRule="exact"/>
        <w:ind w:left="722"/>
        <w:jc w:val="both"/>
        <w:rPr>
          <w:rFonts w:ascii="David" w:hAnsi="David" w:cs="David"/>
          <w:sz w:val="24"/>
          <w:szCs w:val="24"/>
        </w:rPr>
      </w:pPr>
    </w:p>
    <w:p w14:paraId="1D9F56B3" w14:textId="77777777" w:rsidR="003F609C" w:rsidRDefault="003F609C" w:rsidP="003F609C">
      <w:pPr>
        <w:pStyle w:val="aa"/>
        <w:numPr>
          <w:ilvl w:val="0"/>
          <w:numId w:val="2"/>
        </w:numPr>
        <w:spacing w:after="0" w:line="260" w:lineRule="exact"/>
        <w:ind w:left="84" w:firstLine="0"/>
        <w:jc w:val="both"/>
        <w:rPr>
          <w:rFonts w:ascii="David" w:hAnsi="David" w:cs="David"/>
          <w:sz w:val="24"/>
          <w:szCs w:val="24"/>
        </w:rPr>
      </w:pPr>
      <w:r>
        <w:rPr>
          <w:rFonts w:ascii="David" w:hAnsi="David" w:cs="David" w:hint="cs"/>
          <w:sz w:val="24"/>
          <w:szCs w:val="24"/>
          <w:rtl/>
        </w:rPr>
        <w:t xml:space="preserve">חמישה </w:t>
      </w:r>
      <w:r>
        <w:rPr>
          <w:rFonts w:ascii="David" w:hAnsi="David" w:cs="David"/>
          <w:sz w:val="24"/>
          <w:szCs w:val="24"/>
          <w:rtl/>
        </w:rPr>
        <w:t>חודשי מאסר על תנאי, למשך 3 שנים מיום שחרורו ממאסר, שלא יעבור כל עביר</w:t>
      </w:r>
      <w:r>
        <w:rPr>
          <w:rFonts w:ascii="David" w:hAnsi="David" w:cs="David" w:hint="cs"/>
          <w:sz w:val="24"/>
          <w:szCs w:val="24"/>
          <w:rtl/>
        </w:rPr>
        <w:t>ו</w:t>
      </w:r>
      <w:r>
        <w:rPr>
          <w:rFonts w:ascii="David" w:hAnsi="David" w:cs="David"/>
          <w:sz w:val="24"/>
          <w:szCs w:val="24"/>
          <w:rtl/>
        </w:rPr>
        <w:t>ת אלימות, לרבות נסיון לעברן.</w:t>
      </w:r>
    </w:p>
    <w:p w14:paraId="04CDE4A7" w14:textId="77777777" w:rsidR="003F609C" w:rsidRDefault="003F609C" w:rsidP="003F609C">
      <w:pPr>
        <w:pStyle w:val="aa"/>
        <w:spacing w:after="0" w:line="260" w:lineRule="exact"/>
        <w:ind w:left="84"/>
        <w:jc w:val="both"/>
        <w:rPr>
          <w:rFonts w:ascii="David" w:hAnsi="David" w:cs="David"/>
          <w:sz w:val="24"/>
          <w:szCs w:val="24"/>
        </w:rPr>
      </w:pPr>
    </w:p>
    <w:p w14:paraId="69C9830D" w14:textId="77777777" w:rsidR="003F609C" w:rsidRDefault="003F609C" w:rsidP="003F609C">
      <w:pPr>
        <w:pStyle w:val="aa"/>
        <w:numPr>
          <w:ilvl w:val="0"/>
          <w:numId w:val="2"/>
        </w:numPr>
        <w:spacing w:after="0" w:line="260" w:lineRule="exact"/>
        <w:ind w:left="84" w:firstLine="0"/>
        <w:jc w:val="both"/>
        <w:rPr>
          <w:rFonts w:ascii="David" w:hAnsi="David" w:cs="David"/>
          <w:sz w:val="24"/>
          <w:szCs w:val="24"/>
          <w:rtl/>
        </w:rPr>
      </w:pPr>
      <w:r>
        <w:rPr>
          <w:rFonts w:ascii="David" w:hAnsi="David" w:cs="David"/>
          <w:sz w:val="24"/>
          <w:szCs w:val="24"/>
          <w:rtl/>
        </w:rPr>
        <w:t xml:space="preserve">שלושה חודשי מאסר על תנאי, למשך 3 שנים מיום שחרורו </w:t>
      </w:r>
      <w:r>
        <w:rPr>
          <w:rFonts w:ascii="David" w:hAnsi="David" w:cs="David" w:hint="cs"/>
          <w:sz w:val="24"/>
          <w:szCs w:val="24"/>
          <w:rtl/>
        </w:rPr>
        <w:t>מ</w:t>
      </w:r>
      <w:r>
        <w:rPr>
          <w:rFonts w:ascii="David" w:hAnsi="David" w:cs="David"/>
          <w:sz w:val="24"/>
          <w:szCs w:val="24"/>
          <w:rtl/>
        </w:rPr>
        <w:t>מאסר, שלא יעבור עבירת גניבה, לרבות נסיון לעברה.</w:t>
      </w:r>
    </w:p>
    <w:p w14:paraId="72B58640" w14:textId="77777777" w:rsidR="003F609C" w:rsidRDefault="003F609C" w:rsidP="003F609C">
      <w:pPr>
        <w:pStyle w:val="aa"/>
        <w:spacing w:after="0" w:line="260" w:lineRule="exact"/>
        <w:ind w:left="84"/>
        <w:jc w:val="both"/>
        <w:rPr>
          <w:rFonts w:ascii="David" w:hAnsi="David" w:cs="David"/>
          <w:sz w:val="24"/>
          <w:szCs w:val="24"/>
        </w:rPr>
      </w:pPr>
    </w:p>
    <w:p w14:paraId="38EC411B" w14:textId="77777777" w:rsidR="003F609C" w:rsidRDefault="003F609C" w:rsidP="003F609C">
      <w:pPr>
        <w:pStyle w:val="aa"/>
        <w:numPr>
          <w:ilvl w:val="0"/>
          <w:numId w:val="2"/>
        </w:numPr>
        <w:spacing w:after="0" w:line="260" w:lineRule="exact"/>
        <w:ind w:left="84" w:firstLine="0"/>
        <w:jc w:val="both"/>
        <w:rPr>
          <w:rFonts w:ascii="David" w:hAnsi="David" w:cs="David"/>
          <w:sz w:val="24"/>
          <w:szCs w:val="24"/>
          <w:rtl/>
        </w:rPr>
      </w:pPr>
      <w:r>
        <w:rPr>
          <w:rFonts w:ascii="David" w:hAnsi="David" w:cs="David"/>
          <w:sz w:val="24"/>
          <w:szCs w:val="24"/>
          <w:rtl/>
        </w:rPr>
        <w:t>פיצוי למתלונן בסך של 2,000 ₪.</w:t>
      </w:r>
    </w:p>
    <w:p w14:paraId="5A8A8C63" w14:textId="77777777" w:rsidR="003F609C" w:rsidRDefault="003F609C" w:rsidP="003F609C">
      <w:pPr>
        <w:pStyle w:val="aa"/>
        <w:spacing w:line="260" w:lineRule="exact"/>
        <w:ind w:left="-58"/>
        <w:jc w:val="both"/>
        <w:rPr>
          <w:rFonts w:ascii="David" w:hAnsi="David" w:cs="David"/>
          <w:sz w:val="24"/>
          <w:szCs w:val="24"/>
          <w:rtl/>
        </w:rPr>
      </w:pPr>
    </w:p>
    <w:p w14:paraId="10389B2B" w14:textId="77777777" w:rsidR="003F609C" w:rsidRDefault="003F609C" w:rsidP="003F609C">
      <w:pPr>
        <w:pStyle w:val="aa"/>
        <w:spacing w:line="260" w:lineRule="exact"/>
        <w:ind w:left="-58" w:firstLine="778"/>
        <w:jc w:val="both"/>
        <w:rPr>
          <w:rFonts w:ascii="David" w:hAnsi="David" w:cs="David"/>
          <w:sz w:val="24"/>
          <w:szCs w:val="24"/>
          <w:rtl/>
        </w:rPr>
      </w:pPr>
      <w:r>
        <w:rPr>
          <w:rFonts w:ascii="David" w:hAnsi="David" w:cs="David"/>
          <w:sz w:val="24"/>
          <w:szCs w:val="24"/>
          <w:rtl/>
        </w:rPr>
        <w:t xml:space="preserve">ניתן לשלם את הפיצוי כעבור שלושה ימים מיום גזר הדין לחשבון המרכז לגביית קנסות, אגרות והוצאות ברשות האכיפה והגבייה באחת מהדרכים הבאות: בכרטיס אשראי – באתר המקוון של רשות האכיפה והגבייה, </w:t>
      </w:r>
      <w:r>
        <w:rPr>
          <w:rFonts w:ascii="David" w:hAnsi="David" w:cs="David"/>
          <w:sz w:val="24"/>
          <w:szCs w:val="24"/>
        </w:rPr>
        <w:t xml:space="preserve">www.eca.gov.il </w:t>
      </w:r>
      <w:r>
        <w:rPr>
          <w:rFonts w:ascii="David" w:hAnsi="David" w:cs="David"/>
          <w:sz w:val="24"/>
          <w:szCs w:val="24"/>
          <w:rtl/>
        </w:rPr>
        <w:t>; מוקד שירות טלפוני בשרות עצמי (מרכז גבייה)</w:t>
      </w:r>
      <w:r w:rsidR="003E1822">
        <w:rPr>
          <w:rFonts w:ascii="David" w:hAnsi="David" w:cs="David"/>
          <w:sz w:val="24"/>
          <w:szCs w:val="24"/>
          <w:rtl/>
        </w:rPr>
        <w:t xml:space="preserve"> </w:t>
      </w:r>
      <w:r>
        <w:rPr>
          <w:rFonts w:ascii="David" w:hAnsi="David" w:cs="David"/>
          <w:sz w:val="24"/>
          <w:szCs w:val="24"/>
          <w:rtl/>
        </w:rPr>
        <w:t xml:space="preserve"> – בטלפון 35592* או בטלפון 073-2055000; במזומן בכל סניף של בנק הדואר – בהצגת תעודת זהות בלבד.</w:t>
      </w:r>
    </w:p>
    <w:p w14:paraId="66A574FE" w14:textId="77777777" w:rsidR="003F609C" w:rsidRDefault="003F609C" w:rsidP="003F609C">
      <w:pPr>
        <w:spacing w:line="260" w:lineRule="exact"/>
        <w:jc w:val="both"/>
        <w:rPr>
          <w:rFonts w:ascii="David" w:hAnsi="David"/>
          <w:rtl/>
        </w:rPr>
      </w:pPr>
      <w:r>
        <w:rPr>
          <w:rFonts w:ascii="David" w:hAnsi="David"/>
          <w:b/>
          <w:bCs/>
          <w:rtl/>
        </w:rPr>
        <w:t xml:space="preserve"> </w:t>
      </w:r>
      <w:r>
        <w:rPr>
          <w:rFonts w:ascii="David" w:hAnsi="David"/>
          <w:b/>
          <w:bCs/>
          <w:rtl/>
        </w:rPr>
        <w:tab/>
      </w:r>
    </w:p>
    <w:p w14:paraId="74863333" w14:textId="77777777" w:rsidR="003F609C" w:rsidRDefault="003F609C" w:rsidP="003F609C">
      <w:pPr>
        <w:spacing w:line="260" w:lineRule="exact"/>
        <w:jc w:val="both"/>
        <w:rPr>
          <w:rFonts w:ascii="David" w:hAnsi="David"/>
          <w:rtl/>
        </w:rPr>
      </w:pPr>
      <w:r>
        <w:rPr>
          <w:rFonts w:ascii="David" w:hAnsi="David"/>
          <w:rtl/>
        </w:rPr>
        <w:t>מוצגים יטופלו בהתאם לשיקול דעתו של קצין החקירות.</w:t>
      </w:r>
    </w:p>
    <w:p w14:paraId="5B672030" w14:textId="77777777" w:rsidR="003F609C" w:rsidRDefault="003F609C" w:rsidP="003F609C">
      <w:pPr>
        <w:spacing w:line="260" w:lineRule="exact"/>
        <w:ind w:firstLine="720"/>
        <w:jc w:val="both"/>
        <w:rPr>
          <w:rFonts w:ascii="David" w:hAnsi="David"/>
          <w:rtl/>
        </w:rPr>
      </w:pPr>
    </w:p>
    <w:p w14:paraId="1E4ACA99" w14:textId="77777777" w:rsidR="003F609C" w:rsidRDefault="003F609C" w:rsidP="003F609C">
      <w:pPr>
        <w:spacing w:line="260" w:lineRule="exact"/>
        <w:jc w:val="both"/>
        <w:rPr>
          <w:rFonts w:ascii="David" w:hAnsi="David"/>
          <w:rtl/>
        </w:rPr>
      </w:pPr>
      <w:r>
        <w:rPr>
          <w:rFonts w:ascii="David" w:hAnsi="David"/>
          <w:rtl/>
        </w:rPr>
        <w:t>המזכירות תשלח עותק הפרוטוקול לממונה על עבודות השירות.</w:t>
      </w:r>
    </w:p>
    <w:p w14:paraId="364B1E68" w14:textId="77777777" w:rsidR="003F609C" w:rsidRPr="003E1822" w:rsidRDefault="003E1822" w:rsidP="003F609C">
      <w:pPr>
        <w:spacing w:line="260" w:lineRule="exact"/>
        <w:ind w:firstLine="720"/>
        <w:jc w:val="both"/>
        <w:rPr>
          <w:rFonts w:ascii="David" w:hAnsi="David"/>
          <w:color w:val="FFFFFF"/>
          <w:sz w:val="2"/>
          <w:szCs w:val="2"/>
          <w:rtl/>
        </w:rPr>
      </w:pPr>
      <w:r w:rsidRPr="003E1822">
        <w:rPr>
          <w:rFonts w:ascii="David" w:hAnsi="David"/>
          <w:color w:val="FFFFFF"/>
          <w:sz w:val="2"/>
          <w:szCs w:val="2"/>
          <w:rtl/>
        </w:rPr>
        <w:t>5129371</w:t>
      </w:r>
    </w:p>
    <w:p w14:paraId="7ADA58EA" w14:textId="77777777" w:rsidR="003F609C" w:rsidRDefault="003E1822" w:rsidP="003F609C">
      <w:pPr>
        <w:spacing w:line="260" w:lineRule="exact"/>
        <w:jc w:val="both"/>
        <w:rPr>
          <w:rFonts w:ascii="David" w:hAnsi="David"/>
          <w:rtl/>
        </w:rPr>
      </w:pPr>
      <w:r w:rsidRPr="003E1822">
        <w:rPr>
          <w:rFonts w:ascii="David" w:hAnsi="David"/>
          <w:color w:val="FFFFFF"/>
          <w:sz w:val="2"/>
          <w:szCs w:val="2"/>
          <w:rtl/>
        </w:rPr>
        <w:t>54678313</w:t>
      </w:r>
      <w:r w:rsidR="003F609C">
        <w:rPr>
          <w:rFonts w:ascii="David" w:hAnsi="David"/>
          <w:rtl/>
        </w:rPr>
        <w:t xml:space="preserve">זכות ערעור לבית-המשפט המחוזי בתל-אביב תוך 45 יום מהיום. </w:t>
      </w:r>
    </w:p>
    <w:p w14:paraId="259200BF" w14:textId="77777777" w:rsidR="003F609C" w:rsidRDefault="003F609C" w:rsidP="003F609C">
      <w:pPr>
        <w:pStyle w:val="aa"/>
        <w:spacing w:line="260" w:lineRule="exact"/>
        <w:ind w:left="643"/>
        <w:jc w:val="both"/>
        <w:rPr>
          <w:rFonts w:ascii="David" w:hAnsi="David" w:cs="David"/>
          <w:sz w:val="24"/>
          <w:szCs w:val="24"/>
          <w:rtl/>
        </w:rPr>
      </w:pPr>
    </w:p>
    <w:p w14:paraId="6D335D0D" w14:textId="77777777" w:rsidR="003F609C" w:rsidRPr="000F2247" w:rsidRDefault="003E1822" w:rsidP="003F609C">
      <w:pPr>
        <w:spacing w:line="360" w:lineRule="auto"/>
        <w:jc w:val="both"/>
        <w:rPr>
          <w:rFonts w:ascii="Arial" w:hAnsi="Arial"/>
          <w:b/>
          <w:bCs/>
          <w:sz w:val="26"/>
          <w:szCs w:val="26"/>
          <w:rtl/>
        </w:rPr>
      </w:pPr>
      <w:bookmarkStart w:id="7" w:name="Nitan"/>
      <w:r>
        <w:rPr>
          <w:rFonts w:ascii="Arial" w:hAnsi="Arial"/>
          <w:b/>
          <w:bCs/>
          <w:sz w:val="26"/>
          <w:szCs w:val="26"/>
          <w:rtl/>
        </w:rPr>
        <w:t xml:space="preserve">ניתן היום,  י"ג טבת תשפ"ד, 25 דצמבר 2023, במעמד הצדדים. </w:t>
      </w:r>
      <w:bookmarkEnd w:id="7"/>
      <w:r w:rsidR="003F609C">
        <w:rPr>
          <w:rFonts w:ascii="Arial" w:hAnsi="Arial"/>
          <w:b/>
          <w:bCs/>
          <w:sz w:val="26"/>
          <w:szCs w:val="26"/>
          <w:rtl/>
        </w:rPr>
        <w:tab/>
      </w:r>
      <w:r w:rsidR="003F609C">
        <w:rPr>
          <w:rFonts w:ascii="Arial" w:hAnsi="Arial"/>
          <w:b/>
          <w:bCs/>
          <w:sz w:val="26"/>
          <w:szCs w:val="26"/>
          <w:rtl/>
        </w:rPr>
        <w:tab/>
      </w:r>
      <w:r w:rsidR="003F609C">
        <w:rPr>
          <w:rFonts w:ascii="Arial" w:hAnsi="Arial"/>
          <w:b/>
          <w:bCs/>
          <w:sz w:val="26"/>
          <w:szCs w:val="26"/>
          <w:rtl/>
        </w:rPr>
        <w:tab/>
      </w:r>
      <w:r w:rsidR="003F609C">
        <w:rPr>
          <w:rFonts w:ascii="Arial" w:hAnsi="Arial"/>
          <w:b/>
          <w:bCs/>
          <w:sz w:val="26"/>
          <w:szCs w:val="26"/>
          <w:rtl/>
        </w:rPr>
        <w:tab/>
      </w:r>
      <w:r w:rsidR="003F609C">
        <w:rPr>
          <w:rFonts w:ascii="Arial" w:hAnsi="Arial"/>
          <w:b/>
          <w:bCs/>
          <w:sz w:val="26"/>
          <w:szCs w:val="26"/>
          <w:rtl/>
        </w:rPr>
        <w:tab/>
      </w:r>
      <w:r w:rsidR="003F609C">
        <w:rPr>
          <w:rFonts w:ascii="Arial" w:hAnsi="Arial"/>
          <w:b/>
          <w:bCs/>
          <w:sz w:val="26"/>
          <w:szCs w:val="26"/>
          <w:rtl/>
        </w:rPr>
        <w:tab/>
      </w:r>
      <w:r w:rsidR="003F609C">
        <w:rPr>
          <w:rFonts w:ascii="Arial" w:hAnsi="Arial"/>
          <w:b/>
          <w:bCs/>
          <w:sz w:val="26"/>
          <w:szCs w:val="26"/>
          <w:rtl/>
        </w:rPr>
        <w:tab/>
      </w:r>
      <w:r w:rsidR="003F609C">
        <w:rPr>
          <w:rFonts w:ascii="Arial" w:hAnsi="Arial" w:hint="cs"/>
          <w:b/>
          <w:bCs/>
          <w:sz w:val="26"/>
          <w:szCs w:val="26"/>
          <w:rtl/>
        </w:rPr>
        <w:t xml:space="preserve">     </w:t>
      </w:r>
      <w:r w:rsidR="003F609C">
        <w:rPr>
          <w:rFonts w:ascii="Arial" w:hAnsi="Arial"/>
          <w:b/>
          <w:bCs/>
          <w:sz w:val="26"/>
          <w:szCs w:val="26"/>
          <w:rtl/>
        </w:rPr>
        <w:br/>
      </w:r>
    </w:p>
    <w:p w14:paraId="6685A85E" w14:textId="77777777" w:rsidR="003F609C" w:rsidRPr="000F2247" w:rsidRDefault="003F609C" w:rsidP="003E1822">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309906AD" w14:textId="77777777" w:rsidR="003F609C" w:rsidRPr="000F2247" w:rsidRDefault="003F609C" w:rsidP="003F609C">
      <w:pPr>
        <w:jc w:val="center"/>
        <w:rPr>
          <w:rFonts w:ascii="Arial" w:hAnsi="Arial"/>
          <w:b/>
          <w:bCs/>
          <w:sz w:val="26"/>
          <w:szCs w:val="26"/>
          <w:rtl/>
        </w:rPr>
      </w:pPr>
    </w:p>
    <w:p w14:paraId="79A1DD3B" w14:textId="77777777" w:rsidR="009C01B8" w:rsidRPr="003E1822" w:rsidRDefault="009C01B8" w:rsidP="003E1822">
      <w:pPr>
        <w:keepNext/>
        <w:rPr>
          <w:rFonts w:ascii="David" w:hAnsi="David"/>
          <w:color w:val="000000"/>
          <w:sz w:val="22"/>
          <w:szCs w:val="22"/>
          <w:rtl/>
        </w:rPr>
      </w:pPr>
    </w:p>
    <w:p w14:paraId="51B11E16" w14:textId="77777777" w:rsidR="003E1822" w:rsidRPr="003E1822" w:rsidRDefault="003E1822" w:rsidP="003E1822">
      <w:pPr>
        <w:keepNext/>
        <w:rPr>
          <w:rFonts w:ascii="David" w:hAnsi="David"/>
          <w:color w:val="000000"/>
          <w:sz w:val="22"/>
          <w:szCs w:val="22"/>
          <w:rtl/>
        </w:rPr>
      </w:pPr>
      <w:r w:rsidRPr="003E1822">
        <w:rPr>
          <w:rFonts w:ascii="David" w:hAnsi="David"/>
          <w:color w:val="000000"/>
          <w:sz w:val="22"/>
          <w:szCs w:val="22"/>
          <w:rtl/>
        </w:rPr>
        <w:t>שלומית בן יצחק 54678313</w:t>
      </w:r>
    </w:p>
    <w:p w14:paraId="12DC235D" w14:textId="77777777" w:rsidR="003E1822" w:rsidRDefault="003E1822" w:rsidP="003E1822">
      <w:r w:rsidRPr="003E1822">
        <w:rPr>
          <w:color w:val="000000"/>
          <w:rtl/>
        </w:rPr>
        <w:t>נוסח מסמך זה כפוף לשינויי ניסוח ועריכה</w:t>
      </w:r>
    </w:p>
    <w:p w14:paraId="22455372" w14:textId="77777777" w:rsidR="003E1822" w:rsidRDefault="003E1822" w:rsidP="003E1822">
      <w:pPr>
        <w:rPr>
          <w:rtl/>
        </w:rPr>
      </w:pPr>
    </w:p>
    <w:p w14:paraId="589EF9C7" w14:textId="77777777" w:rsidR="003E1822" w:rsidRDefault="003E1822" w:rsidP="003E1822">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65E13E6D" w14:textId="77777777" w:rsidR="003E1822" w:rsidRPr="003E1822" w:rsidRDefault="003E1822" w:rsidP="003E1822">
      <w:pPr>
        <w:jc w:val="center"/>
        <w:rPr>
          <w:color w:val="0000FF"/>
          <w:u w:val="single"/>
        </w:rPr>
      </w:pPr>
    </w:p>
    <w:sectPr w:rsidR="003E1822" w:rsidRPr="003E1822" w:rsidSect="003E1822">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1660F5" w14:textId="77777777" w:rsidR="00FC10FD" w:rsidRDefault="00FC10FD" w:rsidP="006649BA">
      <w:r>
        <w:separator/>
      </w:r>
    </w:p>
  </w:endnote>
  <w:endnote w:type="continuationSeparator" w:id="0">
    <w:p w14:paraId="4D4A45C2" w14:textId="77777777" w:rsidR="00FC10FD" w:rsidRDefault="00FC10FD" w:rsidP="00664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43E36F" w14:textId="77777777" w:rsidR="003E1822" w:rsidRDefault="003E1822" w:rsidP="003E182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C791B07" w14:textId="77777777" w:rsidR="00B431FA" w:rsidRPr="003E1822" w:rsidRDefault="003E1822" w:rsidP="003E182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FE688F" w14:textId="77777777" w:rsidR="003E1822" w:rsidRDefault="003E1822" w:rsidP="003E182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E0E87">
      <w:rPr>
        <w:rFonts w:ascii="FrankRuehl" w:hAnsi="FrankRuehl" w:cs="FrankRuehl"/>
        <w:noProof/>
        <w:rtl/>
      </w:rPr>
      <w:t>1</w:t>
    </w:r>
    <w:r>
      <w:rPr>
        <w:rFonts w:ascii="FrankRuehl" w:hAnsi="FrankRuehl" w:cs="FrankRuehl"/>
        <w:rtl/>
      </w:rPr>
      <w:fldChar w:fldCharType="end"/>
    </w:r>
  </w:p>
  <w:p w14:paraId="2EFDE12F" w14:textId="77777777" w:rsidR="00B431FA" w:rsidRPr="003E1822" w:rsidRDefault="003E1822" w:rsidP="003E182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58C7C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F765D1" w14:textId="77777777" w:rsidR="00FC10FD" w:rsidRDefault="00FC10FD" w:rsidP="006649BA">
      <w:r>
        <w:separator/>
      </w:r>
    </w:p>
  </w:footnote>
  <w:footnote w:type="continuationSeparator" w:id="0">
    <w:p w14:paraId="665DFABB" w14:textId="77777777" w:rsidR="00FC10FD" w:rsidRDefault="00FC10FD" w:rsidP="00664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0A192F" w14:textId="77777777" w:rsidR="003E1822" w:rsidRPr="003E1822" w:rsidRDefault="003E1822" w:rsidP="003E182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3538-09-19</w:t>
    </w:r>
    <w:r>
      <w:rPr>
        <w:rFonts w:ascii="David" w:hAnsi="David"/>
        <w:color w:val="000000"/>
        <w:sz w:val="22"/>
        <w:szCs w:val="22"/>
        <w:rtl/>
      </w:rPr>
      <w:tab/>
      <w:t xml:space="preserve"> מדינת ישראל נ' </w:t>
    </w:r>
    <w:r>
      <w:rPr>
        <w:rFonts w:ascii="David" w:hAnsi="David"/>
        <w:color w:val="000000"/>
        <w:sz w:val="22"/>
        <w:szCs w:val="22"/>
      </w:rPr>
      <w:t>MARET KOUBROM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A5DE3" w14:textId="77777777" w:rsidR="003E1822" w:rsidRPr="003E1822" w:rsidRDefault="003E1822" w:rsidP="003E182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(ת"א) 3538-09-19</w:t>
    </w:r>
    <w:r>
      <w:rPr>
        <w:rFonts w:ascii="David" w:hAnsi="David"/>
        <w:color w:val="000000"/>
        <w:sz w:val="22"/>
        <w:szCs w:val="22"/>
        <w:rtl/>
      </w:rPr>
      <w:tab/>
      <w:t xml:space="preserve"> מדינת ישראל נ' </w:t>
    </w:r>
    <w:r>
      <w:rPr>
        <w:rFonts w:ascii="David" w:hAnsi="David"/>
        <w:color w:val="000000"/>
        <w:sz w:val="22"/>
        <w:szCs w:val="22"/>
      </w:rPr>
      <w:t>MARET KOUBROM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452E5"/>
    <w:multiLevelType w:val="hybridMultilevel"/>
    <w:tmpl w:val="0D1A050A"/>
    <w:lvl w:ilvl="0" w:tplc="C2FCCA4C">
      <w:start w:val="1"/>
      <w:numFmt w:val="decimal"/>
      <w:lvlText w:val="%1."/>
      <w:lvlJc w:val="left"/>
      <w:pPr>
        <w:ind w:left="360" w:hanging="360"/>
      </w:pPr>
      <w:rPr>
        <w:rFonts w:ascii="David" w:hAnsi="David" w:cs="David" w:hint="default"/>
        <w:b w:val="0"/>
        <w:bCs w:val="0"/>
        <w:sz w:val="24"/>
        <w:szCs w:val="24"/>
        <w:lang w:val="en-US" w:bidi="he-IL"/>
      </w:rPr>
    </w:lvl>
    <w:lvl w:ilvl="1" w:tplc="04090019">
      <w:start w:val="1"/>
      <w:numFmt w:val="lowerLetter"/>
      <w:lvlText w:val="%2."/>
      <w:lvlJc w:val="left"/>
      <w:pPr>
        <w:ind w:left="1441" w:hanging="360"/>
      </w:pPr>
    </w:lvl>
    <w:lvl w:ilvl="2" w:tplc="0409001B">
      <w:start w:val="1"/>
      <w:numFmt w:val="lowerRoman"/>
      <w:lvlText w:val="%3."/>
      <w:lvlJc w:val="right"/>
      <w:pPr>
        <w:ind w:left="2161" w:hanging="180"/>
      </w:pPr>
    </w:lvl>
    <w:lvl w:ilvl="3" w:tplc="0409000F">
      <w:start w:val="1"/>
      <w:numFmt w:val="decimal"/>
      <w:lvlText w:val="%4."/>
      <w:lvlJc w:val="left"/>
      <w:pPr>
        <w:ind w:left="2881" w:hanging="360"/>
      </w:pPr>
    </w:lvl>
    <w:lvl w:ilvl="4" w:tplc="04090019">
      <w:start w:val="1"/>
      <w:numFmt w:val="lowerLetter"/>
      <w:lvlText w:val="%5."/>
      <w:lvlJc w:val="left"/>
      <w:pPr>
        <w:ind w:left="3601" w:hanging="360"/>
      </w:pPr>
    </w:lvl>
    <w:lvl w:ilvl="5" w:tplc="0409001B">
      <w:start w:val="1"/>
      <w:numFmt w:val="lowerRoman"/>
      <w:lvlText w:val="%6."/>
      <w:lvlJc w:val="right"/>
      <w:pPr>
        <w:ind w:left="4321" w:hanging="180"/>
      </w:pPr>
    </w:lvl>
    <w:lvl w:ilvl="6" w:tplc="0409000F">
      <w:start w:val="1"/>
      <w:numFmt w:val="decimal"/>
      <w:lvlText w:val="%7."/>
      <w:lvlJc w:val="left"/>
      <w:pPr>
        <w:ind w:left="5041" w:hanging="360"/>
      </w:pPr>
    </w:lvl>
    <w:lvl w:ilvl="7" w:tplc="04090019">
      <w:start w:val="1"/>
      <w:numFmt w:val="lowerLetter"/>
      <w:lvlText w:val="%8."/>
      <w:lvlJc w:val="left"/>
      <w:pPr>
        <w:ind w:left="5761" w:hanging="360"/>
      </w:pPr>
    </w:lvl>
    <w:lvl w:ilvl="8" w:tplc="0409001B">
      <w:start w:val="1"/>
      <w:numFmt w:val="lowerRoman"/>
      <w:lvlText w:val="%9."/>
      <w:lvlJc w:val="right"/>
      <w:pPr>
        <w:ind w:left="6481" w:hanging="180"/>
      </w:pPr>
    </w:lvl>
  </w:abstractNum>
  <w:abstractNum w:abstractNumId="1" w15:restartNumberingAfterBreak="0">
    <w:nsid w:val="37C77CD8"/>
    <w:multiLevelType w:val="hybridMultilevel"/>
    <w:tmpl w:val="3E20AE28"/>
    <w:lvl w:ilvl="0" w:tplc="4F6C70B4">
      <w:start w:val="1"/>
      <w:numFmt w:val="hebrew1"/>
      <w:lvlText w:val="%1."/>
      <w:lvlJc w:val="left"/>
      <w:pPr>
        <w:ind w:left="722" w:hanging="780"/>
      </w:pPr>
    </w:lvl>
    <w:lvl w:ilvl="1" w:tplc="04090019">
      <w:start w:val="1"/>
      <w:numFmt w:val="lowerLetter"/>
      <w:lvlText w:val="%2."/>
      <w:lvlJc w:val="left"/>
      <w:pPr>
        <w:ind w:left="1022" w:hanging="360"/>
      </w:pPr>
    </w:lvl>
    <w:lvl w:ilvl="2" w:tplc="0409001B">
      <w:start w:val="1"/>
      <w:numFmt w:val="lowerRoman"/>
      <w:lvlText w:val="%3."/>
      <w:lvlJc w:val="right"/>
      <w:pPr>
        <w:ind w:left="1742" w:hanging="180"/>
      </w:pPr>
    </w:lvl>
    <w:lvl w:ilvl="3" w:tplc="0409000F">
      <w:start w:val="1"/>
      <w:numFmt w:val="decimal"/>
      <w:lvlText w:val="%4."/>
      <w:lvlJc w:val="left"/>
      <w:pPr>
        <w:ind w:left="2462" w:hanging="360"/>
      </w:pPr>
    </w:lvl>
    <w:lvl w:ilvl="4" w:tplc="04090019">
      <w:start w:val="1"/>
      <w:numFmt w:val="lowerLetter"/>
      <w:lvlText w:val="%5."/>
      <w:lvlJc w:val="left"/>
      <w:pPr>
        <w:ind w:left="3182" w:hanging="360"/>
      </w:pPr>
    </w:lvl>
    <w:lvl w:ilvl="5" w:tplc="0409001B">
      <w:start w:val="1"/>
      <w:numFmt w:val="lowerRoman"/>
      <w:lvlText w:val="%6."/>
      <w:lvlJc w:val="right"/>
      <w:pPr>
        <w:ind w:left="3902" w:hanging="180"/>
      </w:pPr>
    </w:lvl>
    <w:lvl w:ilvl="6" w:tplc="0409000F">
      <w:start w:val="1"/>
      <w:numFmt w:val="decimal"/>
      <w:lvlText w:val="%7."/>
      <w:lvlJc w:val="left"/>
      <w:pPr>
        <w:ind w:left="4622" w:hanging="360"/>
      </w:pPr>
    </w:lvl>
    <w:lvl w:ilvl="7" w:tplc="04090019">
      <w:start w:val="1"/>
      <w:numFmt w:val="lowerLetter"/>
      <w:lvlText w:val="%8."/>
      <w:lvlJc w:val="left"/>
      <w:pPr>
        <w:ind w:left="5342" w:hanging="360"/>
      </w:pPr>
    </w:lvl>
    <w:lvl w:ilvl="8" w:tplc="0409001B">
      <w:start w:val="1"/>
      <w:numFmt w:val="lowerRoman"/>
      <w:lvlText w:val="%9."/>
      <w:lvlJc w:val="right"/>
      <w:pPr>
        <w:ind w:left="6062" w:hanging="180"/>
      </w:pPr>
    </w:lvl>
  </w:abstractNum>
  <w:num w:numId="1" w16cid:durableId="16249215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143530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F609C"/>
    <w:rsid w:val="00052971"/>
    <w:rsid w:val="001B0721"/>
    <w:rsid w:val="001B5A3B"/>
    <w:rsid w:val="00307E06"/>
    <w:rsid w:val="003572B1"/>
    <w:rsid w:val="003E1822"/>
    <w:rsid w:val="003F609C"/>
    <w:rsid w:val="005300A0"/>
    <w:rsid w:val="00543AC7"/>
    <w:rsid w:val="006649BA"/>
    <w:rsid w:val="006B6618"/>
    <w:rsid w:val="008E0E87"/>
    <w:rsid w:val="009C01B8"/>
    <w:rsid w:val="00A32285"/>
    <w:rsid w:val="00B431FA"/>
    <w:rsid w:val="00B542F5"/>
    <w:rsid w:val="00FC10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FE5B36"/>
  <w15:chartTrackingRefBased/>
  <w15:docId w15:val="{3C688D43-936B-4066-A273-A78F23BB9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609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3F609C"/>
    <w:pPr>
      <w:tabs>
        <w:tab w:val="center" w:pos="4153"/>
        <w:tab w:val="right" w:pos="8306"/>
      </w:tabs>
    </w:pPr>
  </w:style>
  <w:style w:type="character" w:customStyle="1" w:styleId="a4">
    <w:name w:val="כותרת עליונה תו"/>
    <w:link w:val="a3"/>
    <w:rsid w:val="003F609C"/>
    <w:rPr>
      <w:rFonts w:ascii="Times New Roman" w:eastAsia="Times New Roman" w:hAnsi="Times New Roman" w:cs="David"/>
      <w:sz w:val="24"/>
      <w:szCs w:val="24"/>
    </w:rPr>
  </w:style>
  <w:style w:type="paragraph" w:styleId="a5">
    <w:name w:val="footer"/>
    <w:basedOn w:val="a"/>
    <w:link w:val="a6"/>
    <w:rsid w:val="003F609C"/>
    <w:pPr>
      <w:tabs>
        <w:tab w:val="center" w:pos="4153"/>
        <w:tab w:val="right" w:pos="8306"/>
      </w:tabs>
    </w:pPr>
  </w:style>
  <w:style w:type="character" w:customStyle="1" w:styleId="a6">
    <w:name w:val="כותרת תחתונה תו"/>
    <w:link w:val="a5"/>
    <w:rsid w:val="003F609C"/>
    <w:rPr>
      <w:rFonts w:ascii="Times New Roman" w:eastAsia="Times New Roman" w:hAnsi="Times New Roman" w:cs="David"/>
      <w:sz w:val="24"/>
      <w:szCs w:val="24"/>
    </w:rPr>
  </w:style>
  <w:style w:type="table" w:styleId="a7">
    <w:name w:val="Table Grid"/>
    <w:basedOn w:val="a1"/>
    <w:rsid w:val="003F609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3F609C"/>
  </w:style>
  <w:style w:type="character" w:customStyle="1" w:styleId="a9">
    <w:name w:val="פיסקת רשימה תו"/>
    <w:link w:val="aa"/>
    <w:locked/>
    <w:rsid w:val="003F609C"/>
  </w:style>
  <w:style w:type="paragraph" w:styleId="aa">
    <w:name w:val="List Paragraph"/>
    <w:basedOn w:val="a"/>
    <w:link w:val="a9"/>
    <w:qFormat/>
    <w:rsid w:val="003F609C"/>
    <w:pPr>
      <w:spacing w:after="160" w:line="254" w:lineRule="auto"/>
      <w:ind w:left="720"/>
      <w:contextualSpacing/>
    </w:pPr>
    <w:rPr>
      <w:rFonts w:ascii="Calibri" w:eastAsia="Calibri" w:hAnsi="Calibri" w:cs="Arial"/>
      <w:sz w:val="22"/>
      <w:szCs w:val="22"/>
    </w:rPr>
  </w:style>
  <w:style w:type="character" w:styleId="Hyperlink">
    <w:name w:val="Hyperlink"/>
    <w:rsid w:val="003E1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84" TargetMode="External"/><Relationship Id="rId18" Type="http://schemas.openxmlformats.org/officeDocument/2006/relationships/hyperlink" Target="http://www.nevo.co.il/law/74903" TargetMode="External"/><Relationship Id="rId26" Type="http://schemas.openxmlformats.org/officeDocument/2006/relationships/hyperlink" Target="http://www.nevo.co.il/law/70301/40i.a" TargetMode="External"/><Relationship Id="rId39" Type="http://schemas.openxmlformats.org/officeDocument/2006/relationships/hyperlink" Target="http://www.nevo.co.il/case/20818373"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9377498" TargetMode="External"/><Relationship Id="rId42" Type="http://schemas.openxmlformats.org/officeDocument/2006/relationships/hyperlink" Target="http://www.nevo.co.il/law/70301/40ja.11" TargetMode="External"/><Relationship Id="rId47" Type="http://schemas.openxmlformats.org/officeDocument/2006/relationships/hyperlink" Target="http://www.nevo.co.il/case/5826470" TargetMode="External"/><Relationship Id="rId50" Type="http://schemas.openxmlformats.org/officeDocument/2006/relationships/hyperlink" Target="http://www.nevo.co.il/case/18851458"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0ja.11" TargetMode="External"/><Relationship Id="rId29" Type="http://schemas.openxmlformats.org/officeDocument/2006/relationships/hyperlink" Target="http://www.nevo.co.il/law/70301/40i.a.3" TargetMode="External"/><Relationship Id="rId11" Type="http://schemas.openxmlformats.org/officeDocument/2006/relationships/hyperlink" Target="http://www.nevo.co.il/law/70301/40i.a.4" TargetMode="External"/><Relationship Id="rId24" Type="http://schemas.openxmlformats.org/officeDocument/2006/relationships/hyperlink" Target="http://www.nevo.co.il/law/74903" TargetMode="External"/><Relationship Id="rId32" Type="http://schemas.openxmlformats.org/officeDocument/2006/relationships/hyperlink" Target="http://www.nevo.co.il/case/29474628" TargetMode="External"/><Relationship Id="rId37" Type="http://schemas.openxmlformats.org/officeDocument/2006/relationships/hyperlink" Target="http://www.nevo.co.il/case/8245018" TargetMode="External"/><Relationship Id="rId40" Type="http://schemas.openxmlformats.org/officeDocument/2006/relationships/hyperlink" Target="http://www.nevo.co.il/case/7028213" TargetMode="External"/><Relationship Id="rId45" Type="http://schemas.openxmlformats.org/officeDocument/2006/relationships/hyperlink" Target="http://www.nevo.co.il/law/70301/40ja.1"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law/74903/144" TargetMode="External"/><Relationship Id="rId4" Type="http://schemas.openxmlformats.org/officeDocument/2006/relationships/webSettings" Target="webSettings.xml"/><Relationship Id="rId9" Type="http://schemas.openxmlformats.org/officeDocument/2006/relationships/hyperlink" Target="http://www.nevo.co.il/law/70301/40i.a" TargetMode="External"/><Relationship Id="rId14" Type="http://schemas.openxmlformats.org/officeDocument/2006/relationships/hyperlink" Target="http://www.nevo.co.il/law/70301/40ja.1" TargetMode="External"/><Relationship Id="rId22" Type="http://schemas.openxmlformats.org/officeDocument/2006/relationships/hyperlink" Target="http://www.nevo.co.il/law/70301/379" TargetMode="External"/><Relationship Id="rId27" Type="http://schemas.openxmlformats.org/officeDocument/2006/relationships/hyperlink" Target="http://www.nevo.co.il/law/70301/40i.a.3" TargetMode="External"/><Relationship Id="rId30" Type="http://schemas.openxmlformats.org/officeDocument/2006/relationships/hyperlink" Target="http://www.nevo.co.il/law/70301/40i.a.4" TargetMode="External"/><Relationship Id="rId35" Type="http://schemas.openxmlformats.org/officeDocument/2006/relationships/hyperlink" Target="http://www.nevo.co.il/case/7977312" TargetMode="External"/><Relationship Id="rId43" Type="http://schemas.openxmlformats.org/officeDocument/2006/relationships/hyperlink" Target="http://www.nevo.co.il/law/70301/40ja.4" TargetMode="External"/><Relationship Id="rId48" Type="http://schemas.openxmlformats.org/officeDocument/2006/relationships/hyperlink" Target="http://www.nevo.co.il/case/28689499" TargetMode="External"/><Relationship Id="rId56" Type="http://schemas.openxmlformats.org/officeDocument/2006/relationships/footer" Target="footer2.xml"/><Relationship Id="rId8" Type="http://schemas.openxmlformats.org/officeDocument/2006/relationships/hyperlink" Target="http://www.nevo.co.il/law/70301/40c.a" TargetMode="External"/><Relationship Id="rId51" Type="http://schemas.openxmlformats.org/officeDocument/2006/relationships/hyperlink" Target="http://www.nevo.co.il/case/22302821" TargetMode="External"/><Relationship Id="rId3" Type="http://schemas.openxmlformats.org/officeDocument/2006/relationships/settings" Target="settings.xml"/><Relationship Id="rId12" Type="http://schemas.openxmlformats.org/officeDocument/2006/relationships/hyperlink" Target="http://www.nevo.co.il/law/70301/379" TargetMode="External"/><Relationship Id="rId17" Type="http://schemas.openxmlformats.org/officeDocument/2006/relationships/hyperlink" Target="http://www.nevo.co.il/law/70301/40ja.4" TargetMode="External"/><Relationship Id="rId25" Type="http://schemas.openxmlformats.org/officeDocument/2006/relationships/hyperlink" Target="http://www.nevo.co.il/law/70301/40c.a" TargetMode="External"/><Relationship Id="rId33" Type="http://schemas.openxmlformats.org/officeDocument/2006/relationships/hyperlink" Target="http://www.nevo.co.il/case/28169092" TargetMode="External"/><Relationship Id="rId38" Type="http://schemas.openxmlformats.org/officeDocument/2006/relationships/hyperlink" Target="http://www.nevo.co.il/case/12372816" TargetMode="External"/><Relationship Id="rId46" Type="http://schemas.openxmlformats.org/officeDocument/2006/relationships/hyperlink" Target="http://www.nevo.co.il/case/23506377" TargetMode="External"/><Relationship Id="rId20" Type="http://schemas.openxmlformats.org/officeDocument/2006/relationships/hyperlink" Target="http://www.nevo.co.il/law/70301/384" TargetMode="External"/><Relationship Id="rId41" Type="http://schemas.openxmlformats.org/officeDocument/2006/relationships/hyperlink" Target="http://www.nevo.co.il/case/28002934"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10" TargetMode="External"/><Relationship Id="rId23" Type="http://schemas.openxmlformats.org/officeDocument/2006/relationships/hyperlink" Target="http://www.nevo.co.il/law/74903/144" TargetMode="External"/><Relationship Id="rId28" Type="http://schemas.openxmlformats.org/officeDocument/2006/relationships/hyperlink" Target="http://www.nevo.co.il/case/18757725" TargetMode="External"/><Relationship Id="rId36" Type="http://schemas.openxmlformats.org/officeDocument/2006/relationships/hyperlink" Target="http://www.nevo.co.il/case/29165597" TargetMode="External"/><Relationship Id="rId49" Type="http://schemas.openxmlformats.org/officeDocument/2006/relationships/hyperlink" Target="http://www.nevo.co.il/case/22329464" TargetMode="External"/><Relationship Id="rId57" Type="http://schemas.openxmlformats.org/officeDocument/2006/relationships/fontTable" Target="fontTable.xml"/><Relationship Id="rId10" Type="http://schemas.openxmlformats.org/officeDocument/2006/relationships/hyperlink" Target="http://www.nevo.co.il/law/70301/40i.a.3" TargetMode="External"/><Relationship Id="rId31" Type="http://schemas.openxmlformats.org/officeDocument/2006/relationships/hyperlink" Target="http://www.nevo.co.il/case/27662604" TargetMode="External"/><Relationship Id="rId44" Type="http://schemas.openxmlformats.org/officeDocument/2006/relationships/hyperlink" Target="http://www.nevo.co.il/law/70301/40ja.10"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3006</Words>
  <Characters>15030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18001</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3211390</vt:i4>
      </vt:variant>
      <vt:variant>
        <vt:i4>132</vt:i4>
      </vt:variant>
      <vt:variant>
        <vt:i4>0</vt:i4>
      </vt:variant>
      <vt:variant>
        <vt:i4>5</vt:i4>
      </vt:variant>
      <vt:variant>
        <vt:lpwstr>http://www.nevo.co.il/case/22302821</vt:lpwstr>
      </vt:variant>
      <vt:variant>
        <vt:lpwstr/>
      </vt:variant>
      <vt:variant>
        <vt:i4>3997821</vt:i4>
      </vt:variant>
      <vt:variant>
        <vt:i4>129</vt:i4>
      </vt:variant>
      <vt:variant>
        <vt:i4>0</vt:i4>
      </vt:variant>
      <vt:variant>
        <vt:i4>5</vt:i4>
      </vt:variant>
      <vt:variant>
        <vt:lpwstr>http://www.nevo.co.il/case/18851458</vt:lpwstr>
      </vt:variant>
      <vt:variant>
        <vt:lpwstr/>
      </vt:variant>
      <vt:variant>
        <vt:i4>4063344</vt:i4>
      </vt:variant>
      <vt:variant>
        <vt:i4>126</vt:i4>
      </vt:variant>
      <vt:variant>
        <vt:i4>0</vt:i4>
      </vt:variant>
      <vt:variant>
        <vt:i4>5</vt:i4>
      </vt:variant>
      <vt:variant>
        <vt:lpwstr>http://www.nevo.co.il/case/22329464</vt:lpwstr>
      </vt:variant>
      <vt:variant>
        <vt:lpwstr/>
      </vt:variant>
      <vt:variant>
        <vt:i4>3407984</vt:i4>
      </vt:variant>
      <vt:variant>
        <vt:i4>123</vt:i4>
      </vt:variant>
      <vt:variant>
        <vt:i4>0</vt:i4>
      </vt:variant>
      <vt:variant>
        <vt:i4>5</vt:i4>
      </vt:variant>
      <vt:variant>
        <vt:lpwstr>http://www.nevo.co.il/case/28689499</vt:lpwstr>
      </vt:variant>
      <vt:variant>
        <vt:lpwstr/>
      </vt:variant>
      <vt:variant>
        <vt:i4>3342461</vt:i4>
      </vt:variant>
      <vt:variant>
        <vt:i4>120</vt:i4>
      </vt:variant>
      <vt:variant>
        <vt:i4>0</vt:i4>
      </vt:variant>
      <vt:variant>
        <vt:i4>5</vt:i4>
      </vt:variant>
      <vt:variant>
        <vt:lpwstr>http://www.nevo.co.il/case/5826470</vt:lpwstr>
      </vt:variant>
      <vt:variant>
        <vt:lpwstr/>
      </vt:variant>
      <vt:variant>
        <vt:i4>3539060</vt:i4>
      </vt:variant>
      <vt:variant>
        <vt:i4>117</vt:i4>
      </vt:variant>
      <vt:variant>
        <vt:i4>0</vt:i4>
      </vt:variant>
      <vt:variant>
        <vt:i4>5</vt:i4>
      </vt:variant>
      <vt:variant>
        <vt:lpwstr>http://www.nevo.co.il/case/23506377</vt:lpwstr>
      </vt:variant>
      <vt:variant>
        <vt:lpwstr/>
      </vt:variant>
      <vt:variant>
        <vt:i4>3473445</vt:i4>
      </vt:variant>
      <vt:variant>
        <vt:i4>114</vt:i4>
      </vt:variant>
      <vt:variant>
        <vt:i4>0</vt:i4>
      </vt:variant>
      <vt:variant>
        <vt:i4>5</vt:i4>
      </vt:variant>
      <vt:variant>
        <vt:lpwstr>http://www.nevo.co.il/law/70301/40ja.1</vt:lpwstr>
      </vt:variant>
      <vt:variant>
        <vt:lpwstr/>
      </vt:variant>
      <vt:variant>
        <vt:i4>3473445</vt:i4>
      </vt:variant>
      <vt:variant>
        <vt:i4>111</vt:i4>
      </vt:variant>
      <vt:variant>
        <vt:i4>0</vt:i4>
      </vt:variant>
      <vt:variant>
        <vt:i4>5</vt:i4>
      </vt:variant>
      <vt:variant>
        <vt:lpwstr>http://www.nevo.co.il/law/70301/40ja.10</vt:lpwstr>
      </vt:variant>
      <vt:variant>
        <vt:lpwstr/>
      </vt:variant>
      <vt:variant>
        <vt:i4>3145765</vt:i4>
      </vt:variant>
      <vt:variant>
        <vt:i4>108</vt:i4>
      </vt:variant>
      <vt:variant>
        <vt:i4>0</vt:i4>
      </vt:variant>
      <vt:variant>
        <vt:i4>5</vt:i4>
      </vt:variant>
      <vt:variant>
        <vt:lpwstr>http://www.nevo.co.il/law/70301/40ja.4</vt:lpwstr>
      </vt:variant>
      <vt:variant>
        <vt:lpwstr/>
      </vt:variant>
      <vt:variant>
        <vt:i4>3473445</vt:i4>
      </vt:variant>
      <vt:variant>
        <vt:i4>105</vt:i4>
      </vt:variant>
      <vt:variant>
        <vt:i4>0</vt:i4>
      </vt:variant>
      <vt:variant>
        <vt:i4>5</vt:i4>
      </vt:variant>
      <vt:variant>
        <vt:lpwstr>http://www.nevo.co.il/law/70301/40ja.11</vt:lpwstr>
      </vt:variant>
      <vt:variant>
        <vt:lpwstr/>
      </vt:variant>
      <vt:variant>
        <vt:i4>3342453</vt:i4>
      </vt:variant>
      <vt:variant>
        <vt:i4>102</vt:i4>
      </vt:variant>
      <vt:variant>
        <vt:i4>0</vt:i4>
      </vt:variant>
      <vt:variant>
        <vt:i4>5</vt:i4>
      </vt:variant>
      <vt:variant>
        <vt:lpwstr>http://www.nevo.co.il/case/28002934</vt:lpwstr>
      </vt:variant>
      <vt:variant>
        <vt:lpwstr/>
      </vt:variant>
      <vt:variant>
        <vt:i4>3407997</vt:i4>
      </vt:variant>
      <vt:variant>
        <vt:i4>99</vt:i4>
      </vt:variant>
      <vt:variant>
        <vt:i4>0</vt:i4>
      </vt:variant>
      <vt:variant>
        <vt:i4>5</vt:i4>
      </vt:variant>
      <vt:variant>
        <vt:lpwstr>http://www.nevo.co.il/case/7028213</vt:lpwstr>
      </vt:variant>
      <vt:variant>
        <vt:lpwstr/>
      </vt:variant>
      <vt:variant>
        <vt:i4>3473526</vt:i4>
      </vt:variant>
      <vt:variant>
        <vt:i4>96</vt:i4>
      </vt:variant>
      <vt:variant>
        <vt:i4>0</vt:i4>
      </vt:variant>
      <vt:variant>
        <vt:i4>5</vt:i4>
      </vt:variant>
      <vt:variant>
        <vt:lpwstr>http://www.nevo.co.il/case/20818373</vt:lpwstr>
      </vt:variant>
      <vt:variant>
        <vt:lpwstr/>
      </vt:variant>
      <vt:variant>
        <vt:i4>3211385</vt:i4>
      </vt:variant>
      <vt:variant>
        <vt:i4>93</vt:i4>
      </vt:variant>
      <vt:variant>
        <vt:i4>0</vt:i4>
      </vt:variant>
      <vt:variant>
        <vt:i4>5</vt:i4>
      </vt:variant>
      <vt:variant>
        <vt:lpwstr>http://www.nevo.co.il/case/12372816</vt:lpwstr>
      </vt:variant>
      <vt:variant>
        <vt:lpwstr/>
      </vt:variant>
      <vt:variant>
        <vt:i4>3407986</vt:i4>
      </vt:variant>
      <vt:variant>
        <vt:i4>90</vt:i4>
      </vt:variant>
      <vt:variant>
        <vt:i4>0</vt:i4>
      </vt:variant>
      <vt:variant>
        <vt:i4>5</vt:i4>
      </vt:variant>
      <vt:variant>
        <vt:lpwstr>http://www.nevo.co.il/case/8245018</vt:lpwstr>
      </vt:variant>
      <vt:variant>
        <vt:lpwstr/>
      </vt:variant>
      <vt:variant>
        <vt:i4>4128894</vt:i4>
      </vt:variant>
      <vt:variant>
        <vt:i4>87</vt:i4>
      </vt:variant>
      <vt:variant>
        <vt:i4>0</vt:i4>
      </vt:variant>
      <vt:variant>
        <vt:i4>5</vt:i4>
      </vt:variant>
      <vt:variant>
        <vt:lpwstr>http://www.nevo.co.il/case/29165597</vt:lpwstr>
      </vt:variant>
      <vt:variant>
        <vt:lpwstr/>
      </vt:variant>
      <vt:variant>
        <vt:i4>3211387</vt:i4>
      </vt:variant>
      <vt:variant>
        <vt:i4>84</vt:i4>
      </vt:variant>
      <vt:variant>
        <vt:i4>0</vt:i4>
      </vt:variant>
      <vt:variant>
        <vt:i4>5</vt:i4>
      </vt:variant>
      <vt:variant>
        <vt:lpwstr>http://www.nevo.co.il/case/7977312</vt:lpwstr>
      </vt:variant>
      <vt:variant>
        <vt:lpwstr/>
      </vt:variant>
      <vt:variant>
        <vt:i4>4128894</vt:i4>
      </vt:variant>
      <vt:variant>
        <vt:i4>81</vt:i4>
      </vt:variant>
      <vt:variant>
        <vt:i4>0</vt:i4>
      </vt:variant>
      <vt:variant>
        <vt:i4>5</vt:i4>
      </vt:variant>
      <vt:variant>
        <vt:lpwstr>http://www.nevo.co.il/case/29377498</vt:lpwstr>
      </vt:variant>
      <vt:variant>
        <vt:lpwstr/>
      </vt:variant>
      <vt:variant>
        <vt:i4>3342458</vt:i4>
      </vt:variant>
      <vt:variant>
        <vt:i4>78</vt:i4>
      </vt:variant>
      <vt:variant>
        <vt:i4>0</vt:i4>
      </vt:variant>
      <vt:variant>
        <vt:i4>5</vt:i4>
      </vt:variant>
      <vt:variant>
        <vt:lpwstr>http://www.nevo.co.il/case/28169092</vt:lpwstr>
      </vt:variant>
      <vt:variant>
        <vt:lpwstr/>
      </vt:variant>
      <vt:variant>
        <vt:i4>3145852</vt:i4>
      </vt:variant>
      <vt:variant>
        <vt:i4>75</vt:i4>
      </vt:variant>
      <vt:variant>
        <vt:i4>0</vt:i4>
      </vt:variant>
      <vt:variant>
        <vt:i4>5</vt:i4>
      </vt:variant>
      <vt:variant>
        <vt:lpwstr>http://www.nevo.co.il/case/29474628</vt:lpwstr>
      </vt:variant>
      <vt:variant>
        <vt:lpwstr/>
      </vt:variant>
      <vt:variant>
        <vt:i4>3539059</vt:i4>
      </vt:variant>
      <vt:variant>
        <vt:i4>72</vt:i4>
      </vt:variant>
      <vt:variant>
        <vt:i4>0</vt:i4>
      </vt:variant>
      <vt:variant>
        <vt:i4>5</vt:i4>
      </vt:variant>
      <vt:variant>
        <vt:lpwstr>http://www.nevo.co.il/case/27662604</vt:lpwstr>
      </vt:variant>
      <vt:variant>
        <vt:lpwstr/>
      </vt:variant>
      <vt:variant>
        <vt:i4>6619241</vt:i4>
      </vt:variant>
      <vt:variant>
        <vt:i4>69</vt:i4>
      </vt:variant>
      <vt:variant>
        <vt:i4>0</vt:i4>
      </vt:variant>
      <vt:variant>
        <vt:i4>5</vt:i4>
      </vt:variant>
      <vt:variant>
        <vt:lpwstr>http://www.nevo.co.il/law/70301/40i.a.4</vt:lpwstr>
      </vt:variant>
      <vt:variant>
        <vt:lpwstr/>
      </vt:variant>
      <vt:variant>
        <vt:i4>6619241</vt:i4>
      </vt:variant>
      <vt:variant>
        <vt:i4>66</vt:i4>
      </vt:variant>
      <vt:variant>
        <vt:i4>0</vt:i4>
      </vt:variant>
      <vt:variant>
        <vt:i4>5</vt:i4>
      </vt:variant>
      <vt:variant>
        <vt:lpwstr>http://www.nevo.co.il/law/70301/40i.a.3</vt:lpwstr>
      </vt:variant>
      <vt:variant>
        <vt:lpwstr/>
      </vt:variant>
      <vt:variant>
        <vt:i4>3342462</vt:i4>
      </vt:variant>
      <vt:variant>
        <vt:i4>63</vt:i4>
      </vt:variant>
      <vt:variant>
        <vt:i4>0</vt:i4>
      </vt:variant>
      <vt:variant>
        <vt:i4>5</vt:i4>
      </vt:variant>
      <vt:variant>
        <vt:lpwstr>http://www.nevo.co.il/case/18757725</vt:lpwstr>
      </vt:variant>
      <vt:variant>
        <vt:lpwstr/>
      </vt:variant>
      <vt:variant>
        <vt:i4>6619241</vt:i4>
      </vt:variant>
      <vt:variant>
        <vt:i4>60</vt:i4>
      </vt:variant>
      <vt:variant>
        <vt:i4>0</vt:i4>
      </vt:variant>
      <vt:variant>
        <vt:i4>5</vt:i4>
      </vt:variant>
      <vt:variant>
        <vt:lpwstr>http://www.nevo.co.il/law/70301/40i.a.3</vt:lpwstr>
      </vt:variant>
      <vt:variant>
        <vt:lpwstr/>
      </vt:variant>
      <vt:variant>
        <vt:i4>4915208</vt:i4>
      </vt:variant>
      <vt:variant>
        <vt:i4>57</vt:i4>
      </vt:variant>
      <vt:variant>
        <vt:i4>0</vt:i4>
      </vt:variant>
      <vt:variant>
        <vt:i4>5</vt:i4>
      </vt:variant>
      <vt:variant>
        <vt:lpwstr>http://www.nevo.co.il/law/70301/40i.a</vt:lpwstr>
      </vt:variant>
      <vt:variant>
        <vt:lpwstr/>
      </vt:variant>
      <vt:variant>
        <vt:i4>4915202</vt:i4>
      </vt:variant>
      <vt:variant>
        <vt:i4>54</vt:i4>
      </vt:variant>
      <vt:variant>
        <vt:i4>0</vt:i4>
      </vt:variant>
      <vt:variant>
        <vt:i4>5</vt:i4>
      </vt:variant>
      <vt:variant>
        <vt:lpwstr>http://www.nevo.co.il/law/70301/40c.a</vt:lpwstr>
      </vt:variant>
      <vt:variant>
        <vt:lpwstr/>
      </vt:variant>
      <vt:variant>
        <vt:i4>8257646</vt:i4>
      </vt:variant>
      <vt:variant>
        <vt:i4>51</vt:i4>
      </vt:variant>
      <vt:variant>
        <vt:i4>0</vt:i4>
      </vt:variant>
      <vt:variant>
        <vt:i4>5</vt:i4>
      </vt:variant>
      <vt:variant>
        <vt:lpwstr>http://www.nevo.co.il/law/74903</vt:lpwstr>
      </vt:variant>
      <vt:variant>
        <vt:lpwstr/>
      </vt:variant>
      <vt:variant>
        <vt:i4>6619244</vt:i4>
      </vt:variant>
      <vt:variant>
        <vt:i4>48</vt:i4>
      </vt:variant>
      <vt:variant>
        <vt:i4>0</vt:i4>
      </vt:variant>
      <vt:variant>
        <vt:i4>5</vt:i4>
      </vt:variant>
      <vt:variant>
        <vt:lpwstr>http://www.nevo.co.il/law/74903/144</vt:lpwstr>
      </vt:variant>
      <vt:variant>
        <vt:lpwstr/>
      </vt:variant>
      <vt:variant>
        <vt:i4>6422630</vt:i4>
      </vt:variant>
      <vt:variant>
        <vt:i4>45</vt:i4>
      </vt:variant>
      <vt:variant>
        <vt:i4>0</vt:i4>
      </vt:variant>
      <vt:variant>
        <vt:i4>5</vt:i4>
      </vt:variant>
      <vt:variant>
        <vt:lpwstr>http://www.nevo.co.il/law/70301/379</vt:lpwstr>
      </vt:variant>
      <vt:variant>
        <vt:lpwstr/>
      </vt:variant>
      <vt:variant>
        <vt:i4>7995492</vt:i4>
      </vt:variant>
      <vt:variant>
        <vt:i4>42</vt:i4>
      </vt:variant>
      <vt:variant>
        <vt:i4>0</vt:i4>
      </vt:variant>
      <vt:variant>
        <vt:i4>5</vt:i4>
      </vt:variant>
      <vt:variant>
        <vt:lpwstr>http://www.nevo.co.il/law/70301</vt:lpwstr>
      </vt:variant>
      <vt:variant>
        <vt:lpwstr/>
      </vt:variant>
      <vt:variant>
        <vt:i4>7143526</vt:i4>
      </vt:variant>
      <vt:variant>
        <vt:i4>39</vt:i4>
      </vt:variant>
      <vt:variant>
        <vt:i4>0</vt:i4>
      </vt:variant>
      <vt:variant>
        <vt:i4>5</vt:i4>
      </vt:variant>
      <vt:variant>
        <vt:lpwstr>http://www.nevo.co.il/law/70301/384</vt:lpwstr>
      </vt:variant>
      <vt:variant>
        <vt:lpwstr/>
      </vt:variant>
      <vt:variant>
        <vt:i4>6619244</vt:i4>
      </vt:variant>
      <vt:variant>
        <vt:i4>36</vt:i4>
      </vt:variant>
      <vt:variant>
        <vt:i4>0</vt:i4>
      </vt:variant>
      <vt:variant>
        <vt:i4>5</vt:i4>
      </vt:variant>
      <vt:variant>
        <vt:lpwstr>http://www.nevo.co.il/law/74903/144</vt:lpwstr>
      </vt:variant>
      <vt:variant>
        <vt:lpwstr/>
      </vt:variant>
      <vt:variant>
        <vt:i4>8257646</vt:i4>
      </vt:variant>
      <vt:variant>
        <vt:i4>33</vt:i4>
      </vt:variant>
      <vt:variant>
        <vt:i4>0</vt:i4>
      </vt:variant>
      <vt:variant>
        <vt:i4>5</vt:i4>
      </vt:variant>
      <vt:variant>
        <vt:lpwstr>http://www.nevo.co.il/law/74903</vt:lpwstr>
      </vt:variant>
      <vt:variant>
        <vt:lpwstr/>
      </vt:variant>
      <vt:variant>
        <vt:i4>3145765</vt:i4>
      </vt:variant>
      <vt:variant>
        <vt:i4>30</vt:i4>
      </vt:variant>
      <vt:variant>
        <vt:i4>0</vt:i4>
      </vt:variant>
      <vt:variant>
        <vt:i4>5</vt:i4>
      </vt:variant>
      <vt:variant>
        <vt:lpwstr>http://www.nevo.co.il/law/70301/40ja.4</vt:lpwstr>
      </vt:variant>
      <vt:variant>
        <vt:lpwstr/>
      </vt:variant>
      <vt:variant>
        <vt:i4>3473445</vt:i4>
      </vt:variant>
      <vt:variant>
        <vt:i4>27</vt:i4>
      </vt:variant>
      <vt:variant>
        <vt:i4>0</vt:i4>
      </vt:variant>
      <vt:variant>
        <vt:i4>5</vt:i4>
      </vt:variant>
      <vt:variant>
        <vt:lpwstr>http://www.nevo.co.il/law/70301/40ja.11</vt:lpwstr>
      </vt:variant>
      <vt:variant>
        <vt:lpwstr/>
      </vt:variant>
      <vt:variant>
        <vt:i4>3473445</vt:i4>
      </vt:variant>
      <vt:variant>
        <vt:i4>24</vt:i4>
      </vt:variant>
      <vt:variant>
        <vt:i4>0</vt:i4>
      </vt:variant>
      <vt:variant>
        <vt:i4>5</vt:i4>
      </vt:variant>
      <vt:variant>
        <vt:lpwstr>http://www.nevo.co.il/law/70301/40ja.10</vt:lpwstr>
      </vt:variant>
      <vt:variant>
        <vt:lpwstr/>
      </vt:variant>
      <vt:variant>
        <vt:i4>3473445</vt:i4>
      </vt:variant>
      <vt:variant>
        <vt:i4>21</vt:i4>
      </vt:variant>
      <vt:variant>
        <vt:i4>0</vt:i4>
      </vt:variant>
      <vt:variant>
        <vt:i4>5</vt:i4>
      </vt:variant>
      <vt:variant>
        <vt:lpwstr>http://www.nevo.co.il/law/70301/40ja.1</vt:lpwstr>
      </vt:variant>
      <vt:variant>
        <vt:lpwstr/>
      </vt:variant>
      <vt:variant>
        <vt:i4>7143526</vt:i4>
      </vt:variant>
      <vt:variant>
        <vt:i4>18</vt:i4>
      </vt:variant>
      <vt:variant>
        <vt:i4>0</vt:i4>
      </vt:variant>
      <vt:variant>
        <vt:i4>5</vt:i4>
      </vt:variant>
      <vt:variant>
        <vt:lpwstr>http://www.nevo.co.il/law/70301/384</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6619241</vt:i4>
      </vt:variant>
      <vt:variant>
        <vt:i4>12</vt:i4>
      </vt:variant>
      <vt:variant>
        <vt:i4>0</vt:i4>
      </vt:variant>
      <vt:variant>
        <vt:i4>5</vt:i4>
      </vt:variant>
      <vt:variant>
        <vt:lpwstr>http://www.nevo.co.il/law/70301/40i.a.4</vt:lpwstr>
      </vt:variant>
      <vt:variant>
        <vt:lpwstr/>
      </vt:variant>
      <vt:variant>
        <vt:i4>6619241</vt:i4>
      </vt:variant>
      <vt:variant>
        <vt:i4>9</vt:i4>
      </vt:variant>
      <vt:variant>
        <vt:i4>0</vt:i4>
      </vt:variant>
      <vt:variant>
        <vt:i4>5</vt:i4>
      </vt:variant>
      <vt:variant>
        <vt:lpwstr>http://www.nevo.co.il/law/70301/40i.a.3</vt:lpwstr>
      </vt:variant>
      <vt:variant>
        <vt:lpwstr/>
      </vt:variant>
      <vt:variant>
        <vt:i4>4915208</vt:i4>
      </vt:variant>
      <vt:variant>
        <vt:i4>6</vt:i4>
      </vt:variant>
      <vt:variant>
        <vt:i4>0</vt:i4>
      </vt:variant>
      <vt:variant>
        <vt:i4>5</vt:i4>
      </vt:variant>
      <vt:variant>
        <vt:lpwstr>http://www.nevo.co.il/law/70301/40i.a</vt:lpwstr>
      </vt:variant>
      <vt:variant>
        <vt:lpwstr/>
      </vt:variant>
      <vt:variant>
        <vt:i4>4915202</vt:i4>
      </vt:variant>
      <vt:variant>
        <vt:i4>3</vt:i4>
      </vt:variant>
      <vt:variant>
        <vt:i4>0</vt:i4>
      </vt:variant>
      <vt:variant>
        <vt:i4>5</vt:i4>
      </vt:variant>
      <vt:variant>
        <vt:lpwstr>http://www.nevo.co.il/law/70301/40c.a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2025-01-19T17:42:00Z</dcterms:created>
  <dcterms:modified xsi:type="dcterms:W3CDTF">2025-01-19T17:42:00Z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3538</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MARET KOUBROM</vt:lpwstr>
  </property>
  <property fmtid="{D5CDD505-2E9C-101B-9397-08002B2CF9AE}" pid="10" name="JUDGE">
    <vt:lpwstr>שלומית בן יצחק</vt:lpwstr>
  </property>
  <property fmtid="{D5CDD505-2E9C-101B-9397-08002B2CF9AE}" pid="11" name="CITY">
    <vt:lpwstr>ת"א</vt:lpwstr>
  </property>
  <property fmtid="{D5CDD505-2E9C-101B-9397-08002B2CF9AE}" pid="12" name="DATE">
    <vt:lpwstr>20231225</vt:lpwstr>
  </property>
  <property fmtid="{D5CDD505-2E9C-101B-9397-08002B2CF9AE}" pid="13" name="TYPE_N_DATE">
    <vt:lpwstr>38020231225</vt:lpwstr>
  </property>
  <property fmtid="{D5CDD505-2E9C-101B-9397-08002B2CF9AE}" pid="14" name="WORDNUMPAGES">
    <vt:lpwstr>7</vt:lpwstr>
  </property>
  <property fmtid="{D5CDD505-2E9C-101B-9397-08002B2CF9AE}" pid="15" name="TYPE_ABS_DATE">
    <vt:lpwstr>380020231225</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18757725;27662604;29474628;28169092;29377498;7977312;29165597;8245018;12372816;20818373;7028213;28002934;23506377;5826470;28689499;22329464;18851458;22302821</vt:lpwstr>
  </property>
  <property fmtid="{D5CDD505-2E9C-101B-9397-08002B2CF9AE}" pid="36" name="LAWLISTTMP1">
    <vt:lpwstr>70301/384;379;040c.a;040i.a;040i.a.3:2;040i.a.4;40ja.11;40ja.4;40ja.10;40ja.1</vt:lpwstr>
  </property>
  <property fmtid="{D5CDD505-2E9C-101B-9397-08002B2CF9AE}" pid="37" name="LAWLISTTMP2">
    <vt:lpwstr>74903/144</vt:lpwstr>
  </property>
</Properties>
</file>