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D559C9" w:rsidRPr="005D5E53" w14:paraId="1A24F0FC" w14:textId="77777777" w:rsidTr="00BD28E5">
        <w:trPr>
          <w:trHeight w:hRule="exact" w:val="418"/>
          <w:jc w:val="center"/>
        </w:trPr>
        <w:tc>
          <w:tcPr>
            <w:tcW w:w="8721" w:type="dxa"/>
            <w:gridSpan w:val="2"/>
          </w:tcPr>
          <w:p w14:paraId="77A1ED99" w14:textId="77777777" w:rsidR="00D559C9" w:rsidRPr="005D5E53" w:rsidRDefault="00D559C9" w:rsidP="00916152">
            <w:pPr>
              <w:pStyle w:val="a3"/>
              <w:jc w:val="center"/>
              <w:rPr>
                <w:rFonts w:ascii="Tahoma" w:hAnsi="Tahoma" w:cs="Tahoma"/>
                <w:color w:val="000080"/>
                <w:rtl/>
              </w:rPr>
            </w:pPr>
            <w:bookmarkStart w:id="0" w:name="LastJudge"/>
            <w:r w:rsidRPr="005D5E53">
              <w:rPr>
                <w:rFonts w:ascii="Tahoma" w:hAnsi="Tahoma" w:cs="Tahoma"/>
                <w:b/>
                <w:bCs/>
                <w:color w:val="000080"/>
                <w:rtl/>
              </w:rPr>
              <w:t>בית משפט השלום בנצרת</w:t>
            </w:r>
          </w:p>
        </w:tc>
      </w:tr>
      <w:tr w:rsidR="00D559C9" w:rsidRPr="005D5E53" w14:paraId="0A1F3A86" w14:textId="77777777" w:rsidTr="00BD28E5">
        <w:trPr>
          <w:trHeight w:val="337"/>
          <w:jc w:val="center"/>
        </w:trPr>
        <w:tc>
          <w:tcPr>
            <w:tcW w:w="5057" w:type="dxa"/>
          </w:tcPr>
          <w:p w14:paraId="163DA454" w14:textId="77777777" w:rsidR="00D559C9" w:rsidRPr="005D5E53" w:rsidRDefault="00D559C9" w:rsidP="00916152">
            <w:pPr>
              <w:rPr>
                <w:rFonts w:ascii="David" w:hAnsi="David"/>
                <w:b/>
                <w:bCs/>
                <w:sz w:val="26"/>
                <w:szCs w:val="26"/>
                <w:rtl/>
              </w:rPr>
            </w:pPr>
            <w:r w:rsidRPr="005D5E53">
              <w:rPr>
                <w:rFonts w:ascii="David" w:hAnsi="David"/>
                <w:b/>
                <w:bCs/>
                <w:sz w:val="26"/>
                <w:szCs w:val="26"/>
                <w:rtl/>
              </w:rPr>
              <w:t>ת"פ 21029-10-19 מדינת ישראל נ' חמד(עציר)</w:t>
            </w:r>
          </w:p>
        </w:tc>
        <w:tc>
          <w:tcPr>
            <w:tcW w:w="3664" w:type="dxa"/>
          </w:tcPr>
          <w:p w14:paraId="55D5E782" w14:textId="77777777" w:rsidR="00D559C9" w:rsidRPr="005D5E53" w:rsidRDefault="00D559C9" w:rsidP="00916152">
            <w:pPr>
              <w:pStyle w:val="a3"/>
              <w:jc w:val="right"/>
              <w:rPr>
                <w:rFonts w:cs="FrankRuehl"/>
                <w:sz w:val="28"/>
                <w:szCs w:val="28"/>
                <w:rtl/>
              </w:rPr>
            </w:pPr>
          </w:p>
        </w:tc>
      </w:tr>
    </w:tbl>
    <w:p w14:paraId="6B14E76A" w14:textId="77777777" w:rsidR="00D559C9" w:rsidRPr="005D5E53" w:rsidRDefault="00D559C9" w:rsidP="00D559C9">
      <w:pPr>
        <w:pStyle w:val="a3"/>
        <w:rPr>
          <w:rtl/>
        </w:rPr>
      </w:pPr>
      <w:r w:rsidRPr="005D5E53">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559C9" w:rsidRPr="005D5E53" w14:paraId="510FDEAE" w14:textId="77777777" w:rsidTr="00D559C9">
        <w:trPr>
          <w:trHeight w:val="295"/>
          <w:jc w:val="center"/>
        </w:trPr>
        <w:tc>
          <w:tcPr>
            <w:tcW w:w="923" w:type="dxa"/>
            <w:tcBorders>
              <w:top w:val="nil"/>
              <w:left w:val="nil"/>
              <w:bottom w:val="nil"/>
              <w:right w:val="nil"/>
            </w:tcBorders>
            <w:shd w:val="clear" w:color="auto" w:fill="auto"/>
          </w:tcPr>
          <w:p w14:paraId="1BFECB51" w14:textId="77777777" w:rsidR="00D559C9" w:rsidRPr="005D5E53" w:rsidRDefault="00D559C9" w:rsidP="00D559C9">
            <w:pPr>
              <w:jc w:val="both"/>
              <w:rPr>
                <w:rFonts w:ascii="David" w:hAnsi="David"/>
                <w:b/>
                <w:bCs/>
                <w:sz w:val="26"/>
                <w:szCs w:val="26"/>
              </w:rPr>
            </w:pPr>
            <w:r w:rsidRPr="005D5E53">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18CA9501" w14:textId="77777777" w:rsidR="00D559C9" w:rsidRPr="005D5E53" w:rsidRDefault="00D559C9" w:rsidP="00916152">
            <w:pPr>
              <w:rPr>
                <w:rFonts w:ascii="David" w:hAnsi="David"/>
                <w:b/>
                <w:bCs/>
                <w:sz w:val="26"/>
                <w:szCs w:val="26"/>
                <w:rtl/>
              </w:rPr>
            </w:pPr>
            <w:r w:rsidRPr="005D5E53">
              <w:rPr>
                <w:rFonts w:ascii="David" w:hAnsi="David"/>
                <w:b/>
                <w:bCs/>
                <w:sz w:val="26"/>
                <w:szCs w:val="26"/>
                <w:rtl/>
              </w:rPr>
              <w:t>כבוד השופטת  רות שפילברג כהן</w:t>
            </w:r>
          </w:p>
          <w:p w14:paraId="2EC31225" w14:textId="77777777" w:rsidR="00D559C9" w:rsidRPr="005D5E53" w:rsidRDefault="00D559C9" w:rsidP="00916152">
            <w:pPr>
              <w:rPr>
                <w:rFonts w:ascii="David" w:hAnsi="David"/>
                <w:b/>
                <w:bCs/>
                <w:sz w:val="26"/>
                <w:szCs w:val="26"/>
                <w:rtl/>
              </w:rPr>
            </w:pPr>
          </w:p>
          <w:p w14:paraId="0C9BD38F" w14:textId="77777777" w:rsidR="00D559C9" w:rsidRPr="005D5E53" w:rsidRDefault="00D559C9" w:rsidP="00D559C9">
            <w:pPr>
              <w:jc w:val="both"/>
              <w:rPr>
                <w:rFonts w:ascii="David" w:hAnsi="David"/>
                <w:b/>
                <w:bCs/>
                <w:sz w:val="26"/>
                <w:szCs w:val="26"/>
              </w:rPr>
            </w:pPr>
          </w:p>
        </w:tc>
      </w:tr>
      <w:tr w:rsidR="00D559C9" w:rsidRPr="005D5E53" w14:paraId="5494A747" w14:textId="77777777" w:rsidTr="00D559C9">
        <w:trPr>
          <w:trHeight w:val="355"/>
          <w:jc w:val="center"/>
        </w:trPr>
        <w:tc>
          <w:tcPr>
            <w:tcW w:w="923" w:type="dxa"/>
            <w:tcBorders>
              <w:top w:val="nil"/>
              <w:left w:val="nil"/>
              <w:bottom w:val="nil"/>
              <w:right w:val="nil"/>
            </w:tcBorders>
            <w:shd w:val="clear" w:color="auto" w:fill="auto"/>
          </w:tcPr>
          <w:p w14:paraId="68DE88DC" w14:textId="77777777" w:rsidR="00D559C9" w:rsidRPr="005D5E53" w:rsidRDefault="00D559C9" w:rsidP="00D559C9">
            <w:pPr>
              <w:jc w:val="both"/>
              <w:rPr>
                <w:rFonts w:ascii="David" w:hAnsi="David"/>
                <w:b/>
                <w:bCs/>
                <w:sz w:val="26"/>
                <w:szCs w:val="26"/>
              </w:rPr>
            </w:pPr>
            <w:bookmarkStart w:id="1" w:name="FirstAppellant"/>
            <w:r w:rsidRPr="005D5E53">
              <w:rPr>
                <w:rFonts w:ascii="David" w:hAnsi="David"/>
                <w:b/>
                <w:bCs/>
                <w:sz w:val="26"/>
                <w:szCs w:val="26"/>
                <w:rtl/>
              </w:rPr>
              <w:t>בעניין:</w:t>
            </w:r>
          </w:p>
        </w:tc>
        <w:tc>
          <w:tcPr>
            <w:tcW w:w="4126" w:type="dxa"/>
            <w:tcBorders>
              <w:top w:val="nil"/>
              <w:left w:val="nil"/>
              <w:bottom w:val="nil"/>
              <w:right w:val="nil"/>
            </w:tcBorders>
            <w:shd w:val="clear" w:color="auto" w:fill="auto"/>
          </w:tcPr>
          <w:p w14:paraId="3C353CFC" w14:textId="77777777" w:rsidR="00D559C9" w:rsidRPr="005D5E53" w:rsidRDefault="00D559C9" w:rsidP="00916152">
            <w:pPr>
              <w:rPr>
                <w:rFonts w:ascii="David" w:hAnsi="David"/>
                <w:b/>
                <w:bCs/>
                <w:sz w:val="26"/>
                <w:szCs w:val="26"/>
              </w:rPr>
            </w:pPr>
            <w:r w:rsidRPr="005D5E53">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617159F3" w14:textId="77777777" w:rsidR="00D559C9" w:rsidRPr="005D5E53" w:rsidRDefault="00D559C9" w:rsidP="00D559C9">
            <w:pPr>
              <w:jc w:val="both"/>
              <w:rPr>
                <w:rFonts w:ascii="David" w:hAnsi="David"/>
                <w:b/>
                <w:bCs/>
                <w:sz w:val="26"/>
                <w:szCs w:val="26"/>
              </w:rPr>
            </w:pPr>
          </w:p>
        </w:tc>
      </w:tr>
      <w:bookmarkEnd w:id="1"/>
      <w:tr w:rsidR="00D559C9" w:rsidRPr="005D5E53" w14:paraId="5EBF62EE" w14:textId="77777777" w:rsidTr="00D559C9">
        <w:trPr>
          <w:trHeight w:val="355"/>
          <w:jc w:val="center"/>
        </w:trPr>
        <w:tc>
          <w:tcPr>
            <w:tcW w:w="923" w:type="dxa"/>
            <w:tcBorders>
              <w:top w:val="nil"/>
              <w:left w:val="nil"/>
              <w:bottom w:val="nil"/>
              <w:right w:val="nil"/>
            </w:tcBorders>
            <w:shd w:val="clear" w:color="auto" w:fill="auto"/>
          </w:tcPr>
          <w:p w14:paraId="65E22D20" w14:textId="77777777" w:rsidR="00D559C9" w:rsidRPr="005D5E53" w:rsidRDefault="00D559C9" w:rsidP="00D559C9">
            <w:pPr>
              <w:jc w:val="both"/>
              <w:rPr>
                <w:rFonts w:ascii="David" w:hAnsi="David"/>
                <w:b/>
                <w:bCs/>
                <w:sz w:val="26"/>
                <w:szCs w:val="26"/>
                <w:rtl/>
              </w:rPr>
            </w:pPr>
          </w:p>
        </w:tc>
        <w:tc>
          <w:tcPr>
            <w:tcW w:w="4126" w:type="dxa"/>
            <w:tcBorders>
              <w:top w:val="nil"/>
              <w:left w:val="nil"/>
              <w:bottom w:val="nil"/>
              <w:right w:val="nil"/>
            </w:tcBorders>
            <w:shd w:val="clear" w:color="auto" w:fill="auto"/>
          </w:tcPr>
          <w:p w14:paraId="30EA18C4" w14:textId="77777777" w:rsidR="00D559C9" w:rsidRPr="005D5E53" w:rsidRDefault="00D559C9" w:rsidP="00D559C9">
            <w:pPr>
              <w:jc w:val="both"/>
              <w:rPr>
                <w:rFonts w:ascii="David" w:hAnsi="David"/>
                <w:b/>
                <w:bCs/>
                <w:sz w:val="26"/>
                <w:szCs w:val="26"/>
                <w:rtl/>
              </w:rPr>
            </w:pPr>
          </w:p>
        </w:tc>
        <w:tc>
          <w:tcPr>
            <w:tcW w:w="3771" w:type="dxa"/>
            <w:tcBorders>
              <w:top w:val="nil"/>
              <w:left w:val="nil"/>
              <w:bottom w:val="nil"/>
              <w:right w:val="nil"/>
            </w:tcBorders>
            <w:shd w:val="clear" w:color="auto" w:fill="auto"/>
          </w:tcPr>
          <w:p w14:paraId="1FC4DF83" w14:textId="77777777" w:rsidR="00D559C9" w:rsidRPr="005D5E53" w:rsidRDefault="00D559C9" w:rsidP="00D559C9">
            <w:pPr>
              <w:jc w:val="right"/>
              <w:rPr>
                <w:rFonts w:ascii="David" w:hAnsi="David"/>
                <w:b/>
                <w:bCs/>
                <w:sz w:val="26"/>
                <w:szCs w:val="26"/>
                <w:rtl/>
              </w:rPr>
            </w:pPr>
            <w:r w:rsidRPr="005D5E53">
              <w:rPr>
                <w:rFonts w:ascii="David" w:hAnsi="David"/>
                <w:b/>
                <w:bCs/>
                <w:sz w:val="26"/>
                <w:szCs w:val="26"/>
                <w:rtl/>
              </w:rPr>
              <w:t>המאשימה</w:t>
            </w:r>
          </w:p>
        </w:tc>
      </w:tr>
      <w:tr w:rsidR="003257EF" w:rsidRPr="005D5E53" w14:paraId="5AB9C7E5" w14:textId="77777777" w:rsidTr="00F21D11">
        <w:trPr>
          <w:trHeight w:val="355"/>
          <w:jc w:val="center"/>
        </w:trPr>
        <w:tc>
          <w:tcPr>
            <w:tcW w:w="8820" w:type="dxa"/>
            <w:gridSpan w:val="3"/>
            <w:tcBorders>
              <w:top w:val="nil"/>
              <w:left w:val="nil"/>
              <w:bottom w:val="nil"/>
              <w:right w:val="nil"/>
            </w:tcBorders>
            <w:shd w:val="clear" w:color="auto" w:fill="auto"/>
          </w:tcPr>
          <w:p w14:paraId="6F432318" w14:textId="77777777" w:rsidR="003257EF" w:rsidRPr="005D5E53" w:rsidRDefault="003257EF" w:rsidP="00D559C9">
            <w:pPr>
              <w:jc w:val="center"/>
              <w:rPr>
                <w:rFonts w:ascii="David" w:hAnsi="David"/>
                <w:b/>
                <w:bCs/>
                <w:sz w:val="26"/>
                <w:szCs w:val="26"/>
                <w:rtl/>
              </w:rPr>
            </w:pPr>
          </w:p>
          <w:p w14:paraId="7DA6395D" w14:textId="77777777" w:rsidR="003257EF" w:rsidRPr="005D5E53" w:rsidRDefault="003257EF" w:rsidP="00D559C9">
            <w:pPr>
              <w:jc w:val="center"/>
              <w:rPr>
                <w:rFonts w:ascii="David" w:hAnsi="David"/>
                <w:b/>
                <w:bCs/>
                <w:sz w:val="26"/>
                <w:szCs w:val="26"/>
                <w:rtl/>
              </w:rPr>
            </w:pPr>
            <w:r w:rsidRPr="005D5E53">
              <w:rPr>
                <w:rFonts w:ascii="David" w:hAnsi="David"/>
                <w:b/>
                <w:bCs/>
                <w:sz w:val="26"/>
                <w:szCs w:val="26"/>
                <w:rtl/>
              </w:rPr>
              <w:t>נגד</w:t>
            </w:r>
          </w:p>
          <w:p w14:paraId="6CF3A97B" w14:textId="77777777" w:rsidR="003257EF" w:rsidRPr="005D5E53" w:rsidRDefault="003257EF" w:rsidP="00D559C9">
            <w:pPr>
              <w:jc w:val="both"/>
              <w:rPr>
                <w:rFonts w:ascii="David" w:hAnsi="David"/>
                <w:b/>
                <w:bCs/>
                <w:sz w:val="26"/>
                <w:szCs w:val="26"/>
              </w:rPr>
            </w:pPr>
          </w:p>
        </w:tc>
      </w:tr>
      <w:tr w:rsidR="00D559C9" w:rsidRPr="005D5E53" w14:paraId="0AF05530" w14:textId="77777777" w:rsidTr="00D559C9">
        <w:trPr>
          <w:trHeight w:val="355"/>
          <w:jc w:val="center"/>
        </w:trPr>
        <w:tc>
          <w:tcPr>
            <w:tcW w:w="923" w:type="dxa"/>
            <w:tcBorders>
              <w:top w:val="nil"/>
              <w:left w:val="nil"/>
              <w:bottom w:val="nil"/>
              <w:right w:val="nil"/>
            </w:tcBorders>
            <w:shd w:val="clear" w:color="auto" w:fill="auto"/>
          </w:tcPr>
          <w:p w14:paraId="243691E8" w14:textId="77777777" w:rsidR="00D559C9" w:rsidRPr="005D5E53" w:rsidRDefault="00D559C9" w:rsidP="00916152">
            <w:pPr>
              <w:rPr>
                <w:rFonts w:ascii="David" w:hAnsi="David"/>
                <w:b/>
                <w:bCs/>
                <w:sz w:val="26"/>
                <w:szCs w:val="26"/>
                <w:rtl/>
              </w:rPr>
            </w:pPr>
          </w:p>
        </w:tc>
        <w:tc>
          <w:tcPr>
            <w:tcW w:w="4126" w:type="dxa"/>
            <w:tcBorders>
              <w:top w:val="nil"/>
              <w:left w:val="nil"/>
              <w:bottom w:val="nil"/>
              <w:right w:val="nil"/>
            </w:tcBorders>
            <w:shd w:val="clear" w:color="auto" w:fill="auto"/>
          </w:tcPr>
          <w:p w14:paraId="5C883278" w14:textId="77777777" w:rsidR="00D559C9" w:rsidRPr="005D5E53" w:rsidRDefault="00D559C9" w:rsidP="00916152">
            <w:pPr>
              <w:rPr>
                <w:rFonts w:ascii="David" w:hAnsi="David"/>
                <w:b/>
                <w:bCs/>
                <w:sz w:val="26"/>
                <w:szCs w:val="26"/>
                <w:rtl/>
              </w:rPr>
            </w:pPr>
            <w:r w:rsidRPr="005D5E53">
              <w:rPr>
                <w:rFonts w:ascii="David" w:hAnsi="David"/>
                <w:b/>
                <w:bCs/>
                <w:sz w:val="26"/>
                <w:szCs w:val="26"/>
                <w:rtl/>
              </w:rPr>
              <w:t>עלי חמד (עציר)</w:t>
            </w:r>
          </w:p>
        </w:tc>
        <w:tc>
          <w:tcPr>
            <w:tcW w:w="3771" w:type="dxa"/>
            <w:tcBorders>
              <w:top w:val="nil"/>
              <w:left w:val="nil"/>
              <w:bottom w:val="nil"/>
              <w:right w:val="nil"/>
            </w:tcBorders>
            <w:shd w:val="clear" w:color="auto" w:fill="auto"/>
          </w:tcPr>
          <w:p w14:paraId="7005007B" w14:textId="77777777" w:rsidR="00D559C9" w:rsidRPr="005D5E53" w:rsidRDefault="00D559C9" w:rsidP="00D559C9">
            <w:pPr>
              <w:jc w:val="right"/>
              <w:rPr>
                <w:rFonts w:ascii="David" w:hAnsi="David"/>
                <w:b/>
                <w:bCs/>
                <w:sz w:val="26"/>
                <w:szCs w:val="26"/>
              </w:rPr>
            </w:pPr>
          </w:p>
        </w:tc>
      </w:tr>
      <w:tr w:rsidR="00D559C9" w:rsidRPr="005D5E53" w14:paraId="7F9B9B74" w14:textId="77777777" w:rsidTr="00D559C9">
        <w:trPr>
          <w:trHeight w:val="355"/>
          <w:jc w:val="center"/>
        </w:trPr>
        <w:tc>
          <w:tcPr>
            <w:tcW w:w="923" w:type="dxa"/>
            <w:tcBorders>
              <w:top w:val="nil"/>
              <w:left w:val="nil"/>
              <w:bottom w:val="nil"/>
              <w:right w:val="nil"/>
            </w:tcBorders>
            <w:shd w:val="clear" w:color="auto" w:fill="auto"/>
          </w:tcPr>
          <w:p w14:paraId="4100D87F" w14:textId="77777777" w:rsidR="00D559C9" w:rsidRPr="005D5E53" w:rsidRDefault="00D559C9" w:rsidP="00D559C9">
            <w:pPr>
              <w:jc w:val="both"/>
              <w:rPr>
                <w:rFonts w:ascii="David" w:hAnsi="David"/>
                <w:b/>
                <w:bCs/>
                <w:sz w:val="26"/>
                <w:szCs w:val="26"/>
                <w:rtl/>
              </w:rPr>
            </w:pPr>
          </w:p>
        </w:tc>
        <w:tc>
          <w:tcPr>
            <w:tcW w:w="4126" w:type="dxa"/>
            <w:tcBorders>
              <w:top w:val="nil"/>
              <w:left w:val="nil"/>
              <w:bottom w:val="nil"/>
              <w:right w:val="nil"/>
            </w:tcBorders>
            <w:shd w:val="clear" w:color="auto" w:fill="auto"/>
          </w:tcPr>
          <w:p w14:paraId="587E539B" w14:textId="77777777" w:rsidR="00D559C9" w:rsidRPr="005D5E53" w:rsidRDefault="00D559C9" w:rsidP="00D559C9">
            <w:pPr>
              <w:jc w:val="both"/>
              <w:rPr>
                <w:rFonts w:ascii="David" w:hAnsi="David"/>
                <w:b/>
                <w:bCs/>
                <w:sz w:val="26"/>
                <w:szCs w:val="26"/>
                <w:rtl/>
              </w:rPr>
            </w:pPr>
          </w:p>
        </w:tc>
        <w:tc>
          <w:tcPr>
            <w:tcW w:w="3771" w:type="dxa"/>
            <w:tcBorders>
              <w:top w:val="nil"/>
              <w:left w:val="nil"/>
              <w:bottom w:val="nil"/>
              <w:right w:val="nil"/>
            </w:tcBorders>
            <w:shd w:val="clear" w:color="auto" w:fill="auto"/>
          </w:tcPr>
          <w:p w14:paraId="015A487D" w14:textId="77777777" w:rsidR="00D559C9" w:rsidRPr="005D5E53" w:rsidRDefault="00D559C9" w:rsidP="00D559C9">
            <w:pPr>
              <w:jc w:val="right"/>
              <w:rPr>
                <w:rFonts w:ascii="David" w:hAnsi="David"/>
                <w:b/>
                <w:bCs/>
                <w:sz w:val="26"/>
                <w:szCs w:val="26"/>
              </w:rPr>
            </w:pPr>
            <w:r w:rsidRPr="005D5E53">
              <w:rPr>
                <w:rFonts w:ascii="David" w:hAnsi="David"/>
                <w:b/>
                <w:bCs/>
                <w:sz w:val="26"/>
                <w:szCs w:val="26"/>
                <w:rtl/>
              </w:rPr>
              <w:t>הנאשמים</w:t>
            </w:r>
          </w:p>
        </w:tc>
      </w:tr>
    </w:tbl>
    <w:p w14:paraId="0FA7AC41" w14:textId="77777777" w:rsidR="00BD28E5" w:rsidRDefault="00BD28E5" w:rsidP="005D5E53">
      <w:pPr>
        <w:rPr>
          <w:rFonts w:ascii="Arial" w:hAnsi="Arial"/>
          <w:rtl/>
        </w:rPr>
      </w:pPr>
    </w:p>
    <w:p w14:paraId="2E87E30D" w14:textId="77777777" w:rsidR="003257EF" w:rsidRPr="003257EF" w:rsidRDefault="003257EF" w:rsidP="003257EF">
      <w:pPr>
        <w:spacing w:before="120" w:after="120" w:line="240" w:lineRule="exact"/>
        <w:ind w:left="283" w:hanging="283"/>
        <w:jc w:val="both"/>
        <w:rPr>
          <w:rFonts w:ascii="FrankRuehl" w:hAnsi="FrankRuehl" w:cs="FrankRuehl"/>
          <w:rtl/>
        </w:rPr>
      </w:pPr>
      <w:r w:rsidRPr="003257EF">
        <w:rPr>
          <w:rFonts w:ascii="FrankRuehl" w:hAnsi="FrankRuehl" w:cs="FrankRuehl"/>
          <w:rtl/>
        </w:rPr>
        <w:t xml:space="preserve">חקיקה שאוזכרה: </w:t>
      </w:r>
    </w:p>
    <w:p w14:paraId="2E1E2E5C" w14:textId="77777777" w:rsidR="003257EF" w:rsidRPr="003257EF" w:rsidRDefault="003257EF" w:rsidP="003257EF">
      <w:pPr>
        <w:spacing w:before="120" w:after="120" w:line="240" w:lineRule="exact"/>
        <w:ind w:left="283" w:hanging="283"/>
        <w:jc w:val="both"/>
        <w:rPr>
          <w:rFonts w:ascii="FrankRuehl" w:hAnsi="FrankRuehl" w:cs="FrankRuehl"/>
          <w:color w:val="0000FF"/>
          <w:rtl/>
        </w:rPr>
      </w:pPr>
      <w:hyperlink r:id="rId7" w:history="1">
        <w:r w:rsidRPr="003257EF">
          <w:rPr>
            <w:rStyle w:val="Hyperlink"/>
            <w:rFonts w:ascii="FrankRuehl" w:hAnsi="FrankRuehl" w:cs="FrankRuehl"/>
            <w:rtl/>
          </w:rPr>
          <w:t>חוק העונשין, תשל"ז-1977</w:t>
        </w:r>
      </w:hyperlink>
      <w:r w:rsidRPr="003257EF">
        <w:rPr>
          <w:rFonts w:ascii="FrankRuehl" w:hAnsi="FrankRuehl" w:cs="FrankRuehl"/>
          <w:color w:val="0000FF"/>
          <w:u w:val="single"/>
          <w:rtl/>
        </w:rPr>
        <w:t xml:space="preserve">: סע'  </w:t>
      </w:r>
      <w:hyperlink r:id="rId8" w:history="1">
        <w:r w:rsidRPr="003257EF">
          <w:rPr>
            <w:rStyle w:val="Hyperlink"/>
            <w:rFonts w:ascii="FrankRuehl" w:hAnsi="FrankRuehl" w:cs="FrankRuehl"/>
          </w:rPr>
          <w:t>144</w:t>
        </w:r>
      </w:hyperlink>
      <w:r w:rsidRPr="003257EF">
        <w:rPr>
          <w:rFonts w:ascii="FrankRuehl" w:hAnsi="FrankRuehl" w:cs="FrankRuehl"/>
          <w:color w:val="0000FF"/>
          <w:rtl/>
        </w:rPr>
        <w:t xml:space="preserve">(א), </w:t>
      </w:r>
      <w:hyperlink r:id="rId9" w:history="1">
        <w:r w:rsidRPr="003257EF">
          <w:rPr>
            <w:rStyle w:val="Hyperlink"/>
            <w:rFonts w:ascii="FrankRuehl" w:hAnsi="FrankRuehl" w:cs="FrankRuehl"/>
          </w:rPr>
          <w:t>144</w:t>
        </w:r>
      </w:hyperlink>
      <w:r w:rsidRPr="003257EF">
        <w:rPr>
          <w:rFonts w:ascii="FrankRuehl" w:hAnsi="FrankRuehl" w:cs="FrankRuehl"/>
          <w:color w:val="0000FF"/>
          <w:rtl/>
        </w:rPr>
        <w:t>(ב)</w:t>
      </w:r>
    </w:p>
    <w:p w14:paraId="56E54195" w14:textId="77777777" w:rsidR="00D559C9" w:rsidRDefault="00D559C9" w:rsidP="003257EF">
      <w:pPr>
        <w:rPr>
          <w:rFonts w:ascii="Arial" w:hAnsi="Arial" w:hint="cs"/>
          <w:rtl/>
        </w:rPr>
      </w:pPr>
      <w:bookmarkStart w:id="2" w:name="LawTable_End"/>
      <w:bookmarkEnd w:id="2"/>
    </w:p>
    <w:p w14:paraId="3411D9E1" w14:textId="77777777" w:rsidR="007C3DB1" w:rsidRDefault="007C3DB1" w:rsidP="007C3DB1">
      <w:pPr>
        <w:pBdr>
          <w:top w:val="single" w:sz="4" w:space="1" w:color="auto"/>
          <w:bottom w:val="single" w:sz="4" w:space="1" w:color="auto"/>
        </w:pBdr>
        <w:spacing w:after="120" w:line="320" w:lineRule="exact"/>
        <w:jc w:val="both"/>
        <w:rPr>
          <w:rFonts w:cs="FrankRuehl" w:hint="cs"/>
          <w:szCs w:val="26"/>
          <w:rtl/>
        </w:rPr>
      </w:pPr>
      <w:bookmarkStart w:id="3" w:name="ABSTRACT_START"/>
      <w:bookmarkEnd w:id="3"/>
      <w:r>
        <w:rPr>
          <w:rFonts w:cs="FrankRuehl"/>
          <w:szCs w:val="26"/>
          <w:rtl/>
        </w:rPr>
        <w:t>מיני-רציו:</w:t>
      </w:r>
    </w:p>
    <w:p w14:paraId="2BE06408" w14:textId="77777777" w:rsidR="007C3DB1" w:rsidRPr="007C3DB1" w:rsidRDefault="007C3DB1" w:rsidP="007C3DB1">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7C3DB1">
        <w:rPr>
          <w:rFonts w:cs="FrankRuehl"/>
          <w:szCs w:val="26"/>
          <w:rtl/>
        </w:rPr>
        <w:t>גזר דין לנאשם שהורשע על-פי הודאתו בעבירה של החזקת נשק.</w:t>
      </w:r>
    </w:p>
    <w:p w14:paraId="5A6A51D5" w14:textId="77777777" w:rsidR="007C3DB1" w:rsidRDefault="007C3DB1" w:rsidP="007C3DB1">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עקרון ההלימה‏</w:t>
      </w:r>
    </w:p>
    <w:p w14:paraId="3BD24ACC" w14:textId="77777777" w:rsidR="007C3DB1" w:rsidRDefault="007C3DB1" w:rsidP="007C3DB1">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שיקולים</w:t>
      </w:r>
    </w:p>
    <w:p w14:paraId="0D8C359A" w14:textId="77777777" w:rsidR="007C3DB1" w:rsidRDefault="007C3DB1" w:rsidP="007C3DB1">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מתחם הענישה</w:t>
      </w:r>
    </w:p>
    <w:p w14:paraId="56F0FEFB" w14:textId="77777777" w:rsidR="007C3DB1" w:rsidRDefault="007C3DB1" w:rsidP="007C3DB1">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נשק</w:t>
      </w:r>
    </w:p>
    <w:p w14:paraId="7672B933" w14:textId="77777777" w:rsidR="007C3DB1" w:rsidRDefault="007C3DB1" w:rsidP="007C3DB1">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A37C773" w14:textId="77777777" w:rsidR="007C3DB1" w:rsidRPr="007C3DB1" w:rsidRDefault="007C3DB1" w:rsidP="007C3DB1">
      <w:pPr>
        <w:pBdr>
          <w:top w:val="single" w:sz="4" w:space="1" w:color="auto"/>
          <w:bottom w:val="single" w:sz="4" w:space="1" w:color="auto"/>
        </w:pBdr>
        <w:spacing w:after="120" w:line="320" w:lineRule="exact"/>
        <w:jc w:val="both"/>
        <w:rPr>
          <w:rFonts w:cs="FrankRuehl"/>
          <w:szCs w:val="26"/>
        </w:rPr>
      </w:pPr>
      <w:r w:rsidRPr="007C3DB1">
        <w:rPr>
          <w:rFonts w:cs="FrankRuehl"/>
          <w:szCs w:val="26"/>
          <w:rtl/>
        </w:rPr>
        <w:t xml:space="preserve">הנאשם הורשע על-פי הודאתו, בכתב אישום מתוקן במסגרת הסדר טיעון בעבירה של החזקת נשק לפי </w:t>
      </w:r>
      <w:hyperlink r:id="rId10" w:history="1">
        <w:r w:rsidRPr="007C3DB1">
          <w:rPr>
            <w:rStyle w:val="Hyperlink"/>
            <w:rFonts w:cs="FrankRuehl"/>
            <w:color w:val="auto"/>
            <w:szCs w:val="26"/>
            <w:u w:val="none"/>
            <w:rtl/>
          </w:rPr>
          <w:t>סעיף 144(א)</w:t>
        </w:r>
      </w:hyperlink>
      <w:r w:rsidRPr="007C3DB1">
        <w:rPr>
          <w:rFonts w:cs="FrankRuehl"/>
          <w:szCs w:val="26"/>
          <w:rtl/>
        </w:rPr>
        <w:t xml:space="preserve"> רישא וסיפא, ל</w:t>
      </w:r>
      <w:hyperlink r:id="rId11" w:history="1">
        <w:r w:rsidRPr="007C3DB1">
          <w:rPr>
            <w:rFonts w:cs="FrankRuehl"/>
            <w:szCs w:val="26"/>
            <w:rtl/>
          </w:rPr>
          <w:t>חוק העונשין</w:t>
        </w:r>
      </w:hyperlink>
      <w:r w:rsidRPr="007C3DB1">
        <w:rPr>
          <w:rFonts w:cs="FrankRuehl"/>
          <w:szCs w:val="26"/>
          <w:rtl/>
        </w:rPr>
        <w:t>, התשל"ז-1977.</w:t>
      </w:r>
    </w:p>
    <w:p w14:paraId="38EB4C3D" w14:textId="77777777" w:rsidR="007C3DB1" w:rsidRDefault="007C3DB1" w:rsidP="007C3DB1">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5D8823F" w14:textId="77777777" w:rsidR="007C3DB1" w:rsidRPr="007C3DB1" w:rsidRDefault="007C3DB1" w:rsidP="007C3DB1">
      <w:pPr>
        <w:pBdr>
          <w:top w:val="single" w:sz="4" w:space="1" w:color="auto"/>
          <w:bottom w:val="single" w:sz="4" w:space="1" w:color="auto"/>
        </w:pBdr>
        <w:spacing w:after="120" w:line="320" w:lineRule="exact"/>
        <w:jc w:val="both"/>
        <w:rPr>
          <w:rFonts w:cs="FrankRuehl"/>
          <w:szCs w:val="26"/>
          <w:rtl/>
        </w:rPr>
      </w:pPr>
      <w:r w:rsidRPr="007C3DB1">
        <w:rPr>
          <w:rFonts w:cs="FrankRuehl"/>
          <w:szCs w:val="26"/>
          <w:rtl/>
        </w:rPr>
        <w:t>בית המשפט גזר את דינו כדלקמן:</w:t>
      </w:r>
    </w:p>
    <w:p w14:paraId="4E098CAB" w14:textId="77777777" w:rsidR="007C3DB1" w:rsidRPr="007C3DB1" w:rsidRDefault="007C3DB1" w:rsidP="007C3DB1">
      <w:pPr>
        <w:pBdr>
          <w:top w:val="single" w:sz="4" w:space="1" w:color="auto"/>
          <w:bottom w:val="single" w:sz="4" w:space="1" w:color="auto"/>
        </w:pBdr>
        <w:spacing w:after="120" w:line="320" w:lineRule="exact"/>
        <w:jc w:val="both"/>
        <w:rPr>
          <w:rFonts w:cs="FrankRuehl"/>
          <w:szCs w:val="26"/>
          <w:rtl/>
        </w:rPr>
      </w:pPr>
      <w:r w:rsidRPr="007C3DB1">
        <w:rPr>
          <w:rFonts w:cs="FrankRuehl"/>
          <w:szCs w:val="26"/>
          <w:rtl/>
        </w:rPr>
        <w:t>רק במקרים יוצאי דופן, שעניינם בשיקולי שיקום חריגים, נעשית סטייה מרמת ענישה המתחילה במאסר ממושך. בשים לב למגמה ברורה של בית המשפט העליון, לפיה יש להחמיר בענישה בגין עבירות נשק,</w:t>
      </w:r>
      <w:r>
        <w:rPr>
          <w:rFonts w:cs="FrankRuehl"/>
          <w:szCs w:val="26"/>
          <w:rtl/>
        </w:rPr>
        <w:t xml:space="preserve"> </w:t>
      </w:r>
      <w:r w:rsidRPr="007C3DB1">
        <w:rPr>
          <w:rFonts w:cs="FrankRuehl"/>
          <w:szCs w:val="26"/>
          <w:rtl/>
        </w:rPr>
        <w:t xml:space="preserve">קבע בית המשפט כי מתחם העונש ההולם בנסיבות ביצוע העבירה, נע בין 12 לבין 24 חודשי מאסר בפועל. </w:t>
      </w:r>
    </w:p>
    <w:p w14:paraId="5F665788" w14:textId="77777777" w:rsidR="007C3DB1" w:rsidRPr="007C3DB1" w:rsidRDefault="007C3DB1" w:rsidP="007C3DB1">
      <w:pPr>
        <w:pBdr>
          <w:top w:val="single" w:sz="4" w:space="1" w:color="auto"/>
          <w:bottom w:val="single" w:sz="4" w:space="1" w:color="auto"/>
        </w:pBdr>
        <w:spacing w:after="120" w:line="320" w:lineRule="exact"/>
        <w:contextualSpacing/>
        <w:jc w:val="both"/>
        <w:rPr>
          <w:rFonts w:cs="FrankRuehl"/>
          <w:szCs w:val="26"/>
          <w:rtl/>
        </w:rPr>
      </w:pPr>
      <w:r w:rsidRPr="007C3DB1">
        <w:rPr>
          <w:rFonts w:cs="FrankRuehl"/>
          <w:szCs w:val="26"/>
          <w:rtl/>
        </w:rPr>
        <w:t xml:space="preserve">בתוך מתחם העונש ההולם, בית המשפט התחשב בנסיבותיו האישיות של הנאשם, העדר עבר פלילי, תקופת השהות במעצר עד תום ההליכים והפגיעה בנאשם ובמשפחתו. בנוסף, ניתן משקל לכך שהמאשימה הגבילה עצמה בהסדר הטיעון לתחתית המתחם העונשי, לשם הקלה בלתי משמעותית </w:t>
      </w:r>
      <w:r w:rsidRPr="007C3DB1">
        <w:rPr>
          <w:rFonts w:cs="FrankRuehl"/>
          <w:szCs w:val="26"/>
          <w:rtl/>
        </w:rPr>
        <w:lastRenderedPageBreak/>
        <w:t>בעונש. בית המשפט מצא כי ראוי, בסופו של דבר, ועל אף שמדובר בענישה החורגת מעט ממתחם העונש, לבוא לקראת הנאשם בגדרי הסדר הטיעון, ולגזור עליו עונש הנמוך במעט מהעונש אליו עתרה המאשימה.</w:t>
      </w:r>
    </w:p>
    <w:p w14:paraId="7438ED52" w14:textId="77777777" w:rsidR="007C3DB1" w:rsidRDefault="007C3DB1" w:rsidP="003257EF">
      <w:pPr>
        <w:rPr>
          <w:rFonts w:ascii="Arial" w:hAnsi="Arial" w:hint="cs"/>
          <w:rtl/>
        </w:rPr>
      </w:pPr>
      <w:bookmarkStart w:id="4" w:name="ABSTRACT_END"/>
      <w:bookmarkEnd w:id="4"/>
    </w:p>
    <w:p w14:paraId="46F558BA" w14:textId="77777777" w:rsidR="007C3DB1" w:rsidRPr="003257EF" w:rsidRDefault="007C3DB1" w:rsidP="003257EF">
      <w:pPr>
        <w:rPr>
          <w:rFonts w:ascii="Arial" w:hAnsi="Arial"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559C9" w14:paraId="065E8291" w14:textId="77777777" w:rsidTr="00D559C9">
        <w:trPr>
          <w:trHeight w:val="355"/>
          <w:jc w:val="center"/>
        </w:trPr>
        <w:tc>
          <w:tcPr>
            <w:tcW w:w="8820" w:type="dxa"/>
            <w:tcBorders>
              <w:top w:val="nil"/>
              <w:left w:val="nil"/>
              <w:bottom w:val="nil"/>
              <w:right w:val="nil"/>
            </w:tcBorders>
            <w:shd w:val="clear" w:color="auto" w:fill="auto"/>
          </w:tcPr>
          <w:p w14:paraId="4D59ADD0" w14:textId="77777777" w:rsidR="005D5E53" w:rsidRPr="005D5E53" w:rsidRDefault="005D5E53" w:rsidP="005D5E53">
            <w:pPr>
              <w:jc w:val="center"/>
              <w:rPr>
                <w:rFonts w:ascii="David" w:hAnsi="David"/>
                <w:b/>
                <w:bCs/>
                <w:sz w:val="28"/>
                <w:szCs w:val="28"/>
                <w:u w:val="single"/>
                <w:rtl/>
              </w:rPr>
            </w:pPr>
            <w:bookmarkStart w:id="5" w:name="PsakDin" w:colFirst="0" w:colLast="0"/>
            <w:bookmarkEnd w:id="0"/>
            <w:r w:rsidRPr="005D5E53">
              <w:rPr>
                <w:rFonts w:ascii="David" w:hAnsi="David"/>
                <w:b/>
                <w:bCs/>
                <w:sz w:val="28"/>
                <w:szCs w:val="28"/>
                <w:u w:val="single"/>
                <w:rtl/>
              </w:rPr>
              <w:t>גזר-דין</w:t>
            </w:r>
          </w:p>
          <w:p w14:paraId="046DE107" w14:textId="77777777" w:rsidR="00D559C9" w:rsidRPr="005D5E53" w:rsidRDefault="00D559C9" w:rsidP="005D5E53">
            <w:pPr>
              <w:jc w:val="center"/>
              <w:rPr>
                <w:rFonts w:ascii="David" w:hAnsi="David"/>
                <w:bCs/>
                <w:sz w:val="28"/>
                <w:szCs w:val="28"/>
                <w:u w:val="single"/>
                <w:rtl/>
              </w:rPr>
            </w:pPr>
          </w:p>
        </w:tc>
      </w:tr>
      <w:bookmarkEnd w:id="5"/>
    </w:tbl>
    <w:p w14:paraId="72C3B0EA" w14:textId="77777777" w:rsidR="00D559C9" w:rsidRPr="00B05847" w:rsidRDefault="00D559C9" w:rsidP="00D559C9">
      <w:pPr>
        <w:rPr>
          <w:rFonts w:ascii="Arial" w:hAnsi="Arial"/>
          <w:rtl/>
        </w:rPr>
      </w:pPr>
    </w:p>
    <w:p w14:paraId="586702B5" w14:textId="77777777" w:rsidR="00D559C9" w:rsidRDefault="00D559C9" w:rsidP="00D559C9">
      <w:pPr>
        <w:spacing w:line="360" w:lineRule="auto"/>
        <w:jc w:val="both"/>
        <w:rPr>
          <w:rFonts w:ascii="Arial" w:hAnsi="Arial"/>
          <w:b/>
          <w:bCs/>
          <w:sz w:val="22"/>
          <w:szCs w:val="22"/>
          <w:u w:val="single"/>
        </w:rPr>
      </w:pPr>
      <w:r>
        <w:rPr>
          <w:rFonts w:ascii="Arial" w:hAnsi="Arial" w:hint="cs"/>
          <w:b/>
          <w:bCs/>
          <w:u w:val="single"/>
          <w:rtl/>
        </w:rPr>
        <w:t>כתב אישום ורקע</w:t>
      </w:r>
    </w:p>
    <w:p w14:paraId="02DFC3C8" w14:textId="77777777" w:rsidR="00D559C9" w:rsidRDefault="00D559C9" w:rsidP="00D559C9">
      <w:pPr>
        <w:spacing w:line="360" w:lineRule="auto"/>
        <w:jc w:val="both"/>
        <w:rPr>
          <w:rFonts w:ascii="Arial" w:hAnsi="Arial"/>
          <w:b/>
          <w:bCs/>
          <w:u w:val="single"/>
        </w:rPr>
      </w:pPr>
    </w:p>
    <w:p w14:paraId="5D6683F4" w14:textId="77777777" w:rsidR="00D559C9" w:rsidRDefault="00D559C9" w:rsidP="00D559C9">
      <w:pPr>
        <w:spacing w:line="360" w:lineRule="auto"/>
        <w:ind w:left="720" w:hanging="720"/>
        <w:jc w:val="both"/>
        <w:rPr>
          <w:rFonts w:ascii="Arial" w:hAnsi="Arial"/>
        </w:rPr>
      </w:pPr>
      <w:r>
        <w:rPr>
          <w:rFonts w:ascii="Arial" w:hAnsi="Arial" w:hint="cs"/>
          <w:rtl/>
        </w:rPr>
        <w:t>1.</w:t>
      </w:r>
      <w:r w:rsidR="005D5E53">
        <w:rPr>
          <w:rFonts w:ascii="Arial" w:hAnsi="Arial" w:hint="cs"/>
          <w:rtl/>
        </w:rPr>
        <w:t xml:space="preserve">        </w:t>
      </w:r>
      <w:r>
        <w:rPr>
          <w:rFonts w:ascii="Arial" w:hAnsi="Arial" w:hint="cs"/>
          <w:rtl/>
        </w:rPr>
        <w:t xml:space="preserve"> </w:t>
      </w:r>
      <w:r>
        <w:rPr>
          <w:rFonts w:ascii="Arial" w:hAnsi="Arial" w:hint="cs"/>
          <w:rtl/>
        </w:rPr>
        <w:tab/>
        <w:t>הנאשם הורשע על-פי הודאתו, בכתב אישום מתוקן במסגרת הסדר טיעון מיום 25.12.19, בעבירה של</w:t>
      </w:r>
      <w:r>
        <w:rPr>
          <w:rFonts w:ascii="Arial" w:hAnsi="Arial" w:hint="cs"/>
          <w:b/>
          <w:bCs/>
          <w:rtl/>
        </w:rPr>
        <w:t xml:space="preserve"> החזקת נשק</w:t>
      </w:r>
      <w:r>
        <w:rPr>
          <w:rFonts w:ascii="Arial" w:hAnsi="Arial" w:hint="cs"/>
          <w:rtl/>
        </w:rPr>
        <w:t xml:space="preserve"> לפי </w:t>
      </w:r>
      <w:hyperlink r:id="rId12" w:history="1">
        <w:r w:rsidR="00BD28E5" w:rsidRPr="00BD28E5">
          <w:rPr>
            <w:rStyle w:val="Hyperlink"/>
            <w:rFonts w:ascii="Arial" w:hAnsi="Arial" w:hint="eastAsia"/>
            <w:rtl/>
          </w:rPr>
          <w:t>סעיף</w:t>
        </w:r>
        <w:r w:rsidR="00BD28E5" w:rsidRPr="00BD28E5">
          <w:rPr>
            <w:rStyle w:val="Hyperlink"/>
            <w:rFonts w:ascii="Arial" w:hAnsi="Arial"/>
            <w:rtl/>
          </w:rPr>
          <w:t xml:space="preserve"> 144(א)</w:t>
        </w:r>
      </w:hyperlink>
      <w:r>
        <w:rPr>
          <w:rFonts w:ascii="Arial" w:hAnsi="Arial" w:hint="cs"/>
          <w:rtl/>
        </w:rPr>
        <w:t xml:space="preserve"> רישא וסיפא</w:t>
      </w:r>
      <w:r>
        <w:rPr>
          <w:rFonts w:ascii="Arial" w:hAnsi="Arial" w:hint="cs"/>
          <w:b/>
          <w:bCs/>
          <w:rtl/>
        </w:rPr>
        <w:t>,</w:t>
      </w:r>
      <w:r>
        <w:rPr>
          <w:rFonts w:ascii="Arial" w:hAnsi="Arial" w:hint="cs"/>
          <w:rtl/>
        </w:rPr>
        <w:t xml:space="preserve"> ל</w:t>
      </w:r>
      <w:hyperlink r:id="rId13" w:history="1">
        <w:r w:rsidR="005D5E53" w:rsidRPr="005D5E53">
          <w:rPr>
            <w:rFonts w:ascii="Arial" w:hAnsi="Arial"/>
            <w:color w:val="0000FF"/>
            <w:u w:val="single"/>
            <w:rtl/>
          </w:rPr>
          <w:t>חוק העונשין</w:t>
        </w:r>
      </w:hyperlink>
      <w:r>
        <w:rPr>
          <w:rFonts w:ascii="Arial" w:hAnsi="Arial" w:hint="cs"/>
          <w:rtl/>
        </w:rPr>
        <w:t>, התשל"ז-1977.</w:t>
      </w:r>
    </w:p>
    <w:p w14:paraId="40E11F9A" w14:textId="77777777" w:rsidR="00D559C9" w:rsidRDefault="00D559C9" w:rsidP="00D559C9">
      <w:pPr>
        <w:spacing w:line="360" w:lineRule="auto"/>
        <w:ind w:left="720" w:hanging="720"/>
        <w:jc w:val="both"/>
        <w:rPr>
          <w:rFonts w:ascii="Arial" w:hAnsi="Arial"/>
        </w:rPr>
      </w:pPr>
      <w:r>
        <w:rPr>
          <w:rFonts w:ascii="Arial" w:hAnsi="Arial" w:hint="cs"/>
          <w:rtl/>
        </w:rPr>
        <w:tab/>
        <w:t xml:space="preserve">יש לציין כי בכתב האישום המתוקן צויין, ככל הנראה בשגגה, "נשיאה והובלה של נשק" – ניסוח שתואם את </w:t>
      </w:r>
      <w:hyperlink r:id="rId14" w:history="1">
        <w:r w:rsidR="00BD28E5" w:rsidRPr="00BD28E5">
          <w:rPr>
            <w:rStyle w:val="Hyperlink"/>
            <w:rFonts w:ascii="Arial" w:hAnsi="Arial" w:hint="eastAsia"/>
            <w:rtl/>
          </w:rPr>
          <w:t>סעיף</w:t>
        </w:r>
        <w:r w:rsidR="00BD28E5" w:rsidRPr="00BD28E5">
          <w:rPr>
            <w:rStyle w:val="Hyperlink"/>
            <w:rFonts w:ascii="Arial" w:hAnsi="Arial"/>
            <w:rtl/>
          </w:rPr>
          <w:t xml:space="preserve"> 144(ב)</w:t>
        </w:r>
      </w:hyperlink>
      <w:r>
        <w:rPr>
          <w:rFonts w:ascii="Arial" w:hAnsi="Arial" w:hint="cs"/>
          <w:rtl/>
        </w:rPr>
        <w:t xml:space="preserve"> לחוק, שלא יוחס בכתב האישום, ושמצוי ממילא בסמכותו של ביעת המשפט המחוזי.</w:t>
      </w:r>
    </w:p>
    <w:p w14:paraId="1786405F" w14:textId="77777777" w:rsidR="00D559C9" w:rsidRDefault="00D559C9" w:rsidP="00D559C9">
      <w:pPr>
        <w:spacing w:line="360" w:lineRule="auto"/>
        <w:jc w:val="both"/>
        <w:rPr>
          <w:rFonts w:ascii="Arial" w:hAnsi="Arial"/>
          <w:rtl/>
        </w:rPr>
      </w:pPr>
    </w:p>
    <w:p w14:paraId="146045CB" w14:textId="77777777" w:rsidR="00D559C9" w:rsidRDefault="00D559C9" w:rsidP="00D559C9">
      <w:pPr>
        <w:spacing w:line="360" w:lineRule="auto"/>
        <w:ind w:left="720" w:hanging="720"/>
        <w:jc w:val="both"/>
        <w:rPr>
          <w:rFonts w:ascii="Arial" w:hAnsi="Arial"/>
          <w:rtl/>
        </w:rPr>
      </w:pPr>
      <w:r>
        <w:rPr>
          <w:rFonts w:ascii="Arial" w:hAnsi="Arial" w:hint="cs"/>
          <w:rtl/>
        </w:rPr>
        <w:t>2.</w:t>
      </w:r>
      <w:r w:rsidR="005D5E53">
        <w:rPr>
          <w:rFonts w:ascii="Arial" w:hAnsi="Arial" w:hint="cs"/>
          <w:rtl/>
        </w:rPr>
        <w:t xml:space="preserve">         </w:t>
      </w:r>
      <w:r>
        <w:rPr>
          <w:rFonts w:ascii="Arial" w:hAnsi="Arial" w:hint="cs"/>
          <w:rtl/>
        </w:rPr>
        <w:t xml:space="preserve"> לפי כתב האישום המתוקן, ביום 22.8.19, בעיר נצרת, החזיק הנאשם בתא הכפפות של רכבו, אקדח מסוג "אסטרה" ומחסנית תואמת מלאה בשלושה-עשר כדורים. </w:t>
      </w:r>
    </w:p>
    <w:p w14:paraId="4C6248F3" w14:textId="77777777" w:rsidR="00D559C9" w:rsidRDefault="005D5E53" w:rsidP="00D559C9">
      <w:pPr>
        <w:spacing w:line="360" w:lineRule="auto"/>
        <w:ind w:left="720"/>
        <w:jc w:val="both"/>
        <w:rPr>
          <w:rFonts w:ascii="Arial" w:hAnsi="Arial"/>
        </w:rPr>
      </w:pPr>
      <w:r>
        <w:rPr>
          <w:rFonts w:ascii="Arial" w:hAnsi="Arial" w:hint="cs"/>
          <w:rtl/>
        </w:rPr>
        <w:t xml:space="preserve"> </w:t>
      </w:r>
    </w:p>
    <w:p w14:paraId="719561B3" w14:textId="77777777" w:rsidR="00D559C9" w:rsidRDefault="00D559C9" w:rsidP="00D559C9">
      <w:pPr>
        <w:spacing w:line="360" w:lineRule="auto"/>
        <w:ind w:left="720" w:hanging="720"/>
        <w:jc w:val="both"/>
        <w:rPr>
          <w:rFonts w:ascii="Arial" w:hAnsi="Arial"/>
          <w:rtl/>
        </w:rPr>
      </w:pPr>
      <w:r>
        <w:rPr>
          <w:rFonts w:ascii="Arial" w:hAnsi="Arial" w:hint="cs"/>
          <w:rtl/>
        </w:rPr>
        <w:t>3.</w:t>
      </w:r>
      <w:r w:rsidR="005D5E53">
        <w:rPr>
          <w:rFonts w:ascii="Arial" w:hAnsi="Arial" w:hint="cs"/>
          <w:rtl/>
        </w:rPr>
        <w:t xml:space="preserve">        </w:t>
      </w:r>
      <w:r>
        <w:rPr>
          <w:rFonts w:ascii="Arial" w:hAnsi="Arial" w:hint="cs"/>
          <w:rtl/>
        </w:rPr>
        <w:t xml:space="preserve"> </w:t>
      </w:r>
      <w:r>
        <w:rPr>
          <w:rFonts w:ascii="Arial" w:hAnsi="Arial" w:hint="cs"/>
          <w:rtl/>
        </w:rPr>
        <w:tab/>
        <w:t xml:space="preserve">ביום 25.12.19 הודיעו הצדדים כי הגיעו להסדר טיעון, לפיו הנאשם הודה בעובדות כתב האישום המתוקן, והורשע בעבירה המיוחסת לו. ביום 30.1.19 הודיעו הצדדים כי הגיעו להסכמה נוספת במסגרת הסדר הטיעון, לפיה המאשימה תעתור לעונש ראוי מקסימלי של שנת מאסר בצירוף מאסר על-תנאי וקנס משמעותי, ואילו הסנגור יטען באופן חפשי. </w:t>
      </w:r>
    </w:p>
    <w:p w14:paraId="0AD1FE8D" w14:textId="77777777" w:rsidR="00D559C9" w:rsidRDefault="005D5E53" w:rsidP="00D559C9">
      <w:pPr>
        <w:spacing w:line="360" w:lineRule="auto"/>
        <w:ind w:left="720" w:hanging="720"/>
        <w:jc w:val="both"/>
        <w:rPr>
          <w:rFonts w:ascii="Arial" w:hAnsi="Arial"/>
          <w:b/>
          <w:bCs/>
          <w:u w:val="single"/>
          <w:rtl/>
        </w:rPr>
      </w:pPr>
      <w:r>
        <w:rPr>
          <w:rFonts w:ascii="Arial" w:hAnsi="Arial" w:hint="cs"/>
          <w:rtl/>
        </w:rPr>
        <w:t xml:space="preserve">           </w:t>
      </w:r>
      <w:r w:rsidR="00D559C9">
        <w:rPr>
          <w:rFonts w:ascii="Arial" w:hAnsi="Arial" w:hint="cs"/>
          <w:rtl/>
        </w:rPr>
        <w:t xml:space="preserve"> </w:t>
      </w:r>
      <w:r>
        <w:rPr>
          <w:rFonts w:ascii="Arial" w:hAnsi="Arial" w:hint="cs"/>
          <w:rtl/>
        </w:rPr>
        <w:t xml:space="preserve"> </w:t>
      </w:r>
    </w:p>
    <w:p w14:paraId="351F17B4" w14:textId="77777777" w:rsidR="00D559C9" w:rsidRDefault="00D559C9" w:rsidP="00D559C9">
      <w:pPr>
        <w:spacing w:line="360" w:lineRule="auto"/>
        <w:jc w:val="both"/>
        <w:rPr>
          <w:rFonts w:ascii="Arial" w:hAnsi="Arial"/>
          <w:u w:val="single"/>
          <w:rtl/>
        </w:rPr>
      </w:pPr>
      <w:r>
        <w:rPr>
          <w:rFonts w:ascii="Arial" w:hAnsi="Arial" w:hint="cs"/>
          <w:b/>
          <w:bCs/>
          <w:u w:val="single"/>
          <w:rtl/>
        </w:rPr>
        <w:t>טיעונים לעונש</w:t>
      </w:r>
    </w:p>
    <w:p w14:paraId="04DD1BE0" w14:textId="77777777" w:rsidR="00D559C9" w:rsidRDefault="00D559C9" w:rsidP="00D559C9">
      <w:pPr>
        <w:spacing w:line="360" w:lineRule="auto"/>
        <w:ind w:left="720"/>
        <w:contextualSpacing/>
        <w:jc w:val="both"/>
        <w:rPr>
          <w:rFonts w:ascii="Arial" w:hAnsi="Arial"/>
          <w:rtl/>
        </w:rPr>
      </w:pPr>
    </w:p>
    <w:p w14:paraId="31831ECB" w14:textId="77777777" w:rsidR="00D559C9" w:rsidRDefault="00D559C9" w:rsidP="00D559C9">
      <w:pPr>
        <w:spacing w:line="360" w:lineRule="auto"/>
        <w:ind w:left="720"/>
        <w:contextualSpacing/>
        <w:jc w:val="both"/>
        <w:rPr>
          <w:rFonts w:ascii="Arial" w:hAnsi="Arial"/>
          <w:rtl/>
        </w:rPr>
      </w:pPr>
      <w:r>
        <w:rPr>
          <w:rFonts w:ascii="Arial" w:hAnsi="Arial" w:hint="cs"/>
          <w:rtl/>
        </w:rPr>
        <w:t xml:space="preserve">ביום 30.1.19 טענו הצדדים לעונש. ב"כ המאשימה הגיש טיעוניו בכתב, וב"כ הנאשם טען בע"פ . </w:t>
      </w:r>
    </w:p>
    <w:p w14:paraId="0E4110FD" w14:textId="77777777" w:rsidR="00D559C9" w:rsidRDefault="00D559C9" w:rsidP="00D559C9">
      <w:pPr>
        <w:spacing w:line="360" w:lineRule="auto"/>
        <w:ind w:left="720"/>
        <w:contextualSpacing/>
        <w:jc w:val="both"/>
        <w:rPr>
          <w:rFonts w:ascii="Arial" w:hAnsi="Arial"/>
          <w:rtl/>
        </w:rPr>
      </w:pPr>
    </w:p>
    <w:p w14:paraId="71357912" w14:textId="77777777" w:rsidR="00D559C9" w:rsidRDefault="00D559C9" w:rsidP="00D559C9">
      <w:pPr>
        <w:spacing w:line="360" w:lineRule="auto"/>
        <w:jc w:val="both"/>
        <w:rPr>
          <w:rFonts w:ascii="Arial" w:hAnsi="Arial"/>
          <w:u w:val="single"/>
          <w:rtl/>
        </w:rPr>
      </w:pPr>
      <w:r>
        <w:rPr>
          <w:rFonts w:ascii="Arial" w:hAnsi="Arial" w:hint="cs"/>
          <w:rtl/>
        </w:rPr>
        <w:t>4.</w:t>
      </w:r>
      <w:r w:rsidR="005D5E53">
        <w:rPr>
          <w:rFonts w:ascii="Arial" w:hAnsi="Arial" w:hint="cs"/>
          <w:b/>
          <w:bCs/>
          <w:rtl/>
        </w:rPr>
        <w:t xml:space="preserve">        </w:t>
      </w:r>
      <w:r>
        <w:rPr>
          <w:rFonts w:ascii="Arial" w:hAnsi="Arial" w:hint="cs"/>
          <w:b/>
          <w:bCs/>
          <w:rtl/>
        </w:rPr>
        <w:t xml:space="preserve"> </w:t>
      </w:r>
      <w:r>
        <w:rPr>
          <w:rFonts w:ascii="Arial" w:hAnsi="Arial" w:hint="cs"/>
          <w:rtl/>
        </w:rPr>
        <w:tab/>
      </w:r>
      <w:r>
        <w:rPr>
          <w:rFonts w:ascii="Arial" w:hAnsi="Arial" w:hint="cs"/>
          <w:u w:val="single"/>
          <w:rtl/>
        </w:rPr>
        <w:t xml:space="preserve">טיעוני ב"כ המאשימה </w:t>
      </w:r>
    </w:p>
    <w:p w14:paraId="2B72AC77" w14:textId="77777777" w:rsidR="00D559C9" w:rsidRDefault="00D559C9" w:rsidP="00D559C9">
      <w:pPr>
        <w:spacing w:line="360" w:lineRule="auto"/>
        <w:ind w:left="720"/>
        <w:jc w:val="both"/>
        <w:rPr>
          <w:rFonts w:ascii="Arial" w:hAnsi="Arial"/>
          <w:rtl/>
        </w:rPr>
      </w:pPr>
      <w:r>
        <w:rPr>
          <w:rFonts w:ascii="Arial" w:hAnsi="Arial" w:hint="cs"/>
          <w:rtl/>
        </w:rPr>
        <w:t xml:space="preserve">ב"כ המאשימה טען כי מתחם העונש ההולם נע בין 1 ל-3 שנות מאסר בפועל, וביקש להטיל על הנאשם עונש של שנת מאסר בצירוף מאסר על-תנאי משמעותי וקנס כספי. הנאשם נתפס כשהוא מוביל נשק ברכבו, באופן המלמד כי הנשק היה מיועד להעברה ממקום למקום. למעשה נזק פוטנציאלי רב. ב"כ המאשימה טען כי הובלת הנשק פגעה בערכים מוגנים של שלום הציבור וביטחונו. נטען, כי יש להלום את נסיבות המקרה בענישה ראויה שתסייע במיגור תופעת הנשק הבלתי חוקי במגזר הערבי, בשל הסיכון הטמון בשימוש בנשק חוקי על-ידי מי שאינו מורשה לכך. </w:t>
      </w:r>
    </w:p>
    <w:p w14:paraId="694F0DB2" w14:textId="77777777" w:rsidR="00D559C9" w:rsidRDefault="00D559C9" w:rsidP="00D559C9">
      <w:pPr>
        <w:spacing w:line="360" w:lineRule="auto"/>
        <w:ind w:left="720"/>
        <w:jc w:val="both"/>
        <w:rPr>
          <w:rFonts w:ascii="Arial" w:hAnsi="Arial"/>
          <w:rtl/>
        </w:rPr>
      </w:pPr>
      <w:r>
        <w:rPr>
          <w:rFonts w:ascii="Arial" w:hAnsi="Arial" w:hint="cs"/>
          <w:rtl/>
        </w:rPr>
        <w:lastRenderedPageBreak/>
        <w:t xml:space="preserve">באשר לנסיבות שאינן קשורות בביצוע העבירות נטען כי הנאשם אמנם נעדר עבר פלילי, הודה וחסך מזמנו של בית-המשפט, אך נסיבות אלה מקבלות משקל בעתירת המאשימה לעונש מאסר המצוי ברף התחתון של מתחם העונש ההולם לו טענה. </w:t>
      </w:r>
    </w:p>
    <w:p w14:paraId="18CD55E9" w14:textId="77777777" w:rsidR="00D559C9" w:rsidRDefault="00D559C9" w:rsidP="00D559C9">
      <w:pPr>
        <w:spacing w:line="360" w:lineRule="auto"/>
        <w:ind w:left="720"/>
        <w:jc w:val="both"/>
        <w:rPr>
          <w:rFonts w:ascii="Arial" w:hAnsi="Arial"/>
          <w:rtl/>
        </w:rPr>
      </w:pPr>
      <w:r>
        <w:rPr>
          <w:rFonts w:ascii="Arial" w:hAnsi="Arial" w:hint="cs"/>
          <w:rtl/>
        </w:rPr>
        <w:t xml:space="preserve"> </w:t>
      </w:r>
    </w:p>
    <w:p w14:paraId="186582DF" w14:textId="77777777" w:rsidR="00D559C9" w:rsidRDefault="005D5E53" w:rsidP="00D559C9">
      <w:pPr>
        <w:spacing w:line="360" w:lineRule="auto"/>
        <w:jc w:val="both"/>
        <w:rPr>
          <w:rFonts w:ascii="Arial" w:hAnsi="Arial"/>
          <w:u w:val="single"/>
          <w:rtl/>
        </w:rPr>
      </w:pPr>
      <w:r>
        <w:rPr>
          <w:rFonts w:ascii="Arial" w:hAnsi="Arial" w:hint="cs"/>
          <w:b/>
          <w:bCs/>
          <w:rtl/>
        </w:rPr>
        <w:t xml:space="preserve">        </w:t>
      </w:r>
      <w:r w:rsidR="00D559C9">
        <w:rPr>
          <w:rFonts w:ascii="Arial" w:hAnsi="Arial" w:hint="cs"/>
          <w:b/>
          <w:bCs/>
          <w:rtl/>
        </w:rPr>
        <w:t xml:space="preserve"> </w:t>
      </w:r>
      <w:r w:rsidR="00D559C9">
        <w:rPr>
          <w:rFonts w:ascii="Arial" w:hAnsi="Arial" w:hint="cs"/>
          <w:b/>
          <w:bCs/>
          <w:rtl/>
        </w:rPr>
        <w:tab/>
      </w:r>
      <w:r w:rsidR="00D559C9">
        <w:rPr>
          <w:rFonts w:ascii="Arial" w:hAnsi="Arial" w:hint="cs"/>
          <w:u w:val="single"/>
          <w:rtl/>
        </w:rPr>
        <w:t>טיעוני ב"כ הנאשם</w:t>
      </w:r>
    </w:p>
    <w:p w14:paraId="095A5379" w14:textId="77777777" w:rsidR="00D559C9" w:rsidRDefault="00D559C9" w:rsidP="00D559C9">
      <w:pPr>
        <w:spacing w:line="360" w:lineRule="auto"/>
        <w:ind w:left="720"/>
        <w:contextualSpacing/>
        <w:jc w:val="both"/>
        <w:rPr>
          <w:rFonts w:ascii="Arial" w:hAnsi="Arial"/>
          <w:rtl/>
        </w:rPr>
      </w:pPr>
      <w:r>
        <w:rPr>
          <w:rFonts w:ascii="Arial" w:hAnsi="Arial" w:hint="cs"/>
          <w:rtl/>
        </w:rPr>
        <w:t xml:space="preserve">ב"כ הנאשם ביקש מבית-המשפט להתחשב בנאשם ולהטיל עליו ששה חודשי מאסר בפועל, בניכוי ימי המעצר. נטען, כי הנשק נמצא בתא הכפפות של הרכב השייך לנאשם, כשהרכב נעול וחונה, ולא בנסיעה. לא ניתן היה לקבוע למשך כמה זמן הוחזק הנשק ברכב, ומדובר בנסיבה מקלה. אף שבתיק היו מעורבים נוספים שלא הועמדו לדין, הנאשם נטל אחריות, הודה ושיתף פעולה, הביע חרטה, וחסך זמן שיפוטי יקר. לנאשם, בן 46, אין עבר פלילי, זוהי הסתבכותו הראשונה ואין לראות בו מי שמנהל אורח חיים עברייני. לנאשם חמישה ילדים, שהוא האמון על פרנסתם. מאז מעצרו, מצבה הכלכלי של משפחתו התדרדר. </w:t>
      </w:r>
    </w:p>
    <w:p w14:paraId="6940EDBF" w14:textId="77777777" w:rsidR="00D559C9" w:rsidRDefault="00D559C9" w:rsidP="00D559C9">
      <w:pPr>
        <w:spacing w:line="360" w:lineRule="auto"/>
        <w:ind w:left="720"/>
        <w:contextualSpacing/>
        <w:jc w:val="both"/>
        <w:rPr>
          <w:rFonts w:ascii="Arial" w:hAnsi="Arial"/>
          <w:rtl/>
        </w:rPr>
      </w:pPr>
      <w:r>
        <w:rPr>
          <w:rFonts w:ascii="Arial" w:hAnsi="Arial" w:hint="cs"/>
          <w:rtl/>
        </w:rPr>
        <w:t xml:space="preserve">עוד טען הסנגור כי ביום האירוע נעצר אדם נוסף שבקטנועו, אשר חנה ליד רכבו של הנאשם, נמצא אקדח. הוגש נגדו כתב אישום לבית-המשפט המחוזי בנצרת, ונגזר עליו עונש מאסר של שנה ויום, בגין החזקת נשק והסתייעות ברכב לביצוע פשע. מדובר באדם שלו עבר פלילי. נטען כי ראוי להבחין את עניינו של הנאשם כאן ולהטיל עליו עונש קל יותר. </w:t>
      </w:r>
    </w:p>
    <w:p w14:paraId="7AED9957" w14:textId="77777777" w:rsidR="00D559C9" w:rsidRDefault="00D559C9" w:rsidP="00D559C9">
      <w:pPr>
        <w:spacing w:line="360" w:lineRule="auto"/>
        <w:ind w:left="720"/>
        <w:contextualSpacing/>
        <w:jc w:val="both"/>
        <w:rPr>
          <w:rFonts w:ascii="Arial" w:hAnsi="Arial"/>
          <w:rtl/>
        </w:rPr>
      </w:pPr>
      <w:r>
        <w:rPr>
          <w:rFonts w:ascii="Arial" w:hAnsi="Arial" w:hint="cs"/>
          <w:rtl/>
        </w:rPr>
        <w:t xml:space="preserve">עוד הפנה הסנגור לפסיקה עדכנית של בית-המשפט העליון התומכת, לדבריו, בטענתו שבמקרים דומים הוטלו גם תקופות מאסר קצרות יותר. </w:t>
      </w:r>
    </w:p>
    <w:p w14:paraId="0820A076" w14:textId="77777777" w:rsidR="00D559C9" w:rsidRDefault="00D559C9" w:rsidP="00D559C9">
      <w:pPr>
        <w:spacing w:line="360" w:lineRule="auto"/>
        <w:ind w:left="720"/>
        <w:contextualSpacing/>
        <w:jc w:val="both"/>
        <w:rPr>
          <w:rFonts w:ascii="Arial" w:hAnsi="Arial"/>
          <w:rtl/>
        </w:rPr>
      </w:pPr>
    </w:p>
    <w:p w14:paraId="66B87A19" w14:textId="77777777" w:rsidR="00D559C9" w:rsidRDefault="005D5E53" w:rsidP="00D559C9">
      <w:pPr>
        <w:spacing w:line="360" w:lineRule="auto"/>
        <w:jc w:val="both"/>
        <w:rPr>
          <w:rFonts w:ascii="Arial" w:hAnsi="Arial"/>
          <w:u w:val="single"/>
          <w:rtl/>
        </w:rPr>
      </w:pPr>
      <w:r>
        <w:rPr>
          <w:rFonts w:ascii="Arial" w:hAnsi="Arial" w:hint="cs"/>
          <w:rtl/>
        </w:rPr>
        <w:t xml:space="preserve">     </w:t>
      </w:r>
      <w:r w:rsidR="00D559C9">
        <w:rPr>
          <w:rFonts w:ascii="Arial" w:hAnsi="Arial" w:hint="cs"/>
          <w:rtl/>
        </w:rPr>
        <w:tab/>
      </w:r>
      <w:r w:rsidR="00D559C9">
        <w:rPr>
          <w:rFonts w:ascii="Arial" w:hAnsi="Arial" w:hint="cs"/>
          <w:u w:val="single"/>
          <w:rtl/>
        </w:rPr>
        <w:t>דברי הנאשם</w:t>
      </w:r>
    </w:p>
    <w:p w14:paraId="4E3109DE" w14:textId="77777777" w:rsidR="00D559C9" w:rsidRDefault="00D559C9" w:rsidP="00D559C9">
      <w:pPr>
        <w:spacing w:line="360" w:lineRule="auto"/>
        <w:ind w:left="720"/>
        <w:jc w:val="both"/>
        <w:rPr>
          <w:rFonts w:ascii="Arial" w:hAnsi="Arial"/>
          <w:rtl/>
        </w:rPr>
      </w:pPr>
      <w:r>
        <w:rPr>
          <w:rFonts w:ascii="Arial" w:hAnsi="Arial" w:hint="cs"/>
          <w:rtl/>
        </w:rPr>
        <w:t xml:space="preserve">הנאשם הביע צער, ומסר כי לא ישוב על המעשים. הוא ביקש לחזור למשפחתו ולעבודתו. </w:t>
      </w:r>
    </w:p>
    <w:p w14:paraId="4A545BFF" w14:textId="77777777" w:rsidR="00D559C9" w:rsidRDefault="00D559C9" w:rsidP="00D559C9">
      <w:pPr>
        <w:spacing w:line="360" w:lineRule="auto"/>
        <w:ind w:left="720"/>
        <w:jc w:val="both"/>
        <w:rPr>
          <w:rFonts w:ascii="Arial" w:hAnsi="Arial"/>
          <w:rtl/>
        </w:rPr>
      </w:pPr>
    </w:p>
    <w:p w14:paraId="215A1104" w14:textId="77777777" w:rsidR="00D559C9" w:rsidRDefault="00D559C9" w:rsidP="00D559C9">
      <w:pPr>
        <w:spacing w:line="360" w:lineRule="auto"/>
        <w:jc w:val="both"/>
        <w:rPr>
          <w:rFonts w:ascii="Arial" w:hAnsi="Arial"/>
          <w:b/>
          <w:bCs/>
          <w:u w:val="single"/>
          <w:rtl/>
        </w:rPr>
      </w:pPr>
      <w:r>
        <w:rPr>
          <w:rFonts w:ascii="Arial" w:hAnsi="Arial" w:hint="cs"/>
          <w:b/>
          <w:bCs/>
          <w:u w:val="single"/>
          <w:rtl/>
        </w:rPr>
        <w:t>דיון והכרעה</w:t>
      </w:r>
    </w:p>
    <w:p w14:paraId="174B95F4" w14:textId="77777777" w:rsidR="00D559C9" w:rsidRDefault="00D559C9" w:rsidP="00D559C9">
      <w:pPr>
        <w:spacing w:line="360" w:lineRule="auto"/>
        <w:jc w:val="both"/>
        <w:rPr>
          <w:rFonts w:ascii="Arial" w:hAnsi="Arial"/>
          <w:rtl/>
        </w:rPr>
      </w:pPr>
    </w:p>
    <w:p w14:paraId="49C480C4" w14:textId="77777777" w:rsidR="00D559C9" w:rsidRDefault="005D5E53" w:rsidP="00D559C9">
      <w:pPr>
        <w:spacing w:line="360" w:lineRule="auto"/>
        <w:jc w:val="both"/>
        <w:rPr>
          <w:u w:val="single"/>
          <w:rtl/>
        </w:rPr>
      </w:pPr>
      <w:r>
        <w:rPr>
          <w:rFonts w:ascii="Arial" w:hAnsi="Arial" w:hint="cs"/>
          <w:rtl/>
        </w:rPr>
        <w:t xml:space="preserve">           </w:t>
      </w:r>
      <w:r w:rsidR="00D559C9">
        <w:rPr>
          <w:rFonts w:ascii="Arial" w:hAnsi="Arial" w:hint="cs"/>
          <w:rtl/>
        </w:rPr>
        <w:t xml:space="preserve"> </w:t>
      </w:r>
      <w:r w:rsidR="00D559C9">
        <w:rPr>
          <w:rFonts w:ascii="Arial" w:hAnsi="Arial" w:hint="cs"/>
          <w:rtl/>
        </w:rPr>
        <w:tab/>
        <w:t xml:space="preserve"> </w:t>
      </w:r>
      <w:r w:rsidR="00D559C9">
        <w:rPr>
          <w:rFonts w:ascii="Arial" w:hAnsi="Arial" w:hint="cs"/>
          <w:u w:val="single"/>
          <w:rtl/>
        </w:rPr>
        <w:t>מתחם העונש ההולם</w:t>
      </w:r>
    </w:p>
    <w:p w14:paraId="128CB1DA" w14:textId="77777777" w:rsidR="00D559C9" w:rsidRDefault="00D559C9" w:rsidP="00D559C9">
      <w:pPr>
        <w:spacing w:line="360" w:lineRule="auto"/>
        <w:ind w:left="800" w:hanging="800"/>
        <w:contextualSpacing/>
        <w:jc w:val="both"/>
        <w:rPr>
          <w:rFonts w:ascii="Arial" w:hAnsi="Arial"/>
          <w:rtl/>
        </w:rPr>
      </w:pPr>
      <w:r>
        <w:rPr>
          <w:rFonts w:ascii="Arial" w:hAnsi="Arial" w:hint="cs"/>
          <w:rtl/>
        </w:rPr>
        <w:t>5.</w:t>
      </w:r>
      <w:r w:rsidR="005D5E53">
        <w:rPr>
          <w:rFonts w:ascii="Arial" w:hAnsi="Arial" w:hint="cs"/>
          <w:rtl/>
        </w:rPr>
        <w:t xml:space="preserve">       </w:t>
      </w:r>
      <w:r>
        <w:rPr>
          <w:rFonts w:ascii="Arial" w:hAnsi="Arial" w:hint="cs"/>
          <w:rtl/>
        </w:rPr>
        <w:t xml:space="preserve"> </w:t>
      </w:r>
      <w:r>
        <w:rPr>
          <w:rFonts w:ascii="Arial" w:hAnsi="Arial" w:hint="cs"/>
          <w:rtl/>
        </w:rPr>
        <w:tab/>
        <w:t xml:space="preserve">הערכים החברתיים המוגנים הנפגעים כתוצאה מהעבירה של </w:t>
      </w:r>
      <w:r>
        <w:rPr>
          <w:rFonts w:ascii="Arial" w:hAnsi="Arial" w:hint="cs"/>
          <w:b/>
          <w:bCs/>
          <w:rtl/>
        </w:rPr>
        <w:t>נשיאה והובלת נשק</w:t>
      </w:r>
      <w:r>
        <w:rPr>
          <w:rFonts w:ascii="Arial" w:hAnsi="Arial" w:hint="cs"/>
          <w:rtl/>
        </w:rPr>
        <w:t xml:space="preserve"> הם שלום הציבור ובטחונו. בתי המשפט עמדו לא אחת על חומרתן של עבירות הנשק, תוך הדגשת הסיכון הממשי לציבור הנובע מעבירות אלה. החזקת נשק על ידי אזרחים יוצרת מטבעה פוטנציאל להסלמה עבריינית או לפעילות עוינת. בהתאם להלכה הפסוקה, חומרת עבירות הנשק מחייבת מתן ביטוי עונשי הולם ומרתיע באמצעות הטלת עונשי מאסר בפועל, כשנסיבות אישיות נדחות בפני האינטרס הציבורי. </w:t>
      </w:r>
    </w:p>
    <w:p w14:paraId="3A8FB915" w14:textId="77777777" w:rsidR="00D559C9" w:rsidRDefault="00D559C9" w:rsidP="00D559C9">
      <w:pPr>
        <w:spacing w:after="160" w:line="360" w:lineRule="auto"/>
        <w:ind w:left="800"/>
        <w:contextualSpacing/>
        <w:jc w:val="both"/>
        <w:rPr>
          <w:rFonts w:ascii="Calibri" w:hAnsi="Calibri"/>
          <w:rtl/>
        </w:rPr>
      </w:pPr>
      <w:r>
        <w:rPr>
          <w:rFonts w:ascii="Arial" w:hAnsi="Arial" w:hint="cs"/>
          <w:rtl/>
        </w:rPr>
        <w:t>ב</w:t>
      </w:r>
      <w:hyperlink r:id="rId15" w:history="1">
        <w:r w:rsidR="005D5E53" w:rsidRPr="005D5E53">
          <w:rPr>
            <w:rFonts w:ascii="Arial" w:hAnsi="Arial"/>
            <w:color w:val="0000FF"/>
            <w:u w:val="single"/>
            <w:rtl/>
          </w:rPr>
          <w:t>ע"פ 5220/09</w:t>
        </w:r>
      </w:hyperlink>
      <w:r>
        <w:rPr>
          <w:rFonts w:ascii="Arial" w:hAnsi="Arial" w:hint="cs"/>
          <w:rtl/>
        </w:rPr>
        <w:t xml:space="preserve"> </w:t>
      </w:r>
      <w:r>
        <w:rPr>
          <w:rFonts w:ascii="Arial" w:hAnsi="Arial" w:hint="cs"/>
          <w:b/>
          <w:bCs/>
          <w:rtl/>
        </w:rPr>
        <w:t>עוואודה נ' מדינת ישראל</w:t>
      </w:r>
      <w:r>
        <w:rPr>
          <w:rFonts w:ascii="Arial" w:hAnsi="Arial" w:hint="cs"/>
          <w:rtl/>
        </w:rPr>
        <w:t xml:space="preserve"> </w:t>
      </w:r>
      <w:r w:rsidR="003257EF" w:rsidRPr="003257EF">
        <w:rPr>
          <w:sz w:val="22"/>
          <w:rtl/>
        </w:rPr>
        <w:t xml:space="preserve">[פורסם בנבו] </w:t>
      </w:r>
      <w:r>
        <w:rPr>
          <w:rFonts w:ascii="Arial" w:hAnsi="Arial" w:hint="cs"/>
          <w:rtl/>
        </w:rPr>
        <w:t xml:space="preserve">(30.12.09) נקבע כי דרך המלך בעבירות נשק צריכה להיות ככלל מאסר מאחורי סורג ובריח. </w:t>
      </w:r>
    </w:p>
    <w:p w14:paraId="36BC4002" w14:textId="77777777" w:rsidR="00D559C9" w:rsidRDefault="00D559C9" w:rsidP="00D559C9">
      <w:pPr>
        <w:spacing w:after="160" w:line="360" w:lineRule="auto"/>
        <w:ind w:left="800"/>
        <w:contextualSpacing/>
        <w:jc w:val="both"/>
        <w:rPr>
          <w:rFonts w:ascii="Calibri" w:hAnsi="Calibri"/>
          <w:rtl/>
        </w:rPr>
      </w:pPr>
      <w:r>
        <w:rPr>
          <w:rFonts w:ascii="Calibri" w:hAnsi="Calibri" w:hint="cs"/>
          <w:rtl/>
        </w:rPr>
        <w:t>פסיקת בית המשפט העליון מהשנים האחרונות הובילה במוצהר קו של החמרת ענישה בעבירות נשק, תוך התערבות בגזרי דין של ערכאות נמוכות יותר, אף בניגוד לכלל הנוהג לפיו ערכאת הערעור ממעטת להחמיר בענישה. גישה זו מבטאת את ההכרה בהתפשטותן המדאיגה של עבירות הנשק, בעליית רמת האלימות בחברה, ובסיכון הממשי לציבור, בשל השימוש התדיר בנשק לפתרון סכסוכים ולשם ביצוע עבירות.</w:t>
      </w:r>
    </w:p>
    <w:p w14:paraId="6EF05D59" w14:textId="77777777" w:rsidR="00D559C9" w:rsidRDefault="00D559C9" w:rsidP="00D559C9">
      <w:pPr>
        <w:spacing w:after="160" w:line="360" w:lineRule="auto"/>
        <w:ind w:left="800"/>
        <w:contextualSpacing/>
        <w:jc w:val="both"/>
        <w:rPr>
          <w:rFonts w:ascii="Calibri" w:hAnsi="Calibri"/>
          <w:rtl/>
        </w:rPr>
      </w:pPr>
    </w:p>
    <w:p w14:paraId="163A0A42" w14:textId="77777777" w:rsidR="00D559C9" w:rsidRDefault="00D559C9" w:rsidP="00D559C9">
      <w:pPr>
        <w:spacing w:after="160" w:line="360" w:lineRule="auto"/>
        <w:ind w:left="800"/>
        <w:contextualSpacing/>
        <w:jc w:val="both"/>
        <w:rPr>
          <w:rFonts w:ascii="Calibri" w:hAnsi="Calibri"/>
          <w:rtl/>
        </w:rPr>
      </w:pPr>
      <w:r>
        <w:rPr>
          <w:rFonts w:ascii="Calibri" w:hAnsi="Calibri" w:hint="cs"/>
          <w:rtl/>
        </w:rPr>
        <w:t>ראה לעניין זה את דברי ביהמ"ש העליון מהעת האחרונה ב</w:t>
      </w:r>
      <w:hyperlink r:id="rId16" w:history="1">
        <w:r w:rsidR="005D5E53" w:rsidRPr="005D5E53">
          <w:rPr>
            <w:rFonts w:ascii="Calibri" w:hAnsi="Calibri" w:hint="eastAsia"/>
            <w:color w:val="0000FF"/>
            <w:u w:val="single"/>
            <w:rtl/>
          </w:rPr>
          <w:t>ע</w:t>
        </w:r>
        <w:r w:rsidR="005D5E53" w:rsidRPr="005D5E53">
          <w:rPr>
            <w:rFonts w:ascii="Calibri" w:hAnsi="Calibri"/>
            <w:color w:val="0000FF"/>
            <w:u w:val="single"/>
            <w:rtl/>
          </w:rPr>
          <w:t>"</w:t>
        </w:r>
        <w:r w:rsidR="005D5E53" w:rsidRPr="005D5E53">
          <w:rPr>
            <w:rFonts w:ascii="Calibri" w:hAnsi="Calibri" w:hint="eastAsia"/>
            <w:color w:val="0000FF"/>
            <w:u w:val="single"/>
            <w:rtl/>
          </w:rPr>
          <w:t>פ</w:t>
        </w:r>
        <w:r w:rsidR="005D5E53" w:rsidRPr="005D5E53">
          <w:rPr>
            <w:rFonts w:ascii="Calibri" w:hAnsi="Calibri"/>
            <w:color w:val="0000FF"/>
            <w:u w:val="single"/>
            <w:rtl/>
          </w:rPr>
          <w:t xml:space="preserve"> 4406/19</w:t>
        </w:r>
      </w:hyperlink>
      <w:r>
        <w:rPr>
          <w:rFonts w:ascii="Calibri" w:hAnsi="Calibri" w:hint="cs"/>
          <w:rtl/>
        </w:rPr>
        <w:t xml:space="preserve">, מ"י נ' סובח ואח' </w:t>
      </w:r>
      <w:r w:rsidR="003257EF" w:rsidRPr="003257EF">
        <w:rPr>
          <w:sz w:val="22"/>
          <w:rtl/>
        </w:rPr>
        <w:t>[</w:t>
      </w:r>
      <w:r w:rsidR="003257EF" w:rsidRPr="003257EF">
        <w:rPr>
          <w:rFonts w:hint="eastAsia"/>
          <w:sz w:val="22"/>
          <w:rtl/>
        </w:rPr>
        <w:t>פורסם</w:t>
      </w:r>
      <w:r w:rsidR="003257EF" w:rsidRPr="003257EF">
        <w:rPr>
          <w:sz w:val="22"/>
          <w:rtl/>
        </w:rPr>
        <w:t xml:space="preserve"> </w:t>
      </w:r>
      <w:r w:rsidR="003257EF" w:rsidRPr="003257EF">
        <w:rPr>
          <w:rFonts w:hint="eastAsia"/>
          <w:sz w:val="22"/>
          <w:rtl/>
        </w:rPr>
        <w:t>בנבו</w:t>
      </w:r>
      <w:r w:rsidR="003257EF" w:rsidRPr="003257EF">
        <w:rPr>
          <w:sz w:val="22"/>
          <w:rtl/>
        </w:rPr>
        <w:t xml:space="preserve">] </w:t>
      </w:r>
      <w:r>
        <w:rPr>
          <w:rFonts w:ascii="Calibri" w:hAnsi="Calibri" w:hint="cs"/>
          <w:rtl/>
        </w:rPr>
        <w:t>(5/11/19) (דברי כב' הש' אלרון, פסקה 17):</w:t>
      </w:r>
    </w:p>
    <w:p w14:paraId="4BA8413F" w14:textId="77777777" w:rsidR="00D559C9" w:rsidRDefault="00D559C9" w:rsidP="00D559C9">
      <w:pPr>
        <w:spacing w:after="160" w:line="360" w:lineRule="auto"/>
        <w:ind w:left="800"/>
        <w:contextualSpacing/>
        <w:jc w:val="both"/>
        <w:rPr>
          <w:rFonts w:ascii="Calibri" w:hAnsi="Calibri"/>
          <w:rtl/>
        </w:rPr>
      </w:pPr>
    </w:p>
    <w:p w14:paraId="10DBDB5E" w14:textId="77777777" w:rsidR="00D559C9" w:rsidRDefault="00D559C9" w:rsidP="00D559C9">
      <w:pPr>
        <w:tabs>
          <w:tab w:val="left" w:pos="800"/>
          <w:tab w:val="num" w:pos="907"/>
        </w:tabs>
        <w:overflowPunct w:val="0"/>
        <w:autoSpaceDE w:val="0"/>
        <w:autoSpaceDN w:val="0"/>
        <w:adjustRightInd w:val="0"/>
        <w:spacing w:after="420" w:line="360" w:lineRule="auto"/>
        <w:ind w:left="800"/>
        <w:jc w:val="both"/>
        <w:textAlignment w:val="baseline"/>
        <w:rPr>
          <w:rFonts w:ascii="David" w:hAnsi="David"/>
          <w:b/>
          <w:bCs/>
          <w:spacing w:val="10"/>
          <w:rtl/>
        </w:rPr>
      </w:pPr>
      <w:r>
        <w:rPr>
          <w:rFonts w:hint="cs"/>
          <w:b/>
          <w:bCs/>
          <w:spacing w:val="10"/>
          <w:rtl/>
        </w:rPr>
        <w:tab/>
        <w:t xml:space="preserve">"בית משפט זה לא נותר אדיש למול השימוש הגובר בנשק חם, והדגיש לא אחת את הצורך בענישה מחמירה ומרתיעה כלפי השימוש בו לשם פתרון סכסוכים. זאת במיוחד כאשר השימוש בו נעשה בסביבת בתי מגורים. כך למשל, בעניין </w:t>
      </w:r>
      <w:r>
        <w:rPr>
          <w:rFonts w:hint="cs"/>
          <w:b/>
          <w:bCs/>
          <w:rtl/>
        </w:rPr>
        <w:t>עמאש</w:t>
      </w:r>
      <w:r>
        <w:rPr>
          <w:rFonts w:hint="cs"/>
          <w:b/>
          <w:bCs/>
          <w:spacing w:val="10"/>
          <w:rtl/>
        </w:rPr>
        <w:t xml:space="preserve"> צוין כי:</w:t>
      </w:r>
    </w:p>
    <w:p w14:paraId="5D7B5194" w14:textId="77777777" w:rsidR="00D559C9" w:rsidRDefault="00D559C9" w:rsidP="00D559C9">
      <w:pPr>
        <w:overflowPunct w:val="0"/>
        <w:autoSpaceDE w:val="0"/>
        <w:autoSpaceDN w:val="0"/>
        <w:adjustRightInd w:val="0"/>
        <w:spacing w:after="420"/>
        <w:ind w:left="1644" w:right="1276"/>
        <w:contextualSpacing/>
        <w:jc w:val="both"/>
        <w:textAlignment w:val="baseline"/>
        <w:rPr>
          <w:b/>
          <w:bCs/>
          <w:spacing w:val="10"/>
          <w:rtl/>
        </w:rPr>
      </w:pPr>
      <w:r>
        <w:rPr>
          <w:rFonts w:hint="cs"/>
          <w:b/>
          <w:bCs/>
          <w:spacing w:val="10"/>
          <w:rtl/>
        </w:rPr>
        <w:t>"רבות נאמר ונכתב על הרעה החולה הפוקדת את מקומותינו ומותירה חלל והרס, היא התופעה של שימוש בנשק חם ברחובה של עיר, גם בשל סכסוכים בעניינים של מה בכך. בית משפט זה חזר והתריע מפני התפשטות התופעה, וקבע באופן ברור כי יש להילחם בה ולמגרה באופן הנחרץ ביותר" (</w:t>
      </w:r>
      <w:hyperlink r:id="rId17" w:history="1">
        <w:r w:rsidR="005D5E53" w:rsidRPr="005D5E53">
          <w:rPr>
            <w:b/>
            <w:bCs/>
            <w:color w:val="0000FF"/>
            <w:spacing w:val="10"/>
            <w:u w:val="single"/>
            <w:rtl/>
          </w:rPr>
          <w:t>ע"פ 32/14</w:t>
        </w:r>
      </w:hyperlink>
      <w:r>
        <w:rPr>
          <w:b/>
          <w:bCs/>
          <w:spacing w:val="10"/>
          <w:rtl/>
        </w:rPr>
        <w:t xml:space="preserve"> </w:t>
      </w:r>
      <w:r>
        <w:rPr>
          <w:rFonts w:hint="cs"/>
          <w:b/>
          <w:bCs/>
          <w:rtl/>
        </w:rPr>
        <w:t>עמאש נ' מדינת ישראל</w:t>
      </w:r>
      <w:r>
        <w:rPr>
          <w:rFonts w:hint="cs"/>
          <w:b/>
          <w:bCs/>
          <w:spacing w:val="10"/>
          <w:rtl/>
        </w:rPr>
        <w:t xml:space="preserve">, </w:t>
      </w:r>
      <w:r>
        <w:rPr>
          <w:rFonts w:hint="cs"/>
          <w:b/>
          <w:bCs/>
          <w:rtl/>
        </w:rPr>
        <w:t xml:space="preserve">[פורסם בנבו] </w:t>
      </w:r>
      <w:r>
        <w:rPr>
          <w:rFonts w:hint="cs"/>
          <w:b/>
          <w:bCs/>
          <w:spacing w:val="10"/>
          <w:rtl/>
        </w:rPr>
        <w:t xml:space="preserve">בפסקה 20 (17.9.2015); ראו גם: </w:t>
      </w:r>
      <w:hyperlink r:id="rId18" w:history="1">
        <w:r w:rsidR="005D5E53" w:rsidRPr="005D5E53">
          <w:rPr>
            <w:b/>
            <w:bCs/>
            <w:color w:val="0000FF"/>
            <w:spacing w:val="10"/>
            <w:u w:val="single"/>
            <w:rtl/>
          </w:rPr>
          <w:t>ע"פ 4611/18</w:t>
        </w:r>
      </w:hyperlink>
      <w:r>
        <w:rPr>
          <w:b/>
          <w:bCs/>
          <w:spacing w:val="10"/>
          <w:rtl/>
        </w:rPr>
        <w:t xml:space="preserve"> </w:t>
      </w:r>
      <w:r>
        <w:rPr>
          <w:rFonts w:hint="cs"/>
          <w:b/>
          <w:bCs/>
          <w:rtl/>
        </w:rPr>
        <w:t>נאסר נ' מדינת ישראל</w:t>
      </w:r>
      <w:r>
        <w:rPr>
          <w:rFonts w:hint="cs"/>
          <w:b/>
          <w:bCs/>
          <w:spacing w:val="10"/>
          <w:rtl/>
        </w:rPr>
        <w:t xml:space="preserve">, </w:t>
      </w:r>
      <w:r>
        <w:rPr>
          <w:rFonts w:hint="cs"/>
          <w:b/>
          <w:bCs/>
          <w:rtl/>
        </w:rPr>
        <w:t xml:space="preserve">[פורסם בנבו] </w:t>
      </w:r>
      <w:r>
        <w:rPr>
          <w:rFonts w:hint="cs"/>
          <w:b/>
          <w:bCs/>
          <w:spacing w:val="10"/>
          <w:rtl/>
        </w:rPr>
        <w:t xml:space="preserve">בפסקה 5 (10.3.2019); </w:t>
      </w:r>
      <w:hyperlink r:id="rId19" w:history="1">
        <w:r w:rsidR="005D5E53" w:rsidRPr="005D5E53">
          <w:rPr>
            <w:b/>
            <w:bCs/>
            <w:color w:val="0000FF"/>
            <w:spacing w:val="10"/>
            <w:u w:val="single"/>
            <w:rtl/>
          </w:rPr>
          <w:t>ע"פ 5015/15</w:t>
        </w:r>
      </w:hyperlink>
      <w:r>
        <w:rPr>
          <w:b/>
          <w:bCs/>
          <w:spacing w:val="10"/>
          <w:rtl/>
        </w:rPr>
        <w:t xml:space="preserve"> </w:t>
      </w:r>
      <w:r>
        <w:rPr>
          <w:rFonts w:hint="cs"/>
          <w:b/>
          <w:bCs/>
          <w:rtl/>
        </w:rPr>
        <w:t>מדינת ישראל נ' ריאן</w:t>
      </w:r>
      <w:r>
        <w:rPr>
          <w:rFonts w:hint="cs"/>
          <w:b/>
          <w:bCs/>
          <w:spacing w:val="10"/>
          <w:rtl/>
        </w:rPr>
        <w:t xml:space="preserve">, </w:t>
      </w:r>
      <w:r>
        <w:rPr>
          <w:rFonts w:hint="cs"/>
          <w:b/>
          <w:bCs/>
          <w:rtl/>
        </w:rPr>
        <w:t xml:space="preserve">[פורסם בנבו] </w:t>
      </w:r>
      <w:r>
        <w:rPr>
          <w:rFonts w:hint="cs"/>
          <w:b/>
          <w:bCs/>
          <w:spacing w:val="10"/>
          <w:rtl/>
        </w:rPr>
        <w:t>בפסקה 12 (29.3.2016)).</w:t>
      </w:r>
    </w:p>
    <w:p w14:paraId="5EF58FF4" w14:textId="77777777" w:rsidR="00D559C9" w:rsidRDefault="00D559C9" w:rsidP="00D559C9">
      <w:pPr>
        <w:overflowPunct w:val="0"/>
        <w:autoSpaceDE w:val="0"/>
        <w:autoSpaceDN w:val="0"/>
        <w:adjustRightInd w:val="0"/>
        <w:spacing w:after="420" w:line="360" w:lineRule="auto"/>
        <w:ind w:left="1644" w:right="1276"/>
        <w:contextualSpacing/>
        <w:jc w:val="both"/>
        <w:textAlignment w:val="baseline"/>
        <w:rPr>
          <w:b/>
          <w:bCs/>
          <w:spacing w:val="10"/>
          <w:rtl/>
        </w:rPr>
      </w:pPr>
    </w:p>
    <w:p w14:paraId="0DA060C8" w14:textId="77777777" w:rsidR="00D559C9" w:rsidRDefault="00D559C9" w:rsidP="00D559C9">
      <w:pPr>
        <w:tabs>
          <w:tab w:val="left" w:pos="800"/>
        </w:tabs>
        <w:overflowPunct w:val="0"/>
        <w:autoSpaceDE w:val="0"/>
        <w:autoSpaceDN w:val="0"/>
        <w:adjustRightInd w:val="0"/>
        <w:spacing w:after="420" w:line="360" w:lineRule="auto"/>
        <w:ind w:left="720"/>
        <w:jc w:val="both"/>
        <w:textAlignment w:val="baseline"/>
        <w:rPr>
          <w:b/>
          <w:bCs/>
          <w:spacing w:val="10"/>
          <w:rtl/>
        </w:rPr>
      </w:pPr>
      <w:r>
        <w:rPr>
          <w:rFonts w:hint="cs"/>
          <w:b/>
          <w:bCs/>
          <w:spacing w:val="10"/>
          <w:rtl/>
        </w:rPr>
        <w:t xml:space="preserve">דברים אלו אף באו לידי ביטוי לאחרונה בדברי הנשיאה </w:t>
      </w:r>
      <w:r>
        <w:rPr>
          <w:rFonts w:hint="cs"/>
          <w:b/>
          <w:bCs/>
          <w:rtl/>
        </w:rPr>
        <w:t>א' חיות</w:t>
      </w:r>
      <w:r>
        <w:rPr>
          <w:rFonts w:hint="cs"/>
          <w:b/>
          <w:bCs/>
          <w:spacing w:val="10"/>
          <w:rtl/>
        </w:rPr>
        <w:t xml:space="preserve"> בטקס פתיחת שנת המשפט הנוכחית של לשכת עורכי הדין בנצרת:</w:t>
      </w:r>
    </w:p>
    <w:p w14:paraId="5CAD83AA" w14:textId="77777777" w:rsidR="00D559C9" w:rsidRDefault="00D559C9" w:rsidP="00D559C9">
      <w:pPr>
        <w:overflowPunct w:val="0"/>
        <w:autoSpaceDE w:val="0"/>
        <w:autoSpaceDN w:val="0"/>
        <w:adjustRightInd w:val="0"/>
        <w:spacing w:after="420"/>
        <w:ind w:left="1644" w:right="1276"/>
        <w:contextualSpacing/>
        <w:jc w:val="both"/>
        <w:textAlignment w:val="baseline"/>
        <w:rPr>
          <w:b/>
          <w:bCs/>
          <w:spacing w:val="10"/>
          <w:rtl/>
        </w:rPr>
      </w:pPr>
      <w:r>
        <w:rPr>
          <w:rFonts w:hint="cs"/>
          <w:b/>
          <w:bCs/>
          <w:spacing w:val="10"/>
          <w:rtl/>
        </w:rPr>
        <w:t>"מערכת בתי המשפט משקיעה מאמצים רבים בתחום זה, ובית המשפט העליון התווה וממשיך להתוות הלכות לאורך השנים באשר לרמת הענישה ההולמת את החומרה היתרה הגלומה בביצוע עבירות בנשק ובאשר לביטוי העונשי ההולם המתחייב מכך".</w:t>
      </w:r>
    </w:p>
    <w:p w14:paraId="07A0F4A4" w14:textId="77777777" w:rsidR="00D559C9" w:rsidRDefault="00D559C9" w:rsidP="00D559C9">
      <w:pPr>
        <w:overflowPunct w:val="0"/>
        <w:autoSpaceDE w:val="0"/>
        <w:autoSpaceDN w:val="0"/>
        <w:adjustRightInd w:val="0"/>
        <w:spacing w:after="420" w:line="360" w:lineRule="auto"/>
        <w:ind w:left="1644" w:right="1276"/>
        <w:contextualSpacing/>
        <w:jc w:val="both"/>
        <w:textAlignment w:val="baseline"/>
        <w:rPr>
          <w:b/>
          <w:bCs/>
          <w:spacing w:val="10"/>
          <w:rtl/>
        </w:rPr>
      </w:pPr>
    </w:p>
    <w:p w14:paraId="44D5EFED" w14:textId="77777777" w:rsidR="00D559C9" w:rsidRDefault="00D559C9" w:rsidP="00D559C9">
      <w:pPr>
        <w:tabs>
          <w:tab w:val="left" w:pos="800"/>
        </w:tabs>
        <w:overflowPunct w:val="0"/>
        <w:autoSpaceDE w:val="0"/>
        <w:autoSpaceDN w:val="0"/>
        <w:adjustRightInd w:val="0"/>
        <w:spacing w:after="420" w:line="360" w:lineRule="auto"/>
        <w:ind w:left="720" w:firstLine="79"/>
        <w:jc w:val="both"/>
        <w:textAlignment w:val="baseline"/>
        <w:rPr>
          <w:b/>
          <w:bCs/>
          <w:spacing w:val="10"/>
          <w:rtl/>
        </w:rPr>
      </w:pPr>
      <w:r>
        <w:rPr>
          <w:rFonts w:hint="cs"/>
          <w:b/>
          <w:bCs/>
          <w:spacing w:val="10"/>
          <w:rtl/>
        </w:rPr>
        <w:t>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w:t>
      </w:r>
    </w:p>
    <w:p w14:paraId="5E62215A" w14:textId="77777777" w:rsidR="00D559C9" w:rsidRDefault="005D5E53" w:rsidP="00D559C9">
      <w:pPr>
        <w:spacing w:line="360" w:lineRule="auto"/>
        <w:ind w:left="800" w:hanging="800"/>
        <w:contextualSpacing/>
        <w:jc w:val="both"/>
        <w:rPr>
          <w:rFonts w:ascii="Arial" w:hAnsi="Arial"/>
          <w:u w:val="single"/>
          <w:rtl/>
        </w:rPr>
      </w:pPr>
      <w:r>
        <w:rPr>
          <w:rFonts w:ascii="Arial" w:hAnsi="Arial" w:hint="cs"/>
          <w:rtl/>
        </w:rPr>
        <w:t xml:space="preserve">         </w:t>
      </w:r>
      <w:r w:rsidR="00D559C9">
        <w:rPr>
          <w:rFonts w:ascii="Arial" w:hAnsi="Arial" w:hint="cs"/>
          <w:rtl/>
        </w:rPr>
        <w:t xml:space="preserve">   </w:t>
      </w:r>
      <w:r w:rsidR="00D559C9">
        <w:rPr>
          <w:rFonts w:ascii="Arial" w:hAnsi="Arial" w:hint="cs"/>
          <w:u w:val="single"/>
          <w:rtl/>
        </w:rPr>
        <w:t>נסיבות הקשורות בביצוע העבירות</w:t>
      </w:r>
    </w:p>
    <w:p w14:paraId="75A653C2" w14:textId="77777777" w:rsidR="00D559C9" w:rsidRDefault="00D559C9" w:rsidP="00D559C9">
      <w:pPr>
        <w:overflowPunct w:val="0"/>
        <w:autoSpaceDE w:val="0"/>
        <w:autoSpaceDN w:val="0"/>
        <w:spacing w:line="360" w:lineRule="auto"/>
        <w:jc w:val="both"/>
        <w:rPr>
          <w:rFonts w:ascii="Arial" w:hAnsi="Arial"/>
          <w:u w:val="single"/>
        </w:rPr>
      </w:pPr>
    </w:p>
    <w:p w14:paraId="08E8200F" w14:textId="77777777" w:rsidR="00D559C9" w:rsidRDefault="00D559C9" w:rsidP="00D559C9">
      <w:pPr>
        <w:overflowPunct w:val="0"/>
        <w:autoSpaceDE w:val="0"/>
        <w:autoSpaceDN w:val="0"/>
        <w:spacing w:line="360" w:lineRule="auto"/>
        <w:ind w:left="795" w:hanging="795"/>
        <w:jc w:val="both"/>
        <w:rPr>
          <w:rFonts w:ascii="Arial" w:hAnsi="Arial"/>
          <w:sz w:val="22"/>
          <w:szCs w:val="22"/>
          <w:rtl/>
        </w:rPr>
      </w:pPr>
      <w:r>
        <w:rPr>
          <w:rFonts w:ascii="Arial" w:hAnsi="Arial" w:hint="cs"/>
          <w:rtl/>
        </w:rPr>
        <w:t>6.</w:t>
      </w:r>
      <w:r w:rsidR="005D5E53">
        <w:rPr>
          <w:rFonts w:ascii="Arial" w:hAnsi="Arial" w:hint="cs"/>
          <w:rtl/>
        </w:rPr>
        <w:t xml:space="preserve">       </w:t>
      </w:r>
      <w:r>
        <w:rPr>
          <w:rFonts w:ascii="Arial" w:hAnsi="Arial" w:hint="cs"/>
          <w:rtl/>
        </w:rPr>
        <w:t xml:space="preserve"> </w:t>
      </w:r>
      <w:r>
        <w:rPr>
          <w:rFonts w:ascii="Arial" w:hAnsi="Arial" w:hint="cs"/>
          <w:rtl/>
        </w:rPr>
        <w:tab/>
        <w:t xml:space="preserve">הנאשם נמצא מחזיק ברכבו, בנצרת, אקדח ומחסנית תואמת ובה שלושה-עשר כדורים. </w:t>
      </w:r>
    </w:p>
    <w:p w14:paraId="4C228630" w14:textId="77777777" w:rsidR="00D559C9" w:rsidRDefault="00D559C9" w:rsidP="00D559C9">
      <w:pPr>
        <w:overflowPunct w:val="0"/>
        <w:autoSpaceDE w:val="0"/>
        <w:autoSpaceDN w:val="0"/>
        <w:spacing w:line="360" w:lineRule="auto"/>
        <w:ind w:left="795" w:hanging="75"/>
        <w:jc w:val="both"/>
        <w:rPr>
          <w:rFonts w:ascii="Arial" w:hAnsi="Arial"/>
          <w:rtl/>
        </w:rPr>
      </w:pPr>
      <w:r>
        <w:rPr>
          <w:rFonts w:ascii="Arial" w:hAnsi="Arial" w:hint="cs"/>
          <w:rtl/>
        </w:rPr>
        <w:t xml:space="preserve"> אין ראיות על אודות משך החזקת הנשק ברכב, והסנגור טען כי מדובר ברכב חונה.</w:t>
      </w:r>
    </w:p>
    <w:p w14:paraId="6382B5C1" w14:textId="77777777" w:rsidR="00D559C9" w:rsidRDefault="00D559C9" w:rsidP="00D559C9">
      <w:pPr>
        <w:overflowPunct w:val="0"/>
        <w:autoSpaceDE w:val="0"/>
        <w:autoSpaceDN w:val="0"/>
        <w:spacing w:line="360" w:lineRule="auto"/>
        <w:ind w:left="795"/>
        <w:jc w:val="both"/>
        <w:rPr>
          <w:rFonts w:ascii="Calibri" w:hAnsi="Calibri"/>
          <w:rtl/>
        </w:rPr>
      </w:pPr>
      <w:r>
        <w:rPr>
          <w:rFonts w:ascii="Arial" w:hAnsi="Arial" w:hint="cs"/>
          <w:rtl/>
        </w:rPr>
        <w:t>למעשי הנאשם ממד של פגיעה בערכים מוגנים של שלום הציבור וביטחונו, שכן לכל החזקת נשק בידי בלתי מורשה פוטנציאל נזק עצום לפגיעה בשלמות גופו ובחייו של אדם.</w:t>
      </w:r>
    </w:p>
    <w:p w14:paraId="2883908B" w14:textId="77777777" w:rsidR="00D559C9" w:rsidRDefault="00D559C9" w:rsidP="00D559C9">
      <w:pPr>
        <w:overflowPunct w:val="0"/>
        <w:autoSpaceDE w:val="0"/>
        <w:autoSpaceDN w:val="0"/>
        <w:spacing w:line="360" w:lineRule="auto"/>
        <w:ind w:left="795"/>
        <w:jc w:val="both"/>
        <w:rPr>
          <w:rFonts w:ascii="Calibri" w:hAnsi="Calibri"/>
          <w:rtl/>
        </w:rPr>
      </w:pPr>
      <w:r>
        <w:rPr>
          <w:rFonts w:ascii="Calibri" w:hAnsi="Calibri" w:hint="cs"/>
          <w:rtl/>
        </w:rPr>
        <w:t>ישנה משמעות טבועה וברורה מאליה להחזקתו של כלי ממית עם תחמושת תואמת לצדו, ומשמעות טבועה זו הנה כי אותו נשק נועד לפגיעה באחר, בדרך של ירי או למצער של איום, וכי קיים פוטנציאל מובהק לסיכון של הציבור.</w:t>
      </w:r>
    </w:p>
    <w:p w14:paraId="5A4CFFC2" w14:textId="77777777" w:rsidR="00D559C9" w:rsidRDefault="00D559C9" w:rsidP="00D559C9">
      <w:pPr>
        <w:overflowPunct w:val="0"/>
        <w:autoSpaceDE w:val="0"/>
        <w:autoSpaceDN w:val="0"/>
        <w:spacing w:line="360" w:lineRule="auto"/>
        <w:ind w:left="795" w:hanging="795"/>
        <w:jc w:val="both"/>
        <w:rPr>
          <w:rFonts w:ascii="Arial" w:hAnsi="Arial"/>
          <w:rtl/>
        </w:rPr>
      </w:pPr>
    </w:p>
    <w:p w14:paraId="56FC9875" w14:textId="77777777" w:rsidR="00D559C9" w:rsidRDefault="00D559C9" w:rsidP="00D559C9">
      <w:pPr>
        <w:overflowPunct w:val="0"/>
        <w:autoSpaceDE w:val="0"/>
        <w:autoSpaceDN w:val="0"/>
        <w:spacing w:line="360" w:lineRule="auto"/>
        <w:ind w:left="795" w:hanging="795"/>
        <w:jc w:val="both"/>
        <w:rPr>
          <w:rFonts w:ascii="Arial" w:hAnsi="Arial"/>
          <w:u w:val="single"/>
          <w:rtl/>
        </w:rPr>
      </w:pPr>
      <w:r>
        <w:rPr>
          <w:rFonts w:ascii="Arial" w:hAnsi="Arial" w:hint="cs"/>
          <w:rtl/>
        </w:rPr>
        <w:t>7.</w:t>
      </w:r>
      <w:r w:rsidR="005D5E53">
        <w:rPr>
          <w:rFonts w:ascii="Arial" w:hAnsi="Arial" w:hint="cs"/>
          <w:rtl/>
        </w:rPr>
        <w:t xml:space="preserve">       </w:t>
      </w:r>
      <w:r>
        <w:rPr>
          <w:rFonts w:ascii="Arial" w:hAnsi="Arial" w:hint="cs"/>
          <w:rtl/>
        </w:rPr>
        <w:t xml:space="preserve"> </w:t>
      </w:r>
      <w:r>
        <w:rPr>
          <w:rFonts w:ascii="Arial" w:hAnsi="Arial" w:hint="cs"/>
          <w:rtl/>
        </w:rPr>
        <w:tab/>
      </w:r>
      <w:r>
        <w:rPr>
          <w:rFonts w:ascii="Arial" w:hAnsi="Arial" w:hint="cs"/>
          <w:u w:val="single"/>
          <w:rtl/>
        </w:rPr>
        <w:t>מדיניות הענישה הנוהגת</w:t>
      </w:r>
    </w:p>
    <w:p w14:paraId="33719852" w14:textId="77777777" w:rsidR="00D559C9" w:rsidRDefault="00D559C9" w:rsidP="00D559C9">
      <w:pPr>
        <w:spacing w:line="360" w:lineRule="auto"/>
        <w:ind w:left="795"/>
        <w:jc w:val="both"/>
        <w:rPr>
          <w:rFonts w:ascii="Arial" w:hAnsi="Arial"/>
          <w:rtl/>
        </w:rPr>
      </w:pPr>
      <w:r>
        <w:rPr>
          <w:rFonts w:ascii="Arial" w:hAnsi="Arial" w:hint="cs"/>
          <w:rtl/>
        </w:rPr>
        <w:t xml:space="preserve">בעבירות של </w:t>
      </w:r>
      <w:r>
        <w:rPr>
          <w:rFonts w:ascii="Arial" w:hAnsi="Arial" w:hint="cs"/>
          <w:b/>
          <w:bCs/>
          <w:rtl/>
        </w:rPr>
        <w:t>החזקת נשק</w:t>
      </w:r>
      <w:r>
        <w:rPr>
          <w:rFonts w:ascii="Arial" w:hAnsi="Arial" w:hint="cs"/>
          <w:rtl/>
        </w:rPr>
        <w:t>, השיתו בתי המשפט עונשים הנעים בין מספר חודשי מאסר לריצוי בעבודות שירות ועד למאסרים ממושכים בפועל, ובדרך כלל בצירוף רכיב עונשי כספי, הכל בכפוף לנסיבות ביצוע העבירות, ובהן סוג הנשק, נסיבות החזקתו ומשכה, ובכפוף לנסיבות האישיות של העבריין.</w:t>
      </w:r>
    </w:p>
    <w:p w14:paraId="27ED5722" w14:textId="77777777" w:rsidR="00D559C9" w:rsidRDefault="00D559C9" w:rsidP="00D559C9">
      <w:pPr>
        <w:spacing w:line="360" w:lineRule="auto"/>
        <w:ind w:left="795"/>
        <w:jc w:val="both"/>
        <w:rPr>
          <w:rFonts w:ascii="Arial" w:hAnsi="Arial"/>
        </w:rPr>
      </w:pPr>
    </w:p>
    <w:p w14:paraId="573488EB" w14:textId="77777777" w:rsidR="00D559C9" w:rsidRDefault="00D559C9" w:rsidP="00D559C9">
      <w:pPr>
        <w:spacing w:line="360" w:lineRule="auto"/>
        <w:ind w:left="795"/>
        <w:jc w:val="both"/>
        <w:rPr>
          <w:rFonts w:ascii="Arial" w:hAnsi="Arial"/>
          <w:rtl/>
        </w:rPr>
      </w:pPr>
      <w:r>
        <w:rPr>
          <w:rFonts w:ascii="Arial" w:hAnsi="Arial" w:hint="cs"/>
          <w:rtl/>
        </w:rPr>
        <w:t xml:space="preserve">ב"כ הצדדים הפנו לפסקי-הדין הבאים: </w:t>
      </w:r>
    </w:p>
    <w:p w14:paraId="157589D9" w14:textId="77777777" w:rsidR="00D559C9" w:rsidRDefault="00D559C9" w:rsidP="00D559C9">
      <w:pPr>
        <w:spacing w:line="360" w:lineRule="auto"/>
        <w:ind w:left="795"/>
        <w:jc w:val="both"/>
        <w:rPr>
          <w:rFonts w:ascii="Arial" w:hAnsi="Arial"/>
          <w:rtl/>
        </w:rPr>
      </w:pPr>
    </w:p>
    <w:p w14:paraId="59360194" w14:textId="77777777" w:rsidR="00D559C9" w:rsidRDefault="005D5E53" w:rsidP="00D559C9">
      <w:pPr>
        <w:numPr>
          <w:ilvl w:val="0"/>
          <w:numId w:val="1"/>
        </w:numPr>
        <w:spacing w:line="360" w:lineRule="auto"/>
        <w:contextualSpacing/>
        <w:jc w:val="both"/>
        <w:rPr>
          <w:rFonts w:ascii="Arial" w:hAnsi="Arial"/>
          <w:rtl/>
        </w:rPr>
      </w:pPr>
      <w:hyperlink r:id="rId20" w:history="1">
        <w:r w:rsidRPr="005D5E53">
          <w:rPr>
            <w:rFonts w:ascii="Arial" w:hAnsi="Arial"/>
            <w:color w:val="0000FF"/>
            <w:u w:val="single"/>
            <w:rtl/>
          </w:rPr>
          <w:t>רע"פ 2822/12</w:t>
        </w:r>
      </w:hyperlink>
      <w:r w:rsidR="00D559C9">
        <w:rPr>
          <w:rFonts w:ascii="Arial" w:hAnsi="Arial" w:hint="cs"/>
          <w:rtl/>
        </w:rPr>
        <w:t xml:space="preserve"> </w:t>
      </w:r>
      <w:r w:rsidR="00D559C9">
        <w:rPr>
          <w:rFonts w:ascii="Arial" w:hAnsi="Arial" w:hint="cs"/>
          <w:b/>
          <w:bCs/>
          <w:rtl/>
        </w:rPr>
        <w:t>דואהרי נ' מדינת ישראל</w:t>
      </w:r>
      <w:r w:rsidR="00D559C9">
        <w:rPr>
          <w:rFonts w:ascii="Arial" w:hAnsi="Arial" w:hint="cs"/>
          <w:rtl/>
        </w:rPr>
        <w:t xml:space="preserve"> </w:t>
      </w:r>
      <w:r w:rsidR="003257EF" w:rsidRPr="003257EF">
        <w:rPr>
          <w:sz w:val="22"/>
          <w:rtl/>
        </w:rPr>
        <w:t xml:space="preserve">[פורסם בנבו] </w:t>
      </w:r>
      <w:r w:rsidR="00D559C9">
        <w:rPr>
          <w:rFonts w:ascii="Arial" w:hAnsi="Arial" w:hint="cs"/>
          <w:rtl/>
        </w:rPr>
        <w:t xml:space="preserve">(25.4.12), אליו הפנה ב"כ המאשימה – המבקש הורשע בעבירה של החזקת נשק. בית-המשפט המחוזי קיבל את ערעור המדינה על קולת העונש </w:t>
      </w:r>
      <w:r w:rsidR="00D559C9">
        <w:rPr>
          <w:rFonts w:ascii="Arial" w:hAnsi="Arial" w:hint="cs"/>
          <w:b/>
          <w:bCs/>
          <w:rtl/>
        </w:rPr>
        <w:t>והעמיד את עונשו על 20 חודשי מאסר לריצוי בפועל, הופעל עונש מאסר על-תנאי בן 10 חודשים שהיה תלוי ועומד נגדו, במצטבר, וכן הושת עונש מאסר על-תנאי בן 12 חודשים.</w:t>
      </w:r>
      <w:r w:rsidR="00D559C9">
        <w:rPr>
          <w:rFonts w:ascii="Arial" w:hAnsi="Arial" w:hint="cs"/>
          <w:rtl/>
        </w:rPr>
        <w:t xml:space="preserve"> בקשת רשות ערעור לעליון נדחתה. </w:t>
      </w:r>
    </w:p>
    <w:p w14:paraId="07E76A01" w14:textId="77777777" w:rsidR="00D559C9" w:rsidRDefault="00D559C9" w:rsidP="00D559C9">
      <w:pPr>
        <w:spacing w:line="360" w:lineRule="auto"/>
        <w:ind w:left="1440"/>
        <w:contextualSpacing/>
        <w:jc w:val="both"/>
        <w:rPr>
          <w:rFonts w:ascii="Arial" w:hAnsi="Arial"/>
          <w:rtl/>
        </w:rPr>
      </w:pPr>
    </w:p>
    <w:p w14:paraId="53DA56AB" w14:textId="77777777" w:rsidR="00D559C9" w:rsidRDefault="005D5E53" w:rsidP="00D559C9">
      <w:pPr>
        <w:numPr>
          <w:ilvl w:val="0"/>
          <w:numId w:val="1"/>
        </w:numPr>
        <w:spacing w:line="360" w:lineRule="auto"/>
        <w:contextualSpacing/>
        <w:jc w:val="both"/>
        <w:rPr>
          <w:rFonts w:ascii="Arial" w:hAnsi="Arial"/>
        </w:rPr>
      </w:pPr>
      <w:hyperlink r:id="rId21" w:history="1">
        <w:r w:rsidRPr="005D5E53">
          <w:rPr>
            <w:rFonts w:ascii="Arial" w:hAnsi="Arial"/>
            <w:color w:val="0000FF"/>
            <w:u w:val="single"/>
            <w:rtl/>
          </w:rPr>
          <w:t>ע"פ 5604/11</w:t>
        </w:r>
      </w:hyperlink>
      <w:r w:rsidR="00D559C9">
        <w:rPr>
          <w:rFonts w:ascii="Arial" w:hAnsi="Arial" w:hint="cs"/>
          <w:rtl/>
        </w:rPr>
        <w:t xml:space="preserve"> </w:t>
      </w:r>
      <w:r w:rsidR="00D559C9">
        <w:rPr>
          <w:rFonts w:ascii="Arial" w:hAnsi="Arial" w:hint="cs"/>
          <w:b/>
          <w:bCs/>
          <w:rtl/>
        </w:rPr>
        <w:t xml:space="preserve">נאסר נ' מדינת ישראל </w:t>
      </w:r>
      <w:r w:rsidR="003257EF" w:rsidRPr="003257EF">
        <w:rPr>
          <w:sz w:val="22"/>
          <w:rtl/>
        </w:rPr>
        <w:t xml:space="preserve">[פורסם בנבו] </w:t>
      </w:r>
      <w:r w:rsidR="00D559C9">
        <w:rPr>
          <w:rFonts w:ascii="Arial" w:hAnsi="Arial" w:hint="cs"/>
          <w:rtl/>
        </w:rPr>
        <w:t xml:space="preserve">(5.10.11); </w:t>
      </w:r>
      <w:hyperlink r:id="rId22" w:history="1">
        <w:r w:rsidRPr="005D5E53">
          <w:rPr>
            <w:rFonts w:ascii="Arial" w:hAnsi="Arial"/>
            <w:color w:val="0000FF"/>
            <w:u w:val="single"/>
            <w:rtl/>
          </w:rPr>
          <w:t>ת"פ (מח' נצ') 12811-04-11</w:t>
        </w:r>
      </w:hyperlink>
      <w:r w:rsidR="00D559C9">
        <w:rPr>
          <w:rFonts w:ascii="Arial" w:hAnsi="Arial" w:hint="cs"/>
          <w:rtl/>
        </w:rPr>
        <w:t xml:space="preserve"> </w:t>
      </w:r>
      <w:r w:rsidR="00D559C9">
        <w:rPr>
          <w:rFonts w:ascii="Arial" w:hAnsi="Arial" w:hint="cs"/>
          <w:b/>
          <w:bCs/>
          <w:rtl/>
        </w:rPr>
        <w:t>מדינת ישראל נ' נאסר</w:t>
      </w:r>
      <w:r w:rsidR="00D559C9">
        <w:rPr>
          <w:rFonts w:ascii="Arial" w:hAnsi="Arial" w:hint="cs"/>
          <w:rtl/>
        </w:rPr>
        <w:t xml:space="preserve"> </w:t>
      </w:r>
      <w:r w:rsidR="003257EF" w:rsidRPr="003257EF">
        <w:rPr>
          <w:sz w:val="22"/>
          <w:rtl/>
        </w:rPr>
        <w:t xml:space="preserve">[פורסם בנבו] </w:t>
      </w:r>
      <w:r w:rsidR="00D559C9">
        <w:rPr>
          <w:rFonts w:ascii="Arial" w:hAnsi="Arial" w:hint="cs"/>
          <w:rtl/>
        </w:rPr>
        <w:t xml:space="preserve">(15.6.11) אליהם הפנה ב"כ המאשימה, שם הנאשם הורשע בבית-המשפט המחוזי, על-פי הודאתו, בעבירה של החזקת נשק, לאחר שנמצא מחזיק אקדח בביתו. </w:t>
      </w:r>
      <w:r w:rsidR="00D559C9">
        <w:rPr>
          <w:rFonts w:ascii="Arial" w:hAnsi="Arial" w:hint="cs"/>
          <w:b/>
          <w:bCs/>
          <w:rtl/>
        </w:rPr>
        <w:t>נגזרו 12 חודשי מאסר בפועל, מאסר על-תנאי וקנס.</w:t>
      </w:r>
      <w:r w:rsidR="00D559C9">
        <w:rPr>
          <w:rFonts w:ascii="Arial" w:hAnsi="Arial" w:hint="cs"/>
          <w:rtl/>
        </w:rPr>
        <w:t xml:space="preserve"> ערעורו לבית-המשפט העליון נדחה.</w:t>
      </w:r>
    </w:p>
    <w:p w14:paraId="7A3BC1B3" w14:textId="77777777" w:rsidR="00D559C9" w:rsidRDefault="00D559C9" w:rsidP="00D559C9">
      <w:pPr>
        <w:spacing w:after="160" w:line="254" w:lineRule="auto"/>
        <w:ind w:left="720"/>
        <w:contextualSpacing/>
        <w:rPr>
          <w:rFonts w:ascii="Arial" w:hAnsi="Arial"/>
          <w:rtl/>
        </w:rPr>
      </w:pPr>
    </w:p>
    <w:p w14:paraId="6182D93A" w14:textId="77777777" w:rsidR="00D559C9" w:rsidRDefault="005D5E53" w:rsidP="00D559C9">
      <w:pPr>
        <w:numPr>
          <w:ilvl w:val="0"/>
          <w:numId w:val="1"/>
        </w:numPr>
        <w:spacing w:line="360" w:lineRule="auto"/>
        <w:contextualSpacing/>
        <w:jc w:val="both"/>
        <w:rPr>
          <w:rFonts w:ascii="Arial" w:hAnsi="Arial"/>
        </w:rPr>
      </w:pPr>
      <w:hyperlink r:id="rId23" w:history="1">
        <w:r w:rsidRPr="005D5E53">
          <w:rPr>
            <w:rFonts w:ascii="Arial" w:hAnsi="Arial"/>
            <w:color w:val="0000FF"/>
            <w:u w:val="single"/>
            <w:rtl/>
          </w:rPr>
          <w:t>ע"פ 3288/14</w:t>
        </w:r>
      </w:hyperlink>
      <w:r w:rsidR="00D559C9">
        <w:rPr>
          <w:rFonts w:ascii="Arial" w:hAnsi="Arial" w:hint="cs"/>
          <w:rtl/>
        </w:rPr>
        <w:t xml:space="preserve"> </w:t>
      </w:r>
      <w:r w:rsidR="00D559C9">
        <w:rPr>
          <w:rFonts w:ascii="Arial" w:hAnsi="Arial" w:hint="cs"/>
          <w:b/>
          <w:bCs/>
          <w:rtl/>
        </w:rPr>
        <w:t>מדינת ישראל נ' קריספיל</w:t>
      </w:r>
      <w:r w:rsidR="00D559C9">
        <w:rPr>
          <w:rFonts w:ascii="Arial" w:hAnsi="Arial" w:hint="cs"/>
          <w:rtl/>
        </w:rPr>
        <w:t xml:space="preserve"> </w:t>
      </w:r>
      <w:r w:rsidR="003257EF" w:rsidRPr="003257EF">
        <w:rPr>
          <w:sz w:val="22"/>
          <w:rtl/>
        </w:rPr>
        <w:t xml:space="preserve">[פורסם בנבו] </w:t>
      </w:r>
      <w:r w:rsidR="00D559C9">
        <w:rPr>
          <w:rFonts w:ascii="Arial" w:hAnsi="Arial" w:hint="cs"/>
          <w:rtl/>
        </w:rPr>
        <w:t xml:space="preserve">(24.8.14), אליו הפנה ב"כ המאשימה, שם המשיב הורשע בעבירות של החזקת נשק והחזקת נכס החשוד כגנוב, לאחר שנמצא יוצא מבית כשבידו שקית ובה אקדח הטעון במחסנית ובה שבעה כדורים, אקדח שנגנב מבעליו כמה שנים קודם לכן, ולצדו משתיק קול. </w:t>
      </w:r>
      <w:r w:rsidR="00D559C9">
        <w:rPr>
          <w:rFonts w:ascii="Arial" w:hAnsi="Arial" w:hint="cs"/>
          <w:b/>
          <w:bCs/>
          <w:rtl/>
        </w:rPr>
        <w:t>בית-המשפט המחוזי קבע מתחם עונש הולם הנע בין 6 ל-22 חודשי מאסר בפועל, והטיל על המשיב 9 חודשי מאסר בפועל, מאסר על-תנאי וקנס</w:t>
      </w:r>
      <w:r w:rsidR="00D559C9">
        <w:rPr>
          <w:rFonts w:ascii="Arial" w:hAnsi="Arial" w:hint="cs"/>
          <w:rtl/>
        </w:rPr>
        <w:t xml:space="preserve">. בית-המשפט העליון קיבל את ערעור המדינה, בהתחשב בחומרת נסיבות החזקת הנשק, והעמיד את עונשו של המשיב על </w:t>
      </w:r>
      <w:r w:rsidR="00D559C9">
        <w:rPr>
          <w:rFonts w:ascii="Arial" w:hAnsi="Arial" w:hint="cs"/>
          <w:b/>
          <w:bCs/>
          <w:rtl/>
        </w:rPr>
        <w:t>18 חודשי מאסר בפועל</w:t>
      </w:r>
      <w:r w:rsidR="00D559C9">
        <w:rPr>
          <w:rFonts w:ascii="Arial" w:hAnsi="Arial" w:hint="cs"/>
          <w:rtl/>
        </w:rPr>
        <w:t>.</w:t>
      </w:r>
    </w:p>
    <w:p w14:paraId="73D460CE" w14:textId="77777777" w:rsidR="00D559C9" w:rsidRDefault="00D559C9" w:rsidP="00D559C9">
      <w:pPr>
        <w:spacing w:after="160" w:line="254" w:lineRule="auto"/>
        <w:ind w:left="720"/>
        <w:contextualSpacing/>
        <w:rPr>
          <w:rFonts w:ascii="Arial" w:hAnsi="Arial"/>
          <w:rtl/>
        </w:rPr>
      </w:pPr>
    </w:p>
    <w:p w14:paraId="3592BDC4" w14:textId="77777777" w:rsidR="00D559C9" w:rsidRDefault="005D5E53" w:rsidP="00D559C9">
      <w:pPr>
        <w:numPr>
          <w:ilvl w:val="0"/>
          <w:numId w:val="1"/>
        </w:numPr>
        <w:spacing w:line="360" w:lineRule="auto"/>
        <w:contextualSpacing/>
        <w:jc w:val="both"/>
        <w:rPr>
          <w:rFonts w:ascii="Arial" w:hAnsi="Arial"/>
        </w:rPr>
      </w:pPr>
      <w:hyperlink r:id="rId24" w:history="1">
        <w:r w:rsidRPr="005D5E53">
          <w:rPr>
            <w:rFonts w:ascii="Arial" w:hAnsi="Arial"/>
            <w:color w:val="0000FF"/>
            <w:u w:val="single"/>
            <w:rtl/>
          </w:rPr>
          <w:t>ע"פ 3632/14</w:t>
        </w:r>
      </w:hyperlink>
      <w:r w:rsidR="00D559C9">
        <w:rPr>
          <w:rFonts w:ascii="Arial" w:hAnsi="Arial" w:hint="cs"/>
          <w:rtl/>
        </w:rPr>
        <w:t xml:space="preserve"> </w:t>
      </w:r>
      <w:r w:rsidR="00D559C9">
        <w:rPr>
          <w:rFonts w:ascii="Arial" w:hAnsi="Arial" w:hint="cs"/>
          <w:b/>
          <w:bCs/>
          <w:rtl/>
        </w:rPr>
        <w:t>אבו סבית נ' מדינת ישראל</w:t>
      </w:r>
      <w:r w:rsidR="00D559C9">
        <w:rPr>
          <w:rFonts w:ascii="Arial" w:hAnsi="Arial" w:hint="cs"/>
          <w:rtl/>
        </w:rPr>
        <w:t xml:space="preserve"> </w:t>
      </w:r>
      <w:r w:rsidR="003257EF" w:rsidRPr="003257EF">
        <w:rPr>
          <w:sz w:val="22"/>
          <w:rtl/>
        </w:rPr>
        <w:t xml:space="preserve">[פורסם בנבו] </w:t>
      </w:r>
      <w:r w:rsidR="00D559C9">
        <w:rPr>
          <w:rFonts w:ascii="Arial" w:hAnsi="Arial" w:hint="cs"/>
          <w:rtl/>
        </w:rPr>
        <w:t xml:space="preserve">(29.5.14), אליו הפנה ב"כ המאשימה, שם נקבע מתחם עונש הולם הנע </w:t>
      </w:r>
      <w:r w:rsidR="00D559C9">
        <w:rPr>
          <w:rFonts w:ascii="Arial" w:hAnsi="Arial" w:hint="cs"/>
          <w:b/>
          <w:bCs/>
          <w:rtl/>
        </w:rPr>
        <w:t>בין שנה לשלוש שנות מאסר</w:t>
      </w:r>
      <w:r w:rsidR="00D559C9">
        <w:rPr>
          <w:rFonts w:ascii="Arial" w:hAnsi="Arial" w:hint="cs"/>
          <w:rtl/>
        </w:rPr>
        <w:t xml:space="preserve"> בעבירה של החזקת נשק, והוטלו </w:t>
      </w:r>
      <w:r w:rsidR="00D559C9">
        <w:rPr>
          <w:rFonts w:ascii="Arial" w:hAnsi="Arial" w:hint="cs"/>
          <w:b/>
          <w:bCs/>
          <w:rtl/>
        </w:rPr>
        <w:t>18 חודשי מאסר בפועל</w:t>
      </w:r>
      <w:r w:rsidR="00D559C9">
        <w:rPr>
          <w:rFonts w:ascii="Arial" w:hAnsi="Arial" w:hint="cs"/>
          <w:rtl/>
        </w:rPr>
        <w:t xml:space="preserve">. </w:t>
      </w:r>
    </w:p>
    <w:p w14:paraId="5986D6A7" w14:textId="77777777" w:rsidR="00D559C9" w:rsidRDefault="00D559C9" w:rsidP="00D559C9">
      <w:pPr>
        <w:spacing w:after="160" w:line="254" w:lineRule="auto"/>
        <w:ind w:left="720"/>
        <w:contextualSpacing/>
        <w:rPr>
          <w:rFonts w:ascii="Arial" w:hAnsi="Arial"/>
          <w:rtl/>
        </w:rPr>
      </w:pPr>
    </w:p>
    <w:p w14:paraId="24E5A554" w14:textId="77777777" w:rsidR="00D559C9" w:rsidRDefault="005D5E53" w:rsidP="00D559C9">
      <w:pPr>
        <w:numPr>
          <w:ilvl w:val="0"/>
          <w:numId w:val="1"/>
        </w:numPr>
        <w:spacing w:line="360" w:lineRule="auto"/>
        <w:contextualSpacing/>
        <w:jc w:val="both"/>
        <w:rPr>
          <w:rFonts w:ascii="Arial" w:hAnsi="Arial"/>
        </w:rPr>
      </w:pPr>
      <w:hyperlink r:id="rId25" w:history="1">
        <w:r w:rsidRPr="005D5E53">
          <w:rPr>
            <w:rFonts w:ascii="Arial" w:hAnsi="Arial"/>
            <w:color w:val="0000FF"/>
            <w:u w:val="single"/>
            <w:rtl/>
          </w:rPr>
          <w:t>עפ"ג (מח' נצ') 37217-03-19</w:t>
        </w:r>
      </w:hyperlink>
      <w:r w:rsidR="00D559C9">
        <w:rPr>
          <w:rFonts w:ascii="Arial" w:hAnsi="Arial" w:hint="cs"/>
          <w:rtl/>
        </w:rPr>
        <w:t xml:space="preserve"> </w:t>
      </w:r>
      <w:r w:rsidR="00D559C9">
        <w:rPr>
          <w:rFonts w:ascii="Arial" w:hAnsi="Arial" w:hint="cs"/>
          <w:b/>
          <w:bCs/>
          <w:rtl/>
        </w:rPr>
        <w:t>ג'ואברה נ' מדינת ישראל</w:t>
      </w:r>
      <w:r w:rsidR="00D559C9">
        <w:rPr>
          <w:rFonts w:ascii="Arial" w:hAnsi="Arial" w:hint="cs"/>
          <w:rtl/>
        </w:rPr>
        <w:t xml:space="preserve"> </w:t>
      </w:r>
      <w:r w:rsidR="003257EF" w:rsidRPr="003257EF">
        <w:rPr>
          <w:sz w:val="22"/>
          <w:rtl/>
        </w:rPr>
        <w:t xml:space="preserve">[פורסם בנבו] </w:t>
      </w:r>
      <w:r w:rsidR="00D559C9">
        <w:rPr>
          <w:rFonts w:ascii="Arial" w:hAnsi="Arial" w:hint="cs"/>
          <w:rtl/>
        </w:rPr>
        <w:t xml:space="preserve">(25.11.19), אליו הפנה ב"כ המאשימה – שם המערער החזיק באקדח חצי אוטומטי בשידה ליד מיטתו. בית-משפט השלום קבע </w:t>
      </w:r>
      <w:r w:rsidR="00D559C9">
        <w:rPr>
          <w:rFonts w:ascii="Arial" w:hAnsi="Arial" w:hint="cs"/>
          <w:b/>
          <w:bCs/>
          <w:rtl/>
        </w:rPr>
        <w:t>מתחם עונש הולם הנע בין 6 ל-24 חודשי מאסר בפועל, והטיל עליו 8 חודשי מאסר בפועל בניכוי ימי המעצר, 12 חודשי מאסר על-תנאי, וקנס כספי</w:t>
      </w:r>
      <w:r w:rsidR="00D559C9">
        <w:rPr>
          <w:rFonts w:ascii="Arial" w:hAnsi="Arial" w:hint="cs"/>
          <w:rtl/>
        </w:rPr>
        <w:t xml:space="preserve">. בית-המשפט המחוזי קבע כי אין מקום להתערב במתחם העונש ההולם שנקבע ובעונש שנקבע בתוכו, ודחה את ערעורו. </w:t>
      </w:r>
    </w:p>
    <w:p w14:paraId="19044722" w14:textId="77777777" w:rsidR="00D559C9" w:rsidRDefault="00D559C9" w:rsidP="00D559C9">
      <w:pPr>
        <w:spacing w:after="160" w:line="254" w:lineRule="auto"/>
        <w:ind w:left="720"/>
        <w:contextualSpacing/>
        <w:rPr>
          <w:rFonts w:ascii="Arial" w:hAnsi="Arial"/>
          <w:rtl/>
        </w:rPr>
      </w:pPr>
    </w:p>
    <w:p w14:paraId="54299EFE" w14:textId="77777777" w:rsidR="00D559C9" w:rsidRDefault="005D5E53" w:rsidP="00D559C9">
      <w:pPr>
        <w:numPr>
          <w:ilvl w:val="0"/>
          <w:numId w:val="1"/>
        </w:numPr>
        <w:spacing w:line="360" w:lineRule="auto"/>
        <w:contextualSpacing/>
        <w:jc w:val="both"/>
        <w:rPr>
          <w:rFonts w:ascii="Arial" w:hAnsi="Arial"/>
        </w:rPr>
      </w:pPr>
      <w:hyperlink r:id="rId26" w:history="1">
        <w:r w:rsidRPr="005D5E53">
          <w:rPr>
            <w:rFonts w:ascii="Arial" w:hAnsi="Arial"/>
            <w:color w:val="0000FF"/>
            <w:u w:val="single"/>
            <w:rtl/>
          </w:rPr>
          <w:t>ע"פ 4978/19</w:t>
        </w:r>
      </w:hyperlink>
      <w:r w:rsidR="00D559C9">
        <w:rPr>
          <w:rFonts w:ascii="Arial" w:hAnsi="Arial" w:hint="cs"/>
          <w:rtl/>
        </w:rPr>
        <w:t xml:space="preserve"> </w:t>
      </w:r>
      <w:r w:rsidR="00D559C9">
        <w:rPr>
          <w:rFonts w:ascii="Arial" w:hAnsi="Arial" w:hint="cs"/>
          <w:b/>
          <w:bCs/>
          <w:rtl/>
        </w:rPr>
        <w:t>אבו מנסור נ' מדינת ישראל</w:t>
      </w:r>
      <w:r w:rsidR="00D559C9">
        <w:rPr>
          <w:rFonts w:ascii="Arial" w:hAnsi="Arial" w:hint="cs"/>
          <w:rtl/>
        </w:rPr>
        <w:t xml:space="preserve"> </w:t>
      </w:r>
      <w:r w:rsidR="003257EF" w:rsidRPr="003257EF">
        <w:rPr>
          <w:sz w:val="22"/>
          <w:rtl/>
        </w:rPr>
        <w:t xml:space="preserve">[פורסם בנבו] </w:t>
      </w:r>
      <w:r w:rsidR="00D559C9">
        <w:rPr>
          <w:rFonts w:ascii="Arial" w:hAnsi="Arial" w:hint="cs"/>
          <w:rtl/>
        </w:rPr>
        <w:t xml:space="preserve">(28.1.20), אליו הפנה ב"כ הנאשם, שם דובר בשני אחים, שברכבם נמצאו רובה סער, ושתי מחסניות ובהן 26 ו-27 כדורים, שתי מחסניות המתאימות לאקדח, שלושה כדורים ומכלול לנשק. המערער 1 הורשע בעבירה של נשיאה והובלת נשק ומערער 2 הורשע בהחזקת נשק. בבית המשפט המחוזי </w:t>
      </w:r>
      <w:r w:rsidR="00D559C9">
        <w:rPr>
          <w:rFonts w:ascii="Arial" w:hAnsi="Arial" w:hint="cs"/>
          <w:b/>
          <w:bCs/>
          <w:rtl/>
        </w:rPr>
        <w:t>נדון</w:t>
      </w:r>
      <w:r w:rsidR="00D559C9">
        <w:rPr>
          <w:rFonts w:ascii="Arial" w:hAnsi="Arial" w:hint="cs"/>
          <w:rtl/>
        </w:rPr>
        <w:t xml:space="preserve"> </w:t>
      </w:r>
      <w:r w:rsidR="00D559C9">
        <w:rPr>
          <w:rFonts w:ascii="Arial" w:hAnsi="Arial" w:hint="cs"/>
          <w:b/>
          <w:bCs/>
          <w:rtl/>
        </w:rPr>
        <w:t>המערער 1 ל-18 חודשי מאסר בפועל ואילו המערער 2 נדון ל-9 חודשי מאסר לריצוי בעבודות שירות.</w:t>
      </w:r>
      <w:r w:rsidR="00D559C9">
        <w:rPr>
          <w:rFonts w:ascii="Arial" w:hAnsi="Arial" w:hint="cs"/>
          <w:rtl/>
        </w:rPr>
        <w:t xml:space="preserve"> בית-המשפט העליון מצא לקבל את הערעור, ולהטיל על מערער 1, משיקולי שיקום ובהם – העדר עבר פלילי, הודאה וקבלת אחריות, הליך טיפולי מוצלח, הערכת סיכון נמוכה ותסקירי שירות מבחן חיוביים, </w:t>
      </w:r>
      <w:r w:rsidR="00D559C9">
        <w:rPr>
          <w:rFonts w:ascii="Arial" w:hAnsi="Arial" w:hint="cs"/>
          <w:b/>
          <w:bCs/>
          <w:rtl/>
        </w:rPr>
        <w:t>12 חודשי מאסר בפועל</w:t>
      </w:r>
      <w:r w:rsidR="00D559C9">
        <w:rPr>
          <w:rFonts w:ascii="Arial" w:hAnsi="Arial" w:hint="cs"/>
          <w:rtl/>
        </w:rPr>
        <w:t xml:space="preserve">, חרף ההמלצה להימנע מהטלת מאסר מאחורי סורג ובריח. לשם שמירה על מדרג עונשים הולם, הועמד עונשו של מערער 2 על </w:t>
      </w:r>
      <w:r w:rsidR="00D559C9">
        <w:rPr>
          <w:rFonts w:ascii="Arial" w:hAnsi="Arial" w:hint="cs"/>
          <w:b/>
          <w:bCs/>
          <w:rtl/>
        </w:rPr>
        <w:t>6 חודשי מאסר לריצוי בעבודות שירות</w:t>
      </w:r>
      <w:r w:rsidR="00D559C9">
        <w:rPr>
          <w:rFonts w:ascii="Arial" w:hAnsi="Arial" w:hint="cs"/>
          <w:rtl/>
        </w:rPr>
        <w:t xml:space="preserve">. </w:t>
      </w:r>
    </w:p>
    <w:p w14:paraId="5BC56697" w14:textId="77777777" w:rsidR="00D559C9" w:rsidRDefault="00D559C9" w:rsidP="00D559C9">
      <w:pPr>
        <w:spacing w:after="160" w:line="360" w:lineRule="auto"/>
        <w:ind w:left="720"/>
        <w:contextualSpacing/>
        <w:rPr>
          <w:rFonts w:ascii="Arial" w:hAnsi="Arial"/>
          <w:rtl/>
        </w:rPr>
      </w:pPr>
    </w:p>
    <w:p w14:paraId="3EFD9369" w14:textId="77777777" w:rsidR="00D559C9" w:rsidRDefault="00D559C9" w:rsidP="00D559C9">
      <w:pPr>
        <w:spacing w:line="360" w:lineRule="auto"/>
        <w:ind w:left="1440" w:hanging="645"/>
        <w:jc w:val="both"/>
        <w:rPr>
          <w:rFonts w:ascii="Arial" w:hAnsi="Arial"/>
          <w:rtl/>
        </w:rPr>
      </w:pPr>
    </w:p>
    <w:p w14:paraId="210CF3D8" w14:textId="77777777" w:rsidR="00D559C9" w:rsidRDefault="00D559C9" w:rsidP="00D559C9">
      <w:pPr>
        <w:spacing w:line="360" w:lineRule="auto"/>
        <w:ind w:left="1440" w:hanging="645"/>
        <w:jc w:val="both"/>
        <w:rPr>
          <w:rFonts w:ascii="Arial" w:hAnsi="Arial"/>
        </w:rPr>
      </w:pPr>
      <w:r>
        <w:rPr>
          <w:rFonts w:ascii="Arial" w:hAnsi="Arial" w:hint="cs"/>
          <w:rtl/>
        </w:rPr>
        <w:t>ניתן לעיין בנוסף בפסקי-הדין הבאים:</w:t>
      </w:r>
    </w:p>
    <w:p w14:paraId="08F37100" w14:textId="77777777" w:rsidR="00D559C9" w:rsidRDefault="00D559C9" w:rsidP="00D559C9">
      <w:pPr>
        <w:spacing w:line="360" w:lineRule="auto"/>
        <w:ind w:left="1440" w:hanging="645"/>
        <w:jc w:val="both"/>
        <w:rPr>
          <w:rFonts w:ascii="Arial" w:hAnsi="Arial"/>
          <w:rtl/>
        </w:rPr>
      </w:pPr>
    </w:p>
    <w:p w14:paraId="7E42C412" w14:textId="77777777" w:rsidR="00D559C9" w:rsidRDefault="00D559C9" w:rsidP="00D559C9">
      <w:pPr>
        <w:spacing w:line="360" w:lineRule="auto"/>
        <w:ind w:left="1440" w:hanging="645"/>
        <w:jc w:val="both"/>
        <w:rPr>
          <w:rFonts w:ascii="Arial" w:hAnsi="Arial"/>
          <w:rtl/>
        </w:rPr>
      </w:pPr>
      <w:r>
        <w:rPr>
          <w:rFonts w:ascii="Arial" w:hAnsi="Arial" w:hint="cs"/>
          <w:rtl/>
        </w:rPr>
        <w:t>א.</w:t>
      </w:r>
      <w:r w:rsidR="005D5E53">
        <w:rPr>
          <w:rFonts w:ascii="Arial" w:hAnsi="Arial" w:hint="cs"/>
          <w:rtl/>
        </w:rPr>
        <w:t xml:space="preserve">       </w:t>
      </w:r>
      <w:r>
        <w:rPr>
          <w:rFonts w:ascii="Arial" w:hAnsi="Arial" w:hint="cs"/>
          <w:rtl/>
        </w:rPr>
        <w:t xml:space="preserve"> </w:t>
      </w:r>
      <w:hyperlink r:id="rId27" w:history="1">
        <w:r w:rsidR="005D5E53" w:rsidRPr="005D5E53">
          <w:rPr>
            <w:rFonts w:ascii="Arial" w:hAnsi="Arial"/>
            <w:color w:val="0000FF"/>
            <w:u w:val="single"/>
            <w:rtl/>
          </w:rPr>
          <w:t>רע"פ 7344/18</w:t>
        </w:r>
      </w:hyperlink>
      <w:r>
        <w:rPr>
          <w:rFonts w:ascii="Arial" w:hAnsi="Arial" w:hint="cs"/>
          <w:rtl/>
        </w:rPr>
        <w:t xml:space="preserve"> </w:t>
      </w:r>
      <w:r>
        <w:rPr>
          <w:rFonts w:ascii="Arial" w:hAnsi="Arial" w:hint="cs"/>
          <w:b/>
          <w:bCs/>
          <w:rtl/>
        </w:rPr>
        <w:t>מג'יד נ' מדינת ישראל</w:t>
      </w:r>
      <w:r>
        <w:rPr>
          <w:rFonts w:ascii="Arial" w:hAnsi="Arial" w:hint="cs"/>
          <w:rtl/>
        </w:rPr>
        <w:t xml:space="preserve"> </w:t>
      </w:r>
      <w:r w:rsidR="003257EF" w:rsidRPr="003257EF">
        <w:rPr>
          <w:sz w:val="22"/>
          <w:rtl/>
        </w:rPr>
        <w:t xml:space="preserve">[פורסם בנבו] </w:t>
      </w:r>
      <w:r>
        <w:rPr>
          <w:rFonts w:ascii="Arial" w:hAnsi="Arial" w:hint="cs"/>
          <w:rtl/>
        </w:rPr>
        <w:t xml:space="preserve">– בעניינו של המבקש נקבע בבית-משפט השלום כי מתחם העונש ההולם בעבירה של החזקת נשק נע בין 6 ל-24 חודשי מאסר בפועל, אך נוכח קיומם של סיכויי שיקום, הוטלו על הנאשם עונש של 6 חודשי מאסר לריצוי בפועל, צו מבחן ועונשים נלווים. בית-המשפט המחוזי קיבל את ערעור המדינה על קולת העונש, בקבעו כי העונש סוטה באופן ברור לקולא ממדיניות הענישה הראויה בנסיבות המקרה, </w:t>
      </w:r>
      <w:r>
        <w:rPr>
          <w:rFonts w:ascii="Arial" w:hAnsi="Arial" w:hint="cs"/>
          <w:b/>
          <w:bCs/>
          <w:rtl/>
        </w:rPr>
        <w:t>והעמיד את עונשו של המבקש על 8 חודשי מאסר בפועל</w:t>
      </w:r>
      <w:r>
        <w:rPr>
          <w:rFonts w:ascii="Arial" w:hAnsi="Arial" w:hint="cs"/>
          <w:rtl/>
        </w:rPr>
        <w:t xml:space="preserve">. בקשת רשות ערעור לעליון נדחתה. </w:t>
      </w:r>
    </w:p>
    <w:p w14:paraId="6268D3C8" w14:textId="77777777" w:rsidR="00D559C9" w:rsidRDefault="00D559C9" w:rsidP="00D559C9">
      <w:pPr>
        <w:spacing w:line="360" w:lineRule="auto"/>
        <w:ind w:left="1440" w:hanging="645"/>
        <w:jc w:val="both"/>
        <w:rPr>
          <w:rFonts w:ascii="Arial" w:hAnsi="Arial"/>
          <w:rtl/>
        </w:rPr>
      </w:pPr>
    </w:p>
    <w:p w14:paraId="6A919990" w14:textId="77777777" w:rsidR="00D559C9" w:rsidRDefault="00D559C9" w:rsidP="00D559C9">
      <w:pPr>
        <w:spacing w:line="360" w:lineRule="auto"/>
        <w:ind w:left="1440" w:hanging="645"/>
        <w:jc w:val="both"/>
        <w:rPr>
          <w:rFonts w:ascii="Arial" w:hAnsi="Arial"/>
          <w:rtl/>
        </w:rPr>
      </w:pPr>
      <w:r>
        <w:rPr>
          <w:rFonts w:ascii="Arial" w:hAnsi="Arial" w:hint="cs"/>
          <w:rtl/>
        </w:rPr>
        <w:t>ב.</w:t>
      </w:r>
      <w:r>
        <w:rPr>
          <w:rFonts w:ascii="Arial" w:hAnsi="Arial" w:hint="cs"/>
          <w:rtl/>
        </w:rPr>
        <w:tab/>
      </w:r>
      <w:hyperlink r:id="rId28" w:history="1">
        <w:r w:rsidR="005D5E53" w:rsidRPr="005D5E53">
          <w:rPr>
            <w:rFonts w:ascii="Arial" w:hAnsi="Arial"/>
            <w:color w:val="0000FF"/>
            <w:u w:val="single"/>
            <w:rtl/>
          </w:rPr>
          <w:t>ע"פ (נצ') 53396-06-13</w:t>
        </w:r>
      </w:hyperlink>
      <w:r>
        <w:rPr>
          <w:rFonts w:ascii="Arial" w:hAnsi="Arial" w:hint="cs"/>
          <w:rtl/>
        </w:rPr>
        <w:t xml:space="preserve"> </w:t>
      </w:r>
      <w:r>
        <w:rPr>
          <w:rFonts w:ascii="Arial" w:hAnsi="Arial" w:hint="cs"/>
          <w:b/>
          <w:bCs/>
          <w:rtl/>
        </w:rPr>
        <w:t>זועבי נ' מדינת ישראל</w:t>
      </w:r>
      <w:r>
        <w:rPr>
          <w:rFonts w:ascii="Arial" w:hAnsi="Arial" w:hint="cs"/>
          <w:rtl/>
        </w:rPr>
        <w:t xml:space="preserve"> </w:t>
      </w:r>
      <w:r w:rsidR="003257EF" w:rsidRPr="003257EF">
        <w:rPr>
          <w:sz w:val="22"/>
          <w:rtl/>
        </w:rPr>
        <w:t xml:space="preserve">[פורסם בנבו] </w:t>
      </w:r>
      <w:r>
        <w:rPr>
          <w:rFonts w:ascii="Arial" w:hAnsi="Arial" w:hint="cs"/>
          <w:rtl/>
        </w:rPr>
        <w:t xml:space="preserve">(29.10.13) – המערער הורשע, על פי הודאתו, בעבירות של החזקת נשק והחזקת תחמושת, לאחר שהסתיר תיק ובו אקדח ותחמושת בחדר בביתו. </w:t>
      </w:r>
      <w:r>
        <w:rPr>
          <w:rFonts w:ascii="Arial" w:hAnsi="Arial" w:hint="cs"/>
          <w:b/>
          <w:bCs/>
          <w:rtl/>
        </w:rPr>
        <w:t xml:space="preserve">בית-משפט השלום קבע מתחם עונש הולם הנע בין 8 ל-16 חודשי מאסר בפועל וגזר עליו 10 חודשי מאסר בפועל, 10 חודשי מאסר על-תנאי וקנס בסך 5,000 ₪. </w:t>
      </w:r>
      <w:r>
        <w:rPr>
          <w:rFonts w:ascii="Arial" w:hAnsi="Arial" w:hint="cs"/>
          <w:rtl/>
        </w:rPr>
        <w:t xml:space="preserve">בית-המשפט המחוזי קבע כי עונש המאסר שהושת מחמיר עם המערער יתר על המידה, ואינו משקלל נכונה את מקבץ הנסיבות לקולא הקמות בעניינו, והעמיד את עונשו על </w:t>
      </w:r>
      <w:r>
        <w:rPr>
          <w:rFonts w:ascii="Arial" w:hAnsi="Arial" w:hint="cs"/>
          <w:b/>
          <w:bCs/>
          <w:rtl/>
        </w:rPr>
        <w:t>7 חודשי מאסר בפועל</w:t>
      </w:r>
      <w:r>
        <w:rPr>
          <w:rFonts w:ascii="Arial" w:hAnsi="Arial" w:hint="cs"/>
          <w:rtl/>
        </w:rPr>
        <w:t xml:space="preserve">. </w:t>
      </w:r>
    </w:p>
    <w:p w14:paraId="6EBD1774" w14:textId="77777777" w:rsidR="00D559C9" w:rsidRDefault="00D559C9" w:rsidP="00D559C9">
      <w:pPr>
        <w:spacing w:line="360" w:lineRule="auto"/>
        <w:ind w:left="1440" w:hanging="645"/>
        <w:jc w:val="both"/>
        <w:rPr>
          <w:rFonts w:ascii="Arial" w:hAnsi="Arial"/>
          <w:rtl/>
        </w:rPr>
      </w:pPr>
    </w:p>
    <w:p w14:paraId="6739BDCA" w14:textId="77777777" w:rsidR="00D559C9" w:rsidRDefault="00D559C9" w:rsidP="00D559C9">
      <w:pPr>
        <w:spacing w:line="360" w:lineRule="auto"/>
        <w:ind w:left="1440" w:hanging="645"/>
        <w:jc w:val="both"/>
        <w:rPr>
          <w:rFonts w:ascii="Arial" w:hAnsi="Arial"/>
          <w:rtl/>
        </w:rPr>
      </w:pPr>
      <w:r>
        <w:rPr>
          <w:rFonts w:ascii="Arial" w:hAnsi="Arial" w:hint="cs"/>
          <w:rtl/>
        </w:rPr>
        <w:t>ג.</w:t>
      </w:r>
      <w:r w:rsidR="005D5E53">
        <w:rPr>
          <w:rFonts w:ascii="Arial" w:hAnsi="Arial" w:hint="cs"/>
          <w:rtl/>
        </w:rPr>
        <w:t xml:space="preserve">       </w:t>
      </w:r>
      <w:r>
        <w:rPr>
          <w:rFonts w:ascii="Arial" w:hAnsi="Arial" w:hint="cs"/>
          <w:rtl/>
        </w:rPr>
        <w:t xml:space="preserve"> </w:t>
      </w:r>
      <w:hyperlink r:id="rId29" w:history="1">
        <w:r w:rsidR="005D5E53" w:rsidRPr="005D5E53">
          <w:rPr>
            <w:rFonts w:ascii="Arial" w:hAnsi="Arial"/>
            <w:color w:val="0000FF"/>
            <w:u w:val="single"/>
            <w:rtl/>
          </w:rPr>
          <w:t>ע"פ 1505/14</w:t>
        </w:r>
      </w:hyperlink>
      <w:r>
        <w:rPr>
          <w:rFonts w:ascii="Arial" w:hAnsi="Arial" w:hint="cs"/>
          <w:rtl/>
        </w:rPr>
        <w:t xml:space="preserve"> </w:t>
      </w:r>
      <w:r>
        <w:rPr>
          <w:rFonts w:ascii="Arial" w:hAnsi="Arial" w:hint="cs"/>
          <w:b/>
          <w:bCs/>
          <w:rtl/>
        </w:rPr>
        <w:t>לידאוי נ' מדינת ישראל</w:t>
      </w:r>
      <w:r>
        <w:rPr>
          <w:rFonts w:ascii="Arial" w:hAnsi="Arial" w:hint="cs"/>
          <w:rtl/>
        </w:rPr>
        <w:t xml:space="preserve"> </w:t>
      </w:r>
      <w:r w:rsidR="003257EF" w:rsidRPr="003257EF">
        <w:rPr>
          <w:sz w:val="22"/>
          <w:rtl/>
        </w:rPr>
        <w:t xml:space="preserve">[פורסם בנבו] </w:t>
      </w:r>
      <w:r>
        <w:rPr>
          <w:rFonts w:ascii="Arial" w:hAnsi="Arial" w:hint="cs"/>
          <w:rtl/>
        </w:rPr>
        <w:t xml:space="preserve">(4.11.14) על המערער, בן 60 וללא עבר מכביד, שהורשע בעבירות של החזקת נשק, הפרעה לשוטר, והחזקת רכוש החשוד כגנוב, לאחר שהחזיק בביתו אקדח החשוד כגנוב, נגזרו 8 חודשי מאסר בפועל, מאסרים על-תנאי וקנס בסך 5,000 ₪. בית-המשפט המחוזי קבע בנסיבות העבירות מתחם עונש הולם הנע בין 7 ל-24 חודשי מאסר בפועל. </w:t>
      </w:r>
      <w:r>
        <w:rPr>
          <w:rFonts w:ascii="Arial" w:hAnsi="Arial" w:hint="cs"/>
          <w:b/>
          <w:bCs/>
          <w:rtl/>
        </w:rPr>
        <w:t>בית-המשפט העליון קיבל את הערעור, באופן חלקי, והעמיד את עונשו של המערער על ששה חודשי מאסר לריצוי בעבודות שירות.</w:t>
      </w:r>
      <w:r>
        <w:rPr>
          <w:rFonts w:ascii="Arial" w:hAnsi="Arial" w:hint="cs"/>
          <w:rtl/>
        </w:rPr>
        <w:t xml:space="preserve"> </w:t>
      </w:r>
    </w:p>
    <w:p w14:paraId="2D32E9F1" w14:textId="77777777" w:rsidR="00D559C9" w:rsidRDefault="00D559C9" w:rsidP="00D559C9">
      <w:pPr>
        <w:spacing w:line="360" w:lineRule="auto"/>
        <w:ind w:left="1440" w:hanging="645"/>
        <w:jc w:val="both"/>
        <w:rPr>
          <w:rFonts w:ascii="Arial" w:hAnsi="Arial"/>
          <w:rtl/>
        </w:rPr>
      </w:pPr>
    </w:p>
    <w:p w14:paraId="15458A2F" w14:textId="77777777" w:rsidR="00D559C9" w:rsidRDefault="00D559C9" w:rsidP="00D559C9">
      <w:pPr>
        <w:spacing w:line="360" w:lineRule="auto"/>
        <w:ind w:left="720" w:hanging="720"/>
        <w:jc w:val="both"/>
        <w:rPr>
          <w:rFonts w:ascii="Arial" w:hAnsi="Arial"/>
          <w:b/>
          <w:bCs/>
          <w:rtl/>
        </w:rPr>
      </w:pPr>
      <w:r>
        <w:rPr>
          <w:rFonts w:ascii="Arial" w:hAnsi="Arial" w:hint="cs"/>
          <w:rtl/>
        </w:rPr>
        <w:t>8.</w:t>
      </w:r>
      <w:r w:rsidR="005D5E53">
        <w:rPr>
          <w:rFonts w:ascii="Arial" w:hAnsi="Arial" w:hint="cs"/>
          <w:b/>
          <w:bCs/>
          <w:rtl/>
        </w:rPr>
        <w:t xml:space="preserve">      </w:t>
      </w:r>
      <w:r>
        <w:rPr>
          <w:rFonts w:ascii="Arial" w:hAnsi="Arial" w:hint="cs"/>
          <w:b/>
          <w:bCs/>
          <w:rtl/>
        </w:rPr>
        <w:t xml:space="preserve"> </w:t>
      </w:r>
      <w:r>
        <w:rPr>
          <w:rFonts w:ascii="Arial" w:hAnsi="Arial" w:hint="cs"/>
          <w:b/>
          <w:bCs/>
          <w:rtl/>
        </w:rPr>
        <w:tab/>
        <w:t xml:space="preserve">ראינו אם כך, כי רק במקרים יוצאי דופן, שעניינם בשיקולי שיקום חריגים, נעשית סטייה מרמת ענישה המתחילה במאסר ממושך. נוכח המפורט לעיל, ובשים לב למגמה ברורה של בית המשפט העליון, לפיה יש להחמיר בענישה בגין עבירות נשק,  אני קובעת כי מתחם העונש ההולם בנסיבות ביצוע העבירה, נע בין 12 לבין 24 חודשי מאסר בפועל. </w:t>
      </w:r>
    </w:p>
    <w:p w14:paraId="27D2F96E" w14:textId="77777777" w:rsidR="00D559C9" w:rsidRDefault="00D559C9" w:rsidP="00D559C9">
      <w:pPr>
        <w:spacing w:line="360" w:lineRule="auto"/>
        <w:ind w:left="424" w:hanging="424"/>
        <w:jc w:val="both"/>
        <w:rPr>
          <w:rFonts w:ascii="Arial" w:hAnsi="Arial"/>
          <w:b/>
          <w:bCs/>
          <w:u w:val="single"/>
          <w:rtl/>
        </w:rPr>
      </w:pPr>
    </w:p>
    <w:p w14:paraId="63B7A7F5" w14:textId="77777777" w:rsidR="00D559C9" w:rsidRDefault="00D559C9" w:rsidP="00D559C9">
      <w:pPr>
        <w:spacing w:line="360" w:lineRule="auto"/>
        <w:ind w:left="424" w:hanging="424"/>
        <w:jc w:val="both"/>
        <w:rPr>
          <w:rFonts w:ascii="Arial" w:hAnsi="Arial"/>
          <w:b/>
          <w:bCs/>
          <w:u w:val="single"/>
          <w:rtl/>
        </w:rPr>
      </w:pPr>
      <w:r>
        <w:rPr>
          <w:rFonts w:ascii="Arial" w:hAnsi="Arial" w:hint="cs"/>
          <w:b/>
          <w:bCs/>
          <w:u w:val="single"/>
          <w:rtl/>
        </w:rPr>
        <w:t>גזירת עונשו של הנאשם</w:t>
      </w:r>
    </w:p>
    <w:p w14:paraId="17B34849" w14:textId="77777777" w:rsidR="00D559C9" w:rsidRDefault="00D559C9" w:rsidP="00D559C9">
      <w:pPr>
        <w:spacing w:line="360" w:lineRule="auto"/>
        <w:ind w:left="424" w:hanging="424"/>
        <w:jc w:val="both"/>
        <w:rPr>
          <w:rFonts w:ascii="Arial" w:hAnsi="Arial"/>
          <w:b/>
          <w:bCs/>
          <w:u w:val="single"/>
          <w:rtl/>
        </w:rPr>
      </w:pPr>
    </w:p>
    <w:p w14:paraId="53E8C9AC" w14:textId="77777777" w:rsidR="00D559C9" w:rsidRDefault="00D559C9" w:rsidP="00D559C9">
      <w:pPr>
        <w:spacing w:line="360" w:lineRule="auto"/>
        <w:ind w:left="720" w:hanging="720"/>
        <w:contextualSpacing/>
        <w:jc w:val="both"/>
        <w:rPr>
          <w:rFonts w:ascii="Arial" w:hAnsi="Arial"/>
          <w:rtl/>
        </w:rPr>
      </w:pPr>
      <w:r>
        <w:rPr>
          <w:rFonts w:ascii="Arial" w:hAnsi="Arial" w:hint="cs"/>
          <w:rtl/>
        </w:rPr>
        <w:t>9.</w:t>
      </w:r>
      <w:r w:rsidR="005D5E53">
        <w:rPr>
          <w:rFonts w:ascii="Arial" w:hAnsi="Arial" w:hint="cs"/>
          <w:b/>
          <w:bCs/>
          <w:rtl/>
        </w:rPr>
        <w:t xml:space="preserve">  </w:t>
      </w:r>
      <w:r w:rsidR="005D5E53">
        <w:rPr>
          <w:rFonts w:ascii="Arial" w:hAnsi="Arial" w:hint="cs"/>
          <w:rtl/>
        </w:rPr>
        <w:t xml:space="preserve">    </w:t>
      </w:r>
      <w:r>
        <w:rPr>
          <w:rFonts w:ascii="Arial" w:hAnsi="Arial" w:hint="cs"/>
          <w:rtl/>
        </w:rPr>
        <w:t xml:space="preserve"> </w:t>
      </w:r>
      <w:r>
        <w:rPr>
          <w:rFonts w:ascii="Arial" w:hAnsi="Arial" w:hint="cs"/>
          <w:rtl/>
        </w:rPr>
        <w:tab/>
        <w:t>הנאשם בן 46, הודה במסגרת הסדר טיעון ונטל אחריות ובכך חסך זמן ציבורי.</w:t>
      </w:r>
    </w:p>
    <w:p w14:paraId="248DAB52" w14:textId="77777777" w:rsidR="00D559C9" w:rsidRDefault="00D559C9" w:rsidP="00D559C9">
      <w:pPr>
        <w:spacing w:line="360" w:lineRule="auto"/>
        <w:ind w:left="720"/>
        <w:contextualSpacing/>
        <w:jc w:val="both"/>
        <w:rPr>
          <w:rFonts w:ascii="Arial" w:hAnsi="Arial"/>
          <w:rtl/>
        </w:rPr>
      </w:pPr>
      <w:r>
        <w:rPr>
          <w:rFonts w:ascii="Arial" w:hAnsi="Arial" w:hint="cs"/>
          <w:rtl/>
        </w:rPr>
        <w:t xml:space="preserve">הנאשם נשוי, אב לחמישה ילדים ומפרנסה העיקרי של משפחתו. </w:t>
      </w:r>
    </w:p>
    <w:p w14:paraId="69F2287A" w14:textId="77777777" w:rsidR="00D559C9" w:rsidRDefault="00D559C9" w:rsidP="00D559C9">
      <w:pPr>
        <w:spacing w:line="360" w:lineRule="auto"/>
        <w:ind w:left="720"/>
        <w:contextualSpacing/>
        <w:jc w:val="both"/>
        <w:rPr>
          <w:rFonts w:ascii="Arial" w:hAnsi="Arial"/>
          <w:rtl/>
        </w:rPr>
      </w:pPr>
      <w:r>
        <w:rPr>
          <w:rFonts w:ascii="Arial" w:hAnsi="Arial" w:hint="cs"/>
          <w:rtl/>
        </w:rPr>
        <w:t xml:space="preserve">הנאשם שוהה במעצר עד תום ההליכים מאז 6.10.19. </w:t>
      </w:r>
    </w:p>
    <w:p w14:paraId="0A07B94C" w14:textId="77777777" w:rsidR="00D559C9" w:rsidRDefault="00D559C9" w:rsidP="00D559C9">
      <w:pPr>
        <w:spacing w:line="360" w:lineRule="auto"/>
        <w:ind w:left="720"/>
        <w:contextualSpacing/>
        <w:jc w:val="both"/>
        <w:rPr>
          <w:rFonts w:ascii="Arial" w:hAnsi="Arial"/>
          <w:rtl/>
        </w:rPr>
      </w:pPr>
      <w:r>
        <w:rPr>
          <w:rFonts w:ascii="Arial" w:hAnsi="Arial" w:hint="cs"/>
          <w:rtl/>
        </w:rPr>
        <w:t>אין לחובת הנאשם עבר פלילי.</w:t>
      </w:r>
    </w:p>
    <w:p w14:paraId="655C5E71" w14:textId="77777777" w:rsidR="00D559C9" w:rsidRDefault="00D559C9" w:rsidP="00D559C9">
      <w:pPr>
        <w:spacing w:line="360" w:lineRule="auto"/>
        <w:ind w:left="720"/>
        <w:contextualSpacing/>
        <w:jc w:val="both"/>
        <w:rPr>
          <w:rFonts w:ascii="Arial" w:hAnsi="Arial"/>
          <w:rtl/>
        </w:rPr>
      </w:pPr>
      <w:r>
        <w:rPr>
          <w:rFonts w:ascii="Arial" w:hAnsi="Arial" w:hint="cs"/>
          <w:rtl/>
        </w:rPr>
        <w:t>אין בפניי תסקיר שירות המבחן להערכת רמת סיכון וסיכויי שיקום, כך שאין מקום לחריגה, בנסיבות, ממתחם העונש ההולם משיקולים אלה.</w:t>
      </w:r>
    </w:p>
    <w:p w14:paraId="239FF9FB" w14:textId="77777777" w:rsidR="00D559C9" w:rsidRDefault="00D559C9" w:rsidP="00D559C9">
      <w:pPr>
        <w:spacing w:line="360" w:lineRule="auto"/>
        <w:ind w:left="720"/>
        <w:contextualSpacing/>
        <w:jc w:val="both"/>
        <w:rPr>
          <w:rFonts w:ascii="Arial" w:hAnsi="Arial"/>
          <w:rtl/>
        </w:rPr>
      </w:pPr>
    </w:p>
    <w:p w14:paraId="4B45DF5C" w14:textId="77777777" w:rsidR="00D559C9" w:rsidRDefault="00D559C9" w:rsidP="00D559C9">
      <w:pPr>
        <w:spacing w:line="360" w:lineRule="auto"/>
        <w:ind w:left="720"/>
        <w:contextualSpacing/>
        <w:jc w:val="both"/>
        <w:rPr>
          <w:rFonts w:ascii="Arial" w:hAnsi="Arial"/>
          <w:rtl/>
        </w:rPr>
      </w:pPr>
      <w:r>
        <w:rPr>
          <w:rFonts w:ascii="Arial" w:hAnsi="Arial" w:hint="cs"/>
          <w:rtl/>
        </w:rPr>
        <w:t>יחד עם זאת, יש לקחת בחשבון את הסדר הטיעון במסגרתו הנאשם הודה, ולפיו הגבילה עצמה המאשימה לטיעון של שנת מאסר בפועל בלבד כעונש ראוי. מצאתי כי ראוי, בסופו של דבר, ועל אף שמדובר בענישה החורגת מעט ממתחם העונש, לבוא לקראת הנאשם בגדרי הסדר הטיעון, ולגזור עליו עונש הנמוך במעט מהעונש אליו עתרה המאשימה.</w:t>
      </w:r>
    </w:p>
    <w:p w14:paraId="5296A9B5" w14:textId="77777777" w:rsidR="00D559C9" w:rsidRDefault="00D559C9" w:rsidP="00D559C9">
      <w:pPr>
        <w:spacing w:line="360" w:lineRule="auto"/>
        <w:ind w:left="720"/>
        <w:contextualSpacing/>
        <w:jc w:val="both"/>
        <w:rPr>
          <w:rFonts w:ascii="Arial" w:hAnsi="Arial"/>
          <w:rtl/>
        </w:rPr>
      </w:pPr>
    </w:p>
    <w:p w14:paraId="78F9640F" w14:textId="77777777" w:rsidR="00D559C9" w:rsidRDefault="00D559C9" w:rsidP="00D559C9">
      <w:pPr>
        <w:spacing w:line="360" w:lineRule="auto"/>
        <w:ind w:left="720" w:hanging="720"/>
        <w:contextualSpacing/>
        <w:jc w:val="both"/>
        <w:rPr>
          <w:rFonts w:ascii="Arial" w:hAnsi="Arial"/>
          <w:rtl/>
        </w:rPr>
      </w:pPr>
      <w:r>
        <w:rPr>
          <w:rFonts w:ascii="Arial" w:hAnsi="Arial" w:hint="cs"/>
          <w:rtl/>
        </w:rPr>
        <w:t>10.</w:t>
      </w:r>
      <w:r>
        <w:rPr>
          <w:rFonts w:ascii="Arial" w:hAnsi="Arial" w:hint="cs"/>
          <w:rtl/>
        </w:rPr>
        <w:tab/>
        <w:t>ב"כ הנאשם הפנה בטיעוניו לעונש לעניינו של נאשם אחר, שהורשע בהתאם להודאתו שנמסרה במסגרת הסדר טיעון אשר כלל הסכמה לעניין העונש, באחזקת אקדח "ברטה", מחסנית מלאה בכדורים, ו-8 כדורים בתפזורת, בקטנועו החונה בתחנת דלק בנצרת, והוטלו עליו 12 חודשי מאסר בפועל ועוד יום, בניכוי ימי המעצר, 8 חודשי מאסר על-תנאי, וקנס בסך 8,000 ₪. בפרוטוקול הדיון צוין כי לנאשם עבר פלילי, שאינו בעבירות נשק (</w:t>
      </w:r>
      <w:hyperlink r:id="rId30" w:history="1">
        <w:r w:rsidR="005D5E53" w:rsidRPr="005D5E53">
          <w:rPr>
            <w:rFonts w:ascii="Arial" w:hAnsi="Arial"/>
            <w:color w:val="0000FF"/>
            <w:u w:val="single"/>
            <w:rtl/>
          </w:rPr>
          <w:t>ת"פ (מח' נצ') 21066-10-19</w:t>
        </w:r>
      </w:hyperlink>
      <w:r>
        <w:rPr>
          <w:rFonts w:ascii="Arial" w:hAnsi="Arial" w:hint="cs"/>
          <w:rtl/>
        </w:rPr>
        <w:t xml:space="preserve"> </w:t>
      </w:r>
      <w:r>
        <w:rPr>
          <w:rFonts w:ascii="Arial" w:hAnsi="Arial" w:hint="cs"/>
          <w:b/>
          <w:bCs/>
          <w:rtl/>
        </w:rPr>
        <w:t>מדינת ישראל נ' חמד</w:t>
      </w:r>
      <w:r>
        <w:rPr>
          <w:rFonts w:ascii="Arial" w:hAnsi="Arial" w:hint="cs"/>
          <w:rtl/>
        </w:rPr>
        <w:t xml:space="preserve"> </w:t>
      </w:r>
      <w:r w:rsidR="003257EF" w:rsidRPr="003257EF">
        <w:rPr>
          <w:sz w:val="22"/>
          <w:rtl/>
        </w:rPr>
        <w:t xml:space="preserve">[פורסם בנבו] </w:t>
      </w:r>
      <w:r>
        <w:rPr>
          <w:rFonts w:ascii="Arial" w:hAnsi="Arial" w:hint="cs"/>
          <w:rtl/>
        </w:rPr>
        <w:t>(22.1.20)).</w:t>
      </w:r>
    </w:p>
    <w:p w14:paraId="12809574" w14:textId="77777777" w:rsidR="00D559C9" w:rsidRDefault="00D559C9" w:rsidP="00D559C9">
      <w:pPr>
        <w:spacing w:line="360" w:lineRule="auto"/>
        <w:ind w:left="720"/>
        <w:contextualSpacing/>
        <w:jc w:val="both"/>
        <w:rPr>
          <w:rFonts w:ascii="Arial" w:hAnsi="Arial"/>
          <w:rtl/>
        </w:rPr>
      </w:pPr>
      <w:r>
        <w:rPr>
          <w:rFonts w:ascii="Arial" w:hAnsi="Arial" w:hint="cs"/>
          <w:rtl/>
        </w:rPr>
        <w:t xml:space="preserve">ב"כ הנאשם כאן ביקש להבחין בין עניינו של הנאשם כאן, לו אין עבר פלילי, ובין עניינו של אותו נאשם והעונש שהוטל עליו. </w:t>
      </w:r>
    </w:p>
    <w:p w14:paraId="69F23C4F" w14:textId="77777777" w:rsidR="00D559C9" w:rsidRDefault="00D559C9" w:rsidP="00D559C9">
      <w:pPr>
        <w:spacing w:line="360" w:lineRule="auto"/>
        <w:ind w:left="720"/>
        <w:contextualSpacing/>
        <w:jc w:val="both"/>
        <w:rPr>
          <w:rFonts w:ascii="Arial" w:hAnsi="Arial"/>
          <w:rtl/>
        </w:rPr>
      </w:pPr>
      <w:r>
        <w:rPr>
          <w:rFonts w:ascii="Arial" w:hAnsi="Arial" w:hint="cs"/>
          <w:rtl/>
        </w:rPr>
        <w:t xml:space="preserve">ב"כ המאשימה השיב כי במסגרת הסדר הטיעון בעניינו של אותו נאשם דובר אמנם בנאשם שלא היה לו עבר פלילי מכביד, והעונש אוזן בהטלת קנס משמעותי, וכי הסדר הטיעון הושג בעקבות קשיים ראייתיים משמעותיים. </w:t>
      </w:r>
    </w:p>
    <w:p w14:paraId="0D00933F" w14:textId="77777777" w:rsidR="00D559C9" w:rsidRDefault="00D559C9" w:rsidP="00D559C9">
      <w:pPr>
        <w:spacing w:line="360" w:lineRule="auto"/>
        <w:ind w:left="720"/>
        <w:contextualSpacing/>
        <w:jc w:val="both"/>
        <w:rPr>
          <w:rFonts w:ascii="Arial" w:hAnsi="Arial"/>
          <w:rtl/>
        </w:rPr>
      </w:pPr>
      <w:r>
        <w:rPr>
          <w:rFonts w:ascii="Arial" w:hAnsi="Arial" w:hint="cs"/>
          <w:rtl/>
        </w:rPr>
        <w:t>לא מצאתי כי עניינו של אותו נאשם שנשפט לשנת מאסר מחייב הקלה יחסית עם הנאשם כאן, וזאת כי מדובר בהסדר טיעון נפרד, שבו נשקלו שיקולים לא ידועים, בהם שיקולי ראיות. לא ראיתי טעם בהשוואתו של אותו מקרה דווקא לענייננו, והראי ברור שכל מקרה ומקרה מתייחד לפי נסיבותיו.</w:t>
      </w:r>
    </w:p>
    <w:p w14:paraId="6A1D849E" w14:textId="77777777" w:rsidR="00D559C9" w:rsidRDefault="00D559C9" w:rsidP="00D559C9">
      <w:pPr>
        <w:spacing w:line="360" w:lineRule="auto"/>
        <w:ind w:left="720"/>
        <w:contextualSpacing/>
        <w:jc w:val="both"/>
        <w:rPr>
          <w:rFonts w:ascii="Arial" w:hAnsi="Arial"/>
          <w:rtl/>
        </w:rPr>
      </w:pPr>
    </w:p>
    <w:p w14:paraId="09758C1A" w14:textId="77777777" w:rsidR="00D559C9" w:rsidRDefault="00D559C9" w:rsidP="00D559C9">
      <w:pPr>
        <w:spacing w:line="360" w:lineRule="auto"/>
        <w:ind w:left="720" w:hanging="720"/>
        <w:contextualSpacing/>
        <w:jc w:val="both"/>
        <w:rPr>
          <w:rFonts w:ascii="Arial" w:hAnsi="Arial"/>
          <w:rtl/>
        </w:rPr>
      </w:pPr>
      <w:r>
        <w:rPr>
          <w:rFonts w:ascii="Arial" w:hAnsi="Arial" w:hint="cs"/>
          <w:rtl/>
        </w:rPr>
        <w:t>11.</w:t>
      </w:r>
      <w:r w:rsidR="005D5E53">
        <w:rPr>
          <w:rFonts w:ascii="Arial" w:hAnsi="Arial" w:hint="cs"/>
          <w:rtl/>
        </w:rPr>
        <w:t xml:space="preserve">      </w:t>
      </w:r>
      <w:r>
        <w:rPr>
          <w:rFonts w:ascii="Arial" w:hAnsi="Arial" w:hint="cs"/>
          <w:rtl/>
        </w:rPr>
        <w:t xml:space="preserve"> </w:t>
      </w:r>
      <w:r>
        <w:rPr>
          <w:rFonts w:ascii="Arial" w:hAnsi="Arial" w:hint="cs"/>
          <w:rtl/>
        </w:rPr>
        <w:tab/>
        <w:t xml:space="preserve">בתוך מתחם העונש ההולם, אתחשב בנסיבותיו האישיות של הנאשם כפי שהובאו בטיעונים לעונש, העדר עבר פלילי, תקופת השהות במעצר עד תום ההליכים והפגיעה בנאשם ובמשפחתו. בנוסף, כאמור, אתן משקל לכך שהמאשימה הגבילה עצמה בהסדר הטיעון לתחתית המתחם העונשי, לשם הקלה בלתי משמעותית בעונש.  </w:t>
      </w:r>
    </w:p>
    <w:p w14:paraId="7D8C67BB" w14:textId="77777777" w:rsidR="00D559C9" w:rsidRDefault="00D559C9" w:rsidP="00D559C9">
      <w:pPr>
        <w:spacing w:line="252" w:lineRule="auto"/>
        <w:ind w:left="424" w:hanging="424"/>
        <w:contextualSpacing/>
        <w:jc w:val="both"/>
        <w:rPr>
          <w:rFonts w:ascii="Arial" w:hAnsi="Arial"/>
          <w:rtl/>
        </w:rPr>
      </w:pPr>
    </w:p>
    <w:p w14:paraId="0E746A2C" w14:textId="77777777" w:rsidR="00D559C9" w:rsidRDefault="00D559C9" w:rsidP="00D559C9">
      <w:pPr>
        <w:spacing w:line="360" w:lineRule="auto"/>
        <w:ind w:left="424" w:hanging="424"/>
        <w:jc w:val="both"/>
        <w:rPr>
          <w:rFonts w:ascii="Arial" w:hAnsi="Arial"/>
          <w:b/>
          <w:bCs/>
          <w:u w:val="single"/>
          <w:rtl/>
        </w:rPr>
      </w:pPr>
      <w:r>
        <w:rPr>
          <w:rFonts w:ascii="Arial" w:hAnsi="Arial" w:hint="cs"/>
          <w:b/>
          <w:bCs/>
          <w:u w:val="single"/>
          <w:rtl/>
        </w:rPr>
        <w:t>סוף דבר</w:t>
      </w:r>
    </w:p>
    <w:p w14:paraId="2319C991" w14:textId="77777777" w:rsidR="00D559C9" w:rsidRDefault="00D559C9" w:rsidP="00D559C9">
      <w:pPr>
        <w:spacing w:line="360" w:lineRule="auto"/>
        <w:ind w:left="424" w:hanging="424"/>
        <w:jc w:val="both"/>
        <w:rPr>
          <w:rFonts w:ascii="Arial" w:hAnsi="Arial"/>
          <w:b/>
          <w:bCs/>
          <w:u w:val="single"/>
          <w:rtl/>
        </w:rPr>
      </w:pPr>
    </w:p>
    <w:p w14:paraId="2F568044" w14:textId="77777777" w:rsidR="00D559C9" w:rsidRDefault="00D559C9" w:rsidP="00D559C9">
      <w:pPr>
        <w:spacing w:line="360" w:lineRule="auto"/>
        <w:ind w:left="424" w:hanging="424"/>
        <w:jc w:val="both"/>
        <w:rPr>
          <w:rFonts w:ascii="Arial" w:hAnsi="Arial"/>
          <w:rtl/>
        </w:rPr>
      </w:pPr>
      <w:r>
        <w:rPr>
          <w:rFonts w:ascii="Arial" w:hAnsi="Arial" w:hint="cs"/>
          <w:rtl/>
        </w:rPr>
        <w:t>12.</w:t>
      </w:r>
      <w:r w:rsidR="005D5E53">
        <w:rPr>
          <w:rFonts w:ascii="Arial" w:hAnsi="Arial" w:hint="cs"/>
          <w:rtl/>
        </w:rPr>
        <w:t xml:space="preserve"> </w:t>
      </w:r>
      <w:r>
        <w:rPr>
          <w:rFonts w:ascii="Arial" w:hAnsi="Arial" w:hint="cs"/>
          <w:rtl/>
        </w:rPr>
        <w:t xml:space="preserve"> </w:t>
      </w:r>
      <w:r>
        <w:rPr>
          <w:rFonts w:ascii="Arial" w:hAnsi="Arial" w:hint="cs"/>
          <w:rtl/>
        </w:rPr>
        <w:tab/>
      </w:r>
      <w:r>
        <w:rPr>
          <w:rFonts w:ascii="Arial" w:hAnsi="Arial" w:hint="cs"/>
          <w:rtl/>
        </w:rPr>
        <w:tab/>
        <w:t>נוכח כל האמור לעיל, אני גוזרת את עונשו של הנאשם כדלקמן:</w:t>
      </w:r>
    </w:p>
    <w:p w14:paraId="24837A36" w14:textId="77777777" w:rsidR="00D559C9" w:rsidRDefault="00D559C9" w:rsidP="00D559C9">
      <w:pPr>
        <w:spacing w:line="360" w:lineRule="auto"/>
        <w:ind w:left="424" w:hanging="424"/>
        <w:jc w:val="both"/>
        <w:rPr>
          <w:rFonts w:ascii="Arial" w:hAnsi="Arial"/>
          <w:rtl/>
        </w:rPr>
      </w:pPr>
    </w:p>
    <w:p w14:paraId="62F4245C" w14:textId="77777777" w:rsidR="00D559C9" w:rsidRDefault="005D5E53" w:rsidP="00D559C9">
      <w:pPr>
        <w:spacing w:line="360" w:lineRule="auto"/>
        <w:ind w:firstLine="424"/>
        <w:jc w:val="both"/>
        <w:rPr>
          <w:rFonts w:ascii="Calibri" w:hAnsi="Calibri"/>
          <w:rtl/>
        </w:rPr>
      </w:pPr>
      <w:r>
        <w:rPr>
          <w:rFonts w:ascii="Arial" w:hAnsi="Arial" w:hint="cs"/>
          <w:rtl/>
        </w:rPr>
        <w:t xml:space="preserve">      </w:t>
      </w:r>
      <w:r w:rsidR="00D559C9">
        <w:rPr>
          <w:rFonts w:ascii="Arial" w:hAnsi="Arial" w:hint="cs"/>
          <w:rtl/>
        </w:rPr>
        <w:t xml:space="preserve"> א.</w:t>
      </w:r>
      <w:r>
        <w:rPr>
          <w:rFonts w:ascii="Arial" w:hAnsi="Arial" w:hint="cs"/>
          <w:rtl/>
        </w:rPr>
        <w:t xml:space="preserve">      </w:t>
      </w:r>
      <w:r w:rsidR="00D559C9">
        <w:rPr>
          <w:rFonts w:ascii="Arial" w:hAnsi="Arial" w:hint="cs"/>
          <w:rtl/>
        </w:rPr>
        <w:t xml:space="preserve"> 11 חודשי מאסר בפועל, בניכוי ימי המעצר מיום 6.10.19 עד היום. </w:t>
      </w:r>
    </w:p>
    <w:p w14:paraId="4B23C6D8" w14:textId="77777777" w:rsidR="00D559C9" w:rsidRDefault="00D559C9" w:rsidP="00D559C9">
      <w:pPr>
        <w:spacing w:line="360" w:lineRule="auto"/>
        <w:jc w:val="both"/>
        <w:rPr>
          <w:rFonts w:ascii="Arial" w:hAnsi="Arial"/>
          <w:rtl/>
        </w:rPr>
      </w:pPr>
    </w:p>
    <w:p w14:paraId="36903C1D" w14:textId="77777777" w:rsidR="00D559C9" w:rsidRDefault="00D559C9" w:rsidP="00D559C9">
      <w:pPr>
        <w:spacing w:line="360" w:lineRule="auto"/>
        <w:ind w:left="1440" w:hanging="720"/>
        <w:jc w:val="both"/>
        <w:rPr>
          <w:rFonts w:ascii="Arial" w:hAnsi="Arial"/>
          <w:rtl/>
        </w:rPr>
      </w:pPr>
      <w:r>
        <w:rPr>
          <w:rFonts w:ascii="Arial" w:hAnsi="Arial" w:hint="cs"/>
          <w:rtl/>
        </w:rPr>
        <w:t xml:space="preserve"> ב.</w:t>
      </w:r>
      <w:r w:rsidR="005D5E53">
        <w:rPr>
          <w:rFonts w:ascii="Arial" w:hAnsi="Arial" w:hint="cs"/>
          <w:rtl/>
        </w:rPr>
        <w:t xml:space="preserve">        </w:t>
      </w:r>
      <w:r>
        <w:rPr>
          <w:rFonts w:ascii="Arial" w:hAnsi="Arial" w:hint="cs"/>
          <w:rtl/>
        </w:rPr>
        <w:t xml:space="preserve"> 6 חודשי מאסר על-תנאי, ואולם הנאשם לא יישא עונש זה אלא אם יעבור במהלך תקופה של שלוש שנים מיום שחרורו מהמאסר כל עבירת נשק. </w:t>
      </w:r>
    </w:p>
    <w:p w14:paraId="565EF0BC" w14:textId="77777777" w:rsidR="00D559C9" w:rsidRDefault="00D559C9" w:rsidP="00D559C9">
      <w:pPr>
        <w:spacing w:line="360" w:lineRule="auto"/>
        <w:ind w:left="1440" w:hanging="733"/>
        <w:jc w:val="both"/>
        <w:rPr>
          <w:rFonts w:ascii="Arial" w:hAnsi="Arial"/>
          <w:rtl/>
        </w:rPr>
      </w:pPr>
    </w:p>
    <w:p w14:paraId="13465216" w14:textId="77777777" w:rsidR="00D559C9" w:rsidRDefault="00D559C9" w:rsidP="00D559C9">
      <w:pPr>
        <w:spacing w:line="360" w:lineRule="auto"/>
        <w:ind w:left="1440" w:hanging="733"/>
        <w:jc w:val="both"/>
        <w:rPr>
          <w:rFonts w:ascii="Arial" w:hAnsi="Arial"/>
        </w:rPr>
      </w:pPr>
      <w:r>
        <w:rPr>
          <w:rFonts w:ascii="Arial" w:hAnsi="Arial" w:hint="cs"/>
          <w:rtl/>
        </w:rPr>
        <w:t>ג.</w:t>
      </w:r>
      <w:r w:rsidR="005D5E53">
        <w:rPr>
          <w:rFonts w:ascii="Arial" w:hAnsi="Arial" w:hint="cs"/>
          <w:rtl/>
        </w:rPr>
        <w:t xml:space="preserve">         </w:t>
      </w:r>
      <w:r>
        <w:rPr>
          <w:rFonts w:ascii="Arial" w:hAnsi="Arial" w:hint="cs"/>
          <w:rtl/>
        </w:rPr>
        <w:t xml:space="preserve"> קנס בסך 5,000 ₪ או 25 ימי מאסר תמורתו, הקנס ישולם ב- 5 תשלומים שווים ורצופים עד יום 10/6/2020 ובכל 10 בחודש העוקב לאחריו. </w:t>
      </w:r>
    </w:p>
    <w:p w14:paraId="0BC7DE27" w14:textId="77777777" w:rsidR="00D559C9" w:rsidRDefault="00D559C9" w:rsidP="00D559C9">
      <w:pPr>
        <w:spacing w:line="360" w:lineRule="auto"/>
        <w:ind w:left="1440" w:hanging="720"/>
        <w:jc w:val="both"/>
        <w:rPr>
          <w:rFonts w:ascii="Arial" w:hAnsi="Arial"/>
          <w:rtl/>
        </w:rPr>
      </w:pPr>
    </w:p>
    <w:p w14:paraId="0DA22E93" w14:textId="77777777" w:rsidR="00D559C9" w:rsidRDefault="00D559C9" w:rsidP="00D559C9">
      <w:pPr>
        <w:spacing w:line="360" w:lineRule="auto"/>
        <w:jc w:val="both"/>
        <w:rPr>
          <w:rFonts w:ascii="Arial" w:hAnsi="Arial"/>
          <w:rtl/>
        </w:rPr>
      </w:pPr>
      <w:r>
        <w:rPr>
          <w:rFonts w:ascii="Arial" w:hAnsi="Arial" w:hint="cs"/>
          <w:b/>
          <w:bCs/>
          <w:u w:val="single"/>
          <w:rtl/>
        </w:rPr>
        <w:t>זכות ערעור תוך 45 יום</w:t>
      </w:r>
      <w:r>
        <w:rPr>
          <w:rFonts w:ascii="Arial" w:hAnsi="Arial" w:hint="cs"/>
          <w:b/>
          <w:bCs/>
          <w:rtl/>
        </w:rPr>
        <w:t xml:space="preserve">. </w:t>
      </w:r>
    </w:p>
    <w:p w14:paraId="21E17DEB" w14:textId="77777777" w:rsidR="00D559C9" w:rsidRPr="00B05847" w:rsidRDefault="00D559C9" w:rsidP="00D559C9">
      <w:pPr>
        <w:rPr>
          <w:rtl/>
        </w:rPr>
      </w:pPr>
    </w:p>
    <w:p w14:paraId="62A862E8" w14:textId="77777777" w:rsidR="00D559C9" w:rsidRPr="005D5E53" w:rsidRDefault="005D5E53" w:rsidP="00D559C9">
      <w:pPr>
        <w:rPr>
          <w:color w:val="FFFFFF"/>
          <w:sz w:val="2"/>
          <w:szCs w:val="2"/>
          <w:rtl/>
        </w:rPr>
      </w:pPr>
      <w:r w:rsidRPr="005D5E53">
        <w:rPr>
          <w:color w:val="FFFFFF"/>
          <w:sz w:val="2"/>
          <w:szCs w:val="2"/>
          <w:rtl/>
        </w:rPr>
        <w:t>5129371</w:t>
      </w:r>
    </w:p>
    <w:p w14:paraId="70E74382" w14:textId="77777777" w:rsidR="00D559C9" w:rsidRPr="003257EF" w:rsidRDefault="005D5E53" w:rsidP="00D559C9">
      <w:pPr>
        <w:rPr>
          <w:rFonts w:cs="FrankRuehl"/>
          <w:b/>
          <w:bCs/>
          <w:sz w:val="28"/>
          <w:szCs w:val="28"/>
          <w:rtl/>
        </w:rPr>
      </w:pPr>
      <w:bookmarkStart w:id="6" w:name="Nitan"/>
      <w:r w:rsidRPr="003257EF">
        <w:rPr>
          <w:rFonts w:ascii="Arial" w:hAnsi="Arial"/>
          <w:b/>
          <w:bCs/>
          <w:color w:val="FFFFFF"/>
          <w:sz w:val="2"/>
          <w:szCs w:val="2"/>
          <w:rtl/>
        </w:rPr>
        <w:t>54678313</w:t>
      </w:r>
      <w:r w:rsidRPr="003257EF">
        <w:rPr>
          <w:rFonts w:ascii="Arial" w:hAnsi="Arial"/>
          <w:b/>
          <w:bCs/>
          <w:rtl/>
        </w:rPr>
        <w:t xml:space="preserve">ניתן היום,  י"ד אדר תש"פ, 10 מרץ 2020, במעמד הצדדים. </w:t>
      </w:r>
      <w:bookmarkEnd w:id="6"/>
    </w:p>
    <w:p w14:paraId="7315BB46" w14:textId="77777777" w:rsidR="00D559C9" w:rsidRDefault="00D559C9" w:rsidP="005D5E5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3BE5FBF" w14:textId="77777777" w:rsidR="00D559C9" w:rsidRDefault="00D559C9" w:rsidP="00D559C9">
      <w:pPr>
        <w:jc w:val="center"/>
        <w:rPr>
          <w:rFonts w:ascii="Arial" w:hAnsi="Arial" w:cs="FrankRuehl"/>
          <w:sz w:val="28"/>
          <w:szCs w:val="28"/>
          <w:rtl/>
        </w:rPr>
      </w:pPr>
    </w:p>
    <w:p w14:paraId="596BEAD7" w14:textId="77777777" w:rsidR="00CE3B36" w:rsidRPr="005D5E53" w:rsidRDefault="00CE3B36" w:rsidP="005D5E53">
      <w:pPr>
        <w:keepNext/>
        <w:rPr>
          <w:rFonts w:ascii="David" w:hAnsi="David"/>
          <w:color w:val="000000"/>
          <w:sz w:val="22"/>
          <w:szCs w:val="22"/>
          <w:rtl/>
        </w:rPr>
      </w:pPr>
    </w:p>
    <w:p w14:paraId="1C1D2CC0" w14:textId="77777777" w:rsidR="005D5E53" w:rsidRPr="005D5E53" w:rsidRDefault="005D5E53" w:rsidP="005D5E53">
      <w:pPr>
        <w:keepNext/>
        <w:rPr>
          <w:rFonts w:ascii="David" w:hAnsi="David"/>
          <w:color w:val="000000"/>
          <w:sz w:val="22"/>
          <w:szCs w:val="22"/>
          <w:rtl/>
        </w:rPr>
      </w:pPr>
      <w:r w:rsidRPr="005D5E53">
        <w:rPr>
          <w:rFonts w:ascii="David" w:hAnsi="David"/>
          <w:color w:val="000000"/>
          <w:sz w:val="22"/>
          <w:szCs w:val="22"/>
          <w:rtl/>
        </w:rPr>
        <w:t>רות שפילברג כהן 54678313</w:t>
      </w:r>
    </w:p>
    <w:p w14:paraId="264A71C8" w14:textId="77777777" w:rsidR="005D5E53" w:rsidRDefault="005D5E53" w:rsidP="005D5E53">
      <w:r w:rsidRPr="005D5E53">
        <w:rPr>
          <w:color w:val="000000"/>
          <w:rtl/>
        </w:rPr>
        <w:t>נוסח מסמך זה כפוף לשינויי ניסוח ועריכה</w:t>
      </w:r>
    </w:p>
    <w:p w14:paraId="10FBC9B2" w14:textId="77777777" w:rsidR="005D5E53" w:rsidRDefault="005D5E53" w:rsidP="005D5E53">
      <w:pPr>
        <w:rPr>
          <w:rtl/>
        </w:rPr>
      </w:pPr>
    </w:p>
    <w:p w14:paraId="26756272" w14:textId="77777777" w:rsidR="005D5E53" w:rsidRDefault="005D5E53" w:rsidP="005D5E53">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004E6C69" w14:textId="77777777" w:rsidR="005D5E53" w:rsidRPr="005D5E53" w:rsidRDefault="005D5E53" w:rsidP="005D5E53">
      <w:pPr>
        <w:jc w:val="center"/>
        <w:rPr>
          <w:color w:val="0000FF"/>
          <w:u w:val="single"/>
        </w:rPr>
      </w:pPr>
    </w:p>
    <w:sectPr w:rsidR="005D5E53" w:rsidRPr="005D5E53" w:rsidSect="005D5E53">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CF6B0E" w14:textId="77777777" w:rsidR="00B71416" w:rsidRDefault="00B71416" w:rsidP="005F4B43">
      <w:r>
        <w:separator/>
      </w:r>
    </w:p>
  </w:endnote>
  <w:endnote w:type="continuationSeparator" w:id="0">
    <w:p w14:paraId="22D38441" w14:textId="77777777" w:rsidR="00B71416" w:rsidRDefault="00B71416" w:rsidP="005F4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617A8" w14:textId="77777777" w:rsidR="005D5E53" w:rsidRDefault="005D5E53" w:rsidP="005D5E5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1964F6F" w14:textId="77777777" w:rsidR="00916152" w:rsidRPr="005D5E53" w:rsidRDefault="005D5E53" w:rsidP="005D5E5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046DC" w14:textId="77777777" w:rsidR="005D5E53" w:rsidRDefault="005D5E53" w:rsidP="005D5E5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456A5">
      <w:rPr>
        <w:rFonts w:ascii="FrankRuehl" w:hAnsi="FrankRuehl" w:cs="FrankRuehl"/>
        <w:noProof/>
        <w:rtl/>
      </w:rPr>
      <w:t>1</w:t>
    </w:r>
    <w:r>
      <w:rPr>
        <w:rFonts w:ascii="FrankRuehl" w:hAnsi="FrankRuehl" w:cs="FrankRuehl"/>
        <w:rtl/>
      </w:rPr>
      <w:fldChar w:fldCharType="end"/>
    </w:r>
  </w:p>
  <w:p w14:paraId="7E0B4B12" w14:textId="77777777" w:rsidR="00916152" w:rsidRPr="005D5E53" w:rsidRDefault="005D5E53" w:rsidP="005D5E5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681D4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6D0E01" w14:textId="77777777" w:rsidR="00B71416" w:rsidRDefault="00B71416" w:rsidP="005F4B43">
      <w:r>
        <w:separator/>
      </w:r>
    </w:p>
  </w:footnote>
  <w:footnote w:type="continuationSeparator" w:id="0">
    <w:p w14:paraId="648F85DE" w14:textId="77777777" w:rsidR="00B71416" w:rsidRDefault="00B71416" w:rsidP="005F4B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898942" w14:textId="77777777" w:rsidR="005D5E53" w:rsidRPr="005D5E53" w:rsidRDefault="005D5E53" w:rsidP="005D5E5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(נצ') 21029-10-19</w:t>
    </w:r>
    <w:r>
      <w:rPr>
        <w:rFonts w:ascii="David" w:hAnsi="David"/>
        <w:color w:val="000000"/>
        <w:sz w:val="22"/>
        <w:szCs w:val="22"/>
        <w:rtl/>
      </w:rPr>
      <w:tab/>
      <w:t xml:space="preserve"> מדינת ישראל נ' עלי חמד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D7AF80" w14:textId="77777777" w:rsidR="005D5E53" w:rsidRPr="005D5E53" w:rsidRDefault="005D5E53" w:rsidP="005D5E5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(נצ') 21029-10-19</w:t>
    </w:r>
    <w:r>
      <w:rPr>
        <w:rFonts w:ascii="David" w:hAnsi="David"/>
        <w:color w:val="000000"/>
        <w:sz w:val="22"/>
        <w:szCs w:val="22"/>
        <w:rtl/>
      </w:rPr>
      <w:tab/>
      <w:t xml:space="preserve"> מדינת ישראל נ' עלי חמד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E81CC0"/>
    <w:multiLevelType w:val="hybridMultilevel"/>
    <w:tmpl w:val="F0C2CE34"/>
    <w:lvl w:ilvl="0" w:tplc="16DE901C">
      <w:start w:val="1"/>
      <w:numFmt w:val="hebrew1"/>
      <w:lvlText w:val="%1."/>
      <w:lvlJc w:val="left"/>
      <w:pPr>
        <w:ind w:left="1440" w:hanging="645"/>
      </w:pPr>
      <w:rPr>
        <w:rFonts w:cs="Times New Roman"/>
      </w:rPr>
    </w:lvl>
    <w:lvl w:ilvl="1" w:tplc="04090019">
      <w:start w:val="1"/>
      <w:numFmt w:val="lowerLetter"/>
      <w:lvlText w:val="%2."/>
      <w:lvlJc w:val="left"/>
      <w:pPr>
        <w:ind w:left="1875" w:hanging="360"/>
      </w:pPr>
      <w:rPr>
        <w:rFonts w:cs="Times New Roman"/>
      </w:rPr>
    </w:lvl>
    <w:lvl w:ilvl="2" w:tplc="0409001B">
      <w:start w:val="1"/>
      <w:numFmt w:val="lowerRoman"/>
      <w:lvlText w:val="%3."/>
      <w:lvlJc w:val="right"/>
      <w:pPr>
        <w:ind w:left="2595" w:hanging="180"/>
      </w:pPr>
      <w:rPr>
        <w:rFonts w:cs="Times New Roman"/>
      </w:rPr>
    </w:lvl>
    <w:lvl w:ilvl="3" w:tplc="0409000F">
      <w:start w:val="1"/>
      <w:numFmt w:val="decimal"/>
      <w:lvlText w:val="%4."/>
      <w:lvlJc w:val="left"/>
      <w:pPr>
        <w:ind w:left="3315" w:hanging="360"/>
      </w:pPr>
      <w:rPr>
        <w:rFonts w:cs="Times New Roman"/>
      </w:rPr>
    </w:lvl>
    <w:lvl w:ilvl="4" w:tplc="04090019">
      <w:start w:val="1"/>
      <w:numFmt w:val="lowerLetter"/>
      <w:lvlText w:val="%5."/>
      <w:lvlJc w:val="left"/>
      <w:pPr>
        <w:ind w:left="4035" w:hanging="360"/>
      </w:pPr>
      <w:rPr>
        <w:rFonts w:cs="Times New Roman"/>
      </w:rPr>
    </w:lvl>
    <w:lvl w:ilvl="5" w:tplc="0409001B">
      <w:start w:val="1"/>
      <w:numFmt w:val="lowerRoman"/>
      <w:lvlText w:val="%6."/>
      <w:lvlJc w:val="right"/>
      <w:pPr>
        <w:ind w:left="4755" w:hanging="180"/>
      </w:pPr>
      <w:rPr>
        <w:rFonts w:cs="Times New Roman"/>
      </w:rPr>
    </w:lvl>
    <w:lvl w:ilvl="6" w:tplc="0409000F">
      <w:start w:val="1"/>
      <w:numFmt w:val="decimal"/>
      <w:lvlText w:val="%7."/>
      <w:lvlJc w:val="left"/>
      <w:pPr>
        <w:ind w:left="5475" w:hanging="360"/>
      </w:pPr>
      <w:rPr>
        <w:rFonts w:cs="Times New Roman"/>
      </w:rPr>
    </w:lvl>
    <w:lvl w:ilvl="7" w:tplc="04090019">
      <w:start w:val="1"/>
      <w:numFmt w:val="lowerLetter"/>
      <w:lvlText w:val="%8."/>
      <w:lvlJc w:val="left"/>
      <w:pPr>
        <w:ind w:left="6195" w:hanging="360"/>
      </w:pPr>
      <w:rPr>
        <w:rFonts w:cs="Times New Roman"/>
      </w:rPr>
    </w:lvl>
    <w:lvl w:ilvl="8" w:tplc="0409001B">
      <w:start w:val="1"/>
      <w:numFmt w:val="lowerRoman"/>
      <w:lvlText w:val="%9."/>
      <w:lvlJc w:val="right"/>
      <w:pPr>
        <w:ind w:left="6915" w:hanging="180"/>
      </w:pPr>
      <w:rPr>
        <w:rFonts w:cs="Times New Roman"/>
      </w:rPr>
    </w:lvl>
  </w:abstractNum>
  <w:num w:numId="1" w16cid:durableId="3959755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559C9"/>
    <w:rsid w:val="003257EF"/>
    <w:rsid w:val="003456A5"/>
    <w:rsid w:val="005D5E53"/>
    <w:rsid w:val="005F4B43"/>
    <w:rsid w:val="007C3DB1"/>
    <w:rsid w:val="00854DF3"/>
    <w:rsid w:val="00916152"/>
    <w:rsid w:val="00B71416"/>
    <w:rsid w:val="00BD28E5"/>
    <w:rsid w:val="00C46A59"/>
    <w:rsid w:val="00C501AB"/>
    <w:rsid w:val="00CE3B36"/>
    <w:rsid w:val="00D559C9"/>
    <w:rsid w:val="00EA433E"/>
    <w:rsid w:val="00F21D11"/>
    <w:rsid w:val="00F603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F02A658"/>
  <w15:chartTrackingRefBased/>
  <w15:docId w15:val="{206AC779-45BB-4B5F-82FC-D6CC40103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559C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559C9"/>
    <w:pPr>
      <w:tabs>
        <w:tab w:val="center" w:pos="4153"/>
        <w:tab w:val="right" w:pos="8306"/>
      </w:tabs>
    </w:pPr>
  </w:style>
  <w:style w:type="character" w:customStyle="1" w:styleId="a4">
    <w:name w:val="כותרת עליונה תו"/>
    <w:link w:val="a3"/>
    <w:rsid w:val="00D559C9"/>
    <w:rPr>
      <w:rFonts w:ascii="Times New Roman" w:eastAsia="Times New Roman" w:hAnsi="Times New Roman" w:cs="David"/>
      <w:sz w:val="24"/>
      <w:szCs w:val="24"/>
    </w:rPr>
  </w:style>
  <w:style w:type="paragraph" w:styleId="a5">
    <w:name w:val="footer"/>
    <w:basedOn w:val="a"/>
    <w:link w:val="a6"/>
    <w:rsid w:val="00D559C9"/>
    <w:pPr>
      <w:tabs>
        <w:tab w:val="center" w:pos="4153"/>
        <w:tab w:val="right" w:pos="8306"/>
      </w:tabs>
    </w:pPr>
  </w:style>
  <w:style w:type="character" w:customStyle="1" w:styleId="a6">
    <w:name w:val="כותרת תחתונה תו"/>
    <w:link w:val="a5"/>
    <w:rsid w:val="00D559C9"/>
    <w:rPr>
      <w:rFonts w:ascii="Times New Roman" w:eastAsia="Times New Roman" w:hAnsi="Times New Roman" w:cs="David"/>
      <w:sz w:val="24"/>
      <w:szCs w:val="24"/>
    </w:rPr>
  </w:style>
  <w:style w:type="table" w:styleId="a7">
    <w:name w:val="Table Grid"/>
    <w:basedOn w:val="a1"/>
    <w:rsid w:val="00D559C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559C9"/>
  </w:style>
  <w:style w:type="character" w:styleId="Hyperlink">
    <w:name w:val="Hyperlink"/>
    <w:rsid w:val="00D559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4303104" TargetMode="External"/><Relationship Id="rId26" Type="http://schemas.openxmlformats.org/officeDocument/2006/relationships/hyperlink" Target="http://www.nevo.co.il/case/25892549" TargetMode="External"/><Relationship Id="rId21" Type="http://schemas.openxmlformats.org/officeDocument/2006/relationships/hyperlink" Target="http://www.nevo.co.il/case/6024035"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case/20291305" TargetMode="External"/><Relationship Id="rId25" Type="http://schemas.openxmlformats.org/officeDocument/2006/relationships/hyperlink" Target="http://www.nevo.co.il/case/25543800"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25824863" TargetMode="External"/><Relationship Id="rId20" Type="http://schemas.openxmlformats.org/officeDocument/2006/relationships/hyperlink" Target="http://www.nevo.co.il/case/5580781" TargetMode="External"/><Relationship Id="rId29" Type="http://schemas.openxmlformats.org/officeDocument/2006/relationships/hyperlink" Target="http://www.nevo.co.il/case/1301550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16944929"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6000182" TargetMode="External"/><Relationship Id="rId23" Type="http://schemas.openxmlformats.org/officeDocument/2006/relationships/hyperlink" Target="http://www.nevo.co.il/case/16913730" TargetMode="External"/><Relationship Id="rId28" Type="http://schemas.openxmlformats.org/officeDocument/2006/relationships/hyperlink" Target="http://www.nevo.co.il/case/7697147" TargetMode="External"/><Relationship Id="rId36" Type="http://schemas.openxmlformats.org/officeDocument/2006/relationships/fontTable" Target="fontTable.xml"/><Relationship Id="rId10" Type="http://schemas.openxmlformats.org/officeDocument/2006/relationships/hyperlink" Target="http://www.nevo.co.il/law/70301/144.a" TargetMode="External"/><Relationship Id="rId19" Type="http://schemas.openxmlformats.org/officeDocument/2006/relationships/hyperlink" Target="http://www.nevo.co.il/case/20450586"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2592575" TargetMode="External"/><Relationship Id="rId27" Type="http://schemas.openxmlformats.org/officeDocument/2006/relationships/hyperlink" Target="http://www.nevo.co.il/case/25063920" TargetMode="External"/><Relationship Id="rId30" Type="http://schemas.openxmlformats.org/officeDocument/2006/relationships/hyperlink" Target="http://www.nevo.co.il/case/26103529" TargetMode="External"/><Relationship Id="rId35" Type="http://schemas.openxmlformats.org/officeDocument/2006/relationships/footer" Target="footer2.xml"/><Relationship Id="rId8" Type="http://schemas.openxmlformats.org/officeDocument/2006/relationships/hyperlink" Target="http://www.nevo.co.il/law/70301/144.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2569</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15387</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3276919</vt:i4>
      </vt:variant>
      <vt:variant>
        <vt:i4>69</vt:i4>
      </vt:variant>
      <vt:variant>
        <vt:i4>0</vt:i4>
      </vt:variant>
      <vt:variant>
        <vt:i4>5</vt:i4>
      </vt:variant>
      <vt:variant>
        <vt:lpwstr>http://www.nevo.co.il/case/26103529</vt:lpwstr>
      </vt:variant>
      <vt:variant>
        <vt:lpwstr/>
      </vt:variant>
      <vt:variant>
        <vt:i4>3407987</vt:i4>
      </vt:variant>
      <vt:variant>
        <vt:i4>66</vt:i4>
      </vt:variant>
      <vt:variant>
        <vt:i4>0</vt:i4>
      </vt:variant>
      <vt:variant>
        <vt:i4>5</vt:i4>
      </vt:variant>
      <vt:variant>
        <vt:lpwstr>http://www.nevo.co.il/case/13015506</vt:lpwstr>
      </vt:variant>
      <vt:variant>
        <vt:lpwstr/>
      </vt:variant>
      <vt:variant>
        <vt:i4>3670129</vt:i4>
      </vt:variant>
      <vt:variant>
        <vt:i4>63</vt:i4>
      </vt:variant>
      <vt:variant>
        <vt:i4>0</vt:i4>
      </vt:variant>
      <vt:variant>
        <vt:i4>5</vt:i4>
      </vt:variant>
      <vt:variant>
        <vt:lpwstr>http://www.nevo.co.il/case/7697147</vt:lpwstr>
      </vt:variant>
      <vt:variant>
        <vt:lpwstr/>
      </vt:variant>
      <vt:variant>
        <vt:i4>3342462</vt:i4>
      </vt:variant>
      <vt:variant>
        <vt:i4>60</vt:i4>
      </vt:variant>
      <vt:variant>
        <vt:i4>0</vt:i4>
      </vt:variant>
      <vt:variant>
        <vt:i4>5</vt:i4>
      </vt:variant>
      <vt:variant>
        <vt:lpwstr>http://www.nevo.co.il/case/25063920</vt:lpwstr>
      </vt:variant>
      <vt:variant>
        <vt:lpwstr/>
      </vt:variant>
      <vt:variant>
        <vt:i4>3932285</vt:i4>
      </vt:variant>
      <vt:variant>
        <vt:i4>57</vt:i4>
      </vt:variant>
      <vt:variant>
        <vt:i4>0</vt:i4>
      </vt:variant>
      <vt:variant>
        <vt:i4>5</vt:i4>
      </vt:variant>
      <vt:variant>
        <vt:lpwstr>http://www.nevo.co.il/case/25892549</vt:lpwstr>
      </vt:variant>
      <vt:variant>
        <vt:lpwstr/>
      </vt:variant>
      <vt:variant>
        <vt:i4>3407997</vt:i4>
      </vt:variant>
      <vt:variant>
        <vt:i4>54</vt:i4>
      </vt:variant>
      <vt:variant>
        <vt:i4>0</vt:i4>
      </vt:variant>
      <vt:variant>
        <vt:i4>5</vt:i4>
      </vt:variant>
      <vt:variant>
        <vt:lpwstr>http://www.nevo.co.il/case/25543800</vt:lpwstr>
      </vt:variant>
      <vt:variant>
        <vt:lpwstr/>
      </vt:variant>
      <vt:variant>
        <vt:i4>4063359</vt:i4>
      </vt:variant>
      <vt:variant>
        <vt:i4>51</vt:i4>
      </vt:variant>
      <vt:variant>
        <vt:i4>0</vt:i4>
      </vt:variant>
      <vt:variant>
        <vt:i4>5</vt:i4>
      </vt:variant>
      <vt:variant>
        <vt:lpwstr>http://www.nevo.co.il/case/16944929</vt:lpwstr>
      </vt:variant>
      <vt:variant>
        <vt:lpwstr/>
      </vt:variant>
      <vt:variant>
        <vt:i4>3670132</vt:i4>
      </vt:variant>
      <vt:variant>
        <vt:i4>48</vt:i4>
      </vt:variant>
      <vt:variant>
        <vt:i4>0</vt:i4>
      </vt:variant>
      <vt:variant>
        <vt:i4>5</vt:i4>
      </vt:variant>
      <vt:variant>
        <vt:lpwstr>http://www.nevo.co.il/case/16913730</vt:lpwstr>
      </vt:variant>
      <vt:variant>
        <vt:lpwstr/>
      </vt:variant>
      <vt:variant>
        <vt:i4>3866740</vt:i4>
      </vt:variant>
      <vt:variant>
        <vt:i4>45</vt:i4>
      </vt:variant>
      <vt:variant>
        <vt:i4>0</vt:i4>
      </vt:variant>
      <vt:variant>
        <vt:i4>5</vt:i4>
      </vt:variant>
      <vt:variant>
        <vt:lpwstr>http://www.nevo.co.il/case/2592575</vt:lpwstr>
      </vt:variant>
      <vt:variant>
        <vt:lpwstr/>
      </vt:variant>
      <vt:variant>
        <vt:i4>3211379</vt:i4>
      </vt:variant>
      <vt:variant>
        <vt:i4>42</vt:i4>
      </vt:variant>
      <vt:variant>
        <vt:i4>0</vt:i4>
      </vt:variant>
      <vt:variant>
        <vt:i4>5</vt:i4>
      </vt:variant>
      <vt:variant>
        <vt:lpwstr>http://www.nevo.co.il/case/6024035</vt:lpwstr>
      </vt:variant>
      <vt:variant>
        <vt:lpwstr/>
      </vt:variant>
      <vt:variant>
        <vt:i4>3866745</vt:i4>
      </vt:variant>
      <vt:variant>
        <vt:i4>39</vt:i4>
      </vt:variant>
      <vt:variant>
        <vt:i4>0</vt:i4>
      </vt:variant>
      <vt:variant>
        <vt:i4>5</vt:i4>
      </vt:variant>
      <vt:variant>
        <vt:lpwstr>http://www.nevo.co.il/case/5580781</vt:lpwstr>
      </vt:variant>
      <vt:variant>
        <vt:lpwstr/>
      </vt:variant>
      <vt:variant>
        <vt:i4>4063348</vt:i4>
      </vt:variant>
      <vt:variant>
        <vt:i4>36</vt:i4>
      </vt:variant>
      <vt:variant>
        <vt:i4>0</vt:i4>
      </vt:variant>
      <vt:variant>
        <vt:i4>5</vt:i4>
      </vt:variant>
      <vt:variant>
        <vt:lpwstr>http://www.nevo.co.il/case/20450586</vt:lpwstr>
      </vt:variant>
      <vt:variant>
        <vt:lpwstr/>
      </vt:variant>
      <vt:variant>
        <vt:i4>3276913</vt:i4>
      </vt:variant>
      <vt:variant>
        <vt:i4>33</vt:i4>
      </vt:variant>
      <vt:variant>
        <vt:i4>0</vt:i4>
      </vt:variant>
      <vt:variant>
        <vt:i4>5</vt:i4>
      </vt:variant>
      <vt:variant>
        <vt:lpwstr>http://www.nevo.co.il/case/24303104</vt:lpwstr>
      </vt:variant>
      <vt:variant>
        <vt:lpwstr/>
      </vt:variant>
      <vt:variant>
        <vt:i4>3211390</vt:i4>
      </vt:variant>
      <vt:variant>
        <vt:i4>30</vt:i4>
      </vt:variant>
      <vt:variant>
        <vt:i4>0</vt:i4>
      </vt:variant>
      <vt:variant>
        <vt:i4>5</vt:i4>
      </vt:variant>
      <vt:variant>
        <vt:lpwstr>http://www.nevo.co.il/case/20291305</vt:lpwstr>
      </vt:variant>
      <vt:variant>
        <vt:lpwstr/>
      </vt:variant>
      <vt:variant>
        <vt:i4>3670139</vt:i4>
      </vt:variant>
      <vt:variant>
        <vt:i4>27</vt:i4>
      </vt:variant>
      <vt:variant>
        <vt:i4>0</vt:i4>
      </vt:variant>
      <vt:variant>
        <vt:i4>5</vt:i4>
      </vt:variant>
      <vt:variant>
        <vt:lpwstr>http://www.nevo.co.il/case/25824863</vt:lpwstr>
      </vt:variant>
      <vt:variant>
        <vt:lpwstr/>
      </vt:variant>
      <vt:variant>
        <vt:i4>3473532</vt:i4>
      </vt:variant>
      <vt:variant>
        <vt:i4>24</vt:i4>
      </vt:variant>
      <vt:variant>
        <vt:i4>0</vt:i4>
      </vt:variant>
      <vt:variant>
        <vt:i4>5</vt:i4>
      </vt:variant>
      <vt:variant>
        <vt:lpwstr>http://www.nevo.co.il/case/6000182</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2025-01-19T17:43:00Z</dcterms:created>
  <dcterms:modified xsi:type="dcterms:W3CDTF">2025-01-19T17:43:00Z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21029</vt:lpwstr>
  </property>
  <property fmtid="{D5CDD505-2E9C-101B-9397-08002B2CF9AE}" pid="6" name="NEWPARTB">
    <vt:lpwstr>10</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עלי חמד</vt:lpwstr>
  </property>
  <property fmtid="{D5CDD505-2E9C-101B-9397-08002B2CF9AE}" pid="10" name="JUDGE">
    <vt:lpwstr>רות שפילברג כהן</vt:lpwstr>
  </property>
  <property fmtid="{D5CDD505-2E9C-101B-9397-08002B2CF9AE}" pid="11" name="CITY">
    <vt:lpwstr>נצ'</vt:lpwstr>
  </property>
  <property fmtid="{D5CDD505-2E9C-101B-9397-08002B2CF9AE}" pid="12" name="DATE">
    <vt:lpwstr>20200310</vt:lpwstr>
  </property>
  <property fmtid="{D5CDD505-2E9C-101B-9397-08002B2CF9AE}" pid="13" name="TYPE_N_DATE">
    <vt:lpwstr>38020200310</vt:lpwstr>
  </property>
  <property fmtid="{D5CDD505-2E9C-101B-9397-08002B2CF9AE}" pid="14" name="ISABSTRACT">
    <vt:lpwstr>Y</vt:lpwstr>
  </property>
  <property fmtid="{D5CDD505-2E9C-101B-9397-08002B2CF9AE}" pid="15" name="WORDNUMPAGES">
    <vt:lpwstr>9</vt:lpwstr>
  </property>
  <property fmtid="{D5CDD505-2E9C-101B-9397-08002B2CF9AE}" pid="16" name="TYPE_ABS_DATE">
    <vt:lpwstr>380120200310</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6000182;25824863;20291305;24303104;20450586;5580781;6024035;2592575;16913730;16944929;25543800;25892549;25063920;7697147;13015506;26103529</vt:lpwstr>
  </property>
  <property fmtid="{D5CDD505-2E9C-101B-9397-08002B2CF9AE}" pid="36" name="LAWLISTTMP1">
    <vt:lpwstr>70301/144.a;144.b</vt:lpwstr>
  </property>
  <property fmtid="{D5CDD505-2E9C-101B-9397-08002B2CF9AE}" pid="37" name="METAKZER">
    <vt:lpwstr>שירלי</vt:lpwstr>
  </property>
  <property fmtid="{D5CDD505-2E9C-101B-9397-08002B2CF9AE}" pid="38" name="NOSE1ID">
    <vt:lpwstr>77;77;77;77</vt:lpwstr>
  </property>
  <property fmtid="{D5CDD505-2E9C-101B-9397-08002B2CF9AE}" pid="39" name="NOSE2ID">
    <vt:lpwstr>1446;1446;1446;1446</vt:lpwstr>
  </property>
  <property fmtid="{D5CDD505-2E9C-101B-9397-08002B2CF9AE}" pid="40" name="NOSE3ID">
    <vt:lpwstr>14799;8994;14985;13800</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עקרון ההלימה‏</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מדיניות ענישה: שיקולים</vt:lpwstr>
  </property>
  <property fmtid="{D5CDD505-2E9C-101B-9397-08002B2CF9AE}" pid="47" name="NOSE13">
    <vt:lpwstr>עונשין</vt:lpwstr>
  </property>
  <property fmtid="{D5CDD505-2E9C-101B-9397-08002B2CF9AE}" pid="48" name="NOSE23">
    <vt:lpwstr>ענישה</vt:lpwstr>
  </property>
  <property fmtid="{D5CDD505-2E9C-101B-9397-08002B2CF9AE}" pid="49" name="NOSE33">
    <vt:lpwstr>מתחם הענישה</vt:lpwstr>
  </property>
  <property fmtid="{D5CDD505-2E9C-101B-9397-08002B2CF9AE}" pid="50" name="NOSE14">
    <vt:lpwstr>עונשין</vt:lpwstr>
  </property>
  <property fmtid="{D5CDD505-2E9C-101B-9397-08002B2CF9AE}" pid="51" name="NOSE24">
    <vt:lpwstr>ענישה</vt:lpwstr>
  </property>
  <property fmtid="{D5CDD505-2E9C-101B-9397-08002B2CF9AE}" pid="52" name="NOSE34">
    <vt:lpwstr>מדיניות ענישה: עבירות נשק</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20200422</vt:lpwstr>
  </property>
</Properties>
</file>