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47"/>
        <w:gridCol w:w="1488"/>
        <w:gridCol w:w="3663"/>
        <w:gridCol w:w="99"/>
      </w:tblGrid>
      <w:tr w:rsidR="00605D95" w:rsidRPr="0000348A" w14:paraId="016528D0" w14:textId="77777777" w:rsidTr="009377EB">
        <w:trPr>
          <w:gridAfter w:val="1"/>
          <w:wAfter w:w="99" w:type="dxa"/>
          <w:trHeight w:hRule="exact" w:val="418"/>
          <w:jc w:val="center"/>
        </w:trPr>
        <w:tc>
          <w:tcPr>
            <w:tcW w:w="8721" w:type="dxa"/>
            <w:gridSpan w:val="4"/>
          </w:tcPr>
          <w:p w14:paraId="1980E886" w14:textId="77777777" w:rsidR="00605D95" w:rsidRPr="0000348A" w:rsidRDefault="00605D95" w:rsidP="00EF2DA3">
            <w:pPr>
              <w:pStyle w:val="a3"/>
              <w:jc w:val="center"/>
              <w:rPr>
                <w:rFonts w:ascii="Tahoma" w:hAnsi="Tahoma" w:cs="Tahoma"/>
                <w:color w:val="000080"/>
                <w:rtl/>
              </w:rPr>
            </w:pPr>
            <w:bookmarkStart w:id="0" w:name="LastJudge"/>
            <w:r w:rsidRPr="0000348A">
              <w:rPr>
                <w:rFonts w:ascii="Tahoma" w:hAnsi="Tahoma" w:cs="Tahoma"/>
                <w:b/>
                <w:bCs/>
                <w:color w:val="000080"/>
                <w:rtl/>
              </w:rPr>
              <w:t>בית משפט השלום בבאר שבע</w:t>
            </w:r>
          </w:p>
        </w:tc>
      </w:tr>
      <w:tr w:rsidR="00605D95" w:rsidRPr="0000348A" w14:paraId="4CC49BE7" w14:textId="77777777" w:rsidTr="009377EB">
        <w:trPr>
          <w:gridAfter w:val="1"/>
          <w:wAfter w:w="99" w:type="dxa"/>
          <w:trHeight w:val="337"/>
          <w:jc w:val="center"/>
        </w:trPr>
        <w:tc>
          <w:tcPr>
            <w:tcW w:w="5058" w:type="dxa"/>
            <w:gridSpan w:val="3"/>
          </w:tcPr>
          <w:p w14:paraId="20DB55A8" w14:textId="77777777" w:rsidR="00605D95" w:rsidRPr="0000348A" w:rsidRDefault="00605D95" w:rsidP="00EF2DA3">
            <w:pPr>
              <w:rPr>
                <w:rFonts w:ascii="David" w:hAnsi="David"/>
                <w:b/>
                <w:bCs/>
                <w:sz w:val="28"/>
                <w:szCs w:val="28"/>
                <w:rtl/>
              </w:rPr>
            </w:pPr>
            <w:r w:rsidRPr="0000348A">
              <w:rPr>
                <w:rFonts w:ascii="David" w:hAnsi="David"/>
                <w:b/>
                <w:bCs/>
                <w:sz w:val="28"/>
                <w:szCs w:val="28"/>
                <w:rtl/>
              </w:rPr>
              <w:t>ת"פ 65577-12-19 מדינת ישראל נ' אלקרינאוי</w:t>
            </w:r>
          </w:p>
          <w:p w14:paraId="1971DA50" w14:textId="77777777" w:rsidR="00605D95" w:rsidRPr="0000348A" w:rsidRDefault="00605D95" w:rsidP="00EF2DA3">
            <w:pPr>
              <w:pStyle w:val="a3"/>
              <w:rPr>
                <w:rFonts w:cs="FrankRuehl"/>
                <w:sz w:val="28"/>
                <w:szCs w:val="28"/>
                <w:rtl/>
              </w:rPr>
            </w:pPr>
          </w:p>
        </w:tc>
        <w:tc>
          <w:tcPr>
            <w:tcW w:w="3663" w:type="dxa"/>
          </w:tcPr>
          <w:p w14:paraId="3FD0EA98" w14:textId="77777777" w:rsidR="00605D95" w:rsidRPr="0000348A" w:rsidRDefault="00605D95" w:rsidP="00EF2DA3">
            <w:pPr>
              <w:pStyle w:val="a3"/>
              <w:jc w:val="right"/>
              <w:rPr>
                <w:rFonts w:cs="FrankRuehl"/>
                <w:sz w:val="28"/>
                <w:szCs w:val="28"/>
                <w:rtl/>
              </w:rPr>
            </w:pPr>
          </w:p>
        </w:tc>
      </w:tr>
      <w:tr w:rsidR="00605D95" w:rsidRPr="0000348A" w14:paraId="74E18CA4"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D9DC470" w14:textId="77777777" w:rsidR="00605D95" w:rsidRPr="0000348A" w:rsidRDefault="00605D95" w:rsidP="00605D95">
            <w:pPr>
              <w:jc w:val="both"/>
              <w:rPr>
                <w:rFonts w:ascii="David" w:hAnsi="David"/>
                <w:b/>
                <w:bCs/>
                <w:sz w:val="26"/>
                <w:szCs w:val="26"/>
              </w:rPr>
            </w:pPr>
            <w:r w:rsidRPr="0000348A">
              <w:rPr>
                <w:rFonts w:hint="cs"/>
                <w:rtl/>
              </w:rPr>
              <w:t xml:space="preserve"> </w:t>
            </w:r>
            <w:r w:rsidRPr="0000348A">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885B629" w14:textId="77777777" w:rsidR="00605D95" w:rsidRPr="0000348A" w:rsidRDefault="00605D95" w:rsidP="00EF2DA3">
            <w:pPr>
              <w:rPr>
                <w:rFonts w:ascii="David" w:hAnsi="David"/>
                <w:b/>
                <w:bCs/>
                <w:sz w:val="26"/>
                <w:szCs w:val="26"/>
                <w:rtl/>
              </w:rPr>
            </w:pPr>
            <w:r w:rsidRPr="0000348A">
              <w:rPr>
                <w:rFonts w:ascii="David" w:hAnsi="David"/>
                <w:b/>
                <w:bCs/>
                <w:sz w:val="26"/>
                <w:szCs w:val="26"/>
                <w:rtl/>
              </w:rPr>
              <w:t>כבוד השופט  יניב בן הרוש</w:t>
            </w:r>
          </w:p>
          <w:p w14:paraId="5CAA0295" w14:textId="77777777" w:rsidR="00605D95" w:rsidRPr="0000348A" w:rsidRDefault="00605D95" w:rsidP="00EF2DA3">
            <w:pPr>
              <w:rPr>
                <w:rFonts w:ascii="David" w:hAnsi="David"/>
                <w:b/>
                <w:bCs/>
                <w:sz w:val="26"/>
                <w:szCs w:val="26"/>
                <w:rtl/>
              </w:rPr>
            </w:pPr>
          </w:p>
          <w:p w14:paraId="0131F71C" w14:textId="77777777" w:rsidR="00605D95" w:rsidRPr="0000348A" w:rsidRDefault="00605D95" w:rsidP="00605D95">
            <w:pPr>
              <w:jc w:val="both"/>
              <w:rPr>
                <w:rFonts w:ascii="David" w:hAnsi="David"/>
                <w:b/>
                <w:bCs/>
                <w:sz w:val="26"/>
                <w:szCs w:val="26"/>
              </w:rPr>
            </w:pPr>
          </w:p>
        </w:tc>
      </w:tr>
      <w:tr w:rsidR="00605D95" w:rsidRPr="0000348A" w14:paraId="4B5E9569"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DD5483" w14:textId="77777777" w:rsidR="00605D95" w:rsidRPr="0000348A" w:rsidRDefault="00605D95" w:rsidP="00605D95">
            <w:pPr>
              <w:jc w:val="both"/>
              <w:rPr>
                <w:rFonts w:ascii="David" w:hAnsi="David"/>
                <w:b/>
                <w:bCs/>
                <w:sz w:val="26"/>
                <w:szCs w:val="26"/>
              </w:rPr>
            </w:pPr>
            <w:bookmarkStart w:id="1" w:name="FirstAppellant"/>
            <w:bookmarkStart w:id="2" w:name="FirstLawyer"/>
            <w:r w:rsidRPr="0000348A">
              <w:rPr>
                <w:rFonts w:ascii="David" w:hAnsi="David"/>
                <w:b/>
                <w:bCs/>
                <w:sz w:val="26"/>
                <w:szCs w:val="26"/>
                <w:rtl/>
              </w:rPr>
              <w:t>בעניין:</w:t>
            </w:r>
          </w:p>
        </w:tc>
        <w:tc>
          <w:tcPr>
            <w:tcW w:w="2647" w:type="dxa"/>
            <w:tcBorders>
              <w:top w:val="nil"/>
              <w:left w:val="nil"/>
              <w:bottom w:val="nil"/>
              <w:right w:val="nil"/>
            </w:tcBorders>
            <w:shd w:val="clear" w:color="auto" w:fill="auto"/>
          </w:tcPr>
          <w:p w14:paraId="44FFD804" w14:textId="77777777" w:rsidR="00605D95" w:rsidRPr="0000348A" w:rsidRDefault="00605D95" w:rsidP="00605D95">
            <w:pPr>
              <w:suppressLineNumbers/>
              <w:rPr>
                <w:b/>
                <w:bCs/>
              </w:rPr>
            </w:pPr>
            <w:r w:rsidRPr="0000348A">
              <w:rPr>
                <w:rFonts w:ascii="Arial" w:hAnsi="Arial" w:hint="cs"/>
                <w:b/>
                <w:bCs/>
                <w:sz w:val="26"/>
                <w:szCs w:val="26"/>
                <w:rtl/>
              </w:rPr>
              <w:t>ה</w:t>
            </w:r>
            <w:r w:rsidRPr="0000348A">
              <w:rPr>
                <w:rFonts w:ascii="Arial" w:hAnsi="Arial"/>
                <w:b/>
                <w:bCs/>
                <w:sz w:val="26"/>
                <w:szCs w:val="26"/>
                <w:rtl/>
              </w:rPr>
              <w:t>מאשימה</w:t>
            </w:r>
          </w:p>
          <w:p w14:paraId="260EF4A9" w14:textId="77777777" w:rsidR="00605D95" w:rsidRPr="0000348A" w:rsidRDefault="00605D95" w:rsidP="00EF2DA3">
            <w:pPr>
              <w:rPr>
                <w:rFonts w:ascii="David" w:hAnsi="David"/>
                <w:b/>
                <w:bCs/>
                <w:sz w:val="26"/>
                <w:szCs w:val="26"/>
              </w:rPr>
            </w:pPr>
          </w:p>
        </w:tc>
        <w:tc>
          <w:tcPr>
            <w:tcW w:w="5250" w:type="dxa"/>
            <w:gridSpan w:val="3"/>
            <w:tcBorders>
              <w:top w:val="nil"/>
              <w:left w:val="nil"/>
              <w:bottom w:val="nil"/>
              <w:right w:val="nil"/>
            </w:tcBorders>
            <w:shd w:val="clear" w:color="auto" w:fill="auto"/>
            <w:vAlign w:val="center"/>
          </w:tcPr>
          <w:p w14:paraId="26CCBDC1" w14:textId="77777777" w:rsidR="00605D95" w:rsidRPr="0000348A" w:rsidRDefault="00605D95" w:rsidP="00605D95">
            <w:pPr>
              <w:suppressLineNumbers/>
              <w:rPr>
                <w:rFonts w:ascii="Arial" w:hAnsi="Arial"/>
                <w:b/>
                <w:bCs/>
                <w:sz w:val="26"/>
                <w:szCs w:val="26"/>
                <w:rtl/>
              </w:rPr>
            </w:pPr>
            <w:r w:rsidRPr="0000348A">
              <w:rPr>
                <w:rFonts w:ascii="Arial" w:hAnsi="Arial"/>
                <w:b/>
                <w:bCs/>
                <w:sz w:val="26"/>
                <w:szCs w:val="26"/>
                <w:rtl/>
              </w:rPr>
              <w:t>מדינת ישראל</w:t>
            </w:r>
            <w:r w:rsidRPr="0000348A">
              <w:rPr>
                <w:rFonts w:ascii="Arial" w:hAnsi="Arial" w:hint="cs"/>
                <w:b/>
                <w:bCs/>
                <w:sz w:val="26"/>
                <w:szCs w:val="26"/>
                <w:rtl/>
              </w:rPr>
              <w:t xml:space="preserve">-תביעות נגב </w:t>
            </w:r>
          </w:p>
          <w:p w14:paraId="17985E19" w14:textId="77777777" w:rsidR="00605D95" w:rsidRPr="0000348A" w:rsidRDefault="00605D95" w:rsidP="00605D95">
            <w:pPr>
              <w:suppressLineNumbers/>
              <w:rPr>
                <w:b/>
                <w:bCs/>
              </w:rPr>
            </w:pPr>
            <w:r w:rsidRPr="0000348A">
              <w:rPr>
                <w:rFonts w:ascii="Arial" w:hAnsi="Arial"/>
                <w:b/>
                <w:bCs/>
                <w:sz w:val="26"/>
                <w:szCs w:val="26"/>
                <w:rtl/>
              </w:rPr>
              <w:t>ע"י ב"כ עו"ד</w:t>
            </w:r>
            <w:r w:rsidRPr="0000348A">
              <w:rPr>
                <w:rFonts w:ascii="Arial" w:hAnsi="Arial" w:hint="cs"/>
                <w:b/>
                <w:bCs/>
                <w:sz w:val="26"/>
                <w:szCs w:val="26"/>
                <w:rtl/>
              </w:rPr>
              <w:t xml:space="preserve"> דוד ז'נבה</w:t>
            </w:r>
          </w:p>
        </w:tc>
      </w:tr>
      <w:bookmarkEnd w:id="1"/>
      <w:bookmarkEnd w:id="2"/>
      <w:tr w:rsidR="00605D95" w:rsidRPr="0000348A" w14:paraId="3B633B52"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96BD0E" w14:textId="77777777" w:rsidR="00605D95" w:rsidRPr="0000348A" w:rsidRDefault="00605D95" w:rsidP="00605D9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FDF88BE" w14:textId="77777777" w:rsidR="00605D95" w:rsidRPr="0000348A" w:rsidRDefault="00605D95" w:rsidP="00605D95">
            <w:pPr>
              <w:jc w:val="center"/>
              <w:rPr>
                <w:rFonts w:ascii="David" w:hAnsi="David"/>
                <w:b/>
                <w:bCs/>
                <w:sz w:val="26"/>
                <w:szCs w:val="26"/>
                <w:rtl/>
              </w:rPr>
            </w:pPr>
          </w:p>
          <w:p w14:paraId="1D8DC5E1" w14:textId="77777777" w:rsidR="00605D95" w:rsidRPr="0000348A" w:rsidRDefault="00605D95" w:rsidP="00605D95">
            <w:pPr>
              <w:jc w:val="center"/>
              <w:rPr>
                <w:rFonts w:ascii="David" w:hAnsi="David"/>
                <w:b/>
                <w:bCs/>
                <w:sz w:val="26"/>
                <w:szCs w:val="26"/>
                <w:rtl/>
              </w:rPr>
            </w:pPr>
            <w:r w:rsidRPr="0000348A">
              <w:rPr>
                <w:rFonts w:ascii="David" w:hAnsi="David"/>
                <w:b/>
                <w:bCs/>
                <w:sz w:val="26"/>
                <w:szCs w:val="26"/>
                <w:rtl/>
              </w:rPr>
              <w:t>נגד</w:t>
            </w:r>
          </w:p>
          <w:p w14:paraId="62ED0EF2" w14:textId="77777777" w:rsidR="00605D95" w:rsidRPr="0000348A" w:rsidRDefault="00605D95" w:rsidP="00605D95">
            <w:pPr>
              <w:jc w:val="both"/>
              <w:rPr>
                <w:rFonts w:ascii="David" w:hAnsi="David"/>
                <w:b/>
                <w:bCs/>
                <w:sz w:val="26"/>
                <w:szCs w:val="26"/>
              </w:rPr>
            </w:pPr>
          </w:p>
        </w:tc>
      </w:tr>
      <w:tr w:rsidR="00605D95" w:rsidRPr="0000348A" w14:paraId="70BB003B"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E797B9" w14:textId="77777777" w:rsidR="00605D95" w:rsidRPr="0000348A" w:rsidRDefault="00605D95" w:rsidP="00EF2DA3">
            <w:pPr>
              <w:rPr>
                <w:rFonts w:ascii="David" w:hAnsi="David"/>
                <w:b/>
                <w:bCs/>
                <w:sz w:val="26"/>
                <w:szCs w:val="26"/>
                <w:rtl/>
              </w:rPr>
            </w:pPr>
          </w:p>
        </w:tc>
        <w:tc>
          <w:tcPr>
            <w:tcW w:w="2647" w:type="dxa"/>
            <w:tcBorders>
              <w:top w:val="nil"/>
              <w:left w:val="nil"/>
              <w:bottom w:val="nil"/>
              <w:right w:val="nil"/>
            </w:tcBorders>
            <w:shd w:val="clear" w:color="auto" w:fill="auto"/>
          </w:tcPr>
          <w:p w14:paraId="17B4735E" w14:textId="77777777" w:rsidR="00605D95" w:rsidRPr="0000348A" w:rsidRDefault="00605D95" w:rsidP="00EF2DA3">
            <w:pPr>
              <w:rPr>
                <w:rFonts w:ascii="Arial" w:hAnsi="Arial"/>
                <w:b/>
                <w:bCs/>
                <w:sz w:val="26"/>
                <w:szCs w:val="26"/>
                <w:rtl/>
              </w:rPr>
            </w:pPr>
            <w:r w:rsidRPr="0000348A">
              <w:rPr>
                <w:rFonts w:ascii="Arial" w:hAnsi="Arial"/>
                <w:b/>
                <w:bCs/>
                <w:sz w:val="26"/>
                <w:szCs w:val="26"/>
                <w:rtl/>
              </w:rPr>
              <w:t>הנאשם</w:t>
            </w:r>
          </w:p>
        </w:tc>
        <w:tc>
          <w:tcPr>
            <w:tcW w:w="5250" w:type="dxa"/>
            <w:gridSpan w:val="3"/>
            <w:tcBorders>
              <w:top w:val="nil"/>
              <w:left w:val="nil"/>
              <w:bottom w:val="nil"/>
              <w:right w:val="nil"/>
            </w:tcBorders>
            <w:shd w:val="clear" w:color="auto" w:fill="auto"/>
            <w:vAlign w:val="center"/>
          </w:tcPr>
          <w:p w14:paraId="00BAAADA" w14:textId="77777777" w:rsidR="00605D95" w:rsidRPr="0000348A" w:rsidRDefault="00605D95" w:rsidP="00605D95">
            <w:pPr>
              <w:suppressLineNumbers/>
              <w:rPr>
                <w:rFonts w:ascii="Arial" w:hAnsi="Arial"/>
                <w:b/>
                <w:bCs/>
                <w:sz w:val="26"/>
                <w:szCs w:val="26"/>
                <w:rtl/>
              </w:rPr>
            </w:pPr>
            <w:r w:rsidRPr="0000348A">
              <w:rPr>
                <w:rFonts w:ascii="Arial" w:hAnsi="Arial"/>
                <w:b/>
                <w:bCs/>
                <w:sz w:val="26"/>
                <w:szCs w:val="26"/>
                <w:rtl/>
              </w:rPr>
              <w:t>שוקי אלקרינאוי</w:t>
            </w:r>
            <w:r w:rsidRPr="0000348A">
              <w:rPr>
                <w:rFonts w:ascii="Arial" w:hAnsi="Arial" w:hint="cs"/>
                <w:b/>
                <w:bCs/>
                <w:sz w:val="26"/>
                <w:szCs w:val="26"/>
                <w:rtl/>
              </w:rPr>
              <w:t xml:space="preserve">-בעצמו </w:t>
            </w:r>
          </w:p>
          <w:p w14:paraId="14392E89" w14:textId="77777777" w:rsidR="00605D95" w:rsidRPr="0000348A" w:rsidRDefault="00605D95" w:rsidP="00605D95">
            <w:pPr>
              <w:suppressLineNumbers/>
              <w:rPr>
                <w:b/>
                <w:bCs/>
              </w:rPr>
            </w:pPr>
            <w:r w:rsidRPr="0000348A">
              <w:rPr>
                <w:rFonts w:ascii="Arial" w:hAnsi="Arial"/>
                <w:b/>
                <w:bCs/>
                <w:sz w:val="26"/>
                <w:szCs w:val="26"/>
                <w:rtl/>
              </w:rPr>
              <w:t>ע"י ב"כ עו"ד</w:t>
            </w:r>
            <w:r w:rsidRPr="0000348A">
              <w:rPr>
                <w:rFonts w:ascii="Arial" w:hAnsi="Arial" w:hint="cs"/>
                <w:b/>
                <w:bCs/>
                <w:sz w:val="26"/>
                <w:szCs w:val="26"/>
                <w:rtl/>
              </w:rPr>
              <w:t xml:space="preserve"> אלעד אזולאי ממשרד עו"ד נטלי אוטן</w:t>
            </w:r>
          </w:p>
        </w:tc>
      </w:tr>
    </w:tbl>
    <w:p w14:paraId="5104C132" w14:textId="77777777" w:rsidR="009377EB" w:rsidRDefault="009377EB" w:rsidP="0000348A">
      <w:pPr>
        <w:rPr>
          <w:sz w:val="26"/>
          <w:szCs w:val="26"/>
          <w:rtl/>
        </w:rPr>
      </w:pPr>
    </w:p>
    <w:p w14:paraId="3E7470A8" w14:textId="77777777" w:rsidR="009377EB" w:rsidRPr="009377EB" w:rsidRDefault="009377EB" w:rsidP="009377EB">
      <w:pPr>
        <w:spacing w:after="120" w:line="240" w:lineRule="exact"/>
        <w:ind w:left="283" w:hanging="283"/>
        <w:jc w:val="both"/>
        <w:rPr>
          <w:rFonts w:ascii="FrankRuehl" w:hAnsi="FrankRuehl" w:cs="FrankRuehl"/>
          <w:rtl/>
        </w:rPr>
      </w:pPr>
    </w:p>
    <w:p w14:paraId="1412C08A" w14:textId="77777777" w:rsidR="00566F5C" w:rsidRPr="00566F5C" w:rsidRDefault="00566F5C" w:rsidP="00566F5C">
      <w:pPr>
        <w:spacing w:before="120" w:after="120" w:line="240" w:lineRule="exact"/>
        <w:ind w:left="283" w:hanging="283"/>
        <w:jc w:val="both"/>
        <w:rPr>
          <w:rFonts w:ascii="FrankRuehl" w:hAnsi="FrankRuehl" w:cs="FrankRuehl"/>
          <w:rtl/>
        </w:rPr>
      </w:pPr>
    </w:p>
    <w:p w14:paraId="2E712A00" w14:textId="77777777" w:rsidR="005D1938" w:rsidRDefault="005D1938" w:rsidP="005D1938">
      <w:pPr>
        <w:rPr>
          <w:sz w:val="26"/>
          <w:szCs w:val="26"/>
          <w:rtl/>
        </w:rPr>
      </w:pPr>
      <w:bookmarkStart w:id="3" w:name="LawTable"/>
      <w:bookmarkEnd w:id="3"/>
    </w:p>
    <w:p w14:paraId="466520DC" w14:textId="77777777" w:rsidR="005D1938" w:rsidRPr="005D1938" w:rsidRDefault="005D1938" w:rsidP="005D1938">
      <w:pPr>
        <w:spacing w:before="120" w:after="120" w:line="240" w:lineRule="exact"/>
        <w:ind w:left="283" w:hanging="283"/>
        <w:jc w:val="both"/>
        <w:rPr>
          <w:rFonts w:ascii="FrankRuehl" w:hAnsi="FrankRuehl" w:cs="FrankRuehl"/>
          <w:rtl/>
        </w:rPr>
      </w:pPr>
    </w:p>
    <w:p w14:paraId="30AA701D" w14:textId="77777777" w:rsidR="005D1938" w:rsidRPr="005D1938" w:rsidRDefault="005D1938" w:rsidP="005D1938">
      <w:pPr>
        <w:spacing w:before="120" w:after="120" w:line="240" w:lineRule="exact"/>
        <w:ind w:left="283" w:hanging="283"/>
        <w:jc w:val="both"/>
        <w:rPr>
          <w:rFonts w:ascii="FrankRuehl" w:hAnsi="FrankRuehl" w:cs="FrankRuehl"/>
          <w:rtl/>
        </w:rPr>
      </w:pPr>
    </w:p>
    <w:p w14:paraId="159BDA5C" w14:textId="77777777" w:rsidR="005D1938" w:rsidRPr="005D1938" w:rsidRDefault="005D1938" w:rsidP="005D1938">
      <w:pPr>
        <w:spacing w:before="120" w:after="120" w:line="240" w:lineRule="exact"/>
        <w:ind w:left="283" w:hanging="283"/>
        <w:jc w:val="both"/>
        <w:rPr>
          <w:rFonts w:ascii="FrankRuehl" w:hAnsi="FrankRuehl" w:cs="FrankRuehl"/>
          <w:rtl/>
        </w:rPr>
      </w:pPr>
      <w:r w:rsidRPr="005D1938">
        <w:rPr>
          <w:rFonts w:ascii="FrankRuehl" w:hAnsi="FrankRuehl" w:cs="FrankRuehl"/>
          <w:rtl/>
        </w:rPr>
        <w:t xml:space="preserve">חקיקה שאוזכרה: </w:t>
      </w:r>
    </w:p>
    <w:p w14:paraId="1714BC63" w14:textId="77777777" w:rsidR="005D1938" w:rsidRPr="005D1938" w:rsidRDefault="005D1938" w:rsidP="005D1938">
      <w:pPr>
        <w:spacing w:before="120" w:after="120" w:line="240" w:lineRule="exact"/>
        <w:ind w:left="283" w:hanging="283"/>
        <w:jc w:val="both"/>
        <w:rPr>
          <w:rFonts w:ascii="FrankRuehl" w:hAnsi="FrankRuehl" w:cs="FrankRuehl"/>
          <w:rtl/>
        </w:rPr>
      </w:pPr>
      <w:hyperlink r:id="rId7" w:history="1">
        <w:r w:rsidRPr="005D1938">
          <w:rPr>
            <w:rFonts w:ascii="FrankRuehl" w:hAnsi="FrankRuehl" w:cs="FrankRuehl"/>
            <w:color w:val="0000FF"/>
            <w:rtl/>
          </w:rPr>
          <w:t>פקודת הסמים המסוכנים [נוסח חדש], תשל"ג-1973</w:t>
        </w:r>
      </w:hyperlink>
      <w:r w:rsidRPr="005D1938">
        <w:rPr>
          <w:rFonts w:ascii="FrankRuehl" w:hAnsi="FrankRuehl" w:cs="FrankRuehl"/>
          <w:rtl/>
        </w:rPr>
        <w:t xml:space="preserve">: סע'  </w:t>
      </w:r>
      <w:hyperlink r:id="rId8" w:history="1">
        <w:r w:rsidRPr="005D1938">
          <w:rPr>
            <w:rFonts w:ascii="FrankRuehl" w:hAnsi="FrankRuehl" w:cs="FrankRuehl"/>
            <w:color w:val="0000FF"/>
            <w:rtl/>
          </w:rPr>
          <w:t>7(א)</w:t>
        </w:r>
      </w:hyperlink>
      <w:r w:rsidRPr="005D1938">
        <w:rPr>
          <w:rFonts w:ascii="FrankRuehl" w:hAnsi="FrankRuehl" w:cs="FrankRuehl"/>
          <w:rtl/>
        </w:rPr>
        <w:t xml:space="preserve">, </w:t>
      </w:r>
      <w:hyperlink r:id="rId9" w:history="1">
        <w:r w:rsidRPr="005D1938">
          <w:rPr>
            <w:rFonts w:ascii="FrankRuehl" w:hAnsi="FrankRuehl" w:cs="FrankRuehl"/>
            <w:color w:val="0000FF"/>
            <w:rtl/>
          </w:rPr>
          <w:t>7(ג)</w:t>
        </w:r>
      </w:hyperlink>
    </w:p>
    <w:p w14:paraId="118BE7F3" w14:textId="77777777" w:rsidR="005D1938" w:rsidRPr="005D1938" w:rsidRDefault="005D1938" w:rsidP="005D1938">
      <w:pPr>
        <w:spacing w:before="120" w:after="120" w:line="240" w:lineRule="exact"/>
        <w:ind w:left="283" w:hanging="283"/>
        <w:jc w:val="both"/>
        <w:rPr>
          <w:rFonts w:ascii="FrankRuehl" w:hAnsi="FrankRuehl" w:cs="FrankRuehl"/>
          <w:rtl/>
        </w:rPr>
      </w:pPr>
      <w:hyperlink r:id="rId10" w:history="1">
        <w:r w:rsidRPr="005D1938">
          <w:rPr>
            <w:rFonts w:ascii="FrankRuehl" w:hAnsi="FrankRuehl" w:cs="FrankRuehl"/>
            <w:color w:val="0000FF"/>
            <w:rtl/>
          </w:rPr>
          <w:t>חוק העונשין, תשל"ז-1977</w:t>
        </w:r>
      </w:hyperlink>
      <w:r w:rsidRPr="005D1938">
        <w:rPr>
          <w:rFonts w:ascii="FrankRuehl" w:hAnsi="FrankRuehl" w:cs="FrankRuehl"/>
          <w:rtl/>
        </w:rPr>
        <w:t xml:space="preserve">: סע'  </w:t>
      </w:r>
      <w:hyperlink r:id="rId11" w:history="1">
        <w:r w:rsidRPr="005D1938">
          <w:rPr>
            <w:rFonts w:ascii="FrankRuehl" w:hAnsi="FrankRuehl" w:cs="FrankRuehl"/>
            <w:color w:val="0000FF"/>
            <w:rtl/>
          </w:rPr>
          <w:t>40 ט'</w:t>
        </w:r>
      </w:hyperlink>
      <w:r w:rsidRPr="005D1938">
        <w:rPr>
          <w:rFonts w:ascii="FrankRuehl" w:hAnsi="FrankRuehl" w:cs="FrankRuehl"/>
          <w:rtl/>
        </w:rPr>
        <w:t xml:space="preserve">, </w:t>
      </w:r>
      <w:hyperlink r:id="rId12" w:history="1">
        <w:r w:rsidRPr="005D1938">
          <w:rPr>
            <w:rFonts w:ascii="FrankRuehl" w:hAnsi="FrankRuehl" w:cs="FrankRuehl"/>
            <w:color w:val="0000FF"/>
            <w:rtl/>
          </w:rPr>
          <w:t>144 (א)</w:t>
        </w:r>
      </w:hyperlink>
    </w:p>
    <w:p w14:paraId="3F4E21C8" w14:textId="77777777" w:rsidR="005D1938" w:rsidRPr="005D1938" w:rsidRDefault="005D1938" w:rsidP="005D1938">
      <w:pPr>
        <w:rPr>
          <w:sz w:val="26"/>
          <w:szCs w:val="26"/>
          <w:rtl/>
        </w:rPr>
      </w:pPr>
      <w:bookmarkStart w:id="4" w:name="LawTable_End"/>
      <w:bookmarkEnd w:id="4"/>
    </w:p>
    <w:p w14:paraId="3372BA97" w14:textId="77777777" w:rsidR="00605D95" w:rsidRPr="00566F5C" w:rsidRDefault="00605D95" w:rsidP="00566F5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D95" w14:paraId="6B081882" w14:textId="77777777" w:rsidTr="00605D95">
        <w:trPr>
          <w:trHeight w:val="355"/>
          <w:jc w:val="center"/>
        </w:trPr>
        <w:tc>
          <w:tcPr>
            <w:tcW w:w="8820" w:type="dxa"/>
            <w:tcBorders>
              <w:top w:val="nil"/>
              <w:left w:val="nil"/>
              <w:bottom w:val="nil"/>
              <w:right w:val="nil"/>
            </w:tcBorders>
            <w:shd w:val="clear" w:color="auto" w:fill="auto"/>
          </w:tcPr>
          <w:p w14:paraId="536D10E4" w14:textId="77777777" w:rsidR="0000348A" w:rsidRPr="0000348A" w:rsidRDefault="0000348A" w:rsidP="0000348A">
            <w:pPr>
              <w:jc w:val="center"/>
              <w:rPr>
                <w:rFonts w:ascii="David" w:hAnsi="David"/>
                <w:b/>
                <w:bCs/>
                <w:sz w:val="32"/>
                <w:szCs w:val="32"/>
                <w:u w:val="single"/>
                <w:rtl/>
              </w:rPr>
            </w:pPr>
            <w:bookmarkStart w:id="5" w:name="PsakDin" w:colFirst="0" w:colLast="0"/>
            <w:bookmarkEnd w:id="0"/>
            <w:r w:rsidRPr="0000348A">
              <w:rPr>
                <w:rFonts w:ascii="David" w:hAnsi="David"/>
                <w:b/>
                <w:bCs/>
                <w:sz w:val="32"/>
                <w:szCs w:val="32"/>
                <w:u w:val="single"/>
                <w:rtl/>
              </w:rPr>
              <w:t>גזר דין</w:t>
            </w:r>
          </w:p>
          <w:p w14:paraId="1A2DD319" w14:textId="77777777" w:rsidR="00605D95" w:rsidRPr="0000348A" w:rsidRDefault="00605D95" w:rsidP="0000348A">
            <w:pPr>
              <w:jc w:val="center"/>
              <w:rPr>
                <w:rFonts w:ascii="David" w:hAnsi="David"/>
                <w:bCs/>
                <w:sz w:val="32"/>
                <w:szCs w:val="32"/>
                <w:u w:val="single"/>
                <w:rtl/>
              </w:rPr>
            </w:pPr>
          </w:p>
        </w:tc>
      </w:tr>
      <w:bookmarkEnd w:id="5"/>
    </w:tbl>
    <w:p w14:paraId="30A1166F" w14:textId="77777777" w:rsidR="00605D95" w:rsidRPr="000F2247" w:rsidRDefault="00605D95" w:rsidP="00605D95">
      <w:pPr>
        <w:rPr>
          <w:rFonts w:ascii="Arial" w:hAnsi="Arial"/>
          <w:b/>
          <w:bCs/>
          <w:sz w:val="26"/>
          <w:szCs w:val="26"/>
          <w:rtl/>
        </w:rPr>
      </w:pPr>
    </w:p>
    <w:p w14:paraId="2EE666AF" w14:textId="77777777" w:rsidR="00605D95" w:rsidRPr="000F2247" w:rsidRDefault="00605D95" w:rsidP="00605D95">
      <w:pPr>
        <w:rPr>
          <w:rFonts w:ascii="Arial" w:hAnsi="Arial"/>
          <w:b/>
          <w:bCs/>
          <w:sz w:val="26"/>
          <w:szCs w:val="26"/>
          <w:rtl/>
        </w:rPr>
      </w:pPr>
    </w:p>
    <w:p w14:paraId="57FE108E" w14:textId="77777777" w:rsidR="00605D95" w:rsidRDefault="00605D95" w:rsidP="00605D95">
      <w:pPr>
        <w:spacing w:line="360" w:lineRule="auto"/>
        <w:jc w:val="both"/>
        <w:rPr>
          <w:rFonts w:ascii="David" w:hAnsi="David"/>
          <w:b/>
          <w:bCs/>
          <w:sz w:val="28"/>
          <w:szCs w:val="28"/>
          <w:u w:val="single"/>
        </w:rPr>
      </w:pPr>
      <w:r>
        <w:rPr>
          <w:rFonts w:ascii="David" w:hAnsi="David"/>
          <w:b/>
          <w:bCs/>
          <w:sz w:val="28"/>
          <w:szCs w:val="28"/>
          <w:u w:val="single"/>
          <w:rtl/>
        </w:rPr>
        <w:t>רקע</w:t>
      </w:r>
      <w:bookmarkStart w:id="6" w:name="ABSTRACT_START"/>
      <w:bookmarkEnd w:id="6"/>
    </w:p>
    <w:p w14:paraId="48CDEE47"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ביום 17.10.21 הורשע הנאשם, על-יסוד הודאתו בעובדות כתב האישום מתוקן, בביצוע עבירה של החזקת סמים שלא לצריכה עצמית לפי </w:t>
      </w:r>
      <w:hyperlink r:id="rId13" w:history="1">
        <w:r w:rsidR="009377EB" w:rsidRPr="009377EB">
          <w:rPr>
            <w:rStyle w:val="Hyperlink"/>
            <w:rFonts w:ascii="David" w:hAnsi="David"/>
            <w:rtl/>
          </w:rPr>
          <w:t>סעיף 7(א)</w:t>
        </w:r>
      </w:hyperlink>
      <w:r>
        <w:rPr>
          <w:rFonts w:ascii="David" w:hAnsi="David"/>
          <w:rtl/>
        </w:rPr>
        <w:t xml:space="preserve"> ו-</w:t>
      </w:r>
      <w:hyperlink r:id="rId14" w:history="1">
        <w:r w:rsidR="009377EB" w:rsidRPr="009377EB">
          <w:rPr>
            <w:rStyle w:val="Hyperlink"/>
            <w:rFonts w:ascii="David" w:hAnsi="David"/>
            <w:rtl/>
          </w:rPr>
          <w:t>7(ג)</w:t>
        </w:r>
      </w:hyperlink>
      <w:r>
        <w:rPr>
          <w:rFonts w:ascii="David" w:hAnsi="David"/>
          <w:rtl/>
        </w:rPr>
        <w:t xml:space="preserve"> ל</w:t>
      </w:r>
      <w:hyperlink r:id="rId15" w:history="1">
        <w:r w:rsidR="0000348A" w:rsidRPr="0000348A">
          <w:rPr>
            <w:rFonts w:ascii="David" w:hAnsi="David"/>
            <w:color w:val="0000FF"/>
            <w:u w:val="single"/>
            <w:rtl/>
          </w:rPr>
          <w:t>פקודת הסמים המסוכנים</w:t>
        </w:r>
      </w:hyperlink>
      <w:r>
        <w:rPr>
          <w:rFonts w:ascii="David" w:hAnsi="David"/>
          <w:rtl/>
        </w:rPr>
        <w:t xml:space="preserve"> (להלן: "</w:t>
      </w:r>
      <w:r>
        <w:rPr>
          <w:rFonts w:ascii="David" w:hAnsi="David"/>
          <w:b/>
          <w:bCs/>
          <w:rtl/>
        </w:rPr>
        <w:t>פקודת</w:t>
      </w:r>
      <w:r>
        <w:rPr>
          <w:rFonts w:ascii="David" w:hAnsi="David"/>
          <w:rtl/>
        </w:rPr>
        <w:t xml:space="preserve"> </w:t>
      </w:r>
      <w:r>
        <w:rPr>
          <w:rFonts w:ascii="David" w:hAnsi="David"/>
          <w:b/>
          <w:bCs/>
          <w:rtl/>
        </w:rPr>
        <w:t>הסמים</w:t>
      </w:r>
      <w:r>
        <w:rPr>
          <w:rFonts w:ascii="David" w:hAnsi="David"/>
          <w:rtl/>
        </w:rPr>
        <w:t xml:space="preserve"> </w:t>
      </w:r>
      <w:r>
        <w:rPr>
          <w:rFonts w:ascii="David" w:hAnsi="David"/>
          <w:b/>
          <w:bCs/>
          <w:rtl/>
        </w:rPr>
        <w:t>המסוכנים</w:t>
      </w:r>
      <w:r>
        <w:rPr>
          <w:rFonts w:ascii="David" w:hAnsi="David"/>
          <w:rtl/>
        </w:rPr>
        <w:t xml:space="preserve">") ובעבירה של החזקת חלק של נשק או תחמושת לפי סעיף </w:t>
      </w:r>
      <w:hyperlink r:id="rId16" w:history="1">
        <w:r w:rsidR="009377EB" w:rsidRPr="009377EB">
          <w:rPr>
            <w:rStyle w:val="Hyperlink"/>
            <w:rFonts w:ascii="David" w:hAnsi="David"/>
            <w:rtl/>
          </w:rPr>
          <w:t>144 (א)</w:t>
        </w:r>
      </w:hyperlink>
      <w:r>
        <w:rPr>
          <w:rFonts w:ascii="David" w:hAnsi="David"/>
          <w:rtl/>
        </w:rPr>
        <w:t xml:space="preserve"> ל</w:t>
      </w:r>
      <w:hyperlink r:id="rId17" w:history="1">
        <w:r w:rsidR="0000348A" w:rsidRPr="0000348A">
          <w:rPr>
            <w:rFonts w:ascii="David" w:hAnsi="David"/>
            <w:color w:val="0000FF"/>
            <w:u w:val="single"/>
            <w:rtl/>
          </w:rPr>
          <w:t>חוק העונשין</w:t>
        </w:r>
      </w:hyperlink>
      <w:r>
        <w:rPr>
          <w:rFonts w:ascii="David" w:hAnsi="David"/>
          <w:rtl/>
        </w:rPr>
        <w:t>, תשל"ז-1977 (להלן: "</w:t>
      </w:r>
      <w:r>
        <w:rPr>
          <w:rFonts w:ascii="David" w:hAnsi="David"/>
          <w:b/>
          <w:bCs/>
          <w:rtl/>
        </w:rPr>
        <w:t>חוק</w:t>
      </w:r>
      <w:r>
        <w:rPr>
          <w:rFonts w:ascii="David" w:hAnsi="David"/>
          <w:rtl/>
        </w:rPr>
        <w:t xml:space="preserve"> </w:t>
      </w:r>
      <w:r>
        <w:rPr>
          <w:rFonts w:ascii="David" w:hAnsi="David"/>
          <w:b/>
          <w:bCs/>
          <w:rtl/>
        </w:rPr>
        <w:t>העונשין</w:t>
      </w:r>
      <w:bookmarkStart w:id="7" w:name="ABSTRACT_END"/>
      <w:bookmarkEnd w:id="7"/>
      <w:r>
        <w:rPr>
          <w:rFonts w:ascii="David" w:hAnsi="David"/>
          <w:rtl/>
        </w:rPr>
        <w:t>")</w:t>
      </w:r>
    </w:p>
    <w:p w14:paraId="1F3AF9B4" w14:textId="77777777" w:rsidR="00605D95" w:rsidRDefault="00605D95" w:rsidP="00605D95">
      <w:pPr>
        <w:spacing w:line="360" w:lineRule="auto"/>
        <w:ind w:left="502"/>
        <w:contextualSpacing/>
        <w:jc w:val="both"/>
        <w:rPr>
          <w:rFonts w:ascii="David" w:hAnsi="David"/>
        </w:rPr>
      </w:pPr>
    </w:p>
    <w:p w14:paraId="348A350D" w14:textId="77777777" w:rsidR="00605D95" w:rsidRDefault="00605D95" w:rsidP="00605D95">
      <w:pPr>
        <w:numPr>
          <w:ilvl w:val="0"/>
          <w:numId w:val="1"/>
        </w:numPr>
        <w:spacing w:line="360" w:lineRule="auto"/>
        <w:contextualSpacing/>
        <w:jc w:val="both"/>
        <w:rPr>
          <w:rFonts w:ascii="David" w:hAnsi="David"/>
        </w:rPr>
      </w:pPr>
      <w:r>
        <w:rPr>
          <w:rFonts w:ascii="David" w:hAnsi="David"/>
          <w:rtl/>
        </w:rPr>
        <w:t>לפי עובדות כתב האישום המתוקן ביום 29.4.19 בסמוך לשעה 15:47 החזיק הנאשם בביתו 31.70 גרם של סם מסוכן מסוג קנבוס, שלא לצריכתו העצמית ומבלי שיש לו רישיון לכך וכן החזיק חלק תחמושת - סתרשף של נשק 16</w:t>
      </w:r>
      <w:r>
        <w:rPr>
          <w:rFonts w:ascii="David" w:hAnsi="David"/>
        </w:rPr>
        <w:t xml:space="preserve"> M</w:t>
      </w:r>
      <w:r>
        <w:rPr>
          <w:rFonts w:ascii="David" w:hAnsi="David"/>
          <w:rtl/>
        </w:rPr>
        <w:t xml:space="preserve"> - שלא כדין. </w:t>
      </w:r>
    </w:p>
    <w:p w14:paraId="3521F237" w14:textId="77777777" w:rsidR="00605D95" w:rsidRDefault="00605D95" w:rsidP="00605D95">
      <w:pPr>
        <w:pStyle w:val="aa"/>
        <w:spacing w:line="360" w:lineRule="auto"/>
        <w:jc w:val="both"/>
        <w:rPr>
          <w:rFonts w:ascii="David" w:eastAsia="Times New Roman" w:hAnsi="David" w:cs="David"/>
          <w:sz w:val="24"/>
          <w:szCs w:val="24"/>
        </w:rPr>
      </w:pPr>
    </w:p>
    <w:p w14:paraId="7255EE2F"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בעניינו של הנאשם לא התקבל תסקיר שירות מבחן. </w:t>
      </w:r>
    </w:p>
    <w:p w14:paraId="659F88D8" w14:textId="77777777" w:rsidR="00605D95" w:rsidRDefault="00605D95" w:rsidP="00605D95">
      <w:pPr>
        <w:pStyle w:val="aa"/>
        <w:spacing w:line="360" w:lineRule="auto"/>
        <w:jc w:val="both"/>
        <w:rPr>
          <w:rFonts w:ascii="David" w:eastAsia="Times New Roman" w:hAnsi="David" w:cs="David"/>
          <w:sz w:val="24"/>
          <w:szCs w:val="24"/>
        </w:rPr>
      </w:pPr>
    </w:p>
    <w:p w14:paraId="3451A567" w14:textId="77777777" w:rsidR="00605D95" w:rsidRDefault="00605D95" w:rsidP="00605D95">
      <w:pPr>
        <w:numPr>
          <w:ilvl w:val="0"/>
          <w:numId w:val="1"/>
        </w:numPr>
        <w:spacing w:line="360" w:lineRule="auto"/>
        <w:contextualSpacing/>
        <w:jc w:val="both"/>
        <w:rPr>
          <w:rFonts w:ascii="David" w:hAnsi="David"/>
          <w:sz w:val="28"/>
          <w:szCs w:val="28"/>
          <w:rtl/>
        </w:rPr>
      </w:pPr>
      <w:r>
        <w:rPr>
          <w:rFonts w:ascii="David" w:hAnsi="David"/>
          <w:rtl/>
        </w:rPr>
        <w:t xml:space="preserve">בדיון שהתקיים ביום 3.8.22, טענו הצדדים לעונש באופן פתוח. </w:t>
      </w:r>
    </w:p>
    <w:p w14:paraId="3B433F94" w14:textId="77777777" w:rsidR="00605D95" w:rsidRDefault="00605D95" w:rsidP="00605D95">
      <w:pPr>
        <w:pStyle w:val="aa"/>
        <w:spacing w:line="360" w:lineRule="auto"/>
        <w:jc w:val="both"/>
        <w:rPr>
          <w:rFonts w:ascii="David" w:eastAsia="Times New Roman" w:hAnsi="David" w:cs="David"/>
          <w:sz w:val="28"/>
          <w:szCs w:val="28"/>
        </w:rPr>
      </w:pPr>
    </w:p>
    <w:p w14:paraId="1DEADE78" w14:textId="77777777" w:rsidR="00605D95" w:rsidRDefault="00605D95" w:rsidP="00605D95">
      <w:pPr>
        <w:spacing w:line="360" w:lineRule="auto"/>
        <w:contextualSpacing/>
        <w:jc w:val="both"/>
        <w:rPr>
          <w:rFonts w:ascii="David" w:hAnsi="David"/>
          <w:b/>
          <w:bCs/>
          <w:sz w:val="28"/>
          <w:szCs w:val="28"/>
          <w:u w:val="single"/>
          <w:rtl/>
        </w:rPr>
      </w:pPr>
      <w:r>
        <w:rPr>
          <w:rFonts w:ascii="David" w:hAnsi="David"/>
          <w:b/>
          <w:bCs/>
          <w:sz w:val="28"/>
          <w:szCs w:val="28"/>
          <w:u w:val="single"/>
          <w:rtl/>
        </w:rPr>
        <w:t>טיעוני הצדדים לעונש</w:t>
      </w:r>
    </w:p>
    <w:p w14:paraId="566562EE" w14:textId="77777777" w:rsidR="00605D95" w:rsidRDefault="00605D95" w:rsidP="00605D95">
      <w:pPr>
        <w:spacing w:line="360" w:lineRule="auto"/>
        <w:contextualSpacing/>
        <w:jc w:val="both"/>
        <w:rPr>
          <w:rFonts w:ascii="David" w:hAnsi="David"/>
          <w:sz w:val="28"/>
          <w:szCs w:val="28"/>
          <w:rtl/>
        </w:rPr>
      </w:pPr>
    </w:p>
    <w:p w14:paraId="0A912D4A"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בטרם טענו הצדדים לעונש הגיש ב"כ המאשימה רישום הפלילי של הנאשם (ת/1) ממנו עולה כי לחובתו הרשעות קודמות וביניהן עבירת הסעת שב"ח שלא כדין, החזקת סמים לשימוש עצמי, אלימות ורכוש וכן טיעונים לעונש בכתב מטעם המאשימה (ת/2). </w:t>
      </w:r>
    </w:p>
    <w:p w14:paraId="7E8327C7" w14:textId="77777777" w:rsidR="00605D95" w:rsidRDefault="00605D95" w:rsidP="00605D95">
      <w:pPr>
        <w:spacing w:line="360" w:lineRule="auto"/>
        <w:ind w:left="502"/>
        <w:contextualSpacing/>
        <w:jc w:val="both"/>
        <w:rPr>
          <w:rFonts w:ascii="David" w:hAnsi="David"/>
          <w:rtl/>
        </w:rPr>
      </w:pPr>
    </w:p>
    <w:p w14:paraId="0899EA78"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ב"כ המאשימה</w:t>
      </w:r>
      <w:r>
        <w:rPr>
          <w:rFonts w:ascii="David" w:hAnsi="David"/>
          <w:rtl/>
        </w:rPr>
        <w:t>, תיאר את העבירה שבוצעה על ידי הנאשם, טען לפגיעה משמעותית בערכים המוגנים. טען למתחם עונש הנע משישה חודשי מאסר בפועל שיכול וירוצו בעבודת שירות ועד 12 חודשי מאסר בפועל ועתר לגזירת עונשו במחצית המתחם, פסילה רישיון, קנס ועונשים צופי פני עתיד. כל זאת מבלי שמפנה לפסיקה רלוונטית.</w:t>
      </w:r>
    </w:p>
    <w:p w14:paraId="13C4A3BC" w14:textId="77777777" w:rsidR="00605D95" w:rsidRDefault="00605D95" w:rsidP="00605D95">
      <w:pPr>
        <w:spacing w:after="200" w:line="360" w:lineRule="auto"/>
        <w:ind w:left="720"/>
        <w:contextualSpacing/>
        <w:jc w:val="both"/>
        <w:rPr>
          <w:rFonts w:ascii="David" w:hAnsi="David"/>
          <w:rtl/>
        </w:rPr>
      </w:pPr>
    </w:p>
    <w:p w14:paraId="79CA283A"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ב"כ הנאשמת</w:t>
      </w:r>
      <w:r>
        <w:rPr>
          <w:rFonts w:ascii="David" w:hAnsi="David"/>
          <w:rtl/>
        </w:rPr>
        <w:t xml:space="preserve"> טענה למתחם ענישה המתחיל במאסר מותנה, הפנתה להנחיות פרקליט המדינה בעבירות נשק ולפסיקה רלוונטית, וטענה כי ניתן להסתפק בעבודות לתועלת הציבור לאור נסיבות חייו הקשות בהן מגדל עם אמו את שלושת ילדים הקטינים לאחר שאימם עזבה והינו מפרנס יחיד, לאור הצגת הבדיקות המעידות כי הנאשם הפסיק להשתמש בסמים (נ/2) ולאור העובדה כי מועד ביצוע העבירות בשנת 2019 לא נפתחו לנאשם תיקים נוספים. לעניין חלק הנשק טוענת כי החלק הזה נשכח אצל הנאשם משירותו הצבאי במשמר הנגב. </w:t>
      </w:r>
    </w:p>
    <w:p w14:paraId="5B763D78" w14:textId="77777777" w:rsidR="00605D95" w:rsidRDefault="00605D95" w:rsidP="00605D95">
      <w:pPr>
        <w:spacing w:after="200" w:line="360" w:lineRule="auto"/>
        <w:contextualSpacing/>
        <w:jc w:val="both"/>
        <w:rPr>
          <w:rFonts w:ascii="David" w:hAnsi="David"/>
        </w:rPr>
      </w:pPr>
    </w:p>
    <w:p w14:paraId="6220FCEF"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הנאשם</w:t>
      </w:r>
      <w:r>
        <w:rPr>
          <w:rFonts w:ascii="David" w:hAnsi="David"/>
          <w:rtl/>
        </w:rPr>
        <w:t xml:space="preserve">, הביע צער על המעשים וחזר על נסיבות חייו. </w:t>
      </w:r>
      <w:r w:rsidR="0000348A">
        <w:rPr>
          <w:rFonts w:ascii="David" w:hAnsi="David"/>
          <w:rtl/>
        </w:rPr>
        <w:t xml:space="preserve"> </w:t>
      </w:r>
      <w:r>
        <w:rPr>
          <w:rFonts w:ascii="David" w:hAnsi="David"/>
          <w:rtl/>
        </w:rPr>
        <w:t xml:space="preserve"> </w:t>
      </w:r>
    </w:p>
    <w:p w14:paraId="26943C96" w14:textId="77777777" w:rsidR="00605D95" w:rsidRDefault="00605D95" w:rsidP="00605D95">
      <w:pPr>
        <w:pStyle w:val="aa"/>
        <w:spacing w:line="360" w:lineRule="auto"/>
        <w:jc w:val="both"/>
        <w:rPr>
          <w:rFonts w:ascii="David" w:eastAsia="Times New Roman" w:hAnsi="David" w:cs="David"/>
          <w:sz w:val="24"/>
          <w:szCs w:val="24"/>
        </w:rPr>
      </w:pPr>
    </w:p>
    <w:p w14:paraId="1FE4FF37" w14:textId="77777777" w:rsidR="00605D95" w:rsidRDefault="00605D95" w:rsidP="00605D95">
      <w:pPr>
        <w:spacing w:line="360" w:lineRule="auto"/>
        <w:ind w:left="502"/>
        <w:contextualSpacing/>
        <w:jc w:val="both"/>
        <w:rPr>
          <w:rFonts w:ascii="David" w:hAnsi="David"/>
          <w:rtl/>
        </w:rPr>
      </w:pPr>
    </w:p>
    <w:p w14:paraId="2F1FA7B7" w14:textId="77777777" w:rsidR="00605D95" w:rsidRDefault="00605D95" w:rsidP="00605D95">
      <w:pPr>
        <w:spacing w:line="360" w:lineRule="auto"/>
        <w:jc w:val="both"/>
        <w:rPr>
          <w:rFonts w:ascii="David" w:hAnsi="David"/>
          <w:b/>
          <w:bCs/>
          <w:sz w:val="28"/>
          <w:szCs w:val="28"/>
          <w:u w:val="single"/>
          <w:rtl/>
        </w:rPr>
      </w:pPr>
      <w:r>
        <w:rPr>
          <w:rFonts w:ascii="David" w:hAnsi="David"/>
          <w:b/>
          <w:bCs/>
          <w:sz w:val="28"/>
          <w:szCs w:val="28"/>
          <w:u w:val="single"/>
          <w:rtl/>
        </w:rPr>
        <w:t>קביעת מתחם העונש ההולם</w:t>
      </w:r>
    </w:p>
    <w:p w14:paraId="6C71DCF0" w14:textId="77777777" w:rsidR="00605D95" w:rsidRDefault="00605D95" w:rsidP="00605D95">
      <w:pPr>
        <w:spacing w:line="360" w:lineRule="auto"/>
        <w:jc w:val="both"/>
        <w:rPr>
          <w:rFonts w:ascii="David" w:hAnsi="David"/>
          <w:b/>
          <w:bCs/>
          <w:sz w:val="28"/>
          <w:szCs w:val="28"/>
          <w:u w:val="single"/>
          <w:rtl/>
        </w:rPr>
      </w:pPr>
    </w:p>
    <w:p w14:paraId="6735CBA3" w14:textId="77777777" w:rsidR="00605D95" w:rsidRDefault="00605D95" w:rsidP="00605D95">
      <w:pPr>
        <w:spacing w:line="360" w:lineRule="auto"/>
        <w:jc w:val="both"/>
        <w:rPr>
          <w:rFonts w:ascii="David" w:hAnsi="David"/>
          <w:u w:val="single"/>
          <w:rtl/>
        </w:rPr>
      </w:pPr>
      <w:r>
        <w:rPr>
          <w:rFonts w:ascii="David" w:hAnsi="David"/>
          <w:b/>
          <w:bCs/>
          <w:u w:val="single"/>
          <w:rtl/>
        </w:rPr>
        <w:t>הערכים המוגנים</w:t>
      </w:r>
      <w:r>
        <w:rPr>
          <w:rFonts w:ascii="David" w:hAnsi="David"/>
          <w:rtl/>
        </w:rPr>
        <w:t xml:space="preserve">: </w:t>
      </w:r>
    </w:p>
    <w:p w14:paraId="15D20E26" w14:textId="77777777" w:rsidR="00605D95" w:rsidRDefault="00605D95" w:rsidP="00605D95">
      <w:pPr>
        <w:spacing w:line="360" w:lineRule="auto"/>
        <w:jc w:val="both"/>
        <w:rPr>
          <w:rFonts w:ascii="David" w:hAnsi="David"/>
          <w:u w:val="single"/>
          <w:rtl/>
        </w:rPr>
      </w:pPr>
    </w:p>
    <w:p w14:paraId="36758ACB" w14:textId="77777777" w:rsidR="00605D95" w:rsidRDefault="00605D95" w:rsidP="00605D95">
      <w:pPr>
        <w:pStyle w:val="aa"/>
        <w:numPr>
          <w:ilvl w:val="0"/>
          <w:numId w:val="1"/>
        </w:numPr>
        <w:spacing w:after="0" w:line="360" w:lineRule="auto"/>
        <w:jc w:val="both"/>
        <w:rPr>
          <w:rFonts w:cs="David"/>
          <w:sz w:val="24"/>
          <w:szCs w:val="24"/>
          <w:rtl/>
        </w:rPr>
      </w:pPr>
      <w:r>
        <w:rPr>
          <w:rFonts w:ascii="David" w:hAnsi="David" w:cs="David"/>
          <w:sz w:val="24"/>
          <w:szCs w:val="24"/>
          <w:rtl/>
        </w:rPr>
        <w:t xml:space="preserve">בכל הנוגע לעבירות החזקת הסמים שלא לצריכה עצמית </w:t>
      </w:r>
      <w:r>
        <w:rPr>
          <w:rFonts w:cs="David"/>
          <w:sz w:val="24"/>
          <w:szCs w:val="24"/>
          <w:rtl/>
        </w:rPr>
        <w:t xml:space="preserve">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הפגיעה של אדם בעצמו באמצעות שימוש בסם, לא מסתכמת בכך בלבד. שימוש ממושך בסם מסוכן עלול לגרום לפגיעה גופנית ונפשית של המשתמש בו, כזו </w:t>
      </w:r>
      <w:r>
        <w:rPr>
          <w:rFonts w:cs="David"/>
          <w:sz w:val="24"/>
          <w:szCs w:val="24"/>
          <w:rtl/>
        </w:rPr>
        <w:lastRenderedPageBreak/>
        <w:t xml:space="preserve">שתצריך טיפול רפואי שעלותו נופלת על החברה. </w:t>
      </w:r>
      <w:r>
        <w:rPr>
          <w:rFonts w:cs="David"/>
          <w:sz w:val="24"/>
          <w:szCs w:val="24"/>
          <w:rtl/>
          <w:lang w:eastAsia="he-IL"/>
        </w:rPr>
        <w:t>ב</w:t>
      </w:r>
      <w:hyperlink w:history="1">
        <w:r w:rsidRPr="0000348A">
          <w:rPr>
            <w:rFonts w:cs="David"/>
            <w:color w:val="000000"/>
            <w:sz w:val="24"/>
            <w:szCs w:val="24"/>
            <w:rtl/>
            <w:lang w:eastAsia="he-IL"/>
          </w:rPr>
          <w:t>ע"פ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נקבע כי:</w:t>
      </w:r>
    </w:p>
    <w:p w14:paraId="565A500E" w14:textId="77777777" w:rsidR="00605D95" w:rsidRDefault="00605D95" w:rsidP="00605D95">
      <w:pPr>
        <w:pStyle w:val="aa"/>
        <w:spacing w:after="0" w:line="360" w:lineRule="auto"/>
        <w:jc w:val="both"/>
        <w:rPr>
          <w:rFonts w:cs="David"/>
          <w:sz w:val="24"/>
          <w:szCs w:val="24"/>
        </w:rPr>
      </w:pPr>
    </w:p>
    <w:p w14:paraId="61BE1FC5" w14:textId="77777777" w:rsidR="00605D95" w:rsidRDefault="00605D95" w:rsidP="00605D95">
      <w:pPr>
        <w:pStyle w:val="aa"/>
        <w:spacing w:after="0" w:line="360" w:lineRule="auto"/>
        <w:ind w:left="1440"/>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55D5BDFA" w14:textId="77777777" w:rsidR="00605D95" w:rsidRDefault="00605D95" w:rsidP="00605D95">
      <w:pPr>
        <w:pStyle w:val="aa"/>
        <w:spacing w:after="0" w:line="360" w:lineRule="auto"/>
        <w:ind w:left="1440"/>
        <w:jc w:val="both"/>
        <w:rPr>
          <w:rFonts w:ascii="David" w:hAnsi="David" w:cs="David"/>
          <w:b/>
          <w:bCs/>
          <w:sz w:val="24"/>
          <w:szCs w:val="24"/>
          <w:u w:val="single"/>
          <w:rtl/>
        </w:rPr>
      </w:pPr>
    </w:p>
    <w:p w14:paraId="03E611DD" w14:textId="77777777" w:rsidR="00605D95" w:rsidRDefault="00605D95" w:rsidP="00605D95">
      <w:pPr>
        <w:pStyle w:val="aa"/>
        <w:numPr>
          <w:ilvl w:val="0"/>
          <w:numId w:val="1"/>
        </w:numPr>
        <w:spacing w:after="0" w:line="360" w:lineRule="auto"/>
        <w:jc w:val="both"/>
        <w:rPr>
          <w:rFonts w:ascii="David" w:eastAsia="Times New Roman" w:hAnsi="David" w:cs="David"/>
          <w:b/>
          <w:bCs/>
          <w:sz w:val="32"/>
          <w:szCs w:val="32"/>
        </w:rPr>
      </w:pPr>
      <w:r>
        <w:rPr>
          <w:rFonts w:ascii="David" w:hAnsi="David" w:cs="David"/>
          <w:sz w:val="24"/>
          <w:szCs w:val="24"/>
          <w:rtl/>
        </w:rPr>
        <w:t xml:space="preserve">בנוגע לעבירת החזקת חלק מנשק שלא כדין </w:t>
      </w:r>
      <w:r>
        <w:rPr>
          <w:rFonts w:cs="David"/>
          <w:sz w:val="24"/>
          <w:szCs w:val="24"/>
          <w:rtl/>
        </w:rPr>
        <w:t>הערכים המוגנים שנפגעו בשל מעשי הנאשם במקרה זה, הם הערך של שמירה על בטחון הציבור ושלמות גופו. כפי שצוין ב</w:t>
      </w:r>
      <w:hyperlink r:id="rId18" w:history="1">
        <w:r w:rsidR="0000348A" w:rsidRPr="0000348A">
          <w:rPr>
            <w:rFonts w:cs="David" w:hint="cs"/>
            <w:color w:val="0000FF"/>
            <w:sz w:val="24"/>
            <w:szCs w:val="24"/>
            <w:u w:val="single"/>
            <w:rtl/>
          </w:rPr>
          <w:t>ת</w:t>
        </w:r>
        <w:r w:rsidR="0000348A" w:rsidRPr="0000348A">
          <w:rPr>
            <w:rFonts w:cs="David"/>
            <w:color w:val="0000FF"/>
            <w:sz w:val="24"/>
            <w:szCs w:val="24"/>
            <w:u w:val="single"/>
            <w:rtl/>
          </w:rPr>
          <w:t>"</w:t>
        </w:r>
        <w:r w:rsidR="0000348A" w:rsidRPr="0000348A">
          <w:rPr>
            <w:rFonts w:cs="David" w:hint="cs"/>
            <w:color w:val="0000FF"/>
            <w:sz w:val="24"/>
            <w:szCs w:val="24"/>
            <w:u w:val="single"/>
            <w:rtl/>
          </w:rPr>
          <w:t>פ</w:t>
        </w:r>
        <w:r w:rsidR="0000348A" w:rsidRPr="0000348A">
          <w:rPr>
            <w:rFonts w:cs="David"/>
            <w:color w:val="0000FF"/>
            <w:sz w:val="24"/>
            <w:szCs w:val="24"/>
            <w:u w:val="single"/>
            <w:rtl/>
          </w:rPr>
          <w:t xml:space="preserve"> 26434-03-11</w:t>
        </w:r>
      </w:hyperlink>
      <w:r>
        <w:rPr>
          <w:rFonts w:cs="David"/>
          <w:sz w:val="24"/>
          <w:szCs w:val="24"/>
          <w:rtl/>
        </w:rPr>
        <w:t xml:space="preserve"> מדינת ישראל נ' חמיס אטרש:  </w:t>
      </w:r>
    </w:p>
    <w:p w14:paraId="2C48104C" w14:textId="77777777" w:rsidR="00605D95" w:rsidRDefault="00605D95" w:rsidP="00605D95">
      <w:pPr>
        <w:pStyle w:val="aa"/>
        <w:spacing w:after="0" w:line="360" w:lineRule="auto"/>
        <w:ind w:left="502"/>
        <w:jc w:val="both"/>
        <w:rPr>
          <w:rFonts w:cs="David"/>
          <w:sz w:val="24"/>
          <w:szCs w:val="24"/>
        </w:rPr>
      </w:pPr>
    </w:p>
    <w:p w14:paraId="63A5F23F" w14:textId="77777777" w:rsidR="00605D95" w:rsidRDefault="00605D95" w:rsidP="00605D95">
      <w:pPr>
        <w:pStyle w:val="aa"/>
        <w:spacing w:after="0" w:line="360" w:lineRule="auto"/>
        <w:ind w:left="1440"/>
        <w:jc w:val="both"/>
        <w:rPr>
          <w:rFonts w:cs="David"/>
          <w:sz w:val="24"/>
          <w:szCs w:val="24"/>
          <w:rtl/>
        </w:rPr>
      </w:pPr>
      <w:r>
        <w:rPr>
          <w:rFonts w:ascii="David" w:hAnsi="David" w:cs="David"/>
          <w:b/>
          <w:bCs/>
          <w:sz w:val="24"/>
          <w:szCs w:val="24"/>
          <w:rtl/>
        </w:rPr>
        <w:t>"בהחזקת חלקי נשק שלא כדין גלום סיכון רב, הן נוכח החשש מפני שימוש בחלקי הנשק ע"י המחזיק בעצמו והן נוכח החשש מגלגולם של חלקי הנשק לידיים עברייניות או לאומניות".</w:t>
      </w:r>
      <w:r>
        <w:rPr>
          <w:rFonts w:cs="David"/>
          <w:sz w:val="24"/>
          <w:szCs w:val="24"/>
          <w:rtl/>
        </w:rPr>
        <w:t xml:space="preserve"> </w:t>
      </w:r>
    </w:p>
    <w:p w14:paraId="704B5564" w14:textId="77777777" w:rsidR="00605D95" w:rsidRDefault="00605D95" w:rsidP="00605D95">
      <w:pPr>
        <w:pStyle w:val="aa"/>
        <w:spacing w:after="0" w:line="360" w:lineRule="auto"/>
        <w:ind w:left="1440"/>
        <w:jc w:val="both"/>
        <w:rPr>
          <w:rFonts w:ascii="David" w:eastAsia="Times New Roman" w:hAnsi="David" w:cs="David"/>
          <w:b/>
          <w:bCs/>
          <w:sz w:val="32"/>
          <w:szCs w:val="32"/>
          <w:rtl/>
        </w:rPr>
      </w:pPr>
    </w:p>
    <w:p w14:paraId="1517DCDC"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מידת הפגיעה בערכים המוגנים, בעבירות שביצע הנאשם הינה ברף הנמוך, שכן בעניין החזקת הסמים, הנאשם החזיק ברשותו כמות סם קטנה, ובעניין החזקת חלק הנשק, מדובר בסתרשף, חלק המורכב בקצה הקנה של הרובה, המיועד לפזר את הרשף בעת הירי ולמנוע את זיהוי מקור הירי, לפיכך החלק שנמצא אצל הנאשם כשלעצמו אינו בעל מאפיינים התקפיים ואין בו פוטנציאל לגרימת נזק כפי שיש בהחזקת כלי נשק ממש או חלקי ליבה שלו.</w:t>
      </w:r>
    </w:p>
    <w:p w14:paraId="4F809D64" w14:textId="77777777" w:rsidR="00605D95" w:rsidRDefault="00605D95" w:rsidP="00605D95">
      <w:pPr>
        <w:spacing w:line="360" w:lineRule="auto"/>
        <w:ind w:left="142"/>
        <w:jc w:val="both"/>
        <w:rPr>
          <w:rFonts w:ascii="David" w:hAnsi="David"/>
          <w:b/>
          <w:bCs/>
          <w:u w:val="single"/>
          <w:rtl/>
        </w:rPr>
      </w:pPr>
    </w:p>
    <w:p w14:paraId="1422EB62" w14:textId="77777777" w:rsidR="00605D95" w:rsidRDefault="00605D95" w:rsidP="00605D95">
      <w:pPr>
        <w:spacing w:line="360" w:lineRule="auto"/>
        <w:ind w:left="142"/>
        <w:jc w:val="both"/>
        <w:rPr>
          <w:rFonts w:ascii="David" w:eastAsia="Calibri" w:hAnsi="David"/>
          <w:b/>
          <w:bCs/>
          <w:rtl/>
        </w:rPr>
      </w:pPr>
      <w:r>
        <w:rPr>
          <w:rFonts w:ascii="David" w:hAnsi="David"/>
          <w:b/>
          <w:bCs/>
          <w:u w:val="single"/>
          <w:rtl/>
        </w:rPr>
        <w:t>מדיניות הענישה הנוהגת:</w:t>
      </w:r>
    </w:p>
    <w:p w14:paraId="1AACD137" w14:textId="77777777" w:rsidR="00605D95" w:rsidRDefault="00605D95" w:rsidP="00605D95">
      <w:pPr>
        <w:spacing w:line="360" w:lineRule="auto"/>
        <w:ind w:left="142"/>
        <w:jc w:val="both"/>
        <w:rPr>
          <w:rFonts w:ascii="David" w:eastAsia="Calibri" w:hAnsi="David"/>
          <w:b/>
          <w:bCs/>
          <w:rtl/>
        </w:rPr>
      </w:pPr>
    </w:p>
    <w:p w14:paraId="72E2F0D0"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מדיניות הענישה הנהוגה בעבירות אלה מלמדת כי המתחם נע בין מאסר מותנה למספר חודשי מאסר בפועל. </w:t>
      </w:r>
    </w:p>
    <w:p w14:paraId="073D407F" w14:textId="77777777" w:rsidR="00605D95" w:rsidRDefault="00605D95" w:rsidP="00605D95">
      <w:pPr>
        <w:pStyle w:val="aa"/>
        <w:spacing w:line="360" w:lineRule="auto"/>
        <w:jc w:val="both"/>
        <w:rPr>
          <w:rFonts w:ascii="David" w:eastAsia="Times New Roman" w:hAnsi="David" w:cs="David"/>
          <w:sz w:val="24"/>
          <w:szCs w:val="24"/>
        </w:rPr>
      </w:pPr>
    </w:p>
    <w:p w14:paraId="53DFEF06"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19" w:history="1">
        <w:r w:rsidR="0000348A" w:rsidRPr="0000348A">
          <w:rPr>
            <w:rFonts w:ascii="David" w:hAnsi="David"/>
            <w:color w:val="0000FF"/>
            <w:u w:val="single"/>
            <w:rtl/>
          </w:rPr>
          <w:t>עפ"ג 20599-04-17</w:t>
        </w:r>
      </w:hyperlink>
      <w:r>
        <w:rPr>
          <w:rFonts w:ascii="David" w:hAnsi="David"/>
          <w:rtl/>
        </w:rPr>
        <w:t xml:space="preserve"> </w:t>
      </w:r>
      <w:r>
        <w:rPr>
          <w:rFonts w:ascii="David" w:hAnsi="David"/>
          <w:b/>
          <w:bCs/>
          <w:rtl/>
        </w:rPr>
        <w:t>מירילשוילי</w:t>
      </w:r>
      <w:r>
        <w:rPr>
          <w:rFonts w:ascii="David" w:hAnsi="David"/>
          <w:rtl/>
        </w:rPr>
        <w:t xml:space="preserve"> </w:t>
      </w:r>
      <w:r>
        <w:rPr>
          <w:rFonts w:ascii="David" w:hAnsi="David"/>
          <w:b/>
          <w:bCs/>
          <w:rtl/>
        </w:rPr>
        <w:t>נ'</w:t>
      </w:r>
      <w:r>
        <w:rPr>
          <w:rFonts w:ascii="David" w:hAnsi="David"/>
          <w:rtl/>
        </w:rPr>
        <w:t xml:space="preserve"> </w:t>
      </w:r>
      <w:r>
        <w:rPr>
          <w:rFonts w:ascii="David" w:hAnsi="David"/>
          <w:b/>
          <w:bCs/>
          <w:rtl/>
        </w:rPr>
        <w:t>מדינת</w:t>
      </w:r>
      <w:r>
        <w:rPr>
          <w:rFonts w:ascii="David" w:hAnsi="David"/>
          <w:rtl/>
        </w:rPr>
        <w:t xml:space="preserve"> </w:t>
      </w:r>
      <w:r>
        <w:rPr>
          <w:rFonts w:ascii="David" w:hAnsi="David"/>
          <w:b/>
          <w:bCs/>
          <w:rtl/>
        </w:rPr>
        <w:t>ישראל</w:t>
      </w:r>
      <w:r>
        <w:rPr>
          <w:rFonts w:ascii="David" w:hAnsi="David"/>
          <w:rtl/>
        </w:rPr>
        <w:t xml:space="preserve"> , בית המשפט השאיר על כנו את פסק הדין המרשיע נאשם בעבירת החזקת תחמושת מסוג רימון הלם, ובעבירת החזקת סם לשימוש עצמי מסוג חשיש במשקל 0.73 גרם והטיל עליו מאסר על תנאי ועונשים צופי עתיד נוספים.</w:t>
      </w:r>
    </w:p>
    <w:p w14:paraId="50E19D6F" w14:textId="77777777" w:rsidR="00605D95" w:rsidRDefault="00605D95" w:rsidP="00605D95">
      <w:pPr>
        <w:spacing w:line="360" w:lineRule="auto"/>
        <w:ind w:left="360"/>
        <w:contextualSpacing/>
        <w:jc w:val="both"/>
        <w:rPr>
          <w:rFonts w:ascii="David" w:hAnsi="David"/>
        </w:rPr>
      </w:pPr>
    </w:p>
    <w:p w14:paraId="7A618682"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20" w:history="1">
        <w:r w:rsidR="0000348A" w:rsidRPr="0000348A">
          <w:rPr>
            <w:rFonts w:ascii="David" w:hAnsi="David"/>
            <w:color w:val="0000FF"/>
            <w:u w:val="single"/>
            <w:rtl/>
          </w:rPr>
          <w:t>ת"פ 26434-03-11</w:t>
        </w:r>
      </w:hyperlink>
      <w:r>
        <w:rPr>
          <w:rFonts w:ascii="David" w:hAnsi="David"/>
          <w:rtl/>
        </w:rPr>
        <w:t xml:space="preserve"> </w:t>
      </w:r>
      <w:r>
        <w:rPr>
          <w:rFonts w:ascii="David" w:hAnsi="David"/>
          <w:b/>
          <w:bCs/>
          <w:rtl/>
        </w:rPr>
        <w:t>מדינת ישראל נ' חמיס אטרש</w:t>
      </w:r>
      <w:r>
        <w:rPr>
          <w:rFonts w:ascii="David" w:hAnsi="David"/>
          <w:rtl/>
        </w:rPr>
        <w:t xml:space="preserve"> , הורשע נאשם בעל עבר פלילי בהחזקת מספר חלקי נשק והוטל עליו 6 חודשי מאסר בפועל ברוצו בעבודות שירות ובחמישה חודשי מאסר על תנאי. </w:t>
      </w:r>
    </w:p>
    <w:p w14:paraId="0A722B9B" w14:textId="77777777" w:rsidR="00605D95" w:rsidRDefault="00605D95" w:rsidP="00605D95">
      <w:pPr>
        <w:pStyle w:val="aa"/>
        <w:spacing w:line="360" w:lineRule="auto"/>
        <w:ind w:left="1080"/>
        <w:jc w:val="both"/>
        <w:rPr>
          <w:rFonts w:ascii="David" w:eastAsia="Times New Roman" w:hAnsi="David" w:cs="David"/>
          <w:sz w:val="24"/>
          <w:szCs w:val="24"/>
        </w:rPr>
      </w:pPr>
    </w:p>
    <w:p w14:paraId="58FF8EE2"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21" w:history="1">
        <w:r w:rsidR="0000348A" w:rsidRPr="0000348A">
          <w:rPr>
            <w:rFonts w:ascii="David" w:hAnsi="David"/>
            <w:color w:val="0000FF"/>
            <w:u w:val="single"/>
            <w:rtl/>
          </w:rPr>
          <w:t>ת"פ (ק' גת) 56479-12-15</w:t>
        </w:r>
      </w:hyperlink>
      <w:r>
        <w:rPr>
          <w:rFonts w:ascii="David" w:hAnsi="David"/>
          <w:rtl/>
        </w:rPr>
        <w:t xml:space="preserve"> </w:t>
      </w:r>
      <w:r>
        <w:rPr>
          <w:rFonts w:ascii="David" w:hAnsi="David"/>
          <w:b/>
          <w:bCs/>
          <w:rtl/>
        </w:rPr>
        <w:t>מדינת</w:t>
      </w:r>
      <w:r>
        <w:rPr>
          <w:rFonts w:ascii="David" w:hAnsi="David"/>
          <w:rtl/>
        </w:rPr>
        <w:t xml:space="preserve"> </w:t>
      </w:r>
      <w:r>
        <w:rPr>
          <w:rFonts w:ascii="David" w:hAnsi="David"/>
          <w:b/>
          <w:bCs/>
          <w:rtl/>
        </w:rPr>
        <w:t>ישראל</w:t>
      </w:r>
      <w:r>
        <w:rPr>
          <w:rFonts w:ascii="David" w:hAnsi="David"/>
          <w:rtl/>
        </w:rPr>
        <w:t xml:space="preserve"> </w:t>
      </w:r>
      <w:r>
        <w:rPr>
          <w:rFonts w:ascii="David" w:hAnsi="David"/>
          <w:b/>
          <w:bCs/>
          <w:rtl/>
        </w:rPr>
        <w:t>נ'</w:t>
      </w:r>
      <w:r>
        <w:rPr>
          <w:rFonts w:ascii="David" w:hAnsi="David"/>
          <w:rtl/>
        </w:rPr>
        <w:t xml:space="preserve"> </w:t>
      </w:r>
      <w:r>
        <w:rPr>
          <w:rFonts w:ascii="David" w:hAnsi="David"/>
          <w:b/>
          <w:bCs/>
          <w:rtl/>
        </w:rPr>
        <w:t>סטניסלב</w:t>
      </w:r>
      <w:r>
        <w:rPr>
          <w:rFonts w:ascii="David" w:hAnsi="David"/>
          <w:rtl/>
        </w:rPr>
        <w:t xml:space="preserve"> </w:t>
      </w:r>
      <w:r>
        <w:rPr>
          <w:rFonts w:ascii="David" w:hAnsi="David"/>
          <w:b/>
          <w:bCs/>
          <w:rtl/>
        </w:rPr>
        <w:t>גלמן</w:t>
      </w:r>
      <w:r>
        <w:rPr>
          <w:rFonts w:ascii="David" w:hAnsi="David"/>
          <w:rtl/>
        </w:rPr>
        <w:t xml:space="preserve">  קבעה סגנית הנשיא כבוד השופטת נועה חקלאי מתחם עונש הנע ממאסר מותנה ועד 6 חודשי מאסר, בעבירות של החזקת סם מסוג חשיש במשקל של 0.13 גרם והחזקת תחמושת מסוג רימוני עשן, חזיז חשמלי ומחסנית ולאחר שלקחה בחשבון את נסיבות חייו ואת הזמן שחלף ממועד העבירה, הטילה על הנאשם שישה חודשי מאסר על תנאי. </w:t>
      </w:r>
    </w:p>
    <w:p w14:paraId="5F194912" w14:textId="77777777" w:rsidR="00605D95" w:rsidRDefault="00605D95" w:rsidP="00605D95">
      <w:pPr>
        <w:spacing w:line="360" w:lineRule="auto"/>
        <w:ind w:left="142"/>
        <w:jc w:val="both"/>
        <w:rPr>
          <w:rFonts w:ascii="David" w:hAnsi="David"/>
          <w:b/>
          <w:bCs/>
          <w:u w:val="single"/>
          <w:rtl/>
        </w:rPr>
      </w:pPr>
    </w:p>
    <w:p w14:paraId="681510A0" w14:textId="77777777" w:rsidR="00605D95" w:rsidRPr="00605D95" w:rsidRDefault="00605D95" w:rsidP="00605D95">
      <w:pPr>
        <w:spacing w:line="360" w:lineRule="auto"/>
        <w:ind w:left="142"/>
        <w:jc w:val="both"/>
        <w:rPr>
          <w:rFonts w:ascii="David" w:eastAsia="Calibri" w:hAnsi="David"/>
          <w:b/>
          <w:bCs/>
          <w:u w:val="single"/>
          <w:rtl/>
        </w:rPr>
      </w:pPr>
      <w:r>
        <w:rPr>
          <w:rFonts w:ascii="David" w:hAnsi="David"/>
          <w:b/>
          <w:bCs/>
          <w:u w:val="single"/>
          <w:rtl/>
        </w:rPr>
        <w:t>נסיבות ביצוע העבירות:</w:t>
      </w:r>
    </w:p>
    <w:p w14:paraId="0B2BC935" w14:textId="77777777" w:rsidR="00605D95" w:rsidRDefault="00605D95" w:rsidP="00605D95">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בחינת הנסיבות הקשורות בביצוע העבירה בהתאם לסעיף </w:t>
      </w:r>
      <w:hyperlink r:id="rId22" w:history="1">
        <w:r w:rsidR="009377EB" w:rsidRPr="009377EB">
          <w:rPr>
            <w:rStyle w:val="Hyperlink"/>
            <w:rFonts w:ascii="David" w:hAnsi="David" w:cs="David"/>
            <w:sz w:val="24"/>
            <w:szCs w:val="24"/>
            <w:rtl/>
          </w:rPr>
          <w:t>40 ט'</w:t>
        </w:r>
      </w:hyperlink>
      <w:r>
        <w:rPr>
          <w:rFonts w:ascii="David" w:hAnsi="David" w:cs="David"/>
          <w:sz w:val="24"/>
          <w:szCs w:val="24"/>
          <w:rtl/>
        </w:rPr>
        <w:t xml:space="preserve"> לחוק, בעניין החזקת חלק הנשק, הרי שמדובר במקרה חריג בו מדובר בחלק נשק אזוטרי יחסית, שאינו חיוני להפעלת הנשק. בכך אין וודאי כדי לבטל את פליליות המעשה. אך על ספקטרום חלקי הנשק האפשריים, הרי שבעוד מכלול הנשק נמצא ברף העליון של החומרה, רכיב כמו סתרשף נמצא ברף הנמוך של החומרה. עוד יצוין כי הצדדים העלו בפניי כי בחקירתו במשטרה טען הנאשם כי הסתרשף נשכח אצלו לאחר שירות הצבאי במשמר הנגב. הדברים מקבלים משנה תוקף משהוסכם על הצדדים כי הנאשם שירת בצבא.</w:t>
      </w:r>
    </w:p>
    <w:p w14:paraId="29D2AC21" w14:textId="77777777" w:rsidR="00605D95" w:rsidRDefault="00605D95" w:rsidP="00605D95">
      <w:pPr>
        <w:pStyle w:val="aa"/>
        <w:spacing w:line="360" w:lineRule="auto"/>
        <w:ind w:left="360"/>
        <w:jc w:val="both"/>
        <w:rPr>
          <w:rFonts w:ascii="David" w:hAnsi="David" w:cs="David"/>
          <w:sz w:val="24"/>
          <w:szCs w:val="24"/>
        </w:rPr>
      </w:pPr>
    </w:p>
    <w:p w14:paraId="12223878"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ביחס לעבירת הסמים, יש לתת את הדעת לכך שהנאשם נמצא מחזיק סמים שלא לשימוש עצמי ופוזר בשני מקומות שונים בביתו אך כאמור מדובר בכמות נמוכה מסוג סם שאינו נמנה בין הסמים הקשים יותר ובכמות הקרובה לכמות אשר נקבע בחוק כי אינה ברת הפללה.</w:t>
      </w:r>
    </w:p>
    <w:p w14:paraId="45DD1C33" w14:textId="77777777" w:rsidR="00605D95" w:rsidRDefault="00605D95" w:rsidP="00605D95">
      <w:pPr>
        <w:pStyle w:val="aa"/>
        <w:spacing w:line="360" w:lineRule="auto"/>
        <w:ind w:left="360"/>
        <w:jc w:val="both"/>
        <w:rPr>
          <w:rFonts w:ascii="David" w:hAnsi="David" w:cs="David"/>
          <w:sz w:val="24"/>
          <w:szCs w:val="24"/>
        </w:rPr>
      </w:pPr>
    </w:p>
    <w:p w14:paraId="4E8FAABE"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לאחר ששקלתי את נסיבות ביצוע העבירות ולאור הענישה הנוהגת, אני קובע כי מתחם העונש ההולם לעבירות בהן הורשע הנאשם נע ממאסר מותנה לצד עונשים צופי פני עתיד וקנס ועד מספר חודשי מאסר אשר יכול שירוצו בדרך של עבודות שירות.</w:t>
      </w:r>
    </w:p>
    <w:p w14:paraId="7896092C" w14:textId="77777777" w:rsidR="00605D95" w:rsidRDefault="00605D95" w:rsidP="00605D95">
      <w:pPr>
        <w:spacing w:line="360" w:lineRule="auto"/>
        <w:jc w:val="both"/>
        <w:rPr>
          <w:rFonts w:ascii="David" w:eastAsia="Calibri" w:hAnsi="David"/>
          <w:b/>
          <w:bCs/>
        </w:rPr>
      </w:pPr>
      <w:r>
        <w:rPr>
          <w:rFonts w:ascii="David" w:hAnsi="David"/>
          <w:b/>
          <w:bCs/>
          <w:u w:val="single"/>
          <w:rtl/>
        </w:rPr>
        <w:t>בחינת הנסיבות שאינן קשורות לביצוע העבירה</w:t>
      </w:r>
      <w:r>
        <w:rPr>
          <w:rFonts w:ascii="David" w:eastAsia="Calibri" w:hAnsi="David"/>
          <w:b/>
          <w:bCs/>
          <w:rtl/>
        </w:rPr>
        <w:t>:</w:t>
      </w:r>
    </w:p>
    <w:p w14:paraId="2EEAC822" w14:textId="77777777" w:rsidR="00605D95" w:rsidRDefault="00605D95" w:rsidP="00605D95">
      <w:pPr>
        <w:pStyle w:val="aa"/>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בגזירת העונש המתאים לנאשם, יובאו בחשבון נסיבותיו האישיות, שאינן קשורות בביצוע העבירה.  </w:t>
      </w:r>
    </w:p>
    <w:p w14:paraId="000C909B" w14:textId="77777777" w:rsidR="00605D95" w:rsidRDefault="00605D95" w:rsidP="00605D95">
      <w:pPr>
        <w:spacing w:line="360" w:lineRule="auto"/>
        <w:ind w:left="360"/>
        <w:jc w:val="both"/>
        <w:rPr>
          <w:rFonts w:ascii="David" w:hAnsi="David"/>
        </w:rPr>
      </w:pPr>
    </w:p>
    <w:p w14:paraId="7D142C06" w14:textId="77777777" w:rsidR="00605D95" w:rsidRDefault="00605D95" w:rsidP="00605D95">
      <w:pPr>
        <w:numPr>
          <w:ilvl w:val="0"/>
          <w:numId w:val="1"/>
        </w:numPr>
        <w:spacing w:line="360" w:lineRule="auto"/>
        <w:contextualSpacing/>
        <w:jc w:val="both"/>
        <w:rPr>
          <w:rFonts w:ascii="David" w:hAnsi="David"/>
        </w:rPr>
      </w:pPr>
      <w:r>
        <w:rPr>
          <w:rtl/>
        </w:rPr>
        <w:t xml:space="preserve">הנאשם </w:t>
      </w:r>
      <w:r>
        <w:rPr>
          <w:rFonts w:ascii="David" w:hAnsi="David"/>
          <w:rtl/>
        </w:rPr>
        <w:t xml:space="preserve">בעל עבר פלילי. </w:t>
      </w:r>
    </w:p>
    <w:p w14:paraId="09E9D859" w14:textId="77777777" w:rsidR="00605D95" w:rsidRDefault="00605D95" w:rsidP="00605D95">
      <w:pPr>
        <w:pStyle w:val="aa"/>
        <w:spacing w:line="360" w:lineRule="auto"/>
        <w:jc w:val="both"/>
        <w:rPr>
          <w:rFonts w:ascii="David" w:eastAsia="Times New Roman" w:hAnsi="David" w:cs="David"/>
          <w:sz w:val="24"/>
          <w:szCs w:val="24"/>
        </w:rPr>
      </w:pPr>
    </w:p>
    <w:p w14:paraId="6B1D7A50"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הנאשם בעל נסיבות חיים לא פשוטות, הורה יחידני לשלושה ילדים קטינים לאחר שאימם עזבה אותם. </w:t>
      </w:r>
    </w:p>
    <w:p w14:paraId="64EA40CD" w14:textId="77777777" w:rsidR="00605D95" w:rsidRDefault="00605D95" w:rsidP="00605D95">
      <w:pPr>
        <w:pStyle w:val="aa"/>
        <w:rPr>
          <w:rFonts w:ascii="David" w:eastAsia="Times New Roman" w:hAnsi="David" w:cs="David"/>
          <w:sz w:val="24"/>
          <w:szCs w:val="24"/>
        </w:rPr>
      </w:pPr>
    </w:p>
    <w:p w14:paraId="09C4EE7D"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מאז ביצוע העבירות נשוא כתב אישום בשנת 2019 לא נפתחו כנגד הנאשם תיקים חדשים. </w:t>
      </w:r>
    </w:p>
    <w:p w14:paraId="62FDE81B" w14:textId="77777777" w:rsidR="00605D95" w:rsidRDefault="00605D95" w:rsidP="00605D95">
      <w:pPr>
        <w:spacing w:line="360" w:lineRule="auto"/>
        <w:ind w:left="720"/>
        <w:jc w:val="both"/>
        <w:rPr>
          <w:rFonts w:ascii="David" w:hAnsi="David"/>
        </w:rPr>
      </w:pPr>
    </w:p>
    <w:p w14:paraId="41BE4493"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מבדיקות שהציג בפניי עולה כי הנאשם נקי מסמים.</w:t>
      </w:r>
    </w:p>
    <w:p w14:paraId="3B59A367" w14:textId="77777777" w:rsidR="00605D95" w:rsidRDefault="00605D95" w:rsidP="00605D95">
      <w:pPr>
        <w:pStyle w:val="aa"/>
        <w:spacing w:line="360" w:lineRule="auto"/>
        <w:jc w:val="both"/>
        <w:rPr>
          <w:rFonts w:ascii="David" w:eastAsia="Times New Roman" w:hAnsi="David" w:cs="David"/>
          <w:sz w:val="24"/>
          <w:szCs w:val="24"/>
        </w:rPr>
      </w:pPr>
    </w:p>
    <w:p w14:paraId="78DE84C0" w14:textId="77777777" w:rsidR="00605D95" w:rsidRDefault="00605D95" w:rsidP="00605D95">
      <w:pPr>
        <w:numPr>
          <w:ilvl w:val="0"/>
          <w:numId w:val="1"/>
        </w:numPr>
        <w:spacing w:line="360" w:lineRule="auto"/>
        <w:contextualSpacing/>
        <w:jc w:val="both"/>
        <w:rPr>
          <w:rFonts w:ascii="David" w:hAnsi="David"/>
        </w:rPr>
      </w:pPr>
      <w:r>
        <w:rPr>
          <w:rFonts w:ascii="David" w:hAnsi="David"/>
          <w:rtl/>
        </w:rPr>
        <w:t>שקלול כלל הנסיבות מוביל למסקנה כי יש למקם את עונשו של הנאשם בחלק התחתון של המתחם. לא נעלם מעיניי כי לחובת הנאשם עבר פלילי, אך הוא אינו מכביד, ישן ברובו, ואף לא בעבירות נשק. זאת ועוד, אף מתקיימות נסיבות כבדות משקל בעניינו של הנאשם, אשר מגדל 3 ילדים קטנים לבדו. לכן בנסיבות הללו אמקם את עונשו של הנאשם בתחתית המתחם.</w:t>
      </w:r>
    </w:p>
    <w:p w14:paraId="0B97ADE4" w14:textId="77777777" w:rsidR="00605D95" w:rsidRDefault="00605D95" w:rsidP="00605D95">
      <w:pPr>
        <w:spacing w:line="360" w:lineRule="auto"/>
        <w:ind w:left="502"/>
        <w:contextualSpacing/>
        <w:jc w:val="both"/>
        <w:rPr>
          <w:rFonts w:ascii="David" w:hAnsi="David"/>
          <w:rtl/>
        </w:rPr>
      </w:pPr>
    </w:p>
    <w:p w14:paraId="54F6CC48" w14:textId="77777777" w:rsidR="00605D95" w:rsidRDefault="00605D95" w:rsidP="00605D95">
      <w:pPr>
        <w:numPr>
          <w:ilvl w:val="0"/>
          <w:numId w:val="1"/>
        </w:numPr>
        <w:spacing w:line="360" w:lineRule="auto"/>
        <w:contextualSpacing/>
        <w:jc w:val="both"/>
        <w:rPr>
          <w:rFonts w:ascii="David" w:hAnsi="David"/>
          <w:b/>
          <w:bCs/>
          <w:u w:val="single"/>
          <w:rtl/>
        </w:rPr>
      </w:pPr>
      <w:r>
        <w:rPr>
          <w:rFonts w:ascii="David" w:hAnsi="David"/>
          <w:rtl/>
        </w:rPr>
        <w:t>לאחר ששקלתי את כלל השיקולים לעיל, לחומרה ולקולא, אני גוזר על הנאשמים את העונשים הבאים:</w:t>
      </w:r>
    </w:p>
    <w:p w14:paraId="1B07D8CD" w14:textId="77777777" w:rsidR="00605D95" w:rsidRDefault="00605D95" w:rsidP="00605D95">
      <w:pPr>
        <w:spacing w:after="200" w:line="360" w:lineRule="auto"/>
        <w:ind w:left="720"/>
        <w:contextualSpacing/>
        <w:jc w:val="both"/>
        <w:rPr>
          <w:rFonts w:ascii="David" w:hAnsi="David"/>
          <w:b/>
          <w:bCs/>
          <w:highlight w:val="yellow"/>
          <w:u w:val="single"/>
        </w:rPr>
      </w:pPr>
    </w:p>
    <w:p w14:paraId="1714E081"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מאסר מותנה בן 3 חודשים, זאת למשך שלוש שנים מהיום, והתנאי שהנאשם לא יעבור כל עבירת סמים.  </w:t>
      </w:r>
    </w:p>
    <w:p w14:paraId="16F578E7" w14:textId="77777777" w:rsidR="00605D95" w:rsidRDefault="00605D95" w:rsidP="00605D95">
      <w:pPr>
        <w:spacing w:after="200" w:line="360" w:lineRule="auto"/>
        <w:ind w:left="1080"/>
        <w:contextualSpacing/>
        <w:jc w:val="both"/>
        <w:rPr>
          <w:rFonts w:ascii="David" w:hAnsi="David"/>
        </w:rPr>
      </w:pPr>
    </w:p>
    <w:p w14:paraId="622BE6B2"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מאסר מותנה בן 6 חודשים, זאת למשך שלוש שנים מהיום, והתנאי שהנאשם לא יעבור כל עבירת נשק.   </w:t>
      </w:r>
    </w:p>
    <w:p w14:paraId="493E1E05" w14:textId="77777777" w:rsidR="00605D95" w:rsidRDefault="00605D95" w:rsidP="00605D95">
      <w:pPr>
        <w:spacing w:after="200" w:line="360" w:lineRule="auto"/>
        <w:ind w:left="720"/>
        <w:contextualSpacing/>
        <w:jc w:val="both"/>
        <w:rPr>
          <w:rFonts w:ascii="David" w:hAnsi="David"/>
        </w:rPr>
      </w:pPr>
    </w:p>
    <w:p w14:paraId="6F127A1C"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קנס בסך 5,000 ₪ שישולם בעשרה תשלומים חודשיים שווים החל מיום 1.1.23 ובכל ראשון לחודש שלאחריו, או 20 ימי מאסר תחתם.</w:t>
      </w:r>
    </w:p>
    <w:p w14:paraId="32E36B46" w14:textId="77777777" w:rsidR="00605D95" w:rsidRDefault="00605D95" w:rsidP="00605D95">
      <w:pPr>
        <w:spacing w:line="360" w:lineRule="auto"/>
        <w:ind w:left="1080"/>
        <w:contextualSpacing/>
        <w:jc w:val="both"/>
        <w:rPr>
          <w:rFonts w:ascii="David" w:hAnsi="David"/>
        </w:rPr>
      </w:pPr>
    </w:p>
    <w:p w14:paraId="599733DF"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אני פוסל את הנאשם, מלהחזיק או לקבל רישיון נהיגה, פסילה על תנאי בת 6 חודשים, והתנאי שלא יעבור בתוך 3 שנים מהיום כל עבירת סמים.  </w:t>
      </w:r>
    </w:p>
    <w:p w14:paraId="18ADCAE1" w14:textId="77777777" w:rsidR="00605D95" w:rsidRPr="0000348A" w:rsidRDefault="0000348A" w:rsidP="00605D95">
      <w:pPr>
        <w:spacing w:after="200" w:line="360" w:lineRule="auto"/>
        <w:jc w:val="both"/>
        <w:rPr>
          <w:rFonts w:ascii="David" w:hAnsi="David"/>
          <w:color w:val="FFFFFF"/>
          <w:sz w:val="2"/>
          <w:szCs w:val="2"/>
        </w:rPr>
      </w:pPr>
      <w:r w:rsidRPr="0000348A">
        <w:rPr>
          <w:rFonts w:ascii="David" w:hAnsi="David"/>
          <w:color w:val="FFFFFF"/>
          <w:sz w:val="2"/>
          <w:szCs w:val="2"/>
          <w:rtl/>
        </w:rPr>
        <w:t>5129371</w:t>
      </w:r>
    </w:p>
    <w:p w14:paraId="5E4CDD8C" w14:textId="77777777" w:rsidR="00605D95" w:rsidRPr="00184BC1" w:rsidRDefault="0000348A" w:rsidP="00605D95">
      <w:pPr>
        <w:spacing w:after="200" w:line="360" w:lineRule="auto"/>
        <w:jc w:val="both"/>
        <w:rPr>
          <w:rFonts w:ascii="David" w:hAnsi="David"/>
          <w:b/>
          <w:bCs/>
          <w:rtl/>
        </w:rPr>
      </w:pPr>
      <w:r w:rsidRPr="0000348A">
        <w:rPr>
          <w:rFonts w:ascii="David" w:hAnsi="David"/>
          <w:b/>
          <w:bCs/>
          <w:color w:val="FFFFFF"/>
          <w:sz w:val="2"/>
          <w:szCs w:val="2"/>
          <w:rtl/>
        </w:rPr>
        <w:t>54678313</w:t>
      </w:r>
      <w:r w:rsidR="00605D95" w:rsidRPr="00184BC1">
        <w:rPr>
          <w:rFonts w:ascii="David" w:hAnsi="David"/>
          <w:b/>
          <w:bCs/>
          <w:rtl/>
        </w:rPr>
        <w:t>זכות ערעור כחוק.</w:t>
      </w:r>
    </w:p>
    <w:p w14:paraId="45DC2C76" w14:textId="77777777" w:rsidR="00605D95" w:rsidRPr="000F2247" w:rsidRDefault="00605D95" w:rsidP="00605D95">
      <w:pPr>
        <w:rPr>
          <w:rFonts w:ascii="Arial" w:hAnsi="Arial"/>
          <w:b/>
          <w:bCs/>
          <w:sz w:val="26"/>
          <w:szCs w:val="26"/>
          <w:rtl/>
        </w:rPr>
      </w:pPr>
    </w:p>
    <w:p w14:paraId="2AA27439" w14:textId="77777777" w:rsidR="00605D95" w:rsidRPr="000F2247" w:rsidRDefault="0000348A" w:rsidP="00605D95">
      <w:pPr>
        <w:rPr>
          <w:rFonts w:ascii="Arial" w:hAnsi="Arial"/>
          <w:b/>
          <w:bCs/>
          <w:sz w:val="26"/>
          <w:szCs w:val="26"/>
          <w:rtl/>
        </w:rPr>
      </w:pPr>
      <w:bookmarkStart w:id="8" w:name="Nitan"/>
      <w:r>
        <w:rPr>
          <w:rFonts w:ascii="Arial" w:hAnsi="Arial"/>
          <w:b/>
          <w:bCs/>
          <w:sz w:val="26"/>
          <w:szCs w:val="26"/>
          <w:rtl/>
        </w:rPr>
        <w:t xml:space="preserve">ניתן היום,  ו' חשוון תשפ"ג, 31 אוקטובר 2022, במעמד הצדדים. </w:t>
      </w:r>
      <w:bookmarkEnd w:id="8"/>
    </w:p>
    <w:p w14:paraId="355181E1" w14:textId="77777777" w:rsidR="00605D95" w:rsidRPr="000F2247" w:rsidRDefault="00605D95" w:rsidP="000034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F0600B" w14:textId="77777777" w:rsidR="00605D95" w:rsidRPr="009377EB" w:rsidRDefault="009377EB" w:rsidP="00605D95">
      <w:pPr>
        <w:jc w:val="center"/>
        <w:rPr>
          <w:rFonts w:ascii="Arial" w:hAnsi="Arial"/>
          <w:b/>
          <w:bCs/>
          <w:color w:val="FFFFFF"/>
          <w:sz w:val="2"/>
          <w:szCs w:val="2"/>
          <w:rtl/>
        </w:rPr>
      </w:pPr>
      <w:r w:rsidRPr="009377EB">
        <w:rPr>
          <w:rFonts w:ascii="Arial" w:hAnsi="Arial"/>
          <w:b/>
          <w:bCs/>
          <w:color w:val="FFFFFF"/>
          <w:sz w:val="2"/>
          <w:szCs w:val="2"/>
          <w:rtl/>
        </w:rPr>
        <w:t>5129371</w:t>
      </w:r>
    </w:p>
    <w:p w14:paraId="2AA14E87" w14:textId="77777777" w:rsidR="00236F77" w:rsidRPr="009377EB" w:rsidRDefault="009377EB" w:rsidP="0000348A">
      <w:pPr>
        <w:keepNext/>
        <w:rPr>
          <w:rFonts w:ascii="David" w:hAnsi="David"/>
          <w:color w:val="FFFFFF"/>
          <w:sz w:val="2"/>
          <w:szCs w:val="2"/>
          <w:rtl/>
        </w:rPr>
      </w:pPr>
      <w:r w:rsidRPr="009377EB">
        <w:rPr>
          <w:rFonts w:ascii="David" w:hAnsi="David"/>
          <w:color w:val="FFFFFF"/>
          <w:sz w:val="2"/>
          <w:szCs w:val="2"/>
          <w:rtl/>
        </w:rPr>
        <w:t>54678313</w:t>
      </w:r>
    </w:p>
    <w:p w14:paraId="094E644B" w14:textId="77777777" w:rsidR="0000348A" w:rsidRDefault="0000348A" w:rsidP="0000348A">
      <w:pPr>
        <w:rPr>
          <w:rtl/>
        </w:rPr>
      </w:pPr>
    </w:p>
    <w:p w14:paraId="1F6A3D28" w14:textId="77777777" w:rsidR="0000348A" w:rsidRDefault="0000348A" w:rsidP="0000348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9B8EBF1" w14:textId="77777777" w:rsidR="009377EB" w:rsidRPr="009377EB" w:rsidRDefault="009377EB" w:rsidP="009377EB">
      <w:pPr>
        <w:keepNext/>
        <w:rPr>
          <w:rFonts w:ascii="David" w:hAnsi="David"/>
          <w:color w:val="000000"/>
          <w:sz w:val="22"/>
          <w:szCs w:val="22"/>
          <w:rtl/>
        </w:rPr>
      </w:pPr>
    </w:p>
    <w:p w14:paraId="5640502B" w14:textId="77777777" w:rsidR="009377EB" w:rsidRPr="009377EB" w:rsidRDefault="009377EB" w:rsidP="009377EB">
      <w:pPr>
        <w:keepNext/>
        <w:rPr>
          <w:rFonts w:ascii="David" w:hAnsi="David"/>
          <w:color w:val="000000"/>
          <w:sz w:val="22"/>
          <w:szCs w:val="22"/>
          <w:rtl/>
        </w:rPr>
      </w:pPr>
      <w:r w:rsidRPr="009377EB">
        <w:rPr>
          <w:rFonts w:ascii="David" w:hAnsi="David"/>
          <w:color w:val="000000"/>
          <w:sz w:val="22"/>
          <w:szCs w:val="22"/>
          <w:rtl/>
        </w:rPr>
        <w:t>יניב בן הרוש 54678313-/</w:t>
      </w:r>
    </w:p>
    <w:p w14:paraId="7C5076BB" w14:textId="77777777" w:rsidR="0000348A" w:rsidRPr="0000348A" w:rsidRDefault="009377EB" w:rsidP="009377EB">
      <w:pPr>
        <w:rPr>
          <w:color w:val="0000FF"/>
          <w:u w:val="single"/>
        </w:rPr>
      </w:pPr>
      <w:r w:rsidRPr="009377EB">
        <w:rPr>
          <w:color w:val="000000"/>
          <w:u w:val="single"/>
          <w:rtl/>
        </w:rPr>
        <w:t>נוסח מסמך זה כפוף לשינויי ניסוח ועריכה</w:t>
      </w:r>
    </w:p>
    <w:sectPr w:rsidR="0000348A" w:rsidRPr="0000348A" w:rsidSect="009377E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CBDBB" w14:textId="77777777" w:rsidR="00AD47E9" w:rsidRDefault="00AD47E9" w:rsidP="00330F1C">
      <w:r>
        <w:separator/>
      </w:r>
    </w:p>
  </w:endnote>
  <w:endnote w:type="continuationSeparator" w:id="0">
    <w:p w14:paraId="1A06185B" w14:textId="77777777" w:rsidR="00AD47E9" w:rsidRDefault="00AD47E9" w:rsidP="0033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DE01" w14:textId="77777777" w:rsidR="009377EB" w:rsidRDefault="009377EB" w:rsidP="009377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D787A1" w14:textId="77777777" w:rsidR="00EF2DA3" w:rsidRPr="009377EB" w:rsidRDefault="009377EB" w:rsidP="009377EB">
    <w:pPr>
      <w:pStyle w:val="a5"/>
      <w:pBdr>
        <w:top w:val="single" w:sz="4" w:space="1" w:color="auto"/>
        <w:between w:val="single" w:sz="4" w:space="0" w:color="auto"/>
      </w:pBdr>
      <w:spacing w:after="60"/>
      <w:jc w:val="center"/>
      <w:rPr>
        <w:rFonts w:ascii="FrankRuehl" w:hAnsi="FrankRuehl" w:cs="FrankRuehl"/>
        <w:color w:val="000000"/>
      </w:rPr>
    </w:pPr>
    <w:r w:rsidRPr="009377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DAC50" w14:textId="77777777" w:rsidR="009377EB" w:rsidRDefault="009377EB" w:rsidP="009377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5CF1">
      <w:rPr>
        <w:rFonts w:ascii="FrankRuehl" w:hAnsi="FrankRuehl" w:cs="FrankRuehl"/>
        <w:noProof/>
        <w:rtl/>
      </w:rPr>
      <w:t>1</w:t>
    </w:r>
    <w:r>
      <w:rPr>
        <w:rFonts w:ascii="FrankRuehl" w:hAnsi="FrankRuehl" w:cs="FrankRuehl"/>
        <w:rtl/>
      </w:rPr>
      <w:fldChar w:fldCharType="end"/>
    </w:r>
  </w:p>
  <w:p w14:paraId="287847E4" w14:textId="77777777" w:rsidR="00EF2DA3" w:rsidRPr="009377EB" w:rsidRDefault="009377EB" w:rsidP="009377EB">
    <w:pPr>
      <w:pStyle w:val="a5"/>
      <w:pBdr>
        <w:top w:val="single" w:sz="4" w:space="1" w:color="auto"/>
        <w:between w:val="single" w:sz="4" w:space="0" w:color="auto"/>
      </w:pBdr>
      <w:spacing w:after="60"/>
      <w:jc w:val="center"/>
      <w:rPr>
        <w:rFonts w:ascii="FrankRuehl" w:hAnsi="FrankRuehl" w:cs="FrankRuehl"/>
        <w:color w:val="000000"/>
      </w:rPr>
    </w:pPr>
    <w:r w:rsidRPr="009377EB">
      <w:rPr>
        <w:rFonts w:ascii="FrankRuehl" w:hAnsi="FrankRuehl" w:cs="FrankRuehl"/>
        <w:color w:val="000000"/>
      </w:rPr>
      <w:pict w14:anchorId="64DE4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B0AE0" w14:textId="77777777" w:rsidR="00AD47E9" w:rsidRDefault="00AD47E9" w:rsidP="00330F1C">
      <w:r>
        <w:separator/>
      </w:r>
    </w:p>
  </w:footnote>
  <w:footnote w:type="continuationSeparator" w:id="0">
    <w:p w14:paraId="75BA8220" w14:textId="77777777" w:rsidR="00AD47E9" w:rsidRDefault="00AD47E9" w:rsidP="00330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62A11" w14:textId="77777777" w:rsidR="0000348A" w:rsidRPr="009377EB" w:rsidRDefault="009377EB" w:rsidP="00937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65577-12-19</w:t>
    </w:r>
    <w:r>
      <w:rPr>
        <w:rFonts w:ascii="David" w:hAnsi="David"/>
        <w:color w:val="000000"/>
        <w:sz w:val="22"/>
        <w:szCs w:val="22"/>
        <w:rtl/>
      </w:rPr>
      <w:tab/>
      <w:t xml:space="preserve"> מדינת ישראל נ' שוקי אלקרינאוי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1F6C0" w14:textId="77777777" w:rsidR="0000348A" w:rsidRPr="009377EB" w:rsidRDefault="009377EB" w:rsidP="00937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65577-12-19</w:t>
    </w:r>
    <w:r>
      <w:rPr>
        <w:rFonts w:ascii="David" w:hAnsi="David"/>
        <w:color w:val="000000"/>
        <w:sz w:val="22"/>
        <w:szCs w:val="22"/>
        <w:rtl/>
      </w:rPr>
      <w:tab/>
      <w:t xml:space="preserve"> מדינת ישראל נ' שוקי אלקרינאוי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E15"/>
    <w:multiLevelType w:val="hybridMultilevel"/>
    <w:tmpl w:val="D1F8C0B0"/>
    <w:lvl w:ilvl="0" w:tplc="08867C82">
      <w:start w:val="1"/>
      <w:numFmt w:val="hebrew1"/>
      <w:lvlText w:val="%1."/>
      <w:lvlJc w:val="left"/>
      <w:pPr>
        <w:ind w:left="1080" w:hanging="360"/>
      </w:pPr>
      <w:rPr>
        <w:rFonts w:cs="Times New Roman"/>
      </w:rPr>
    </w:lvl>
    <w:lvl w:ilvl="1" w:tplc="FE94341E">
      <w:start w:val="1"/>
      <w:numFmt w:val="lowerLetter"/>
      <w:lvlText w:val="%2."/>
      <w:lvlJc w:val="left"/>
      <w:pPr>
        <w:ind w:left="1800" w:hanging="360"/>
      </w:pPr>
      <w:rPr>
        <w:rFonts w:cs="Times New Roman"/>
      </w:rPr>
    </w:lvl>
    <w:lvl w:ilvl="2" w:tplc="E4F06652">
      <w:start w:val="1"/>
      <w:numFmt w:val="lowerRoman"/>
      <w:lvlText w:val="%3."/>
      <w:lvlJc w:val="right"/>
      <w:pPr>
        <w:ind w:left="2520" w:hanging="180"/>
      </w:pPr>
      <w:rPr>
        <w:rFonts w:cs="Times New Roman"/>
      </w:rPr>
    </w:lvl>
    <w:lvl w:ilvl="3" w:tplc="E74E2A16">
      <w:start w:val="1"/>
      <w:numFmt w:val="decimal"/>
      <w:lvlText w:val="%4."/>
      <w:lvlJc w:val="left"/>
      <w:pPr>
        <w:ind w:left="3240" w:hanging="360"/>
      </w:pPr>
      <w:rPr>
        <w:rFonts w:cs="Times New Roman"/>
      </w:rPr>
    </w:lvl>
    <w:lvl w:ilvl="4" w:tplc="F24A9D0A">
      <w:start w:val="1"/>
      <w:numFmt w:val="lowerLetter"/>
      <w:lvlText w:val="%5."/>
      <w:lvlJc w:val="left"/>
      <w:pPr>
        <w:ind w:left="3960" w:hanging="360"/>
      </w:pPr>
      <w:rPr>
        <w:rFonts w:cs="Times New Roman"/>
      </w:rPr>
    </w:lvl>
    <w:lvl w:ilvl="5" w:tplc="0BF87810">
      <w:start w:val="1"/>
      <w:numFmt w:val="lowerRoman"/>
      <w:lvlText w:val="%6."/>
      <w:lvlJc w:val="right"/>
      <w:pPr>
        <w:ind w:left="4680" w:hanging="180"/>
      </w:pPr>
      <w:rPr>
        <w:rFonts w:cs="Times New Roman"/>
      </w:rPr>
    </w:lvl>
    <w:lvl w:ilvl="6" w:tplc="762CF172">
      <w:start w:val="1"/>
      <w:numFmt w:val="decimal"/>
      <w:lvlText w:val="%7."/>
      <w:lvlJc w:val="left"/>
      <w:pPr>
        <w:ind w:left="5400" w:hanging="360"/>
      </w:pPr>
      <w:rPr>
        <w:rFonts w:cs="Times New Roman"/>
      </w:rPr>
    </w:lvl>
    <w:lvl w:ilvl="7" w:tplc="560A2F66">
      <w:start w:val="1"/>
      <w:numFmt w:val="lowerLetter"/>
      <w:lvlText w:val="%8."/>
      <w:lvlJc w:val="left"/>
      <w:pPr>
        <w:ind w:left="6120" w:hanging="360"/>
      </w:pPr>
      <w:rPr>
        <w:rFonts w:cs="Times New Roman"/>
      </w:rPr>
    </w:lvl>
    <w:lvl w:ilvl="8" w:tplc="A1D26B62">
      <w:start w:val="1"/>
      <w:numFmt w:val="lowerRoman"/>
      <w:lvlText w:val="%9."/>
      <w:lvlJc w:val="right"/>
      <w:pPr>
        <w:ind w:left="6840" w:hanging="180"/>
      </w:pPr>
      <w:rPr>
        <w:rFonts w:cs="Times New Roman"/>
      </w:rPr>
    </w:lvl>
  </w:abstractNum>
  <w:abstractNum w:abstractNumId="1" w15:restartNumberingAfterBreak="0">
    <w:nsid w:val="539B33B8"/>
    <w:multiLevelType w:val="hybridMultilevel"/>
    <w:tmpl w:val="D576CED4"/>
    <w:lvl w:ilvl="0" w:tplc="8D14B380">
      <w:start w:val="1"/>
      <w:numFmt w:val="decimal"/>
      <w:lvlText w:val="%1."/>
      <w:lvlJc w:val="left"/>
      <w:pPr>
        <w:ind w:left="502" w:hanging="360"/>
      </w:pPr>
      <w:rPr>
        <w:rFonts w:cs="Times New Roman"/>
        <w:b w:val="0"/>
        <w:bCs w:val="0"/>
        <w:sz w:val="24"/>
        <w:szCs w:val="24"/>
      </w:rPr>
    </w:lvl>
    <w:lvl w:ilvl="1" w:tplc="BB58C950">
      <w:start w:val="1"/>
      <w:numFmt w:val="lowerLetter"/>
      <w:lvlText w:val="%2."/>
      <w:lvlJc w:val="left"/>
      <w:pPr>
        <w:ind w:left="1222" w:hanging="360"/>
      </w:pPr>
      <w:rPr>
        <w:rFonts w:cs="Times New Roman"/>
      </w:rPr>
    </w:lvl>
    <w:lvl w:ilvl="2" w:tplc="BBA4279A">
      <w:start w:val="1"/>
      <w:numFmt w:val="lowerRoman"/>
      <w:lvlText w:val="%3."/>
      <w:lvlJc w:val="right"/>
      <w:pPr>
        <w:ind w:left="1942" w:hanging="180"/>
      </w:pPr>
      <w:rPr>
        <w:rFonts w:cs="Times New Roman"/>
      </w:rPr>
    </w:lvl>
    <w:lvl w:ilvl="3" w:tplc="8F50703A">
      <w:start w:val="1"/>
      <w:numFmt w:val="decimal"/>
      <w:lvlText w:val="%4."/>
      <w:lvlJc w:val="left"/>
      <w:pPr>
        <w:ind w:left="2662" w:hanging="360"/>
      </w:pPr>
      <w:rPr>
        <w:rFonts w:cs="Times New Roman"/>
      </w:rPr>
    </w:lvl>
    <w:lvl w:ilvl="4" w:tplc="DC4005F0">
      <w:start w:val="1"/>
      <w:numFmt w:val="lowerLetter"/>
      <w:lvlText w:val="%5."/>
      <w:lvlJc w:val="left"/>
      <w:pPr>
        <w:ind w:left="3382" w:hanging="360"/>
      </w:pPr>
      <w:rPr>
        <w:rFonts w:cs="Times New Roman"/>
      </w:rPr>
    </w:lvl>
    <w:lvl w:ilvl="5" w:tplc="08FC0D0C">
      <w:start w:val="1"/>
      <w:numFmt w:val="lowerRoman"/>
      <w:lvlText w:val="%6."/>
      <w:lvlJc w:val="right"/>
      <w:pPr>
        <w:ind w:left="4102" w:hanging="180"/>
      </w:pPr>
      <w:rPr>
        <w:rFonts w:cs="Times New Roman"/>
      </w:rPr>
    </w:lvl>
    <w:lvl w:ilvl="6" w:tplc="F4EA41E4">
      <w:start w:val="1"/>
      <w:numFmt w:val="decimal"/>
      <w:lvlText w:val="%7."/>
      <w:lvlJc w:val="left"/>
      <w:pPr>
        <w:ind w:left="4822" w:hanging="360"/>
      </w:pPr>
      <w:rPr>
        <w:rFonts w:cs="Times New Roman"/>
      </w:rPr>
    </w:lvl>
    <w:lvl w:ilvl="7" w:tplc="3424D4C0">
      <w:start w:val="1"/>
      <w:numFmt w:val="lowerLetter"/>
      <w:lvlText w:val="%8."/>
      <w:lvlJc w:val="left"/>
      <w:pPr>
        <w:ind w:left="5542" w:hanging="360"/>
      </w:pPr>
      <w:rPr>
        <w:rFonts w:cs="Times New Roman"/>
      </w:rPr>
    </w:lvl>
    <w:lvl w:ilvl="8" w:tplc="603C39B6">
      <w:start w:val="1"/>
      <w:numFmt w:val="lowerRoman"/>
      <w:lvlText w:val="%9."/>
      <w:lvlJc w:val="right"/>
      <w:pPr>
        <w:ind w:left="6262" w:hanging="180"/>
      </w:pPr>
      <w:rPr>
        <w:rFonts w:cs="Times New Roman"/>
      </w:rPr>
    </w:lvl>
  </w:abstractNum>
  <w:num w:numId="1" w16cid:durableId="736050770">
    <w:abstractNumId w:val="1"/>
  </w:num>
  <w:num w:numId="2" w16cid:durableId="340275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D95"/>
    <w:rsid w:val="0000348A"/>
    <w:rsid w:val="00236F77"/>
    <w:rsid w:val="002C28C6"/>
    <w:rsid w:val="00330F1C"/>
    <w:rsid w:val="003D2B61"/>
    <w:rsid w:val="00566F5C"/>
    <w:rsid w:val="005D1938"/>
    <w:rsid w:val="00605D95"/>
    <w:rsid w:val="006A6BC2"/>
    <w:rsid w:val="009377EB"/>
    <w:rsid w:val="009A4E4C"/>
    <w:rsid w:val="00AD47E9"/>
    <w:rsid w:val="00BE300E"/>
    <w:rsid w:val="00EF2DA3"/>
    <w:rsid w:val="00F61EA1"/>
    <w:rsid w:val="00F75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EECD7D"/>
  <w15:chartTrackingRefBased/>
  <w15:docId w15:val="{B1AF0987-914E-4DB0-AB29-1F6A428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D9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5D95"/>
    <w:pPr>
      <w:tabs>
        <w:tab w:val="center" w:pos="4153"/>
        <w:tab w:val="right" w:pos="8306"/>
      </w:tabs>
    </w:pPr>
  </w:style>
  <w:style w:type="character" w:customStyle="1" w:styleId="a4">
    <w:name w:val="כותרת עליונה תו"/>
    <w:link w:val="a3"/>
    <w:rsid w:val="00605D95"/>
    <w:rPr>
      <w:rFonts w:ascii="Times New Roman" w:eastAsia="Times New Roman" w:hAnsi="Times New Roman" w:cs="David"/>
      <w:sz w:val="24"/>
      <w:szCs w:val="24"/>
    </w:rPr>
  </w:style>
  <w:style w:type="paragraph" w:styleId="a5">
    <w:name w:val="footer"/>
    <w:basedOn w:val="a"/>
    <w:link w:val="a6"/>
    <w:rsid w:val="00605D95"/>
    <w:pPr>
      <w:tabs>
        <w:tab w:val="center" w:pos="4153"/>
        <w:tab w:val="right" w:pos="8306"/>
      </w:tabs>
    </w:pPr>
  </w:style>
  <w:style w:type="character" w:customStyle="1" w:styleId="a6">
    <w:name w:val="כותרת תחתונה תו"/>
    <w:link w:val="a5"/>
    <w:rsid w:val="00605D95"/>
    <w:rPr>
      <w:rFonts w:ascii="Times New Roman" w:eastAsia="Times New Roman" w:hAnsi="Times New Roman" w:cs="David"/>
      <w:sz w:val="24"/>
      <w:szCs w:val="24"/>
    </w:rPr>
  </w:style>
  <w:style w:type="table" w:styleId="a7">
    <w:name w:val="Table Grid"/>
    <w:basedOn w:val="a1"/>
    <w:rsid w:val="00605D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5D95"/>
  </w:style>
  <w:style w:type="character" w:customStyle="1" w:styleId="a9">
    <w:name w:val="פיסקת רשימה תו"/>
    <w:link w:val="aa"/>
    <w:locked/>
    <w:rsid w:val="00605D95"/>
    <w:rPr>
      <w:rFonts w:ascii="Calibri" w:eastAsia="Calibri" w:hAnsi="Calibri" w:cs="Arial"/>
    </w:rPr>
  </w:style>
  <w:style w:type="paragraph" w:styleId="aa">
    <w:name w:val="List Paragraph"/>
    <w:basedOn w:val="a"/>
    <w:link w:val="a9"/>
    <w:qFormat/>
    <w:rsid w:val="00605D95"/>
    <w:pPr>
      <w:spacing w:after="200" w:line="276" w:lineRule="auto"/>
      <w:ind w:left="720"/>
      <w:contextualSpacing/>
    </w:pPr>
    <w:rPr>
      <w:rFonts w:ascii="Calibri" w:eastAsia="Calibri" w:hAnsi="Calibri" w:cs="Arial"/>
      <w:sz w:val="22"/>
      <w:szCs w:val="22"/>
    </w:rPr>
  </w:style>
  <w:style w:type="character" w:styleId="Hyperlink">
    <w:name w:val="Hyperlink"/>
    <w:rsid w:val="00003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77569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82840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277569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253130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i"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6312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7559</CharactersWithSpaces>
  <SharedDoc>false</SharedDoc>
  <HLinks>
    <vt:vector size="102" baseType="variant">
      <vt:variant>
        <vt:i4>393283</vt:i4>
      </vt:variant>
      <vt:variant>
        <vt:i4>51</vt:i4>
      </vt:variant>
      <vt:variant>
        <vt:i4>0</vt:i4>
      </vt:variant>
      <vt:variant>
        <vt:i4>5</vt:i4>
      </vt:variant>
      <vt:variant>
        <vt:lpwstr>http://www.nevo.co.il/advertisements/nevo-100.doc</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3276914</vt:i4>
      </vt:variant>
      <vt:variant>
        <vt:i4>45</vt:i4>
      </vt:variant>
      <vt:variant>
        <vt:i4>0</vt:i4>
      </vt:variant>
      <vt:variant>
        <vt:i4>5</vt:i4>
      </vt:variant>
      <vt:variant>
        <vt:lpwstr>http://www.nevo.co.il/case/20828408</vt:lpwstr>
      </vt:variant>
      <vt:variant>
        <vt:lpwstr/>
      </vt:variant>
      <vt:variant>
        <vt:i4>3407999</vt:i4>
      </vt:variant>
      <vt:variant>
        <vt:i4>42</vt:i4>
      </vt:variant>
      <vt:variant>
        <vt:i4>0</vt:i4>
      </vt:variant>
      <vt:variant>
        <vt:i4>5</vt:i4>
      </vt:variant>
      <vt:variant>
        <vt:lpwstr>http://www.nevo.co.il/case/2775697</vt:lpwstr>
      </vt:variant>
      <vt:variant>
        <vt:lpwstr/>
      </vt:variant>
      <vt:variant>
        <vt:i4>3539062</vt:i4>
      </vt:variant>
      <vt:variant>
        <vt:i4>39</vt:i4>
      </vt:variant>
      <vt:variant>
        <vt:i4>0</vt:i4>
      </vt:variant>
      <vt:variant>
        <vt:i4>5</vt:i4>
      </vt:variant>
      <vt:variant>
        <vt:lpwstr>http://www.nevo.co.il/case/22531303</vt:lpwstr>
      </vt:variant>
      <vt:variant>
        <vt:lpwstr/>
      </vt:variant>
      <vt:variant>
        <vt:i4>3407999</vt:i4>
      </vt:variant>
      <vt:variant>
        <vt:i4>36</vt:i4>
      </vt:variant>
      <vt:variant>
        <vt:i4>0</vt:i4>
      </vt:variant>
      <vt:variant>
        <vt:i4>5</vt:i4>
      </vt:variant>
      <vt:variant>
        <vt:lpwstr>http://www.nevo.co.il/case/2775697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65577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שוקי אלקרינאוי</vt:lpwstr>
  </property>
  <property fmtid="{D5CDD505-2E9C-101B-9397-08002B2CF9AE}" pid="10" name="LAWYER">
    <vt:lpwstr>דוד ז'נבה;אלעד אזולאי;נטלי אוטן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20221031</vt:lpwstr>
  </property>
  <property fmtid="{D5CDD505-2E9C-101B-9397-08002B2CF9AE}" pid="14" name="TYPE_N_DATE">
    <vt:lpwstr>38020221031</vt:lpwstr>
  </property>
  <property fmtid="{D5CDD505-2E9C-101B-9397-08002B2CF9AE}" pid="15" name="WORDNUMPAGES">
    <vt:lpwstr>5</vt:lpwstr>
  </property>
  <property fmtid="{D5CDD505-2E9C-101B-9397-08002B2CF9AE}" pid="16" name="TYPE_ABS_DATE">
    <vt:lpwstr>380020221031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2775697:2;22531303;20828408</vt:lpwstr>
  </property>
  <property fmtid="{D5CDD505-2E9C-101B-9397-08002B2CF9AE}" pid="36" name="LAWLISTTMP1">
    <vt:lpwstr>4216/007.a;007.c</vt:lpwstr>
  </property>
  <property fmtid="{D5CDD505-2E9C-101B-9397-08002B2CF9AE}" pid="37" name="LAWLISTTMP2">
    <vt:lpwstr>70301/144.a;040i</vt:lpwstr>
  </property>
</Properties>
</file>