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A93EBF" w:rsidRPr="00C346F0" w14:paraId="5937CAE9" w14:textId="77777777" w:rsidTr="004E3A60">
        <w:trPr>
          <w:trHeight w:hRule="exact" w:val="418"/>
          <w:jc w:val="center"/>
        </w:trPr>
        <w:tc>
          <w:tcPr>
            <w:tcW w:w="8721" w:type="dxa"/>
            <w:gridSpan w:val="2"/>
          </w:tcPr>
          <w:p w14:paraId="384C1113" w14:textId="77777777" w:rsidR="00A93EBF" w:rsidRPr="00C346F0" w:rsidRDefault="00A93EBF" w:rsidP="00DE02F0">
            <w:pPr>
              <w:pStyle w:val="a3"/>
              <w:jc w:val="center"/>
              <w:rPr>
                <w:rFonts w:ascii="Tahoma" w:hAnsi="Tahoma" w:cs="Tahoma"/>
                <w:color w:val="000080"/>
                <w:rtl/>
              </w:rPr>
            </w:pPr>
            <w:bookmarkStart w:id="0" w:name="FirstLawyer"/>
            <w:bookmarkStart w:id="1" w:name="LastJudge"/>
            <w:r w:rsidRPr="00C346F0">
              <w:rPr>
                <w:rFonts w:ascii="Tahoma" w:hAnsi="Tahoma" w:cs="Tahoma"/>
                <w:b/>
                <w:bCs/>
                <w:color w:val="000080"/>
                <w:rtl/>
              </w:rPr>
              <w:t>בית משפט השלום בירושלים</w:t>
            </w:r>
          </w:p>
        </w:tc>
      </w:tr>
      <w:tr w:rsidR="00A93EBF" w:rsidRPr="00C346F0" w14:paraId="660D8A3B" w14:textId="77777777" w:rsidTr="004E3A60">
        <w:trPr>
          <w:trHeight w:val="337"/>
          <w:jc w:val="center"/>
        </w:trPr>
        <w:tc>
          <w:tcPr>
            <w:tcW w:w="5058" w:type="dxa"/>
          </w:tcPr>
          <w:p w14:paraId="4C7031A6" w14:textId="77777777" w:rsidR="00A93EBF" w:rsidRPr="00C346F0" w:rsidRDefault="00A93EBF" w:rsidP="00DE02F0">
            <w:pPr>
              <w:rPr>
                <w:rFonts w:cs="FrankRuehl"/>
                <w:sz w:val="28"/>
                <w:szCs w:val="28"/>
                <w:rtl/>
              </w:rPr>
            </w:pPr>
            <w:r w:rsidRPr="00C346F0">
              <w:rPr>
                <w:rFonts w:cs="FrankRuehl"/>
                <w:sz w:val="28"/>
                <w:szCs w:val="28"/>
                <w:rtl/>
              </w:rPr>
              <w:t>ת"פ</w:t>
            </w:r>
            <w:r w:rsidRPr="00C346F0">
              <w:rPr>
                <w:rFonts w:cs="FrankRuehl" w:hint="cs"/>
                <w:sz w:val="28"/>
                <w:szCs w:val="28"/>
                <w:rtl/>
              </w:rPr>
              <w:t xml:space="preserve"> </w:t>
            </w:r>
            <w:hyperlink r:id="rId7" w:history="1">
              <w:r w:rsidR="00E71519" w:rsidRPr="00E71519">
                <w:rPr>
                  <w:rFonts w:cs="FrankRuehl"/>
                  <w:color w:val="0000FF"/>
                  <w:sz w:val="28"/>
                  <w:szCs w:val="28"/>
                  <w:u w:val="single"/>
                  <w:rtl/>
                </w:rPr>
                <w:t xml:space="preserve">24420-01-20 </w:t>
              </w:r>
            </w:hyperlink>
            <w:r w:rsidRPr="00C346F0">
              <w:rPr>
                <w:rFonts w:cs="FrankRuehl" w:hint="cs"/>
                <w:sz w:val="28"/>
                <w:szCs w:val="28"/>
                <w:rtl/>
              </w:rPr>
              <w:t xml:space="preserve"> </w:t>
            </w:r>
            <w:r w:rsidRPr="00C346F0">
              <w:rPr>
                <w:rFonts w:cs="FrankRuehl"/>
                <w:sz w:val="28"/>
                <w:szCs w:val="28"/>
                <w:rtl/>
              </w:rPr>
              <w:t>מדינת ישראל נ' אבו סנינה(עציר)</w:t>
            </w:r>
          </w:p>
          <w:p w14:paraId="072D8174" w14:textId="77777777" w:rsidR="00A93EBF" w:rsidRPr="00C346F0" w:rsidRDefault="00A93EBF" w:rsidP="00DE02F0">
            <w:pPr>
              <w:pStyle w:val="a3"/>
              <w:rPr>
                <w:rFonts w:cs="FrankRuehl"/>
                <w:sz w:val="28"/>
                <w:szCs w:val="28"/>
                <w:rtl/>
              </w:rPr>
            </w:pPr>
          </w:p>
        </w:tc>
        <w:tc>
          <w:tcPr>
            <w:tcW w:w="3663" w:type="dxa"/>
          </w:tcPr>
          <w:p w14:paraId="77CBF1F0" w14:textId="77777777" w:rsidR="00A93EBF" w:rsidRPr="00C346F0" w:rsidRDefault="00A93EBF" w:rsidP="00DE02F0">
            <w:pPr>
              <w:pStyle w:val="a3"/>
              <w:jc w:val="right"/>
              <w:rPr>
                <w:rFonts w:cs="FrankRuehl"/>
                <w:sz w:val="28"/>
                <w:szCs w:val="28"/>
                <w:rtl/>
              </w:rPr>
            </w:pPr>
          </w:p>
        </w:tc>
      </w:tr>
    </w:tbl>
    <w:p w14:paraId="307CF7FD" w14:textId="77777777" w:rsidR="00A93EBF" w:rsidRPr="00C346F0" w:rsidRDefault="00A93EBF" w:rsidP="00A93EBF">
      <w:pPr>
        <w:pStyle w:val="a3"/>
        <w:rPr>
          <w:rtl/>
        </w:rPr>
      </w:pPr>
      <w:r w:rsidRPr="00C346F0">
        <w:rPr>
          <w:rFonts w:hint="cs"/>
          <w:rtl/>
        </w:rPr>
        <w:t xml:space="preserve"> </w:t>
      </w:r>
    </w:p>
    <w:p w14:paraId="454276BB" w14:textId="77777777" w:rsidR="00A93EBF" w:rsidRPr="00C346F0" w:rsidRDefault="00A93EBF" w:rsidP="00A93EBF">
      <w:pPr>
        <w:rPr>
          <w:rtl/>
        </w:rPr>
      </w:pPr>
    </w:p>
    <w:p w14:paraId="21D1CB43" w14:textId="77777777" w:rsidR="00A93EBF" w:rsidRPr="00C346F0" w:rsidRDefault="00A93EBF" w:rsidP="00A93EB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93EBF" w:rsidRPr="00C346F0" w14:paraId="5F6304F7" w14:textId="77777777" w:rsidTr="00A93EBF">
        <w:trPr>
          <w:trHeight w:val="295"/>
          <w:jc w:val="center"/>
        </w:trPr>
        <w:tc>
          <w:tcPr>
            <w:tcW w:w="923" w:type="dxa"/>
            <w:tcBorders>
              <w:top w:val="nil"/>
              <w:left w:val="nil"/>
              <w:bottom w:val="nil"/>
              <w:right w:val="nil"/>
            </w:tcBorders>
            <w:shd w:val="clear" w:color="auto" w:fill="auto"/>
          </w:tcPr>
          <w:p w14:paraId="086F8F54" w14:textId="77777777" w:rsidR="00A93EBF" w:rsidRPr="00C346F0" w:rsidRDefault="00A93EBF" w:rsidP="00A93EBF">
            <w:pPr>
              <w:jc w:val="both"/>
              <w:rPr>
                <w:rFonts w:ascii="Arial" w:hAnsi="Arial" w:cs="FrankRuehl"/>
                <w:sz w:val="28"/>
                <w:szCs w:val="28"/>
              </w:rPr>
            </w:pPr>
            <w:r w:rsidRPr="00C346F0">
              <w:rPr>
                <w:rFonts w:ascii="Arial" w:hAnsi="Arial" w:cs="FrankRuehl" w:hint="cs"/>
                <w:sz w:val="28"/>
                <w:szCs w:val="28"/>
                <w:rtl/>
              </w:rPr>
              <w:t>ב</w:t>
            </w:r>
            <w:r w:rsidRPr="00C346F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ADA2FA8" w14:textId="77777777" w:rsidR="00A93EBF" w:rsidRPr="00C346F0" w:rsidRDefault="00A93EBF" w:rsidP="00A93EBF">
            <w:pPr>
              <w:jc w:val="both"/>
              <w:rPr>
                <w:rFonts w:ascii="Arial" w:hAnsi="Arial" w:cs="FrankRuehl"/>
                <w:sz w:val="28"/>
                <w:szCs w:val="28"/>
              </w:rPr>
            </w:pPr>
            <w:r w:rsidRPr="00C346F0">
              <w:rPr>
                <w:rFonts w:ascii="Arial" w:hAnsi="Arial" w:cs="FrankRuehl" w:hint="cs"/>
                <w:sz w:val="28"/>
                <w:szCs w:val="28"/>
                <w:rtl/>
              </w:rPr>
              <w:t>כבוד סגן הנשיא ירון מינטקביץ</w:t>
            </w:r>
          </w:p>
        </w:tc>
      </w:tr>
      <w:tr w:rsidR="00A93EBF" w:rsidRPr="00C346F0" w14:paraId="4DF48C88" w14:textId="77777777" w:rsidTr="00A93EBF">
        <w:trPr>
          <w:trHeight w:val="295"/>
          <w:jc w:val="center"/>
        </w:trPr>
        <w:tc>
          <w:tcPr>
            <w:tcW w:w="923" w:type="dxa"/>
            <w:tcBorders>
              <w:top w:val="nil"/>
              <w:left w:val="nil"/>
              <w:bottom w:val="nil"/>
              <w:right w:val="nil"/>
            </w:tcBorders>
            <w:shd w:val="clear" w:color="auto" w:fill="auto"/>
          </w:tcPr>
          <w:p w14:paraId="74C255C3" w14:textId="77777777" w:rsidR="00A93EBF" w:rsidRPr="00C346F0" w:rsidRDefault="00A93EBF" w:rsidP="00A93EB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E611878" w14:textId="77777777" w:rsidR="00A93EBF" w:rsidRPr="00C346F0" w:rsidRDefault="00A93EBF" w:rsidP="00A93EBF">
            <w:pPr>
              <w:jc w:val="both"/>
              <w:rPr>
                <w:rFonts w:ascii="Arial" w:hAnsi="Arial" w:cs="FrankRuehl"/>
                <w:sz w:val="28"/>
                <w:szCs w:val="28"/>
                <w:rtl/>
              </w:rPr>
            </w:pPr>
          </w:p>
        </w:tc>
      </w:tr>
      <w:tr w:rsidR="00A93EBF" w:rsidRPr="00C346F0" w14:paraId="27B956E5" w14:textId="77777777" w:rsidTr="00A93EBF">
        <w:trPr>
          <w:trHeight w:val="355"/>
          <w:jc w:val="center"/>
        </w:trPr>
        <w:tc>
          <w:tcPr>
            <w:tcW w:w="923" w:type="dxa"/>
            <w:tcBorders>
              <w:top w:val="nil"/>
              <w:left w:val="nil"/>
              <w:bottom w:val="nil"/>
              <w:right w:val="nil"/>
            </w:tcBorders>
            <w:shd w:val="clear" w:color="auto" w:fill="auto"/>
          </w:tcPr>
          <w:p w14:paraId="39C02E8C" w14:textId="77777777" w:rsidR="00A93EBF" w:rsidRPr="00C346F0" w:rsidRDefault="00A93EBF" w:rsidP="00A93EBF">
            <w:pPr>
              <w:jc w:val="both"/>
              <w:rPr>
                <w:rFonts w:ascii="Arial" w:hAnsi="Arial" w:cs="FrankRuehl"/>
                <w:sz w:val="28"/>
                <w:szCs w:val="28"/>
              </w:rPr>
            </w:pPr>
            <w:bookmarkStart w:id="2" w:name="FirstAppellant"/>
            <w:r w:rsidRPr="00C346F0">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CC69557" w14:textId="77777777" w:rsidR="00A93EBF" w:rsidRPr="00C346F0" w:rsidRDefault="00A93EBF" w:rsidP="00DE02F0">
            <w:r w:rsidRPr="00C346F0">
              <w:rPr>
                <w:rFonts w:ascii="Arial" w:hAnsi="Arial" w:cs="FrankRuehl"/>
                <w:sz w:val="28"/>
                <w:szCs w:val="28"/>
                <w:rtl/>
              </w:rPr>
              <w:t>מדינת ישראל</w:t>
            </w:r>
            <w:r w:rsidRPr="00C346F0">
              <w:rPr>
                <w:rFonts w:ascii="Arial" w:hAnsi="Arial" w:cs="FrankRuehl"/>
                <w:sz w:val="28"/>
                <w:szCs w:val="28"/>
                <w:rtl/>
              </w:rPr>
              <w:br/>
            </w:r>
            <w:r w:rsidRPr="00C346F0">
              <w:rPr>
                <w:rFonts w:hint="cs"/>
                <w:rtl/>
              </w:rPr>
              <w:t>ע"י עו"ד שירה גרין</w:t>
            </w:r>
          </w:p>
        </w:tc>
        <w:tc>
          <w:tcPr>
            <w:tcW w:w="3771" w:type="dxa"/>
            <w:tcBorders>
              <w:top w:val="nil"/>
              <w:left w:val="nil"/>
              <w:bottom w:val="nil"/>
              <w:right w:val="nil"/>
            </w:tcBorders>
            <w:shd w:val="clear" w:color="auto" w:fill="auto"/>
          </w:tcPr>
          <w:p w14:paraId="095BF457" w14:textId="77777777" w:rsidR="00A93EBF" w:rsidRPr="00C346F0" w:rsidRDefault="00A93EBF" w:rsidP="00A93EBF">
            <w:pPr>
              <w:jc w:val="both"/>
              <w:rPr>
                <w:rFonts w:ascii="Arial" w:hAnsi="Arial" w:cs="FrankRuehl"/>
                <w:sz w:val="28"/>
                <w:szCs w:val="28"/>
              </w:rPr>
            </w:pPr>
          </w:p>
        </w:tc>
      </w:tr>
      <w:bookmarkEnd w:id="2"/>
      <w:tr w:rsidR="00A93EBF" w:rsidRPr="00C346F0" w14:paraId="446999A9" w14:textId="77777777" w:rsidTr="00A93EBF">
        <w:trPr>
          <w:trHeight w:val="355"/>
          <w:jc w:val="center"/>
        </w:trPr>
        <w:tc>
          <w:tcPr>
            <w:tcW w:w="923" w:type="dxa"/>
            <w:tcBorders>
              <w:top w:val="nil"/>
              <w:left w:val="nil"/>
              <w:bottom w:val="nil"/>
              <w:right w:val="nil"/>
            </w:tcBorders>
            <w:shd w:val="clear" w:color="auto" w:fill="auto"/>
          </w:tcPr>
          <w:p w14:paraId="0C4745E4" w14:textId="77777777" w:rsidR="00A93EBF" w:rsidRPr="00C346F0" w:rsidRDefault="00A93EBF" w:rsidP="00A93EB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551063C" w14:textId="77777777" w:rsidR="00A93EBF" w:rsidRPr="00C346F0" w:rsidRDefault="00A93EBF" w:rsidP="00A93EBF">
            <w:pPr>
              <w:jc w:val="both"/>
              <w:rPr>
                <w:rtl/>
              </w:rPr>
            </w:pPr>
          </w:p>
        </w:tc>
        <w:tc>
          <w:tcPr>
            <w:tcW w:w="3771" w:type="dxa"/>
            <w:tcBorders>
              <w:top w:val="nil"/>
              <w:left w:val="nil"/>
              <w:bottom w:val="nil"/>
              <w:right w:val="nil"/>
            </w:tcBorders>
            <w:shd w:val="clear" w:color="auto" w:fill="auto"/>
          </w:tcPr>
          <w:p w14:paraId="3068ED6F" w14:textId="77777777" w:rsidR="00A93EBF" w:rsidRPr="00C346F0" w:rsidRDefault="00A93EBF" w:rsidP="00A93EBF">
            <w:pPr>
              <w:jc w:val="right"/>
              <w:rPr>
                <w:rFonts w:ascii="Arial" w:hAnsi="Arial" w:cs="FrankRuehl"/>
                <w:sz w:val="28"/>
                <w:szCs w:val="28"/>
                <w:rtl/>
              </w:rPr>
            </w:pPr>
            <w:r w:rsidRPr="00C346F0">
              <w:rPr>
                <w:rFonts w:ascii="Arial" w:hAnsi="Arial" w:cs="FrankRuehl" w:hint="cs"/>
                <w:sz w:val="28"/>
                <w:szCs w:val="28"/>
                <w:rtl/>
              </w:rPr>
              <w:t>ה</w:t>
            </w:r>
            <w:r w:rsidRPr="00C346F0">
              <w:rPr>
                <w:rFonts w:ascii="Arial" w:hAnsi="Arial" w:cs="FrankRuehl"/>
                <w:sz w:val="28"/>
                <w:szCs w:val="28"/>
                <w:rtl/>
              </w:rPr>
              <w:t>מאשימה</w:t>
            </w:r>
          </w:p>
        </w:tc>
      </w:tr>
      <w:tr w:rsidR="00A93EBF" w:rsidRPr="00C346F0" w14:paraId="41299346" w14:textId="77777777" w:rsidTr="00A93EBF">
        <w:trPr>
          <w:trHeight w:val="355"/>
          <w:jc w:val="center"/>
        </w:trPr>
        <w:tc>
          <w:tcPr>
            <w:tcW w:w="923" w:type="dxa"/>
            <w:tcBorders>
              <w:top w:val="nil"/>
              <w:left w:val="nil"/>
              <w:bottom w:val="nil"/>
              <w:right w:val="nil"/>
            </w:tcBorders>
            <w:shd w:val="clear" w:color="auto" w:fill="auto"/>
          </w:tcPr>
          <w:p w14:paraId="2238B62C" w14:textId="77777777" w:rsidR="00A93EBF" w:rsidRPr="00C346F0" w:rsidRDefault="00A93EBF" w:rsidP="00A93EB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4B17E4A" w14:textId="77777777" w:rsidR="00A93EBF" w:rsidRPr="00C346F0" w:rsidRDefault="00A93EBF" w:rsidP="00A93EBF">
            <w:pPr>
              <w:jc w:val="center"/>
              <w:rPr>
                <w:rFonts w:ascii="Arial" w:hAnsi="Arial" w:cs="FrankRuehl"/>
                <w:b/>
                <w:bCs/>
                <w:sz w:val="28"/>
                <w:szCs w:val="28"/>
                <w:rtl/>
              </w:rPr>
            </w:pPr>
          </w:p>
          <w:p w14:paraId="5846C196" w14:textId="77777777" w:rsidR="00A93EBF" w:rsidRPr="00C346F0" w:rsidRDefault="00A93EBF" w:rsidP="00A93EBF">
            <w:pPr>
              <w:jc w:val="center"/>
              <w:rPr>
                <w:rFonts w:ascii="Arial" w:hAnsi="Arial" w:cs="FrankRuehl"/>
                <w:b/>
                <w:bCs/>
                <w:sz w:val="28"/>
                <w:szCs w:val="28"/>
                <w:rtl/>
              </w:rPr>
            </w:pPr>
            <w:r w:rsidRPr="00C346F0">
              <w:rPr>
                <w:rFonts w:ascii="Arial" w:hAnsi="Arial" w:cs="FrankRuehl"/>
                <w:b/>
                <w:bCs/>
                <w:sz w:val="28"/>
                <w:szCs w:val="28"/>
                <w:rtl/>
              </w:rPr>
              <w:t>נגד</w:t>
            </w:r>
          </w:p>
          <w:p w14:paraId="2D7D7621" w14:textId="77777777" w:rsidR="00A93EBF" w:rsidRPr="00C346F0" w:rsidRDefault="00A93EBF" w:rsidP="00A93EBF">
            <w:pPr>
              <w:jc w:val="both"/>
              <w:rPr>
                <w:rFonts w:ascii="Arial" w:hAnsi="Arial" w:cs="FrankRuehl"/>
                <w:sz w:val="28"/>
                <w:szCs w:val="28"/>
              </w:rPr>
            </w:pPr>
          </w:p>
        </w:tc>
      </w:tr>
      <w:tr w:rsidR="00A93EBF" w:rsidRPr="00C346F0" w14:paraId="500F06C8" w14:textId="77777777" w:rsidTr="00A93EBF">
        <w:trPr>
          <w:trHeight w:val="355"/>
          <w:jc w:val="center"/>
        </w:trPr>
        <w:tc>
          <w:tcPr>
            <w:tcW w:w="923" w:type="dxa"/>
            <w:tcBorders>
              <w:top w:val="nil"/>
              <w:left w:val="nil"/>
              <w:bottom w:val="nil"/>
              <w:right w:val="nil"/>
            </w:tcBorders>
            <w:shd w:val="clear" w:color="auto" w:fill="auto"/>
          </w:tcPr>
          <w:p w14:paraId="7303C29D" w14:textId="77777777" w:rsidR="00A93EBF" w:rsidRPr="00C346F0" w:rsidRDefault="00A93EBF" w:rsidP="00DE02F0">
            <w:pPr>
              <w:rPr>
                <w:rFonts w:ascii="Arial" w:hAnsi="Arial" w:cs="FrankRuehl"/>
                <w:sz w:val="28"/>
                <w:szCs w:val="28"/>
                <w:rtl/>
              </w:rPr>
            </w:pPr>
          </w:p>
        </w:tc>
        <w:tc>
          <w:tcPr>
            <w:tcW w:w="4126" w:type="dxa"/>
            <w:tcBorders>
              <w:top w:val="nil"/>
              <w:left w:val="nil"/>
              <w:bottom w:val="nil"/>
              <w:right w:val="nil"/>
            </w:tcBorders>
            <w:shd w:val="clear" w:color="auto" w:fill="auto"/>
          </w:tcPr>
          <w:p w14:paraId="724DE73C" w14:textId="77777777" w:rsidR="00A93EBF" w:rsidRPr="00C346F0" w:rsidRDefault="00A93EBF" w:rsidP="00DE02F0">
            <w:pPr>
              <w:rPr>
                <w:rtl/>
              </w:rPr>
            </w:pPr>
            <w:r w:rsidRPr="00C346F0">
              <w:rPr>
                <w:rFonts w:ascii="Arial" w:hAnsi="Arial" w:cs="FrankRuehl"/>
                <w:sz w:val="28"/>
                <w:szCs w:val="28"/>
                <w:rtl/>
              </w:rPr>
              <w:t>מוחמד אבו סנינה</w:t>
            </w:r>
            <w:r w:rsidRPr="00C346F0">
              <w:rPr>
                <w:rFonts w:ascii="Arial" w:hAnsi="Arial" w:cs="FrankRuehl"/>
                <w:sz w:val="28"/>
                <w:szCs w:val="28"/>
                <w:rtl/>
              </w:rPr>
              <w:br/>
            </w:r>
            <w:r w:rsidRPr="00C346F0">
              <w:rPr>
                <w:rFonts w:hint="cs"/>
                <w:rtl/>
              </w:rPr>
              <w:t>ע"י עו"ד ראמי עותמאן</w:t>
            </w:r>
          </w:p>
        </w:tc>
        <w:tc>
          <w:tcPr>
            <w:tcW w:w="3771" w:type="dxa"/>
            <w:tcBorders>
              <w:top w:val="nil"/>
              <w:left w:val="nil"/>
              <w:bottom w:val="nil"/>
              <w:right w:val="nil"/>
            </w:tcBorders>
            <w:shd w:val="clear" w:color="auto" w:fill="auto"/>
          </w:tcPr>
          <w:p w14:paraId="31ACDFB6" w14:textId="77777777" w:rsidR="00A93EBF" w:rsidRPr="00C346F0" w:rsidRDefault="00A93EBF" w:rsidP="00A93EBF">
            <w:pPr>
              <w:jc w:val="right"/>
              <w:rPr>
                <w:rFonts w:ascii="Arial" w:hAnsi="Arial" w:cs="FrankRuehl"/>
                <w:sz w:val="28"/>
                <w:szCs w:val="28"/>
              </w:rPr>
            </w:pPr>
          </w:p>
        </w:tc>
      </w:tr>
      <w:tr w:rsidR="00A93EBF" w:rsidRPr="00C346F0" w14:paraId="28A6F8D9" w14:textId="77777777" w:rsidTr="00A93EBF">
        <w:trPr>
          <w:trHeight w:val="355"/>
          <w:jc w:val="center"/>
        </w:trPr>
        <w:tc>
          <w:tcPr>
            <w:tcW w:w="923" w:type="dxa"/>
            <w:tcBorders>
              <w:top w:val="nil"/>
              <w:left w:val="nil"/>
              <w:bottom w:val="nil"/>
              <w:right w:val="nil"/>
            </w:tcBorders>
            <w:shd w:val="clear" w:color="auto" w:fill="auto"/>
          </w:tcPr>
          <w:p w14:paraId="6B84134D" w14:textId="77777777" w:rsidR="00A93EBF" w:rsidRPr="00C346F0" w:rsidRDefault="00A93EBF" w:rsidP="00A93EB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4E55959" w14:textId="77777777" w:rsidR="00A93EBF" w:rsidRPr="00C346F0" w:rsidRDefault="00A93EBF" w:rsidP="00A93EBF">
            <w:pPr>
              <w:jc w:val="both"/>
              <w:rPr>
                <w:rtl/>
              </w:rPr>
            </w:pPr>
          </w:p>
        </w:tc>
        <w:tc>
          <w:tcPr>
            <w:tcW w:w="3771" w:type="dxa"/>
            <w:tcBorders>
              <w:top w:val="nil"/>
              <w:left w:val="nil"/>
              <w:bottom w:val="nil"/>
              <w:right w:val="nil"/>
            </w:tcBorders>
            <w:shd w:val="clear" w:color="auto" w:fill="auto"/>
          </w:tcPr>
          <w:p w14:paraId="2DA18639" w14:textId="77777777" w:rsidR="00A93EBF" w:rsidRPr="00C346F0" w:rsidRDefault="00A93EBF" w:rsidP="00A93EBF">
            <w:pPr>
              <w:jc w:val="right"/>
              <w:rPr>
                <w:rFonts w:ascii="Arial" w:hAnsi="Arial" w:cs="FrankRuehl"/>
                <w:sz w:val="28"/>
                <w:szCs w:val="28"/>
              </w:rPr>
            </w:pPr>
            <w:r w:rsidRPr="00C346F0">
              <w:rPr>
                <w:rFonts w:ascii="Arial" w:hAnsi="Arial" w:cs="FrankRuehl" w:hint="cs"/>
                <w:sz w:val="28"/>
                <w:szCs w:val="28"/>
                <w:rtl/>
              </w:rPr>
              <w:t>ה</w:t>
            </w:r>
            <w:r w:rsidRPr="00C346F0">
              <w:rPr>
                <w:rFonts w:ascii="Arial" w:hAnsi="Arial" w:cs="FrankRuehl"/>
                <w:sz w:val="28"/>
                <w:szCs w:val="28"/>
                <w:rtl/>
              </w:rPr>
              <w:t>נאשם</w:t>
            </w:r>
          </w:p>
        </w:tc>
      </w:tr>
    </w:tbl>
    <w:p w14:paraId="28A562E4" w14:textId="77777777" w:rsidR="00E71519" w:rsidRPr="00E71519" w:rsidRDefault="00E71519" w:rsidP="00E71519">
      <w:pPr>
        <w:spacing w:before="120" w:after="120" w:line="240" w:lineRule="exact"/>
        <w:ind w:left="283" w:hanging="283"/>
        <w:jc w:val="both"/>
        <w:rPr>
          <w:rFonts w:ascii="FrankRuehl" w:hAnsi="FrankRuehl" w:cs="FrankRuehl"/>
          <w:rtl/>
        </w:rPr>
      </w:pPr>
    </w:p>
    <w:p w14:paraId="6BCF984C" w14:textId="77777777" w:rsidR="002F53BA" w:rsidRDefault="002F53BA" w:rsidP="002F53BA">
      <w:pPr>
        <w:spacing w:before="120" w:after="120" w:line="240" w:lineRule="exact"/>
        <w:ind w:left="283" w:hanging="283"/>
        <w:jc w:val="both"/>
        <w:rPr>
          <w:rFonts w:ascii="FrankRuehl" w:hAnsi="FrankRuehl" w:cs="FrankRuehl"/>
          <w:rtl/>
        </w:rPr>
      </w:pPr>
      <w:bookmarkStart w:id="3" w:name="LawTable"/>
      <w:bookmarkEnd w:id="3"/>
    </w:p>
    <w:p w14:paraId="161282CA" w14:textId="77777777" w:rsidR="002F53BA" w:rsidRPr="002F53BA" w:rsidRDefault="002F53BA" w:rsidP="002F53BA">
      <w:pPr>
        <w:spacing w:before="120" w:after="120" w:line="240" w:lineRule="exact"/>
        <w:ind w:left="283" w:hanging="283"/>
        <w:jc w:val="both"/>
        <w:rPr>
          <w:rFonts w:ascii="FrankRuehl" w:hAnsi="FrankRuehl" w:cs="FrankRuehl"/>
          <w:rtl/>
        </w:rPr>
      </w:pPr>
    </w:p>
    <w:p w14:paraId="5F303781" w14:textId="77777777" w:rsidR="002F53BA" w:rsidRPr="002F53BA" w:rsidRDefault="002F53BA" w:rsidP="002F53BA">
      <w:pPr>
        <w:spacing w:before="120" w:after="120" w:line="240" w:lineRule="exact"/>
        <w:ind w:left="283" w:hanging="283"/>
        <w:jc w:val="both"/>
        <w:rPr>
          <w:rFonts w:ascii="FrankRuehl" w:hAnsi="FrankRuehl" w:cs="FrankRuehl"/>
          <w:rtl/>
        </w:rPr>
      </w:pPr>
    </w:p>
    <w:p w14:paraId="57CE2B93" w14:textId="77777777" w:rsidR="002F53BA" w:rsidRPr="002F53BA" w:rsidRDefault="002F53BA" w:rsidP="002F53BA">
      <w:pPr>
        <w:spacing w:before="120" w:after="120" w:line="240" w:lineRule="exact"/>
        <w:ind w:left="283" w:hanging="283"/>
        <w:jc w:val="both"/>
        <w:rPr>
          <w:rFonts w:ascii="FrankRuehl" w:hAnsi="FrankRuehl" w:cs="FrankRuehl"/>
          <w:rtl/>
        </w:rPr>
      </w:pPr>
      <w:r w:rsidRPr="002F53BA">
        <w:rPr>
          <w:rFonts w:ascii="FrankRuehl" w:hAnsi="FrankRuehl" w:cs="FrankRuehl"/>
          <w:rtl/>
        </w:rPr>
        <w:t xml:space="preserve">חקיקה שאוזכרה: </w:t>
      </w:r>
    </w:p>
    <w:p w14:paraId="1B6A8CD5" w14:textId="77777777" w:rsidR="002F53BA" w:rsidRPr="002F53BA" w:rsidRDefault="002F53BA" w:rsidP="002F53BA">
      <w:pPr>
        <w:spacing w:before="120" w:after="120" w:line="240" w:lineRule="exact"/>
        <w:ind w:left="283" w:hanging="283"/>
        <w:jc w:val="both"/>
        <w:rPr>
          <w:rFonts w:ascii="FrankRuehl" w:hAnsi="FrankRuehl" w:cs="FrankRuehl"/>
          <w:rtl/>
        </w:rPr>
      </w:pPr>
      <w:hyperlink r:id="rId8" w:history="1">
        <w:r w:rsidRPr="002F53BA">
          <w:rPr>
            <w:rFonts w:ascii="FrankRuehl" w:hAnsi="FrankRuehl" w:cs="FrankRuehl"/>
            <w:color w:val="0000FF"/>
            <w:rtl/>
          </w:rPr>
          <w:t>חוק העונשין, תשל"ז-1977</w:t>
        </w:r>
      </w:hyperlink>
      <w:r w:rsidRPr="002F53BA">
        <w:rPr>
          <w:rFonts w:ascii="FrankRuehl" w:hAnsi="FrankRuehl" w:cs="FrankRuehl"/>
          <w:rtl/>
        </w:rPr>
        <w:t xml:space="preserve">: סע'  </w:t>
      </w:r>
      <w:hyperlink r:id="rId9" w:history="1">
        <w:r w:rsidRPr="002F53BA">
          <w:rPr>
            <w:rFonts w:ascii="FrankRuehl" w:hAnsi="FrankRuehl" w:cs="FrankRuehl"/>
            <w:color w:val="0000FF"/>
            <w:rtl/>
          </w:rPr>
          <w:t>144</w:t>
        </w:r>
      </w:hyperlink>
      <w:r w:rsidRPr="002F53BA">
        <w:rPr>
          <w:rFonts w:ascii="FrankRuehl" w:hAnsi="FrankRuehl" w:cs="FrankRuehl"/>
          <w:rtl/>
        </w:rPr>
        <w:t xml:space="preserve">, </w:t>
      </w:r>
      <w:hyperlink r:id="rId10" w:history="1">
        <w:r w:rsidRPr="002F53BA">
          <w:rPr>
            <w:rFonts w:ascii="FrankRuehl" w:hAnsi="FrankRuehl" w:cs="FrankRuehl"/>
            <w:color w:val="0000FF"/>
            <w:rtl/>
          </w:rPr>
          <w:t>ח'</w:t>
        </w:r>
      </w:hyperlink>
    </w:p>
    <w:p w14:paraId="61A98678" w14:textId="77777777" w:rsidR="002F53BA" w:rsidRPr="002F53BA" w:rsidRDefault="002F53BA" w:rsidP="002F53BA">
      <w:pPr>
        <w:spacing w:before="120" w:after="120" w:line="240" w:lineRule="exact"/>
        <w:ind w:left="283" w:hanging="283"/>
        <w:jc w:val="both"/>
        <w:rPr>
          <w:rFonts w:ascii="FrankRuehl" w:hAnsi="FrankRuehl" w:cs="FrankRuehl"/>
          <w:rtl/>
        </w:rPr>
      </w:pPr>
      <w:bookmarkStart w:id="4" w:name="LawTable_End"/>
      <w:bookmarkEnd w:id="4"/>
    </w:p>
    <w:p w14:paraId="3F98812F" w14:textId="77777777" w:rsidR="00C346F0" w:rsidRPr="00E71519" w:rsidRDefault="00C346F0" w:rsidP="00E71519">
      <w:pPr>
        <w:spacing w:before="120"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93EBF" w14:paraId="60621EAF" w14:textId="77777777" w:rsidTr="00A93EBF">
        <w:trPr>
          <w:trHeight w:val="355"/>
          <w:jc w:val="center"/>
        </w:trPr>
        <w:tc>
          <w:tcPr>
            <w:tcW w:w="8820" w:type="dxa"/>
            <w:tcBorders>
              <w:top w:val="nil"/>
              <w:left w:val="nil"/>
              <w:bottom w:val="nil"/>
              <w:right w:val="nil"/>
            </w:tcBorders>
            <w:shd w:val="clear" w:color="auto" w:fill="auto"/>
          </w:tcPr>
          <w:p w14:paraId="58A0CEE0" w14:textId="77777777" w:rsidR="00C346F0" w:rsidRPr="00C346F0" w:rsidRDefault="00C346F0" w:rsidP="00C346F0">
            <w:pPr>
              <w:spacing w:after="120" w:line="360" w:lineRule="auto"/>
              <w:jc w:val="center"/>
              <w:rPr>
                <w:rFonts w:ascii="Arial" w:hAnsi="Arial" w:cs="FrankRuehl"/>
                <w:b/>
                <w:bCs/>
                <w:sz w:val="32"/>
                <w:szCs w:val="32"/>
                <w:u w:val="single"/>
                <w:rtl/>
              </w:rPr>
            </w:pPr>
            <w:bookmarkStart w:id="5" w:name="PsakDin" w:colFirst="0" w:colLast="0"/>
            <w:bookmarkEnd w:id="0"/>
            <w:bookmarkEnd w:id="1"/>
            <w:r w:rsidRPr="00C346F0">
              <w:rPr>
                <w:rFonts w:ascii="Arial" w:hAnsi="Arial" w:cs="FrankRuehl"/>
                <w:b/>
                <w:bCs/>
                <w:sz w:val="32"/>
                <w:szCs w:val="32"/>
                <w:u w:val="single"/>
                <w:rtl/>
              </w:rPr>
              <w:t>גזר דין</w:t>
            </w:r>
          </w:p>
          <w:p w14:paraId="2C2D494F" w14:textId="77777777" w:rsidR="00A93EBF" w:rsidRPr="00C346F0" w:rsidRDefault="00A93EBF" w:rsidP="00C346F0">
            <w:pPr>
              <w:spacing w:after="120" w:line="360" w:lineRule="auto"/>
              <w:jc w:val="center"/>
              <w:rPr>
                <w:rFonts w:ascii="Arial" w:hAnsi="Arial" w:cs="FrankRuehl"/>
                <w:bCs/>
                <w:sz w:val="32"/>
                <w:szCs w:val="32"/>
                <w:u w:val="single"/>
                <w:rtl/>
              </w:rPr>
            </w:pPr>
          </w:p>
        </w:tc>
      </w:tr>
    </w:tbl>
    <w:bookmarkEnd w:id="5"/>
    <w:p w14:paraId="2F400840" w14:textId="77777777" w:rsidR="00A93EBF" w:rsidRDefault="00A93EBF" w:rsidP="00A93EBF">
      <w:pPr>
        <w:spacing w:after="120" w:line="360" w:lineRule="auto"/>
        <w:jc w:val="both"/>
        <w:rPr>
          <w:rFonts w:ascii="Arial" w:hAnsi="Arial"/>
          <w:b/>
          <w:bCs/>
        </w:rPr>
      </w:pPr>
      <w:r>
        <w:rPr>
          <w:rFonts w:ascii="Arial" w:hAnsi="Arial"/>
          <w:b/>
          <w:bCs/>
          <w:rtl/>
        </w:rPr>
        <w:t>רקע</w:t>
      </w:r>
    </w:p>
    <w:p w14:paraId="46894F93" w14:textId="77777777" w:rsidR="00A93EBF" w:rsidRDefault="00A93EBF" w:rsidP="00A93EBF">
      <w:pPr>
        <w:spacing w:after="120" w:line="360" w:lineRule="auto"/>
        <w:jc w:val="both"/>
        <w:rPr>
          <w:rFonts w:ascii="Arial" w:hAnsi="Arial"/>
          <w:rtl/>
        </w:rPr>
      </w:pPr>
      <w:bookmarkStart w:id="6" w:name="ABSTRACT_START"/>
      <w:bookmarkEnd w:id="6"/>
      <w:r>
        <w:rPr>
          <w:rFonts w:ascii="Arial" w:hAnsi="Arial"/>
          <w:rtl/>
        </w:rPr>
        <w:t>הנאשם הורשע על פי הודאתו בעבירות של החזקת נשק ושיבוש מהלכי משפט. על פי עובדות האישום, בתקופה שקדמה ליום 1.1.20 החזיק הנאשם בביתו את כלי הנשק והתחמושת הבאים:</w:t>
      </w:r>
    </w:p>
    <w:p w14:paraId="1CBE8974" w14:textId="77777777" w:rsidR="00A93EBF" w:rsidRDefault="00A93EBF" w:rsidP="00A93EBF">
      <w:pPr>
        <w:pStyle w:val="a9"/>
        <w:numPr>
          <w:ilvl w:val="0"/>
          <w:numId w:val="1"/>
        </w:numPr>
        <w:spacing w:after="120" w:line="360" w:lineRule="auto"/>
        <w:ind w:left="357" w:hanging="357"/>
        <w:jc w:val="both"/>
        <w:rPr>
          <w:rFonts w:ascii="Arial" w:hAnsi="Arial"/>
          <w:rtl/>
        </w:rPr>
      </w:pPr>
      <w:r>
        <w:rPr>
          <w:rFonts w:ascii="Arial" w:hAnsi="Arial"/>
          <w:rtl/>
        </w:rPr>
        <w:t>אקדח תופי מסוג אנפילד טעון בששה כדורים.</w:t>
      </w:r>
    </w:p>
    <w:p w14:paraId="54ABF2D1" w14:textId="77777777" w:rsidR="00A93EBF" w:rsidRDefault="00A93EBF" w:rsidP="00A93EBF">
      <w:pPr>
        <w:pStyle w:val="a9"/>
        <w:numPr>
          <w:ilvl w:val="0"/>
          <w:numId w:val="1"/>
        </w:numPr>
        <w:spacing w:after="120" w:line="360" w:lineRule="auto"/>
        <w:ind w:left="357" w:hanging="357"/>
        <w:jc w:val="both"/>
        <w:rPr>
          <w:rFonts w:ascii="Arial" w:hAnsi="Arial"/>
          <w:rtl/>
        </w:rPr>
      </w:pPr>
      <w:r>
        <w:rPr>
          <w:rFonts w:ascii="Arial" w:hAnsi="Arial"/>
          <w:rtl/>
        </w:rPr>
        <w:t xml:space="preserve">אקדח חצי אוטומטי מסוג </w:t>
      </w:r>
      <w:r>
        <w:rPr>
          <w:rFonts w:ascii="Arial" w:hAnsi="Arial"/>
        </w:rPr>
        <w:t>FN</w:t>
      </w:r>
      <w:r>
        <w:rPr>
          <w:rFonts w:ascii="Arial" w:hAnsi="Arial"/>
          <w:rtl/>
        </w:rPr>
        <w:t xml:space="preserve"> אשר המספר הסדורי שלו נמחק, ומחסנית תואמת ובה שבעה כדורים.</w:t>
      </w:r>
    </w:p>
    <w:p w14:paraId="638F274C" w14:textId="77777777" w:rsidR="00A93EBF" w:rsidRDefault="00A93EBF" w:rsidP="00A93EBF">
      <w:pPr>
        <w:pStyle w:val="a9"/>
        <w:numPr>
          <w:ilvl w:val="0"/>
          <w:numId w:val="1"/>
        </w:numPr>
        <w:spacing w:after="120" w:line="360" w:lineRule="auto"/>
        <w:ind w:left="357" w:hanging="357"/>
        <w:jc w:val="both"/>
        <w:rPr>
          <w:rFonts w:ascii="Arial" w:hAnsi="Arial"/>
          <w:rtl/>
        </w:rPr>
      </w:pPr>
      <w:r>
        <w:rPr>
          <w:rFonts w:ascii="Arial" w:hAnsi="Arial"/>
          <w:rtl/>
        </w:rPr>
        <w:t>שני רובי ציד מאולתרים.</w:t>
      </w:r>
    </w:p>
    <w:p w14:paraId="05E3739E" w14:textId="77777777" w:rsidR="00A93EBF" w:rsidRDefault="00A93EBF" w:rsidP="00A93EBF">
      <w:pPr>
        <w:pStyle w:val="a9"/>
        <w:numPr>
          <w:ilvl w:val="0"/>
          <w:numId w:val="1"/>
        </w:numPr>
        <w:spacing w:after="120" w:line="360" w:lineRule="auto"/>
        <w:ind w:left="357" w:hanging="357"/>
        <w:jc w:val="both"/>
        <w:rPr>
          <w:rFonts w:ascii="Arial" w:hAnsi="Arial"/>
          <w:rtl/>
        </w:rPr>
      </w:pPr>
      <w:r>
        <w:rPr>
          <w:rFonts w:ascii="Arial" w:hAnsi="Arial"/>
          <w:rtl/>
        </w:rPr>
        <w:t>מטען חבלה עשוי צינור מתכת באורך 10 ס"מ ובו 27 גרם חומר נפץ.</w:t>
      </w:r>
    </w:p>
    <w:p w14:paraId="01D7222F" w14:textId="77777777" w:rsidR="00A93EBF" w:rsidRDefault="00A93EBF" w:rsidP="00A93EBF">
      <w:pPr>
        <w:pStyle w:val="a9"/>
        <w:numPr>
          <w:ilvl w:val="0"/>
          <w:numId w:val="1"/>
        </w:numPr>
        <w:spacing w:after="120" w:line="360" w:lineRule="auto"/>
        <w:ind w:left="357" w:hanging="357"/>
        <w:jc w:val="both"/>
        <w:rPr>
          <w:rFonts w:ascii="Arial" w:hAnsi="Arial"/>
          <w:rtl/>
        </w:rPr>
      </w:pPr>
      <w:r>
        <w:rPr>
          <w:rFonts w:ascii="Arial" w:hAnsi="Arial"/>
          <w:rtl/>
        </w:rPr>
        <w:lastRenderedPageBreak/>
        <w:t>שרשרת  כדורים למקלע כבד, 12 כדורים בקוטר 9 מ"מ, 14 כדורים לרובה ציד ו- 17 כדורים מסוג לא ידוע.</w:t>
      </w:r>
    </w:p>
    <w:p w14:paraId="354717E0" w14:textId="77777777" w:rsidR="00A93EBF" w:rsidRDefault="00A93EBF" w:rsidP="00A93EBF">
      <w:pPr>
        <w:spacing w:after="120" w:line="360" w:lineRule="auto"/>
        <w:jc w:val="both"/>
        <w:rPr>
          <w:rFonts w:ascii="Arial" w:hAnsi="Arial"/>
          <w:rtl/>
        </w:rPr>
      </w:pPr>
      <w:r>
        <w:rPr>
          <w:rFonts w:ascii="Arial" w:hAnsi="Arial"/>
          <w:rtl/>
        </w:rPr>
        <w:t>ביום 1.1.20 בשעה 4:10 הגיעו כוחות משטרה לביתו של הנאשם, והנאשם זרק מחלון ביתו שני תיקים שהיו בו, על מנת לשבש את ההליך בעניינו.</w:t>
      </w:r>
    </w:p>
    <w:p w14:paraId="036BCC11" w14:textId="77777777" w:rsidR="00A93EBF" w:rsidRDefault="00A93EBF" w:rsidP="00A93EBF">
      <w:pPr>
        <w:spacing w:after="120" w:line="360" w:lineRule="auto"/>
        <w:jc w:val="both"/>
        <w:rPr>
          <w:rtl/>
        </w:rPr>
      </w:pPr>
      <w:r>
        <w:rPr>
          <w:rtl/>
        </w:rPr>
        <w:t>הודאת הנאשם באה במסגרת הסדר דיוני אשר כלל תיקונים בכתב האישום, ללא הסכמה בשאלת העונש.</w:t>
      </w:r>
    </w:p>
    <w:p w14:paraId="59804A91" w14:textId="77777777" w:rsidR="00A93EBF" w:rsidRDefault="00A93EBF" w:rsidP="00A93EBF">
      <w:pPr>
        <w:spacing w:after="120" w:line="360" w:lineRule="auto"/>
        <w:jc w:val="both"/>
        <w:rPr>
          <w:b/>
          <w:bCs/>
          <w:rtl/>
        </w:rPr>
      </w:pPr>
      <w:bookmarkStart w:id="7" w:name="ABSTRACT_END"/>
      <w:bookmarkEnd w:id="7"/>
      <w:r>
        <w:rPr>
          <w:b/>
          <w:bCs/>
          <w:rtl/>
        </w:rPr>
        <w:t>טיעוני הצדדים</w:t>
      </w:r>
    </w:p>
    <w:p w14:paraId="29B984D4" w14:textId="77777777" w:rsidR="00A93EBF" w:rsidRDefault="00A93EBF" w:rsidP="00A93EBF">
      <w:pPr>
        <w:spacing w:after="120" w:line="360" w:lineRule="auto"/>
        <w:jc w:val="both"/>
        <w:rPr>
          <w:rtl/>
        </w:rPr>
      </w:pPr>
      <w:r>
        <w:rPr>
          <w:rtl/>
        </w:rPr>
        <w:t>ב"כ המאשימה הפנתה לחומרת העבירות בהן הורשע הנאשם, המתבטאת בריבוי כלי הנשק שהחזיק ופוטנציאל הנזק הטמון בהם, לא רק לציבור כולו, אלא גם לבני משפחתו של הנאשם שבביתם הוחזק הנשק. כמו כן הפנתה למגמת ההחמרה בעבירות נשק העולה מפסיקת בית המשפט העליון. לאור אלה בקשה לקבוע כי מתחם העונש ההולם הוא מאסר לתקופה שבין ארבע לשבע שנים.</w:t>
      </w:r>
    </w:p>
    <w:p w14:paraId="4D297EEC" w14:textId="77777777" w:rsidR="00A93EBF" w:rsidRDefault="00A93EBF" w:rsidP="00A93EBF">
      <w:pPr>
        <w:spacing w:after="120" w:line="360" w:lineRule="auto"/>
        <w:jc w:val="both"/>
        <w:rPr>
          <w:rtl/>
        </w:rPr>
      </w:pPr>
      <w:r>
        <w:rPr>
          <w:rtl/>
        </w:rPr>
        <w:t>בשל נסיבותיו האישיות של הנאשם, ובהן גילו הצעיר והעדר הרשעות קודמות, בקשה להטיל עליו עונש של חמש שנות מאסר.</w:t>
      </w:r>
    </w:p>
    <w:p w14:paraId="4BF70FA1" w14:textId="77777777" w:rsidR="00A93EBF" w:rsidRDefault="00A93EBF" w:rsidP="00A93EBF">
      <w:pPr>
        <w:spacing w:after="120" w:line="360" w:lineRule="auto"/>
        <w:jc w:val="both"/>
        <w:rPr>
          <w:rtl/>
        </w:rPr>
      </w:pPr>
      <w:r>
        <w:rPr>
          <w:rtl/>
        </w:rPr>
        <w:t>ב"כ הנאשם טען, כי לאור הפסיקה הנוהגת, מתחם העונש ההולם את מעשיו של הנאשם נמוך במידה ניכרת מזה שהמאשימה טענה לו, ואמור לעמוד על מאסר לתקופה שבין שנה וחצי לשלוש שנים. את הדגש בדבריו שם על נסיבותיו האישיות של הנאשם, כפי שפורטו בתסקיר שירות המבחן, ובעיקר על גילו הצעיר והעובדה שהודה במיוחס לו וקיבל אחריות למעשיו.</w:t>
      </w:r>
    </w:p>
    <w:p w14:paraId="601F82E8" w14:textId="77777777" w:rsidR="00A93EBF" w:rsidRDefault="00A93EBF" w:rsidP="00A93EBF">
      <w:pPr>
        <w:spacing w:after="120" w:line="360" w:lineRule="auto"/>
        <w:jc w:val="both"/>
        <w:rPr>
          <w:rtl/>
        </w:rPr>
      </w:pPr>
      <w:r>
        <w:rPr>
          <w:rtl/>
        </w:rPr>
        <w:t>לאור אלה ביקש להקל עם הנאשם ולהשית עליו עונש בתחתיתו של כל מתחם שיקבע.</w:t>
      </w:r>
    </w:p>
    <w:p w14:paraId="33EDDBF1" w14:textId="77777777" w:rsidR="00A93EBF" w:rsidRDefault="00A93EBF" w:rsidP="00A93EBF">
      <w:pPr>
        <w:spacing w:after="120" w:line="360" w:lineRule="auto"/>
        <w:jc w:val="both"/>
        <w:rPr>
          <w:rtl/>
        </w:rPr>
      </w:pPr>
      <w:r>
        <w:rPr>
          <w:rtl/>
        </w:rPr>
        <w:t>ב"כ שני הצדדים הגישו פסיקה לתמיכה בעמדותיהם.</w:t>
      </w:r>
    </w:p>
    <w:p w14:paraId="471B8856" w14:textId="77777777" w:rsidR="00A93EBF" w:rsidRDefault="00A93EBF" w:rsidP="00A93EBF">
      <w:pPr>
        <w:spacing w:after="120" w:line="360" w:lineRule="auto"/>
        <w:jc w:val="both"/>
        <w:rPr>
          <w:rtl/>
        </w:rPr>
      </w:pPr>
      <w:r>
        <w:rPr>
          <w:rtl/>
        </w:rPr>
        <w:t>הנאשם אמר את המילה האחרונה. לדבריו מצא את התיק ולקח אותו לביתו בלי לדעת שיש בו מטען חבלה, והוא מצטער על מעשיו ועל כך שלא דיווח למשטרה על מציאת התיק.</w:t>
      </w:r>
    </w:p>
    <w:p w14:paraId="064A38A4" w14:textId="77777777" w:rsidR="00A93EBF" w:rsidRDefault="00A93EBF" w:rsidP="00A93EBF">
      <w:pPr>
        <w:spacing w:after="120" w:line="360" w:lineRule="auto"/>
        <w:jc w:val="both"/>
        <w:rPr>
          <w:b/>
          <w:bCs/>
          <w:rtl/>
        </w:rPr>
      </w:pPr>
      <w:r>
        <w:rPr>
          <w:b/>
          <w:bCs/>
          <w:rtl/>
        </w:rPr>
        <w:t>מתחם העונש ההולם</w:t>
      </w:r>
    </w:p>
    <w:p w14:paraId="686BA68B" w14:textId="77777777" w:rsidR="00A93EBF" w:rsidRDefault="00A93EBF" w:rsidP="00A93EBF">
      <w:pPr>
        <w:spacing w:after="120" w:line="360" w:lineRule="auto"/>
        <w:jc w:val="both"/>
        <w:rPr>
          <w:rFonts w:ascii="Arial" w:hAnsi="Arial"/>
          <w:rtl/>
        </w:rPr>
      </w:pPr>
      <w:r>
        <w:rPr>
          <w:rtl/>
        </w:rPr>
        <w:t>הנאשם החזיק בביתו ארסנל שלם: מטען חבלה, שני אקדחים טעונים כדורים, שני רובי ציד מאולתרים ותחמושת ובכך פגע</w:t>
      </w:r>
      <w:r>
        <w:rPr>
          <w:rFonts w:ascii="Arial" w:hAnsi="Arial"/>
          <w:rtl/>
        </w:rPr>
        <w:t xml:space="preserve"> בערך המוגן החשוב מכל, של שמירה על חיי אדם. החזקת נשק מקפלת בתוכה סיכון ממשי, כי הנשק ישמש לביצוע עבירות פליליות או מעשי טרור, ובכך יביא לקיפוח נפש. כמו כן החזקת מטען חבלה בצמוד לבית מגורים כרוכה גם בסיכון כי יתפוצץ ויפגע בדייריו.</w:t>
      </w:r>
    </w:p>
    <w:p w14:paraId="04E120D4" w14:textId="77777777" w:rsidR="00A93EBF" w:rsidRDefault="00A93EBF" w:rsidP="00A93EBF">
      <w:pPr>
        <w:spacing w:after="120" w:line="360" w:lineRule="auto"/>
        <w:jc w:val="both"/>
        <w:rPr>
          <w:rtl/>
        </w:rPr>
      </w:pPr>
      <w:r>
        <w:rPr>
          <w:rFonts w:ascii="Arial" w:hAnsi="Arial"/>
          <w:rtl/>
        </w:rPr>
        <w:t xml:space="preserve">באופן עקיף עבירה זו גם מהווה קריאת תיגר על שלטון החוק, שהרי המדינה היא הריבון והיא שרשאית לקבוע מי ישא נשק ולאיזו מטרה - כעולה ממיקום העבירה בפרק </w:t>
      </w:r>
      <w:hyperlink r:id="rId11" w:history="1">
        <w:r w:rsidR="004E3A60" w:rsidRPr="004E3A60">
          <w:rPr>
            <w:rStyle w:val="Hyperlink"/>
            <w:rFonts w:ascii="Arial" w:hAnsi="Arial"/>
            <w:rtl/>
          </w:rPr>
          <w:t>ח'</w:t>
        </w:r>
      </w:hyperlink>
      <w:r>
        <w:rPr>
          <w:rFonts w:ascii="Arial" w:hAnsi="Arial"/>
          <w:rtl/>
        </w:rPr>
        <w:t xml:space="preserve"> ל</w:t>
      </w:r>
      <w:hyperlink r:id="rId12" w:history="1">
        <w:r w:rsidR="00C346F0" w:rsidRPr="00C346F0">
          <w:rPr>
            <w:rFonts w:ascii="Arial" w:hAnsi="Arial"/>
            <w:color w:val="0000FF"/>
            <w:u w:val="single"/>
            <w:rtl/>
          </w:rPr>
          <w:t>חוק העונשין</w:t>
        </w:r>
      </w:hyperlink>
      <w:r>
        <w:rPr>
          <w:rFonts w:ascii="Arial" w:hAnsi="Arial"/>
          <w:rtl/>
        </w:rPr>
        <w:t xml:space="preserve">, הדן בעבירות שעניינן  "פגיעה בסדרי </w:t>
      </w:r>
      <w:r>
        <w:rPr>
          <w:rtl/>
        </w:rPr>
        <w:t>המשטר והחברה". קריאת התיגר על שלטון החוק עולה גם מכך שהנאשם זרק מחלון ביתו שני תיקים על מנת לשבש הליך שיפוטי בעניינו.</w:t>
      </w:r>
    </w:p>
    <w:p w14:paraId="4BB521EF" w14:textId="77777777" w:rsidR="00A93EBF" w:rsidRDefault="00A93EBF" w:rsidP="00A93EBF">
      <w:pPr>
        <w:spacing w:after="120" w:line="360" w:lineRule="auto"/>
        <w:jc w:val="both"/>
        <w:rPr>
          <w:rFonts w:ascii="David" w:hAnsi="David"/>
        </w:rPr>
      </w:pPr>
      <w:r>
        <w:rPr>
          <w:rtl/>
        </w:rPr>
        <w:lastRenderedPageBreak/>
        <w:t xml:space="preserve">בית המשפט העליון עמד בשורה ארוכה של פסקי דין על חומרתן הרבה של עבירות הנשק והסכנה לשלום הציבור וביטחונו הטמונה בהן. ר' לעניין זה </w:t>
      </w:r>
      <w:hyperlink r:id="rId13" w:history="1">
        <w:r w:rsidR="00C346F0" w:rsidRPr="00C346F0">
          <w:rPr>
            <w:color w:val="0000FF"/>
            <w:u w:val="single"/>
            <w:rtl/>
          </w:rPr>
          <w:t>ע"פ 3877/16</w:t>
        </w:r>
      </w:hyperlink>
      <w:r>
        <w:rPr>
          <w:rtl/>
        </w:rPr>
        <w:t xml:space="preserve"> </w:t>
      </w:r>
      <w:r>
        <w:rPr>
          <w:rFonts w:hint="cs"/>
          <w:rtl/>
        </w:rPr>
        <w:t>ג'באלי</w:t>
      </w:r>
      <w:r>
        <w:rPr>
          <w:rFonts w:hint="cs"/>
          <w:b/>
          <w:bCs/>
          <w:rtl/>
        </w:rPr>
        <w:t xml:space="preserve"> </w:t>
      </w:r>
      <w:r>
        <w:rPr>
          <w:rFonts w:hint="cs"/>
          <w:rtl/>
        </w:rPr>
        <w:t>נ' מדינת ישראל (פסקה 6 לפסק דינו של כב' הש' חיות, כתוארה אז):</w:t>
      </w:r>
    </w:p>
    <w:p w14:paraId="7EE39B26" w14:textId="77777777" w:rsidR="00A93EBF" w:rsidRDefault="00A93EBF" w:rsidP="00A93EBF">
      <w:pPr>
        <w:spacing w:after="120" w:line="360" w:lineRule="auto"/>
        <w:ind w:left="567" w:right="567"/>
        <w:jc w:val="both"/>
        <w:rPr>
          <w:rFonts w:ascii="Arial" w:hAnsi="Arial"/>
          <w:rtl/>
        </w:rPr>
      </w:pPr>
      <w:r>
        <w:rPr>
          <w:b/>
          <w:bCs/>
          <w:rtl/>
        </w:rPr>
        <w:t>"בית משפט זה עמד פעמים רבות על החומרה היתרה הגלומה בביצוע עבירות בנשק ובכללן העבירה של החזקת נשק או נשיאתו שלא כדין. 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 עוד נפסק כי חומרתן של העבירות בנשק אינה מסתכמת רק בנזק שאירע בפועל, כי אם בפוטנציאל הנזק הנובע מאותן עבירות"</w:t>
      </w:r>
      <w:r>
        <w:rPr>
          <w:rFonts w:ascii="Arial" w:hAnsi="Arial"/>
          <w:rtl/>
        </w:rPr>
        <w:t>.</w:t>
      </w:r>
    </w:p>
    <w:p w14:paraId="7CC3EC06" w14:textId="77777777" w:rsidR="00A93EBF" w:rsidRDefault="00A93EBF" w:rsidP="00A93EBF">
      <w:pPr>
        <w:spacing w:after="120" w:line="360" w:lineRule="auto"/>
        <w:jc w:val="both"/>
        <w:rPr>
          <w:rFonts w:ascii="Arial" w:hAnsi="Arial"/>
          <w:rtl/>
        </w:rPr>
      </w:pPr>
      <w:r>
        <w:rPr>
          <w:rFonts w:ascii="Arial" w:hAnsi="Arial"/>
          <w:rtl/>
        </w:rPr>
        <w:t>ב</w:t>
      </w:r>
      <w:hyperlink r:id="rId14" w:history="1">
        <w:r w:rsidR="00C346F0" w:rsidRPr="00C346F0">
          <w:rPr>
            <w:rFonts w:ascii="Arial" w:hAnsi="Arial"/>
            <w:color w:val="0000FF"/>
            <w:u w:val="single"/>
            <w:rtl/>
          </w:rPr>
          <w:t>ע"פ  2564/19</w:t>
        </w:r>
      </w:hyperlink>
      <w:r>
        <w:rPr>
          <w:rFonts w:ascii="Arial" w:hAnsi="Arial"/>
          <w:rtl/>
        </w:rPr>
        <w:t xml:space="preserve"> </w:t>
      </w:r>
      <w:r>
        <w:rPr>
          <w:rFonts w:ascii="Arial" w:hAnsi="Arial" w:hint="cs"/>
          <w:b/>
          <w:bCs/>
          <w:rtl/>
        </w:rPr>
        <w:t>איברהים אזברגה נ' מדינת ישראל</w:t>
      </w:r>
      <w:r>
        <w:rPr>
          <w:rFonts w:ascii="Arial" w:hAnsi="Arial" w:hint="cs"/>
          <w:rtl/>
        </w:rPr>
        <w:t xml:space="preserve"> (פסקה 10 לפסק דינה של כב' הש' ברון) נקבע כי עבירות הנשק מצדיקות עונש מאחורי סורג ובריח וזאת גם כאשר מדובר בנאשמים ללא עבר פלילי: </w:t>
      </w:r>
    </w:p>
    <w:p w14:paraId="03429FB0" w14:textId="77777777" w:rsidR="00A93EBF" w:rsidRDefault="00A93EBF" w:rsidP="00A93EBF">
      <w:pPr>
        <w:spacing w:after="120" w:line="360" w:lineRule="auto"/>
        <w:ind w:left="566" w:right="567"/>
        <w:jc w:val="both"/>
        <w:rPr>
          <w:rFonts w:ascii="Arial" w:hAnsi="Arial"/>
          <w:b/>
          <w:bCs/>
          <w:rtl/>
        </w:rPr>
      </w:pPr>
      <w:r>
        <w:rPr>
          <w:rFonts w:ascii="Arial" w:hAnsi="Arial"/>
          <w:b/>
          <w:bCs/>
          <w:rtl/>
        </w:rPr>
        <w:t>"</w:t>
      </w:r>
      <w:r>
        <w:rPr>
          <w:b/>
          <w:bCs/>
          <w:sz w:val="20"/>
          <w:rtl/>
        </w:rPr>
        <w:t xml:space="preserve">קיימת בפסיקה מגמת החמרה ברמת הענישה של המעורבים בעבירות נשק תוך </w:t>
      </w:r>
      <w:r>
        <w:rPr>
          <w:b/>
          <w:bCs/>
          <w:sz w:val="28"/>
          <w:rtl/>
        </w:rPr>
        <w:t xml:space="preserve">מתן ביטוי עונשי הולם לסכנה הנשקפת מהן; וזאת </w:t>
      </w:r>
      <w:r>
        <w:rPr>
          <w:b/>
          <w:bCs/>
          <w:sz w:val="20"/>
          <w:rtl/>
        </w:rPr>
        <w:t>במטרה להרתיע את היחיד והרבים גם יחד מפני ביצוען. ברירת המחדל בעבירות נשק היא אפוא מאסר בפועל גם כאשר הנאשם נעדר עבר פלילי, כבענייננו</w:t>
      </w:r>
      <w:r>
        <w:rPr>
          <w:rFonts w:ascii="Arial" w:hAnsi="Arial"/>
          <w:b/>
          <w:bCs/>
          <w:rtl/>
        </w:rPr>
        <w:t>".</w:t>
      </w:r>
    </w:p>
    <w:p w14:paraId="2DF4E001" w14:textId="77777777" w:rsidR="00A93EBF" w:rsidRDefault="00A93EBF" w:rsidP="00A93EBF">
      <w:pPr>
        <w:spacing w:after="120" w:line="360" w:lineRule="auto"/>
        <w:jc w:val="both"/>
        <w:rPr>
          <w:rFonts w:ascii="David" w:hAnsi="David"/>
          <w:rtl/>
        </w:rPr>
      </w:pPr>
      <w:r>
        <w:rPr>
          <w:rtl/>
        </w:rPr>
        <w:t xml:space="preserve">לעניין החומרה היתרה הנודעת להחזקת מטעני חבלה, ר' למשל </w:t>
      </w:r>
      <w:hyperlink r:id="rId15" w:anchor="0" w:history="1">
        <w:r>
          <w:rPr>
            <w:rStyle w:val="Hyperlink"/>
            <w:rFonts w:ascii="David" w:hAnsi="David"/>
            <w:rtl/>
          </w:rPr>
          <w:t>ת"פ (מחוזי ב"ש) 56232-12-14</w:t>
        </w:r>
      </w:hyperlink>
      <w:r>
        <w:rPr>
          <w:rFonts w:ascii="David" w:hAnsi="David"/>
          <w:rtl/>
        </w:rPr>
        <w:t xml:space="preserve"> מכלוף, שם נקבע:</w:t>
      </w:r>
    </w:p>
    <w:p w14:paraId="264261A1" w14:textId="77777777" w:rsidR="00A93EBF" w:rsidRDefault="00A93EBF" w:rsidP="00A93EBF">
      <w:pPr>
        <w:spacing w:after="120" w:line="360" w:lineRule="auto"/>
        <w:ind w:left="567" w:right="567"/>
        <w:jc w:val="both"/>
        <w:rPr>
          <w:rFonts w:ascii="David" w:hAnsi="David"/>
          <w:b/>
          <w:bCs/>
          <w:rtl/>
        </w:rPr>
      </w:pPr>
      <w:r>
        <w:rPr>
          <w:rFonts w:ascii="David" w:hAnsi="David"/>
          <w:b/>
          <w:bCs/>
          <w:rtl/>
        </w:rPr>
        <w:t>"מטעני חבלה מטבעם אינם משמשים את העבריינים להגנה עצמית, אלא למעשי תקיפה אלימים אכזריים ומסוכנים מאין כמותם. בהקשר זה אין כל מקום להתחשבות, הבנה או סלחנות ויש לטפל בתופעה ביד קשה ולמצות את חומר הדין כלפי כל אחת מהחוליות בשרשרת ההכנה, ההספקה והשימוש במטעני חבלה. ולדידי, אין להירתע מהטלת עונשי המאסר המירביים האפשריים".</w:t>
      </w:r>
    </w:p>
    <w:p w14:paraId="5BA8311B" w14:textId="77777777" w:rsidR="00A93EBF" w:rsidRDefault="00A93EBF" w:rsidP="00A93EBF">
      <w:pPr>
        <w:spacing w:after="120" w:line="360" w:lineRule="auto"/>
        <w:jc w:val="both"/>
        <w:rPr>
          <w:rtl/>
        </w:rPr>
      </w:pPr>
      <w:r>
        <w:rPr>
          <w:rtl/>
        </w:rPr>
        <w:t xml:space="preserve">לא נתתי משקל רב לדברי הנאשם, כי מצא את הנשק וכי טעותו התמצתה בכך שלא פנה למשטרה: הדין נגזר על פי עובדות האישום, אשר אינן מתייחסות לאופן בו הגיע הנשק לרשותו של הנאשם. </w:t>
      </w:r>
      <w:r>
        <w:rPr>
          <w:rFonts w:hint="cs"/>
          <w:rtl/>
        </w:rPr>
        <w:t xml:space="preserve">כמו כן, </w:t>
      </w:r>
      <w:r>
        <w:rPr>
          <w:rtl/>
        </w:rPr>
        <w:t>הנאשם בחר להעלות את דבריו במסגרת המילה האחרונה, מבלי להעמידם למבחן של חקירה נגדית, ומשקל הדברים בהתאם.</w:t>
      </w:r>
    </w:p>
    <w:p w14:paraId="5E70CDEC" w14:textId="77777777" w:rsidR="00A93EBF" w:rsidRDefault="00A93EBF" w:rsidP="00A93EBF">
      <w:pPr>
        <w:spacing w:after="120" w:line="360" w:lineRule="auto"/>
        <w:jc w:val="both"/>
        <w:rPr>
          <w:rtl/>
        </w:rPr>
      </w:pPr>
      <w:r>
        <w:rPr>
          <w:rtl/>
        </w:rPr>
        <w:t>רמת הענישה הנוהגת בעבירות של החזקת כלי נשק ומטעני חבלה</w:t>
      </w:r>
      <w:r>
        <w:rPr>
          <w:rFonts w:hint="cs"/>
          <w:rtl/>
        </w:rPr>
        <w:t>, משתקפת בפסקי הדין הבאים:</w:t>
      </w:r>
    </w:p>
    <w:p w14:paraId="2898ACE7" w14:textId="77777777" w:rsidR="00A93EBF" w:rsidRDefault="00A93EBF" w:rsidP="00A93EBF">
      <w:pPr>
        <w:spacing w:after="120" w:line="360" w:lineRule="auto"/>
        <w:contextualSpacing/>
        <w:jc w:val="both"/>
        <w:rPr>
          <w:rFonts w:ascii="David" w:hAnsi="David"/>
          <w:rtl/>
        </w:rPr>
      </w:pPr>
      <w:r>
        <w:rPr>
          <w:u w:val="single"/>
          <w:rtl/>
        </w:rPr>
        <w:t>ב</w:t>
      </w:r>
      <w:hyperlink r:id="rId16" w:history="1">
        <w:r w:rsidR="00C346F0" w:rsidRPr="00C346F0">
          <w:rPr>
            <w:color w:val="0000FF"/>
            <w:u w:val="single"/>
            <w:rtl/>
          </w:rPr>
          <w:t>רע"פ 8730/18</w:t>
        </w:r>
      </w:hyperlink>
      <w:r>
        <w:rPr>
          <w:u w:val="single"/>
          <w:rtl/>
        </w:rPr>
        <w:t xml:space="preserve"> מרשה (24.1.19</w:t>
      </w:r>
      <w:r>
        <w:rPr>
          <w:rtl/>
        </w:rPr>
        <w:t xml:space="preserve">)- נדחתה בקשת רשות ערעור של נאשם צעיר שהחזיק בביתו אקדח עם מחסנית תואמת שנגנב בשנת 2007 מבעליו החוקיים. בית המשפט העליון אישר החמרה בעונשו של אותו נאשם, מששה חודשי מאסר בעבודות שירות לשמונה חודשי מאסר ממש וקבע, כי בהחמרת עונשו של המערער למאסר בפועל למרות שמדובר בתקופה שניתן לשאת בה בעבודות שירות "... </w:t>
      </w:r>
      <w:r>
        <w:rPr>
          <w:b/>
          <w:bCs/>
          <w:rtl/>
        </w:rPr>
        <w:t>מצויה אמירה ערכית נכונה, שדינו של מי ששלח ידו בהחזקת נשק, למאסר ממש ולא כזה שירוצה על דרך של עבודות שירות</w:t>
      </w:r>
      <w:r>
        <w:rPr>
          <w:rtl/>
        </w:rPr>
        <w:t>" [פסקה 8 להחלטתו של כב' הש' קרא].</w:t>
      </w:r>
    </w:p>
    <w:p w14:paraId="042DEF6A" w14:textId="77777777" w:rsidR="00A93EBF" w:rsidRDefault="00A93EBF" w:rsidP="00A93EBF">
      <w:pPr>
        <w:spacing w:before="100" w:beforeAutospacing="1" w:after="120" w:line="360" w:lineRule="auto"/>
        <w:contextualSpacing/>
        <w:jc w:val="both"/>
      </w:pPr>
      <w:r>
        <w:rPr>
          <w:u w:val="single"/>
          <w:rtl/>
        </w:rPr>
        <w:t>ב</w:t>
      </w:r>
      <w:hyperlink r:id="rId17" w:history="1">
        <w:r w:rsidR="00C346F0" w:rsidRPr="00C346F0">
          <w:rPr>
            <w:color w:val="0000FF"/>
            <w:u w:val="single"/>
            <w:rtl/>
          </w:rPr>
          <w:t>רע"פ 1246/17</w:t>
        </w:r>
      </w:hyperlink>
      <w:r>
        <w:rPr>
          <w:b/>
          <w:bCs/>
          <w:u w:val="single"/>
          <w:rtl/>
        </w:rPr>
        <w:t xml:space="preserve"> </w:t>
      </w:r>
      <w:r>
        <w:rPr>
          <w:u w:val="single"/>
          <w:rtl/>
        </w:rPr>
        <w:t>מטר (פורסם בנבו, 12.3.2017)</w:t>
      </w:r>
      <w:r>
        <w:rPr>
          <w:rtl/>
        </w:rPr>
        <w:t xml:space="preserve"> - נדחתה בקשת רשות ערעור של נאשם שהורשע </w:t>
      </w:r>
      <w:r>
        <w:rPr>
          <w:rFonts w:hint="cs"/>
          <w:rtl/>
        </w:rPr>
        <w:t>ב</w:t>
      </w:r>
      <w:r>
        <w:rPr>
          <w:rtl/>
        </w:rPr>
        <w:t xml:space="preserve">החזקת אקדח </w:t>
      </w:r>
      <w:r>
        <w:rPr>
          <w:rFonts w:hint="cs"/>
          <w:rtl/>
        </w:rPr>
        <w:t>ו</w:t>
      </w:r>
      <w:r>
        <w:rPr>
          <w:rtl/>
        </w:rPr>
        <w:t xml:space="preserve">תחמושת בביתו. בית המשפט המחוזי החמיר בענשו של אותו נאשם וגזר עליו תשעה חודשי מאסר ממש במקום ששה חודשים בדרך של עבודות שירות שהוטל על ידי בית המשפט השלום. </w:t>
      </w:r>
    </w:p>
    <w:p w14:paraId="714672A6" w14:textId="77777777" w:rsidR="00A93EBF" w:rsidRDefault="00A93EBF" w:rsidP="00A93EBF">
      <w:pPr>
        <w:spacing w:before="100" w:beforeAutospacing="1" w:after="120" w:line="360" w:lineRule="auto"/>
        <w:contextualSpacing/>
        <w:jc w:val="both"/>
        <w:rPr>
          <w:rtl/>
        </w:rPr>
      </w:pPr>
      <w:r>
        <w:rPr>
          <w:u w:val="single"/>
          <w:rtl/>
        </w:rPr>
        <w:t>ב</w:t>
      </w:r>
      <w:hyperlink r:id="rId18" w:history="1">
        <w:r w:rsidR="00C346F0" w:rsidRPr="00C346F0">
          <w:rPr>
            <w:color w:val="0000FF"/>
            <w:u w:val="single"/>
            <w:rtl/>
          </w:rPr>
          <w:t>ע"פ 8846/15</w:t>
        </w:r>
      </w:hyperlink>
      <w:r>
        <w:rPr>
          <w:b/>
          <w:bCs/>
          <w:u w:val="single"/>
          <w:rtl/>
        </w:rPr>
        <w:t xml:space="preserve">  </w:t>
      </w:r>
      <w:r>
        <w:rPr>
          <w:u w:val="single"/>
          <w:rtl/>
        </w:rPr>
        <w:t>דראז</w:t>
      </w:r>
      <w:r>
        <w:rPr>
          <w:b/>
          <w:bCs/>
          <w:u w:val="single"/>
          <w:rtl/>
        </w:rPr>
        <w:t xml:space="preserve"> </w:t>
      </w:r>
      <w:r>
        <w:rPr>
          <w:u w:val="single"/>
          <w:rtl/>
        </w:rPr>
        <w:t>(פורסם בנבו, 13.3.16</w:t>
      </w:r>
      <w:r>
        <w:rPr>
          <w:rtl/>
        </w:rPr>
        <w:t>) - נדחה ערעורו של נאשם שנגזרו עליו שמונה חודשי מאסר בגין החזקה של אקדח ותחמושת והפרעה לשוטר.</w:t>
      </w:r>
    </w:p>
    <w:p w14:paraId="36A92C89" w14:textId="77777777" w:rsidR="00A93EBF" w:rsidRDefault="00A93EBF" w:rsidP="00A93EBF">
      <w:pPr>
        <w:spacing w:before="100" w:beforeAutospacing="1" w:after="120" w:line="360" w:lineRule="auto"/>
        <w:jc w:val="both"/>
        <w:rPr>
          <w:rFonts w:ascii="David" w:hAnsi="David"/>
          <w:rtl/>
        </w:rPr>
      </w:pPr>
      <w:r>
        <w:rPr>
          <w:u w:val="single"/>
          <w:rtl/>
        </w:rPr>
        <w:t>ב</w:t>
      </w:r>
      <w:hyperlink r:id="rId19" w:history="1">
        <w:r w:rsidR="00C346F0" w:rsidRPr="00C346F0">
          <w:rPr>
            <w:color w:val="0000FF"/>
            <w:u w:val="single"/>
            <w:rtl/>
          </w:rPr>
          <w:t>עפ"ג (מחוזי ב"ש) 56010-03-18</w:t>
        </w:r>
      </w:hyperlink>
      <w:r>
        <w:rPr>
          <w:u w:val="single"/>
          <w:rtl/>
        </w:rPr>
        <w:t xml:space="preserve"> אלאסד</w:t>
      </w:r>
      <w:r>
        <w:rPr>
          <w:b/>
          <w:bCs/>
          <w:u w:val="single"/>
          <w:rtl/>
        </w:rPr>
        <w:t xml:space="preserve"> </w:t>
      </w:r>
      <w:r>
        <w:rPr>
          <w:u w:val="single"/>
          <w:rtl/>
        </w:rPr>
        <w:t xml:space="preserve">(27.6.18) </w:t>
      </w:r>
      <w:r>
        <w:rPr>
          <w:rtl/>
        </w:rPr>
        <w:t>- דחה בית המשפט המחוזי ערעורו של נאשם כבן 50, אשר החזיק בביתו אקדח ללא תחמושת ונדון לתשעה חודשי מאסר בפועל ועונשים נלווים.</w:t>
      </w:r>
    </w:p>
    <w:p w14:paraId="131E62B5" w14:textId="77777777" w:rsidR="00A93EBF" w:rsidRDefault="00A93EBF" w:rsidP="00A93EBF">
      <w:pPr>
        <w:spacing w:after="120" w:line="360" w:lineRule="auto"/>
        <w:jc w:val="both"/>
        <w:rPr>
          <w:rFonts w:ascii="David" w:hAnsi="David"/>
          <w:sz w:val="22"/>
          <w:szCs w:val="22"/>
          <w:rtl/>
        </w:rPr>
      </w:pPr>
      <w:r>
        <w:rPr>
          <w:rFonts w:ascii="David" w:hAnsi="David"/>
          <w:rtl/>
        </w:rPr>
        <w:t>ב</w:t>
      </w:r>
      <w:hyperlink r:id="rId20" w:history="1">
        <w:r>
          <w:rPr>
            <w:rStyle w:val="Hyperlink"/>
            <w:rFonts w:ascii="David" w:hAnsi="David"/>
            <w:rtl/>
          </w:rPr>
          <w:t>עפג (ב"ש)</w:t>
        </w:r>
      </w:hyperlink>
      <w:r>
        <w:rPr>
          <w:rFonts w:ascii="David" w:hAnsi="David"/>
          <w:rtl/>
        </w:rPr>
        <w:t xml:space="preserve"> 56305-02-20‏</w:t>
      </w:r>
      <w:r w:rsidR="00C346F0">
        <w:rPr>
          <w:rFonts w:ascii="David" w:hAnsi="David"/>
          <w:rtl/>
        </w:rPr>
        <w:t xml:space="preserve"> </w:t>
      </w:r>
      <w:r>
        <w:rPr>
          <w:rFonts w:ascii="David" w:hAnsi="David"/>
          <w:rtl/>
        </w:rPr>
        <w:t>אלקריעאן (18.8.20) – נדון נאשם ללא עבר פלילי שברכבו נמצא אקדח ומחסנית. בית משפט</w:t>
      </w:r>
      <w:r>
        <w:rPr>
          <w:rFonts w:ascii="David" w:hAnsi="David"/>
          <w:u w:val="single"/>
          <w:rtl/>
        </w:rPr>
        <w:t xml:space="preserve"> </w:t>
      </w:r>
      <w:r>
        <w:rPr>
          <w:rFonts w:ascii="David" w:hAnsi="David"/>
          <w:rtl/>
        </w:rPr>
        <w:t>השלום קבע מתחם של 15-30 חודשי מאסר וגזר על הנאשם עונש של 15 חודשי מאסר והורה על חילוט מכוניתו. בית המשפט המחוזי הפחית את העונש ל-12 חודשי מאסר</w:t>
      </w:r>
      <w:r>
        <w:rPr>
          <w:rFonts w:ascii="David" w:hAnsi="David"/>
          <w:sz w:val="22"/>
          <w:szCs w:val="22"/>
          <w:rtl/>
        </w:rPr>
        <w:t>.</w:t>
      </w:r>
    </w:p>
    <w:p w14:paraId="0FBD728E" w14:textId="77777777" w:rsidR="00A93EBF" w:rsidRDefault="00A93EBF" w:rsidP="00A93EBF">
      <w:pPr>
        <w:spacing w:after="120" w:line="360" w:lineRule="auto"/>
        <w:jc w:val="both"/>
        <w:rPr>
          <w:rFonts w:ascii="David" w:hAnsi="David"/>
          <w:rtl/>
        </w:rPr>
      </w:pPr>
      <w:r>
        <w:rPr>
          <w:rFonts w:ascii="David" w:hAnsi="David"/>
          <w:rtl/>
        </w:rPr>
        <w:t>ב</w:t>
      </w:r>
      <w:hyperlink r:id="rId21" w:history="1">
        <w:r>
          <w:rPr>
            <w:rStyle w:val="Hyperlink"/>
            <w:rFonts w:ascii="David" w:hAnsi="David"/>
            <w:rtl/>
          </w:rPr>
          <w:t>עפג (חי') 23517-02-20</w:t>
        </w:r>
      </w:hyperlink>
      <w:r>
        <w:rPr>
          <w:rFonts w:ascii="David" w:hAnsi="David"/>
          <w:rtl/>
        </w:rPr>
        <w:t xml:space="preserve">‏ ‏ זיד אחמד זיד אלכילאני (28.7.20) – נדון עניינו של נאשם שהחזיק בביתו אקדח, מחסנית </w:t>
      </w:r>
      <w:r>
        <w:rPr>
          <w:rFonts w:ascii="David" w:hAnsi="David" w:hint="cs"/>
          <w:rtl/>
        </w:rPr>
        <w:t>ותחמושת</w:t>
      </w:r>
      <w:r>
        <w:rPr>
          <w:rFonts w:ascii="David" w:hAnsi="David"/>
          <w:rtl/>
        </w:rPr>
        <w:t xml:space="preserve">. בית משפט השלום קבע מתחם של 6-15 חודשי מאסר וגזר על הנאשם עונש של 8 חודשי עבודות שירות. </w:t>
      </w:r>
      <w:r w:rsidR="00C346F0">
        <w:rPr>
          <w:rFonts w:ascii="David" w:hAnsi="David"/>
          <w:rtl/>
        </w:rPr>
        <w:t xml:space="preserve"> </w:t>
      </w:r>
      <w:r>
        <w:rPr>
          <w:rFonts w:ascii="David" w:hAnsi="David"/>
          <w:rtl/>
        </w:rPr>
        <w:t xml:space="preserve">בית המשפט המחוזי </w:t>
      </w:r>
      <w:r>
        <w:rPr>
          <w:rFonts w:ascii="David" w:hAnsi="David" w:hint="cs"/>
          <w:rtl/>
        </w:rPr>
        <w:t>החמיר את ענשו של</w:t>
      </w:r>
      <w:r>
        <w:rPr>
          <w:rFonts w:ascii="David" w:hAnsi="David"/>
          <w:rtl/>
        </w:rPr>
        <w:t xml:space="preserve"> הנאשם </w:t>
      </w:r>
      <w:r>
        <w:rPr>
          <w:rFonts w:ascii="David" w:hAnsi="David" w:hint="cs"/>
          <w:rtl/>
        </w:rPr>
        <w:t xml:space="preserve">וגזר עליו </w:t>
      </w:r>
      <w:r>
        <w:rPr>
          <w:rFonts w:ascii="David" w:hAnsi="David"/>
          <w:rtl/>
        </w:rPr>
        <w:t>עשרה חודשי מאסר.</w:t>
      </w:r>
    </w:p>
    <w:p w14:paraId="71E058EC" w14:textId="77777777" w:rsidR="00A93EBF" w:rsidRDefault="00A93EBF" w:rsidP="00A93EBF">
      <w:pPr>
        <w:spacing w:after="120" w:line="360" w:lineRule="auto"/>
        <w:jc w:val="both"/>
        <w:rPr>
          <w:rFonts w:ascii="David" w:hAnsi="David"/>
        </w:rPr>
      </w:pPr>
      <w:r>
        <w:rPr>
          <w:rtl/>
        </w:rPr>
        <w:t>ב</w:t>
      </w:r>
      <w:hyperlink r:id="rId22" w:history="1">
        <w:r>
          <w:rPr>
            <w:rStyle w:val="Hyperlink"/>
            <w:rFonts w:ascii="David" w:hAnsi="David"/>
            <w:rtl/>
          </w:rPr>
          <w:t>רע"פ 2406/16</w:t>
        </w:r>
      </w:hyperlink>
      <w:r>
        <w:rPr>
          <w:rFonts w:ascii="David" w:hAnsi="David"/>
          <w:rtl/>
        </w:rPr>
        <w:t xml:space="preserve"> יונגר (29.9.16) – נדון </w:t>
      </w:r>
      <w:r>
        <w:rPr>
          <w:rFonts w:ascii="David" w:hAnsi="David" w:hint="cs"/>
          <w:rtl/>
        </w:rPr>
        <w:t xml:space="preserve">עניינו של </w:t>
      </w:r>
      <w:r>
        <w:rPr>
          <w:rFonts w:ascii="David" w:hAnsi="David"/>
          <w:rtl/>
        </w:rPr>
        <w:t>נאשם שהורשע לאחר שמיעת ראיות בכך שהחזיק במטען מאולתר בצמוד למשרדו שנמצא מתחת לאולם ספורט המשמש תלמידי חטיבת ביניים</w:t>
      </w:r>
      <w:r>
        <w:rPr>
          <w:rFonts w:ascii="David" w:hAnsi="David" w:hint="cs"/>
          <w:rtl/>
        </w:rPr>
        <w:t xml:space="preserve">. </w:t>
      </w:r>
      <w:r>
        <w:rPr>
          <w:rFonts w:ascii="David" w:hAnsi="David"/>
          <w:rtl/>
        </w:rPr>
        <w:t xml:space="preserve">בית משפט השלום קבע מתחם </w:t>
      </w:r>
      <w:r>
        <w:rPr>
          <w:rFonts w:ascii="David" w:hAnsi="David" w:hint="cs"/>
          <w:rtl/>
        </w:rPr>
        <w:t>עונש הולם</w:t>
      </w:r>
      <w:r>
        <w:rPr>
          <w:rFonts w:ascii="David" w:hAnsi="David"/>
          <w:rtl/>
        </w:rPr>
        <w:t xml:space="preserve"> של שנתיי</w:t>
      </w:r>
      <w:r>
        <w:rPr>
          <w:rFonts w:ascii="David" w:hAnsi="David" w:hint="cs"/>
          <w:rtl/>
        </w:rPr>
        <w:t>ם עד חמש שנים</w:t>
      </w:r>
      <w:r>
        <w:rPr>
          <w:rFonts w:ascii="David" w:hAnsi="David"/>
          <w:rtl/>
        </w:rPr>
        <w:t xml:space="preserve"> מאסר וגזר עונש של 4 שנות מאסר וענישה נלווית וגזר הדין אושר בשתי ערכאות הערעור. </w:t>
      </w:r>
    </w:p>
    <w:p w14:paraId="46C03D6F" w14:textId="77777777" w:rsidR="00A93EBF" w:rsidRDefault="00A93EBF" w:rsidP="00A93EBF">
      <w:pPr>
        <w:spacing w:after="120" w:line="360" w:lineRule="auto"/>
        <w:jc w:val="both"/>
        <w:rPr>
          <w:rFonts w:ascii="Arial" w:hAnsi="Arial" w:cs="Arial"/>
        </w:rPr>
      </w:pPr>
      <w:r>
        <w:rPr>
          <w:rtl/>
        </w:rPr>
        <w:t>ב</w:t>
      </w:r>
      <w:hyperlink r:id="rId23" w:history="1">
        <w:r>
          <w:rPr>
            <w:rStyle w:val="Hyperlink"/>
            <w:rFonts w:ascii="David" w:hAnsi="David"/>
            <w:rtl/>
          </w:rPr>
          <w:t>עפ"ג (מרכז)</w:t>
        </w:r>
      </w:hyperlink>
      <w:r>
        <w:rPr>
          <w:rFonts w:ascii="David" w:hAnsi="David"/>
          <w:rtl/>
        </w:rPr>
        <w:t xml:space="preserve"> 27417-11-15 עבד אל רחים (17.1.16) – נדון עניינו שלנאשם שהודה כי החזיק רובה ציד, </w:t>
      </w:r>
      <w:r>
        <w:rPr>
          <w:rFonts w:ascii="David" w:hAnsi="David" w:hint="cs"/>
          <w:rtl/>
        </w:rPr>
        <w:t xml:space="preserve">תת מקלע </w:t>
      </w:r>
      <w:r>
        <w:rPr>
          <w:rFonts w:ascii="David" w:hAnsi="David"/>
          <w:rtl/>
        </w:rPr>
        <w:t xml:space="preserve">עוזי, </w:t>
      </w:r>
      <w:r>
        <w:rPr>
          <w:rFonts w:ascii="David" w:hAnsi="David" w:hint="cs"/>
          <w:rtl/>
        </w:rPr>
        <w:t>חלקי נשק</w:t>
      </w:r>
      <w:r w:rsidR="00C346F0">
        <w:rPr>
          <w:rFonts w:ascii="David" w:hAnsi="David"/>
          <w:rtl/>
        </w:rPr>
        <w:t xml:space="preserve"> </w:t>
      </w:r>
      <w:r>
        <w:rPr>
          <w:rFonts w:ascii="David" w:hAnsi="David"/>
          <w:rtl/>
        </w:rPr>
        <w:t xml:space="preserve">ותחמושת. בית משפט השלום גזר על הנאשם 14 חודשי מאסר. בית המשפט המחוזי קבע </w:t>
      </w:r>
      <w:r>
        <w:rPr>
          <w:rFonts w:ascii="David" w:hAnsi="David" w:hint="cs"/>
          <w:rtl/>
        </w:rPr>
        <w:t xml:space="preserve">כי </w:t>
      </w:r>
      <w:r>
        <w:rPr>
          <w:rFonts w:ascii="David" w:hAnsi="David"/>
          <w:rtl/>
        </w:rPr>
        <w:t xml:space="preserve">מתחם </w:t>
      </w:r>
      <w:r>
        <w:rPr>
          <w:rFonts w:ascii="David" w:hAnsi="David" w:hint="cs"/>
          <w:rtl/>
        </w:rPr>
        <w:t xml:space="preserve">העונש ההולם הוא </w:t>
      </w:r>
      <w:r>
        <w:rPr>
          <w:rFonts w:ascii="David" w:hAnsi="David"/>
          <w:rtl/>
        </w:rPr>
        <w:t>18-36 חודשי מאסר</w:t>
      </w:r>
      <w:r>
        <w:rPr>
          <w:rFonts w:ascii="David" w:hAnsi="David" w:hint="cs"/>
          <w:rtl/>
        </w:rPr>
        <w:t xml:space="preserve">, החמיר בעונשו של הנאשם וגזר עליו </w:t>
      </w:r>
      <w:r>
        <w:rPr>
          <w:rFonts w:ascii="David" w:hAnsi="David"/>
          <w:rtl/>
        </w:rPr>
        <w:t>20 חודשי מאסר.</w:t>
      </w:r>
    </w:p>
    <w:p w14:paraId="5801B426" w14:textId="77777777" w:rsidR="00A93EBF" w:rsidRDefault="00A93EBF" w:rsidP="00A93EBF">
      <w:pPr>
        <w:spacing w:after="120" w:line="360" w:lineRule="auto"/>
        <w:jc w:val="both"/>
        <w:rPr>
          <w:rFonts w:ascii="David" w:hAnsi="David"/>
          <w:rtl/>
        </w:rPr>
      </w:pPr>
      <w:r>
        <w:rPr>
          <w:rtl/>
        </w:rPr>
        <w:t>ב</w:t>
      </w:r>
      <w:hyperlink r:id="rId24" w:anchor="0" w:history="1">
        <w:r>
          <w:rPr>
            <w:rStyle w:val="Hyperlink"/>
            <w:rFonts w:ascii="David" w:hAnsi="David"/>
            <w:rtl/>
          </w:rPr>
          <w:t>ת"פ (מחוזי ב"ש) 21139-04-17</w:t>
        </w:r>
      </w:hyperlink>
      <w:r>
        <w:rPr>
          <w:rFonts w:ascii="David" w:hAnsi="David"/>
          <w:rtl/>
        </w:rPr>
        <w:t xml:space="preserve"> יעקב (03.12.2018)‏‏ - נדון עניינו של נאשם, צעיר בן 22 ללא עבר פלילי, שהודה במסגרת הסדר שהחזיק יחד עם אחרים מטען חבלה מאולתר </w:t>
      </w:r>
      <w:r>
        <w:rPr>
          <w:rFonts w:ascii="David" w:hAnsi="David" w:hint="cs"/>
          <w:rtl/>
        </w:rPr>
        <w:t>(</w:t>
      </w:r>
      <w:r>
        <w:rPr>
          <w:rFonts w:ascii="David" w:hAnsi="David"/>
          <w:rtl/>
        </w:rPr>
        <w:t>ובו כ-12 ג' ח</w:t>
      </w:r>
      <w:r>
        <w:rPr>
          <w:rFonts w:ascii="David" w:hAnsi="David" w:hint="cs"/>
          <w:rtl/>
        </w:rPr>
        <w:t>ומר נפץ</w:t>
      </w:r>
      <w:r>
        <w:rPr>
          <w:rFonts w:ascii="David" w:hAnsi="David"/>
          <w:rtl/>
        </w:rPr>
        <w:t>) ומסר אותו לסוכן משטרתי. בית המשפט המחוזי קבע מתחם של 18-36 לעבירת הנשק וגזר על הנאשם 32 חודשי מאסר (הנאשם צירף תיקים נוספים).</w:t>
      </w:r>
    </w:p>
    <w:p w14:paraId="5468F410" w14:textId="77777777" w:rsidR="00A93EBF" w:rsidRDefault="00A93EBF" w:rsidP="00A93EBF">
      <w:pPr>
        <w:spacing w:after="120" w:line="360" w:lineRule="auto"/>
        <w:jc w:val="both"/>
        <w:rPr>
          <w:rtl/>
        </w:rPr>
      </w:pPr>
      <w:r>
        <w:rPr>
          <w:rtl/>
        </w:rPr>
        <w:t>בקביעת מתחם העונש אביא בחשבון את חומרת מעשיו של הנאשם, המתבטאת בריבוי כלי הנשק וגיוונם, אופן ההחזקה (בבית מגורים) והחזקת מטען חבלה, וכן את רמת הענישה הנוהגת. בשים לב לכל אלה, מתחם העונש ההולם את המעשים הוא מאסר, לתקופה שבין שנתיים וחצי לחמש וחצי שנים ועונשים נלווים.</w:t>
      </w:r>
    </w:p>
    <w:p w14:paraId="5967F6FB" w14:textId="77777777" w:rsidR="00A93EBF" w:rsidRDefault="00A93EBF" w:rsidP="00A93EBF">
      <w:pPr>
        <w:spacing w:after="120" w:line="360" w:lineRule="auto"/>
        <w:jc w:val="both"/>
        <w:rPr>
          <w:b/>
          <w:bCs/>
          <w:rtl/>
        </w:rPr>
      </w:pPr>
      <w:r>
        <w:rPr>
          <w:b/>
          <w:bCs/>
          <w:rtl/>
        </w:rPr>
        <w:t>נסיבות שאינן קשורות לעבירה</w:t>
      </w:r>
    </w:p>
    <w:p w14:paraId="047AEDFA" w14:textId="77777777" w:rsidR="00A93EBF" w:rsidRDefault="00A93EBF" w:rsidP="00A93EBF">
      <w:pPr>
        <w:spacing w:after="120" w:line="360" w:lineRule="auto"/>
        <w:jc w:val="both"/>
        <w:rPr>
          <w:rtl/>
        </w:rPr>
      </w:pPr>
      <w:r>
        <w:rPr>
          <w:rtl/>
        </w:rPr>
        <w:t>הנאשם יליד 1997, נשוי ללא ילדים, קודם למעצרו עבד כחשמלאי ואין לחובתו הרשעות קודמות.</w:t>
      </w:r>
    </w:p>
    <w:p w14:paraId="7B084DC8" w14:textId="77777777" w:rsidR="00A93EBF" w:rsidRDefault="00A93EBF" w:rsidP="00A93EBF">
      <w:pPr>
        <w:spacing w:after="120" w:line="360" w:lineRule="auto"/>
        <w:jc w:val="both"/>
        <w:rPr>
          <w:rtl/>
        </w:rPr>
      </w:pPr>
      <w:r>
        <w:rPr>
          <w:rtl/>
        </w:rPr>
        <w:t>מתסקיר שירות המבחן בעניינו של הנאשם עלה, כי למד עד גיל 15 ואז החל לעבוד על מנת לסייע בפרנסת המשפחה. מלבד זאת לא עלו נתונים חריגים. הנאשם קיבל בפני שירות המבחן אחריות על העבירה, אם כי הכחיש שהחזיק מטען חבלה, וטען כי אינו יודע מה זה. הנאשם אמר, שראה שני אנשים רעולי פנים אשר הניחו בצד פחי האשפה שליד ביתו שני תיקים, פתח את התיקים ומצא בהם נשק. לדבריו אסף את הנשק מחשש שיסכן את ילדי השכונה ומחשש שהמשטרה תקשר אותו לנשק. הנאשם אמר כי לא פנה למשטרה, משום שחשש להתפס על ידי סביבתו כ"מלשין", ולכן החזיק את הנשק בסלון ביתו למשך כחודש.</w:t>
      </w:r>
      <w:r>
        <w:rPr>
          <w:rFonts w:hint="cs"/>
          <w:rtl/>
        </w:rPr>
        <w:t xml:space="preserve"> כפי שציינתי למעלה, משהנאשם לא העמיד את הסברו למבחן של חקירה נגדית, משקל הדברים אינו רב.</w:t>
      </w:r>
    </w:p>
    <w:p w14:paraId="089CFA2E" w14:textId="77777777" w:rsidR="00A93EBF" w:rsidRDefault="00A93EBF" w:rsidP="00A93EBF">
      <w:pPr>
        <w:spacing w:after="120" w:line="360" w:lineRule="auto"/>
        <w:jc w:val="both"/>
        <w:rPr>
          <w:rtl/>
        </w:rPr>
      </w:pPr>
      <w:r>
        <w:rPr>
          <w:rtl/>
        </w:rPr>
        <w:t>בצד החיוב, שירות המבחן הפנה לכך שמדובר באדם צעיר אשר זו הסתבכותו הראשונה וכי קודם לאירוע הוא תפקד באופן תקין. מנגד, השירות העריך כי הנאשם אינו מודע לחומרת מעשיו ומתקשה להפעיל שיקול דעת ולהמנע ממצבים מסכנים.</w:t>
      </w:r>
    </w:p>
    <w:p w14:paraId="09366864" w14:textId="77777777" w:rsidR="00A93EBF" w:rsidRDefault="00A93EBF" w:rsidP="00A93EBF">
      <w:pPr>
        <w:spacing w:after="120" w:line="360" w:lineRule="auto"/>
        <w:jc w:val="both"/>
        <w:rPr>
          <w:rtl/>
        </w:rPr>
      </w:pPr>
      <w:r>
        <w:rPr>
          <w:rtl/>
        </w:rPr>
        <w:t>שירות המבחן נמנע מהמלצה טיפולית, והמליץ להטיל עונש אשר יציב לנאשם גבולות וירתיע אותו, אך להמנע מחשיפה ממושכת שלו לחברה עבריינית. כמו כן השירות המליץ לשלב אותו בטיפול במסגרת המאסר, על מנת לתת לו כלים להמנע בעתיד מהסתבכויות דומות.</w:t>
      </w:r>
    </w:p>
    <w:p w14:paraId="074F8838" w14:textId="77777777" w:rsidR="00A93EBF" w:rsidRDefault="00A93EBF" w:rsidP="00A93EBF">
      <w:pPr>
        <w:spacing w:after="120" w:line="360" w:lineRule="auto"/>
        <w:jc w:val="both"/>
        <w:rPr>
          <w:b/>
          <w:bCs/>
          <w:rtl/>
        </w:rPr>
      </w:pPr>
      <w:r>
        <w:rPr>
          <w:b/>
          <w:bCs/>
          <w:rtl/>
        </w:rPr>
        <w:t>דיון והכרעה</w:t>
      </w:r>
    </w:p>
    <w:p w14:paraId="11296F30" w14:textId="77777777" w:rsidR="00A93EBF" w:rsidRDefault="00A93EBF" w:rsidP="00A93EBF">
      <w:pPr>
        <w:spacing w:after="120" w:line="360" w:lineRule="auto"/>
        <w:jc w:val="both"/>
        <w:rPr>
          <w:rtl/>
        </w:rPr>
      </w:pPr>
      <w:r>
        <w:rPr>
          <w:rtl/>
        </w:rPr>
        <w:t>לזכות הנאשם זקפתי את הודאתו במיוחס לו, גילו הצעיר והעדר הרשעות קודמות.</w:t>
      </w:r>
    </w:p>
    <w:p w14:paraId="7D9B49AB" w14:textId="77777777" w:rsidR="00A93EBF" w:rsidRDefault="00A93EBF" w:rsidP="00A93EBF">
      <w:pPr>
        <w:spacing w:after="120" w:line="360" w:lineRule="auto"/>
        <w:jc w:val="both"/>
        <w:rPr>
          <w:rtl/>
        </w:rPr>
      </w:pPr>
      <w:r>
        <w:rPr>
          <w:rtl/>
        </w:rPr>
        <w:t>לחובת הנאשם זקפתי את מודעותו החלקית לחומרת מעשיו, והסיכון כי ישוב ויבצע עבירות דומות.</w:t>
      </w:r>
    </w:p>
    <w:p w14:paraId="49661F07" w14:textId="77777777" w:rsidR="00A93EBF" w:rsidRDefault="00A93EBF" w:rsidP="00A93EBF">
      <w:pPr>
        <w:spacing w:after="120" w:line="360" w:lineRule="auto"/>
        <w:jc w:val="both"/>
        <w:rPr>
          <w:rtl/>
        </w:rPr>
      </w:pPr>
      <w:r>
        <w:rPr>
          <w:rtl/>
        </w:rPr>
        <w:t>לאור אלה, ראיתי להשית על הנאשם עונש הנמצא בצידו הנמוך של המתחם, אך לא בתחתיתו.</w:t>
      </w:r>
    </w:p>
    <w:p w14:paraId="6DC13DC3" w14:textId="77777777" w:rsidR="00A93EBF" w:rsidRDefault="00A93EBF" w:rsidP="00A93EBF">
      <w:pPr>
        <w:spacing w:after="120" w:line="360" w:lineRule="auto"/>
        <w:jc w:val="both"/>
        <w:rPr>
          <w:b/>
          <w:bCs/>
          <w:rtl/>
        </w:rPr>
      </w:pPr>
      <w:r>
        <w:rPr>
          <w:b/>
          <w:bCs/>
          <w:rtl/>
        </w:rPr>
        <w:t>לפיכך גוזר על הנאשם את העונשים הבאים:</w:t>
      </w:r>
    </w:p>
    <w:p w14:paraId="296B4319" w14:textId="77777777" w:rsidR="00A93EBF" w:rsidRDefault="00A93EBF" w:rsidP="00A93EBF">
      <w:pPr>
        <w:spacing w:after="120" w:line="360" w:lineRule="auto"/>
        <w:ind w:left="720" w:hanging="720"/>
        <w:jc w:val="both"/>
        <w:rPr>
          <w:rtl/>
        </w:rPr>
      </w:pPr>
      <w:r>
        <w:rPr>
          <w:rtl/>
        </w:rPr>
        <w:t>א.</w:t>
      </w:r>
      <w:r>
        <w:rPr>
          <w:rtl/>
        </w:rPr>
        <w:tab/>
        <w:t>שלוש שנים מאסר בפועל. המאסר ימנה מיום מעצרו של הנאשם והצדדים יגישו בענין זה הודעה מתואמת תוך עשרה ימים.</w:t>
      </w:r>
    </w:p>
    <w:p w14:paraId="12F9E73C" w14:textId="77777777" w:rsidR="00A93EBF" w:rsidRDefault="00A93EBF" w:rsidP="00A93EBF">
      <w:pPr>
        <w:spacing w:after="120" w:line="360" w:lineRule="auto"/>
        <w:ind w:left="720" w:hanging="720"/>
        <w:jc w:val="both"/>
        <w:rPr>
          <w:rtl/>
        </w:rPr>
      </w:pPr>
      <w:r>
        <w:rPr>
          <w:rtl/>
        </w:rPr>
        <w:t>ב.</w:t>
      </w:r>
      <w:r>
        <w:rPr>
          <w:rtl/>
        </w:rPr>
        <w:tab/>
        <w:t xml:space="preserve">שמונה חודשי מאסר, בו לא יישא אלא אם יעבור תוך שלוש שנים מיום שחרורו מהמאסר עבירה על </w:t>
      </w:r>
      <w:hyperlink r:id="rId25" w:history="1">
        <w:r w:rsidR="004E3A60" w:rsidRPr="004E3A60">
          <w:rPr>
            <w:rStyle w:val="Hyperlink"/>
            <w:rtl/>
          </w:rPr>
          <w:t>סע' 144</w:t>
        </w:r>
      </w:hyperlink>
      <w:r>
        <w:rPr>
          <w:rtl/>
        </w:rPr>
        <w:t xml:space="preserve"> ל</w:t>
      </w:r>
      <w:hyperlink r:id="rId26" w:history="1">
        <w:r w:rsidR="00C346F0" w:rsidRPr="00C346F0">
          <w:rPr>
            <w:color w:val="0000FF"/>
            <w:u w:val="single"/>
            <w:rtl/>
          </w:rPr>
          <w:t>חוק העונשין</w:t>
        </w:r>
      </w:hyperlink>
      <w:r>
        <w:rPr>
          <w:rtl/>
        </w:rPr>
        <w:t xml:space="preserve"> שהיא פשע, או כל עבירה שהיא פשע הקשורה בשימוש בנשק.</w:t>
      </w:r>
    </w:p>
    <w:p w14:paraId="18289169" w14:textId="77777777" w:rsidR="00A93EBF" w:rsidRDefault="00A93EBF" w:rsidP="00A93EBF">
      <w:pPr>
        <w:spacing w:after="120" w:line="360" w:lineRule="auto"/>
        <w:ind w:left="720" w:hanging="720"/>
        <w:jc w:val="both"/>
        <w:rPr>
          <w:rtl/>
        </w:rPr>
      </w:pPr>
      <w:r>
        <w:rPr>
          <w:rtl/>
        </w:rPr>
        <w:t>ג.</w:t>
      </w:r>
      <w:r>
        <w:rPr>
          <w:rtl/>
        </w:rPr>
        <w:tab/>
        <w:t xml:space="preserve">ארבעה חודשי מאסר, בו לא יישא אלא אם יעבור תוך שלוש שנים מיום שחרורו מהמאסר עבירה על </w:t>
      </w:r>
      <w:hyperlink r:id="rId27" w:history="1">
        <w:r w:rsidR="004E3A60" w:rsidRPr="004E3A60">
          <w:rPr>
            <w:rStyle w:val="Hyperlink"/>
            <w:rtl/>
          </w:rPr>
          <w:t>סע' 144</w:t>
        </w:r>
      </w:hyperlink>
      <w:r>
        <w:rPr>
          <w:rtl/>
        </w:rPr>
        <w:t xml:space="preserve"> ל</w:t>
      </w:r>
      <w:hyperlink r:id="rId28" w:history="1">
        <w:r w:rsidR="00C346F0" w:rsidRPr="00C346F0">
          <w:rPr>
            <w:color w:val="0000FF"/>
            <w:u w:val="single"/>
            <w:rtl/>
          </w:rPr>
          <w:t>חוק העונשין</w:t>
        </w:r>
      </w:hyperlink>
      <w:r>
        <w:rPr>
          <w:rtl/>
        </w:rPr>
        <w:t xml:space="preserve"> שהיא עוון, או שיבוש מהלכי משפט.</w:t>
      </w:r>
    </w:p>
    <w:p w14:paraId="675F2DDA" w14:textId="77777777" w:rsidR="00A93EBF" w:rsidRDefault="00A93EBF" w:rsidP="00A93EBF">
      <w:pPr>
        <w:spacing w:after="120" w:line="360" w:lineRule="auto"/>
        <w:jc w:val="both"/>
        <w:rPr>
          <w:rtl/>
        </w:rPr>
      </w:pPr>
    </w:p>
    <w:p w14:paraId="496EF3B0" w14:textId="77777777" w:rsidR="00A93EBF" w:rsidRDefault="00A93EBF" w:rsidP="00A93EBF">
      <w:pPr>
        <w:spacing w:after="120" w:line="360" w:lineRule="auto"/>
        <w:jc w:val="both"/>
        <w:rPr>
          <w:b/>
          <w:bCs/>
          <w:rtl/>
        </w:rPr>
      </w:pPr>
      <w:r>
        <w:rPr>
          <w:b/>
          <w:bCs/>
          <w:rtl/>
        </w:rPr>
        <w:t>לתשומת לב שב"ס המלצת שירות המבחן, לשלב את הנאשם בהליך טיפולי במסגרת המאסר.</w:t>
      </w:r>
    </w:p>
    <w:p w14:paraId="40878B91" w14:textId="77777777" w:rsidR="00A93EBF" w:rsidRDefault="00A93EBF" w:rsidP="00A93EBF">
      <w:pPr>
        <w:spacing w:after="120" w:line="360" w:lineRule="auto"/>
        <w:jc w:val="both"/>
        <w:rPr>
          <w:rtl/>
        </w:rPr>
      </w:pPr>
    </w:p>
    <w:p w14:paraId="2B021158" w14:textId="77777777" w:rsidR="00A93EBF" w:rsidRPr="00B05847" w:rsidRDefault="00C346F0" w:rsidP="00A93EBF">
      <w:pPr>
        <w:spacing w:after="120" w:line="360" w:lineRule="auto"/>
        <w:jc w:val="both"/>
        <w:rPr>
          <w:rtl/>
        </w:rPr>
      </w:pPr>
      <w:r w:rsidRPr="00C346F0">
        <w:rPr>
          <w:color w:val="FFFFFF"/>
          <w:sz w:val="2"/>
          <w:szCs w:val="2"/>
          <w:rtl/>
        </w:rPr>
        <w:t>5129371</w:t>
      </w:r>
      <w:r w:rsidR="00A93EBF">
        <w:rPr>
          <w:rtl/>
        </w:rPr>
        <w:t>זכות ערעור לבית המשפט המחוזי בירושלים תוך 45 יום.</w:t>
      </w:r>
    </w:p>
    <w:p w14:paraId="09602461" w14:textId="77777777" w:rsidR="00A93EBF" w:rsidRPr="00C346F0" w:rsidRDefault="00C346F0" w:rsidP="00A93EBF">
      <w:pPr>
        <w:spacing w:after="120" w:line="360" w:lineRule="auto"/>
        <w:jc w:val="both"/>
        <w:rPr>
          <w:color w:val="FFFFFF"/>
          <w:sz w:val="2"/>
          <w:szCs w:val="2"/>
          <w:rtl/>
        </w:rPr>
      </w:pPr>
      <w:r w:rsidRPr="00C346F0">
        <w:rPr>
          <w:color w:val="FFFFFF"/>
          <w:sz w:val="2"/>
          <w:szCs w:val="2"/>
          <w:rtl/>
        </w:rPr>
        <w:t>54678313</w:t>
      </w:r>
    </w:p>
    <w:p w14:paraId="486054AF" w14:textId="77777777" w:rsidR="00A93EBF" w:rsidRDefault="00C346F0" w:rsidP="00C346F0">
      <w:pPr>
        <w:jc w:val="center"/>
      </w:pPr>
      <w:bookmarkStart w:id="8" w:name="Nitan"/>
      <w:r>
        <w:rPr>
          <w:rFonts w:ascii="Arial" w:hAnsi="Arial"/>
          <w:rtl/>
        </w:rPr>
        <w:t xml:space="preserve">ניתן היום,  ב' חשוון תשפ"א, 20 אוקטובר 2020, במעמד הצדדים. </w:t>
      </w:r>
      <w:bookmarkEnd w:id="8"/>
      <w:r w:rsidR="00A93EBF">
        <w:rPr>
          <w:rFonts w:hint="cs"/>
          <w:rtl/>
        </w:rPr>
        <w:t xml:space="preserve">   </w:t>
      </w:r>
      <w:r w:rsidR="00A93EBF">
        <w:rPr>
          <w:rFonts w:hint="cs"/>
          <w:rtl/>
        </w:rPr>
        <w:tab/>
      </w:r>
      <w:r w:rsidR="00A93EBF">
        <w:rPr>
          <w:rFonts w:hint="cs"/>
          <w:rtl/>
        </w:rPr>
        <w:tab/>
      </w:r>
      <w:r w:rsidR="00A93EBF">
        <w:rPr>
          <w:rFonts w:hint="cs"/>
          <w:rtl/>
        </w:rPr>
        <w:tab/>
      </w:r>
      <w:r w:rsidR="00A93EBF">
        <w:rPr>
          <w:rFonts w:hint="cs"/>
          <w:rtl/>
        </w:rPr>
        <w:tab/>
      </w:r>
      <w:r w:rsidR="00A93EBF">
        <w:rPr>
          <w:rFonts w:hint="cs"/>
          <w:rtl/>
        </w:rPr>
        <w:tab/>
      </w:r>
    </w:p>
    <w:p w14:paraId="329DA74D" w14:textId="77777777" w:rsidR="00A93EBF" w:rsidRDefault="00A93EBF" w:rsidP="00A93EBF">
      <w:pPr>
        <w:jc w:val="center"/>
        <w:rPr>
          <w:rFonts w:ascii="Arial" w:hAnsi="Arial" w:cs="FrankRuehl"/>
          <w:sz w:val="28"/>
          <w:szCs w:val="28"/>
          <w:rtl/>
        </w:rPr>
      </w:pPr>
    </w:p>
    <w:p w14:paraId="6527F3C3" w14:textId="77777777" w:rsidR="00A93EBF" w:rsidRDefault="00A93EBF" w:rsidP="00A93EBF">
      <w:pPr>
        <w:rPr>
          <w:rFonts w:cs="FrankRuehl"/>
          <w:sz w:val="28"/>
          <w:szCs w:val="28"/>
          <w:rtl/>
        </w:rPr>
      </w:pPr>
    </w:p>
    <w:p w14:paraId="48BF61EC" w14:textId="77777777" w:rsidR="00A93EBF" w:rsidRPr="004E3A60" w:rsidRDefault="004E3A60" w:rsidP="00A93EBF">
      <w:pPr>
        <w:pStyle w:val="a3"/>
        <w:jc w:val="center"/>
        <w:rPr>
          <w:color w:val="FFFFFF"/>
          <w:sz w:val="2"/>
          <w:szCs w:val="2"/>
          <w:rtl/>
        </w:rPr>
      </w:pPr>
      <w:r w:rsidRPr="004E3A60">
        <w:rPr>
          <w:color w:val="FFFFFF"/>
          <w:sz w:val="2"/>
          <w:szCs w:val="2"/>
          <w:rtl/>
        </w:rPr>
        <w:t>5129371</w:t>
      </w:r>
    </w:p>
    <w:p w14:paraId="711C6BA7" w14:textId="77777777" w:rsidR="00072F90" w:rsidRPr="004E3A60" w:rsidRDefault="004E3A60" w:rsidP="00C346F0">
      <w:pPr>
        <w:keepNext/>
        <w:rPr>
          <w:rFonts w:ascii="David" w:hAnsi="David"/>
          <w:color w:val="FFFFFF"/>
          <w:sz w:val="2"/>
          <w:szCs w:val="2"/>
          <w:rtl/>
        </w:rPr>
      </w:pPr>
      <w:r w:rsidRPr="004E3A60">
        <w:rPr>
          <w:rFonts w:ascii="David" w:hAnsi="David"/>
          <w:color w:val="FFFFFF"/>
          <w:sz w:val="2"/>
          <w:szCs w:val="2"/>
          <w:rtl/>
        </w:rPr>
        <w:t>54678313</w:t>
      </w:r>
    </w:p>
    <w:p w14:paraId="6A5AEC76" w14:textId="77777777" w:rsidR="00C346F0" w:rsidRPr="00C346F0" w:rsidRDefault="00C346F0" w:rsidP="00C346F0">
      <w:pPr>
        <w:keepNext/>
        <w:rPr>
          <w:rFonts w:ascii="David" w:hAnsi="David"/>
          <w:color w:val="000000"/>
          <w:sz w:val="22"/>
          <w:szCs w:val="22"/>
          <w:rtl/>
        </w:rPr>
      </w:pPr>
      <w:r w:rsidRPr="00C346F0">
        <w:rPr>
          <w:rFonts w:ascii="David" w:hAnsi="David"/>
          <w:color w:val="000000"/>
          <w:sz w:val="22"/>
          <w:szCs w:val="22"/>
          <w:rtl/>
        </w:rPr>
        <w:t>ירון מינטקביץ 54678313</w:t>
      </w:r>
    </w:p>
    <w:p w14:paraId="3D2E6261" w14:textId="77777777" w:rsidR="00C346F0" w:rsidRDefault="00C346F0" w:rsidP="00C346F0">
      <w:r w:rsidRPr="00C346F0">
        <w:rPr>
          <w:color w:val="000000"/>
          <w:rtl/>
        </w:rPr>
        <w:t>נוסח מסמך זה כפוף לשינויי ניסוח ועריכה</w:t>
      </w:r>
    </w:p>
    <w:p w14:paraId="3780F237" w14:textId="77777777" w:rsidR="00C346F0" w:rsidRDefault="00C346F0" w:rsidP="00C346F0">
      <w:pPr>
        <w:rPr>
          <w:rtl/>
        </w:rPr>
      </w:pPr>
    </w:p>
    <w:p w14:paraId="68D8ECB0" w14:textId="77777777" w:rsidR="00C346F0" w:rsidRDefault="00C346F0" w:rsidP="00C346F0">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sectPr w:rsidR="00C346F0" w:rsidSect="004E3A60">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D2A32" w14:textId="77777777" w:rsidR="00011683" w:rsidRDefault="00011683" w:rsidP="00335E52">
      <w:r>
        <w:separator/>
      </w:r>
    </w:p>
  </w:endnote>
  <w:endnote w:type="continuationSeparator" w:id="0">
    <w:p w14:paraId="31BAF6A8" w14:textId="77777777" w:rsidR="00011683" w:rsidRDefault="00011683" w:rsidP="0033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FEE63" w14:textId="77777777" w:rsidR="004E3A60" w:rsidRDefault="004E3A60" w:rsidP="004E3A6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14933E5" w14:textId="77777777" w:rsidR="00DE02F0" w:rsidRPr="004E3A60" w:rsidRDefault="004E3A60" w:rsidP="004E3A60">
    <w:pPr>
      <w:pStyle w:val="a5"/>
      <w:pBdr>
        <w:top w:val="single" w:sz="4" w:space="1" w:color="auto"/>
        <w:between w:val="single" w:sz="4" w:space="0" w:color="auto"/>
      </w:pBdr>
      <w:spacing w:after="60"/>
      <w:jc w:val="center"/>
      <w:rPr>
        <w:rFonts w:ascii="FrankRuehl" w:hAnsi="FrankRuehl" w:cs="FrankRuehl"/>
        <w:color w:val="000000"/>
      </w:rPr>
    </w:pPr>
    <w:r w:rsidRPr="004E3A6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41511" w14:textId="77777777" w:rsidR="004E3A60" w:rsidRDefault="004E3A60" w:rsidP="004E3A6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F5D21">
      <w:rPr>
        <w:rFonts w:ascii="FrankRuehl" w:hAnsi="FrankRuehl" w:cs="FrankRuehl"/>
        <w:noProof/>
        <w:rtl/>
      </w:rPr>
      <w:t>1</w:t>
    </w:r>
    <w:r>
      <w:rPr>
        <w:rFonts w:ascii="FrankRuehl" w:hAnsi="FrankRuehl" w:cs="FrankRuehl"/>
        <w:rtl/>
      </w:rPr>
      <w:fldChar w:fldCharType="end"/>
    </w:r>
  </w:p>
  <w:p w14:paraId="3EF8DA5C" w14:textId="77777777" w:rsidR="00DE02F0" w:rsidRPr="004E3A60" w:rsidRDefault="004E3A60" w:rsidP="004E3A60">
    <w:pPr>
      <w:pStyle w:val="a5"/>
      <w:pBdr>
        <w:top w:val="single" w:sz="4" w:space="1" w:color="auto"/>
        <w:between w:val="single" w:sz="4" w:space="0" w:color="auto"/>
      </w:pBdr>
      <w:spacing w:after="60"/>
      <w:jc w:val="center"/>
      <w:rPr>
        <w:rFonts w:ascii="FrankRuehl" w:hAnsi="FrankRuehl" w:cs="FrankRuehl"/>
        <w:color w:val="000000"/>
      </w:rPr>
    </w:pPr>
    <w:r w:rsidRPr="004E3A60">
      <w:rPr>
        <w:rFonts w:ascii="FrankRuehl" w:hAnsi="FrankRuehl" w:cs="FrankRuehl"/>
        <w:color w:val="000000"/>
      </w:rPr>
      <w:pict w14:anchorId="6926C5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C5F97" w14:textId="77777777" w:rsidR="00011683" w:rsidRDefault="00011683" w:rsidP="00335E52">
      <w:r>
        <w:separator/>
      </w:r>
    </w:p>
  </w:footnote>
  <w:footnote w:type="continuationSeparator" w:id="0">
    <w:p w14:paraId="0F4D0B17" w14:textId="77777777" w:rsidR="00011683" w:rsidRDefault="00011683" w:rsidP="00335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C2805" w14:textId="77777777" w:rsidR="00C346F0" w:rsidRPr="004E3A60" w:rsidRDefault="004E3A60" w:rsidP="004E3A6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24420-01-20</w:t>
    </w:r>
    <w:r>
      <w:rPr>
        <w:rFonts w:ascii="David" w:hAnsi="David"/>
        <w:color w:val="000000"/>
        <w:sz w:val="22"/>
        <w:szCs w:val="22"/>
        <w:rtl/>
      </w:rPr>
      <w:tab/>
      <w:t xml:space="preserve"> מדינת ישראל נ' מוחמד אבו סנינה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F496A" w14:textId="77777777" w:rsidR="00C346F0" w:rsidRPr="004E3A60" w:rsidRDefault="004E3A60" w:rsidP="004E3A6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24420-01-20</w:t>
    </w:r>
    <w:r>
      <w:rPr>
        <w:rFonts w:ascii="David" w:hAnsi="David"/>
        <w:color w:val="000000"/>
        <w:sz w:val="22"/>
        <w:szCs w:val="22"/>
        <w:rtl/>
      </w:rPr>
      <w:tab/>
      <w:t xml:space="preserve"> מדינת ישראל נ' מוחמד אבו סנינה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7179E4"/>
    <w:multiLevelType w:val="hybridMultilevel"/>
    <w:tmpl w:val="D5DAC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1369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3EBF"/>
    <w:rsid w:val="00011683"/>
    <w:rsid w:val="00072F90"/>
    <w:rsid w:val="001879FA"/>
    <w:rsid w:val="002212B5"/>
    <w:rsid w:val="002F53BA"/>
    <w:rsid w:val="003040D1"/>
    <w:rsid w:val="003061BB"/>
    <w:rsid w:val="00335E52"/>
    <w:rsid w:val="003A33AF"/>
    <w:rsid w:val="004E3A60"/>
    <w:rsid w:val="00A42DC2"/>
    <w:rsid w:val="00A93EBF"/>
    <w:rsid w:val="00AC0BC0"/>
    <w:rsid w:val="00C346F0"/>
    <w:rsid w:val="00DE02F0"/>
    <w:rsid w:val="00E71519"/>
    <w:rsid w:val="00EF5D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F9095C"/>
  <w15:chartTrackingRefBased/>
  <w15:docId w15:val="{772E47AF-012C-44CB-981A-B10C3826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3EB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93EBF"/>
    <w:pPr>
      <w:tabs>
        <w:tab w:val="center" w:pos="4153"/>
        <w:tab w:val="right" w:pos="8306"/>
      </w:tabs>
    </w:pPr>
  </w:style>
  <w:style w:type="character" w:customStyle="1" w:styleId="a4">
    <w:name w:val="כותרת עליונה תו"/>
    <w:link w:val="a3"/>
    <w:rsid w:val="00A93EBF"/>
    <w:rPr>
      <w:rFonts w:ascii="Times New Roman" w:eastAsia="Times New Roman" w:hAnsi="Times New Roman" w:cs="David"/>
      <w:sz w:val="24"/>
      <w:szCs w:val="24"/>
    </w:rPr>
  </w:style>
  <w:style w:type="paragraph" w:styleId="a5">
    <w:name w:val="footer"/>
    <w:basedOn w:val="a"/>
    <w:link w:val="a6"/>
    <w:rsid w:val="00A93EBF"/>
    <w:pPr>
      <w:tabs>
        <w:tab w:val="center" w:pos="4153"/>
        <w:tab w:val="right" w:pos="8306"/>
      </w:tabs>
    </w:pPr>
  </w:style>
  <w:style w:type="character" w:customStyle="1" w:styleId="a6">
    <w:name w:val="כותרת תחתונה תו"/>
    <w:link w:val="a5"/>
    <w:rsid w:val="00A93EBF"/>
    <w:rPr>
      <w:rFonts w:ascii="Times New Roman" w:eastAsia="Times New Roman" w:hAnsi="Times New Roman" w:cs="David"/>
      <w:sz w:val="24"/>
      <w:szCs w:val="24"/>
    </w:rPr>
  </w:style>
  <w:style w:type="table" w:styleId="a7">
    <w:name w:val="Table Grid"/>
    <w:basedOn w:val="a1"/>
    <w:rsid w:val="00A93EB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93EBF"/>
  </w:style>
  <w:style w:type="paragraph" w:styleId="a9">
    <w:name w:val="List Paragraph"/>
    <w:basedOn w:val="a"/>
    <w:qFormat/>
    <w:rsid w:val="00A93EBF"/>
    <w:pPr>
      <w:ind w:left="720"/>
      <w:contextualSpacing/>
    </w:pPr>
  </w:style>
  <w:style w:type="character" w:styleId="Hyperlink">
    <w:name w:val="Hyperlink"/>
    <w:rsid w:val="00A93E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1474168" TargetMode="External"/><Relationship Id="rId18" Type="http://schemas.openxmlformats.org/officeDocument/2006/relationships/hyperlink" Target="http://www.nevo.co.il/case/20817891"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s://www.nevo.co.il/psika_html/mechozi/ME-20-02-23517-773.htm" TargetMode="External"/><Relationship Id="rId34" Type="http://schemas.openxmlformats.org/officeDocument/2006/relationships/fontTable" Target="fontTable.xml"/><Relationship Id="rId7" Type="http://schemas.openxmlformats.org/officeDocument/2006/relationships/hyperlink" Target="http://www.nevo.co.il/case/26351040"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2228298" TargetMode="External"/><Relationship Id="rId25" Type="http://schemas.openxmlformats.org/officeDocument/2006/relationships/hyperlink" Target="http://www.nevo.co.il/law/70301/144"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5217995" TargetMode="External"/><Relationship Id="rId20" Type="http://schemas.openxmlformats.org/officeDocument/2006/relationships/hyperlink" Target="https://www.nevo.co.il/psika_html/mechozi/ME-20-02-56305-208.htm"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hC" TargetMode="External"/><Relationship Id="rId24" Type="http://schemas.openxmlformats.org/officeDocument/2006/relationships/hyperlink" Target="https://www.nevo.co.il/search/Highlighter.aspx?type=1"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nevo.co.il/search/Highlighter.aspx?type=1" TargetMode="External"/><Relationship Id="rId23" Type="http://schemas.openxmlformats.org/officeDocument/2006/relationships/hyperlink" Target="https://www.nevo.co.il/psika_html/mechozi/ME-15-11-27417-662.htm" TargetMode="External"/><Relationship Id="rId28" Type="http://schemas.openxmlformats.org/officeDocument/2006/relationships/hyperlink" Target="http://www.nevo.co.il/law/70301" TargetMode="External"/><Relationship Id="rId10" Type="http://schemas.openxmlformats.org/officeDocument/2006/relationships/hyperlink" Target="http://www.nevo.co.il/law/70301/hC" TargetMode="External"/><Relationship Id="rId19" Type="http://schemas.openxmlformats.org/officeDocument/2006/relationships/hyperlink" Target="http://www.nevo.co.il/case/23817589"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case/25612982" TargetMode="External"/><Relationship Id="rId22" Type="http://schemas.openxmlformats.org/officeDocument/2006/relationships/hyperlink" Target="https://www.nevo.co.il/psika_html/elyon/16024060-k02.htm" TargetMode="External"/><Relationship Id="rId27" Type="http://schemas.openxmlformats.org/officeDocument/2006/relationships/hyperlink" Target="http://www.nevo.co.il/law/70301/144"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1784</Words>
  <Characters>8922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10685</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6357092</vt:i4>
      </vt:variant>
      <vt:variant>
        <vt:i4>60</vt:i4>
      </vt:variant>
      <vt:variant>
        <vt:i4>0</vt:i4>
      </vt:variant>
      <vt:variant>
        <vt:i4>5</vt:i4>
      </vt:variant>
      <vt:variant>
        <vt:lpwstr>http://www.nevo.co.il/law/70301/144</vt:lpwstr>
      </vt:variant>
      <vt:variant>
        <vt:lpwstr/>
      </vt:variant>
      <vt:variant>
        <vt:i4>7995492</vt:i4>
      </vt:variant>
      <vt:variant>
        <vt:i4>57</vt:i4>
      </vt:variant>
      <vt:variant>
        <vt:i4>0</vt:i4>
      </vt:variant>
      <vt:variant>
        <vt:i4>5</vt:i4>
      </vt:variant>
      <vt:variant>
        <vt:lpwstr>http://www.nevo.co.il/law/70301</vt:lpwstr>
      </vt:variant>
      <vt:variant>
        <vt:lpwstr/>
      </vt:variant>
      <vt:variant>
        <vt:i4>6357092</vt:i4>
      </vt:variant>
      <vt:variant>
        <vt:i4>54</vt:i4>
      </vt:variant>
      <vt:variant>
        <vt:i4>0</vt:i4>
      </vt:variant>
      <vt:variant>
        <vt:i4>5</vt:i4>
      </vt:variant>
      <vt:variant>
        <vt:lpwstr>http://www.nevo.co.il/law/70301/144</vt:lpwstr>
      </vt:variant>
      <vt:variant>
        <vt:lpwstr/>
      </vt:variant>
      <vt:variant>
        <vt:i4>4456480</vt:i4>
      </vt:variant>
      <vt:variant>
        <vt:i4>51</vt:i4>
      </vt:variant>
      <vt:variant>
        <vt:i4>0</vt:i4>
      </vt:variant>
      <vt:variant>
        <vt:i4>5</vt:i4>
      </vt:variant>
      <vt:variant>
        <vt:lpwstr>https://www.nevo.co.il/search/Highlighter.aspx?type=1</vt:lpwstr>
      </vt:variant>
      <vt:variant>
        <vt:lpwstr>0</vt:lpwstr>
      </vt:variant>
      <vt:variant>
        <vt:i4>1114150</vt:i4>
      </vt:variant>
      <vt:variant>
        <vt:i4>48</vt:i4>
      </vt:variant>
      <vt:variant>
        <vt:i4>0</vt:i4>
      </vt:variant>
      <vt:variant>
        <vt:i4>5</vt:i4>
      </vt:variant>
      <vt:variant>
        <vt:lpwstr>https://www.nevo.co.il/psika_html/mechozi/ME-15-11-27417-662.htm</vt:lpwstr>
      </vt:variant>
      <vt:variant>
        <vt:lpwstr/>
      </vt:variant>
      <vt:variant>
        <vt:i4>4522038</vt:i4>
      </vt:variant>
      <vt:variant>
        <vt:i4>45</vt:i4>
      </vt:variant>
      <vt:variant>
        <vt:i4>0</vt:i4>
      </vt:variant>
      <vt:variant>
        <vt:i4>5</vt:i4>
      </vt:variant>
      <vt:variant>
        <vt:lpwstr>https://www.nevo.co.il/psika_html/elyon/16024060-k02.htm</vt:lpwstr>
      </vt:variant>
      <vt:variant>
        <vt:lpwstr/>
      </vt:variant>
      <vt:variant>
        <vt:i4>1048615</vt:i4>
      </vt:variant>
      <vt:variant>
        <vt:i4>42</vt:i4>
      </vt:variant>
      <vt:variant>
        <vt:i4>0</vt:i4>
      </vt:variant>
      <vt:variant>
        <vt:i4>5</vt:i4>
      </vt:variant>
      <vt:variant>
        <vt:lpwstr>https://www.nevo.co.il/psika_html/mechozi/ME-20-02-23517-773.htm</vt:lpwstr>
      </vt:variant>
      <vt:variant>
        <vt:lpwstr/>
      </vt:variant>
      <vt:variant>
        <vt:i4>1900580</vt:i4>
      </vt:variant>
      <vt:variant>
        <vt:i4>39</vt:i4>
      </vt:variant>
      <vt:variant>
        <vt:i4>0</vt:i4>
      </vt:variant>
      <vt:variant>
        <vt:i4>5</vt:i4>
      </vt:variant>
      <vt:variant>
        <vt:lpwstr>https://www.nevo.co.il/psika_html/mechozi/ME-20-02-56305-208.htm</vt:lpwstr>
      </vt:variant>
      <vt:variant>
        <vt:lpwstr/>
      </vt:variant>
      <vt:variant>
        <vt:i4>3473523</vt:i4>
      </vt:variant>
      <vt:variant>
        <vt:i4>36</vt:i4>
      </vt:variant>
      <vt:variant>
        <vt:i4>0</vt:i4>
      </vt:variant>
      <vt:variant>
        <vt:i4>5</vt:i4>
      </vt:variant>
      <vt:variant>
        <vt:lpwstr>http://www.nevo.co.il/case/23817589</vt:lpwstr>
      </vt:variant>
      <vt:variant>
        <vt:lpwstr/>
      </vt:variant>
      <vt:variant>
        <vt:i4>3407997</vt:i4>
      </vt:variant>
      <vt:variant>
        <vt:i4>33</vt:i4>
      </vt:variant>
      <vt:variant>
        <vt:i4>0</vt:i4>
      </vt:variant>
      <vt:variant>
        <vt:i4>5</vt:i4>
      </vt:variant>
      <vt:variant>
        <vt:lpwstr>http://www.nevo.co.il/case/20817891</vt:lpwstr>
      </vt:variant>
      <vt:variant>
        <vt:lpwstr/>
      </vt:variant>
      <vt:variant>
        <vt:i4>3211382</vt:i4>
      </vt:variant>
      <vt:variant>
        <vt:i4>30</vt:i4>
      </vt:variant>
      <vt:variant>
        <vt:i4>0</vt:i4>
      </vt:variant>
      <vt:variant>
        <vt:i4>5</vt:i4>
      </vt:variant>
      <vt:variant>
        <vt:lpwstr>http://www.nevo.co.il/case/22228298</vt:lpwstr>
      </vt:variant>
      <vt:variant>
        <vt:lpwstr/>
      </vt:variant>
      <vt:variant>
        <vt:i4>4063353</vt:i4>
      </vt:variant>
      <vt:variant>
        <vt:i4>27</vt:i4>
      </vt:variant>
      <vt:variant>
        <vt:i4>0</vt:i4>
      </vt:variant>
      <vt:variant>
        <vt:i4>5</vt:i4>
      </vt:variant>
      <vt:variant>
        <vt:lpwstr>http://www.nevo.co.il/case/25217995</vt:lpwstr>
      </vt:variant>
      <vt:variant>
        <vt:lpwstr/>
      </vt:variant>
      <vt:variant>
        <vt:i4>4456480</vt:i4>
      </vt:variant>
      <vt:variant>
        <vt:i4>24</vt:i4>
      </vt:variant>
      <vt:variant>
        <vt:i4>0</vt:i4>
      </vt:variant>
      <vt:variant>
        <vt:i4>5</vt:i4>
      </vt:variant>
      <vt:variant>
        <vt:lpwstr>https://www.nevo.co.il/search/Highlighter.aspx?type=1</vt:lpwstr>
      </vt:variant>
      <vt:variant>
        <vt:lpwstr>0</vt:lpwstr>
      </vt:variant>
      <vt:variant>
        <vt:i4>4063353</vt:i4>
      </vt:variant>
      <vt:variant>
        <vt:i4>21</vt:i4>
      </vt:variant>
      <vt:variant>
        <vt:i4>0</vt:i4>
      </vt:variant>
      <vt:variant>
        <vt:i4>5</vt:i4>
      </vt:variant>
      <vt:variant>
        <vt:lpwstr>http://www.nevo.co.il/case/25612982</vt:lpwstr>
      </vt:variant>
      <vt:variant>
        <vt:lpwstr/>
      </vt:variant>
      <vt:variant>
        <vt:i4>3407987</vt:i4>
      </vt:variant>
      <vt:variant>
        <vt:i4>18</vt:i4>
      </vt:variant>
      <vt:variant>
        <vt:i4>0</vt:i4>
      </vt:variant>
      <vt:variant>
        <vt:i4>5</vt:i4>
      </vt:variant>
      <vt:variant>
        <vt:lpwstr>http://www.nevo.co.il/case/21474168</vt:lpwstr>
      </vt:variant>
      <vt:variant>
        <vt:lpwstr/>
      </vt:variant>
      <vt:variant>
        <vt:i4>7995492</vt:i4>
      </vt:variant>
      <vt:variant>
        <vt:i4>15</vt:i4>
      </vt:variant>
      <vt:variant>
        <vt:i4>0</vt:i4>
      </vt:variant>
      <vt:variant>
        <vt:i4>5</vt:i4>
      </vt:variant>
      <vt:variant>
        <vt:lpwstr>http://www.nevo.co.il/law/70301</vt:lpwstr>
      </vt:variant>
      <vt:variant>
        <vt:lpwstr/>
      </vt:variant>
      <vt:variant>
        <vt:i4>3539005</vt:i4>
      </vt:variant>
      <vt:variant>
        <vt:i4>12</vt:i4>
      </vt:variant>
      <vt:variant>
        <vt:i4>0</vt:i4>
      </vt:variant>
      <vt:variant>
        <vt:i4>5</vt:i4>
      </vt:variant>
      <vt:variant>
        <vt:lpwstr>http://www.nevo.co.il/law/70301/hC</vt:lpwstr>
      </vt:variant>
      <vt:variant>
        <vt:lpwstr/>
      </vt:variant>
      <vt:variant>
        <vt:i4>3539005</vt:i4>
      </vt:variant>
      <vt:variant>
        <vt:i4>9</vt:i4>
      </vt:variant>
      <vt:variant>
        <vt:i4>0</vt:i4>
      </vt:variant>
      <vt:variant>
        <vt:i4>5</vt:i4>
      </vt:variant>
      <vt:variant>
        <vt:lpwstr>http://www.nevo.co.il/law/70301/hC</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7995492</vt:i4>
      </vt:variant>
      <vt:variant>
        <vt:i4>3</vt:i4>
      </vt:variant>
      <vt:variant>
        <vt:i4>0</vt:i4>
      </vt:variant>
      <vt:variant>
        <vt:i4>5</vt:i4>
      </vt:variant>
      <vt:variant>
        <vt:lpwstr>http://www.nevo.co.il/law/70301</vt:lpwstr>
      </vt:variant>
      <vt:variant>
        <vt:lpwstr/>
      </vt:variant>
      <vt:variant>
        <vt:i4>3407991</vt:i4>
      </vt:variant>
      <vt:variant>
        <vt:i4>0</vt:i4>
      </vt:variant>
      <vt:variant>
        <vt:i4>0</vt:i4>
      </vt:variant>
      <vt:variant>
        <vt:i4>5</vt:i4>
      </vt:variant>
      <vt:variant>
        <vt:lpwstr>http://www.nevo.co.il/case/26351040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2025-01-19T17:43:00Z</dcterms:created>
  <dcterms:modified xsi:type="dcterms:W3CDTF">2025-01-19T17:43:00Z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24420</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מוחמד אבו סנינה</vt:lpwstr>
  </property>
  <property fmtid="{D5CDD505-2E9C-101B-9397-08002B2CF9AE}" pid="10" name="LAWYER">
    <vt:lpwstr>שירה גרין;ראמי עותמאן</vt:lpwstr>
  </property>
  <property fmtid="{D5CDD505-2E9C-101B-9397-08002B2CF9AE}" pid="11" name="JUDGE">
    <vt:lpwstr>ירון מינטקביץ</vt:lpwstr>
  </property>
  <property fmtid="{D5CDD505-2E9C-101B-9397-08002B2CF9AE}" pid="12" name="CITY">
    <vt:lpwstr>י-ם</vt:lpwstr>
  </property>
  <property fmtid="{D5CDD505-2E9C-101B-9397-08002B2CF9AE}" pid="13" name="DATE">
    <vt:lpwstr>20201020</vt:lpwstr>
  </property>
  <property fmtid="{D5CDD505-2E9C-101B-9397-08002B2CF9AE}" pid="14" name="TYPE_N_DATE">
    <vt:lpwstr>38020201020</vt:lpwstr>
  </property>
  <property fmtid="{D5CDD505-2E9C-101B-9397-08002B2CF9AE}" pid="15" name="WORDNUMPAGES">
    <vt:lpwstr>6</vt:lpwstr>
  </property>
  <property fmtid="{D5CDD505-2E9C-101B-9397-08002B2CF9AE}" pid="16" name="TYPE_ABS_DATE">
    <vt:lpwstr>380020201020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26351040;21474168;25612982;25217995;22228298;20817891;23817589</vt:lpwstr>
  </property>
  <property fmtid="{D5CDD505-2E9C-101B-9397-08002B2CF9AE}" pid="36" name="LAWLISTTMP1">
    <vt:lpwstr>70301/hC;144:2</vt:lpwstr>
  </property>
</Properties>
</file>