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B3A12" w:rsidRPr="008D39BF" w14:paraId="05849620" w14:textId="77777777" w:rsidTr="00624A4D">
        <w:trPr>
          <w:trHeight w:hRule="exact" w:val="418"/>
          <w:jc w:val="center"/>
        </w:trPr>
        <w:tc>
          <w:tcPr>
            <w:tcW w:w="8721" w:type="dxa"/>
            <w:gridSpan w:val="2"/>
          </w:tcPr>
          <w:p w14:paraId="1C47B201" w14:textId="77777777" w:rsidR="003B3A12" w:rsidRPr="008D39BF" w:rsidRDefault="003B3A12" w:rsidP="00DF58DE">
            <w:pPr>
              <w:pStyle w:val="a3"/>
              <w:jc w:val="center"/>
              <w:rPr>
                <w:rFonts w:ascii="Tahoma" w:hAnsi="Tahoma" w:cs="Tahoma"/>
                <w:color w:val="000080"/>
                <w:rtl/>
              </w:rPr>
            </w:pPr>
            <w:bookmarkStart w:id="0" w:name="LastJudge"/>
            <w:r w:rsidRPr="008D39BF">
              <w:rPr>
                <w:rFonts w:ascii="Tahoma" w:hAnsi="Tahoma" w:cs="Tahoma"/>
                <w:b/>
                <w:bCs/>
                <w:color w:val="000080"/>
                <w:rtl/>
              </w:rPr>
              <w:t>בית משפט השלום בירושלים</w:t>
            </w:r>
          </w:p>
        </w:tc>
      </w:tr>
      <w:tr w:rsidR="003B3A12" w:rsidRPr="008D39BF" w14:paraId="523CB842" w14:textId="77777777" w:rsidTr="00624A4D">
        <w:trPr>
          <w:trHeight w:val="337"/>
          <w:jc w:val="center"/>
        </w:trPr>
        <w:tc>
          <w:tcPr>
            <w:tcW w:w="5054" w:type="dxa"/>
          </w:tcPr>
          <w:p w14:paraId="4A800139" w14:textId="77777777" w:rsidR="003B3A12" w:rsidRPr="008D39BF" w:rsidRDefault="003B3A12" w:rsidP="00DF58DE">
            <w:pPr>
              <w:rPr>
                <w:rFonts w:cs="FrankRuehl"/>
                <w:sz w:val="28"/>
                <w:szCs w:val="28"/>
                <w:rtl/>
              </w:rPr>
            </w:pPr>
            <w:r w:rsidRPr="008D39BF">
              <w:rPr>
                <w:rFonts w:cs="FrankRuehl"/>
                <w:sz w:val="28"/>
                <w:szCs w:val="28"/>
                <w:rtl/>
              </w:rPr>
              <w:t>ת"פ</w:t>
            </w:r>
            <w:r w:rsidRPr="008D39BF">
              <w:rPr>
                <w:rFonts w:cs="FrankRuehl" w:hint="cs"/>
                <w:sz w:val="28"/>
                <w:szCs w:val="28"/>
                <w:rtl/>
              </w:rPr>
              <w:t xml:space="preserve"> </w:t>
            </w:r>
            <w:r w:rsidRPr="008D39BF">
              <w:rPr>
                <w:rFonts w:cs="FrankRuehl"/>
                <w:sz w:val="28"/>
                <w:szCs w:val="28"/>
                <w:rtl/>
              </w:rPr>
              <w:t>35543-02-20</w:t>
            </w:r>
            <w:r w:rsidRPr="008D39BF">
              <w:rPr>
                <w:rFonts w:cs="FrankRuehl" w:hint="cs"/>
                <w:sz w:val="28"/>
                <w:szCs w:val="28"/>
                <w:rtl/>
              </w:rPr>
              <w:t xml:space="preserve"> </w:t>
            </w:r>
            <w:r w:rsidRPr="008D39BF">
              <w:rPr>
                <w:rFonts w:cs="FrankRuehl"/>
                <w:sz w:val="28"/>
                <w:szCs w:val="28"/>
                <w:rtl/>
              </w:rPr>
              <w:t xml:space="preserve">מדינת ישראל נ' </w:t>
            </w:r>
            <w:r w:rsidRPr="008D39BF">
              <w:rPr>
                <w:rFonts w:cs="FrankRuehl" w:hint="cs"/>
                <w:sz w:val="28"/>
                <w:szCs w:val="28"/>
                <w:rtl/>
              </w:rPr>
              <w:t>פלוני</w:t>
            </w:r>
          </w:p>
          <w:p w14:paraId="2BBBB901" w14:textId="77777777" w:rsidR="003B3A12" w:rsidRPr="008D39BF" w:rsidRDefault="003B3A12" w:rsidP="00DF58DE">
            <w:pPr>
              <w:pStyle w:val="a3"/>
              <w:rPr>
                <w:rFonts w:cs="FrankRuehl"/>
                <w:sz w:val="28"/>
                <w:szCs w:val="28"/>
                <w:rtl/>
              </w:rPr>
            </w:pPr>
          </w:p>
        </w:tc>
        <w:tc>
          <w:tcPr>
            <w:tcW w:w="3667" w:type="dxa"/>
          </w:tcPr>
          <w:p w14:paraId="5BB53846" w14:textId="77777777" w:rsidR="003B3A12" w:rsidRPr="008D39BF" w:rsidRDefault="003B3A12" w:rsidP="00DF58DE">
            <w:pPr>
              <w:pStyle w:val="a3"/>
              <w:jc w:val="right"/>
              <w:rPr>
                <w:rFonts w:cs="FrankRuehl"/>
                <w:sz w:val="28"/>
                <w:szCs w:val="28"/>
                <w:rtl/>
              </w:rPr>
            </w:pPr>
          </w:p>
        </w:tc>
      </w:tr>
    </w:tbl>
    <w:p w14:paraId="7E75AC37" w14:textId="77777777" w:rsidR="003B3A12" w:rsidRPr="008D39BF" w:rsidRDefault="003B3A12" w:rsidP="003B3A12">
      <w:pPr>
        <w:pStyle w:val="a3"/>
        <w:rPr>
          <w:rtl/>
        </w:rPr>
      </w:pPr>
      <w:r w:rsidRPr="008D39BF">
        <w:rPr>
          <w:rFonts w:hint="cs"/>
          <w:rtl/>
        </w:rPr>
        <w:t xml:space="preserve"> </w:t>
      </w:r>
    </w:p>
    <w:p w14:paraId="035CBDEF" w14:textId="77777777" w:rsidR="003B3A12" w:rsidRPr="008D39BF" w:rsidRDefault="003B3A12" w:rsidP="003B3A12">
      <w:pPr>
        <w:rPr>
          <w:rtl/>
        </w:rPr>
      </w:pPr>
    </w:p>
    <w:p w14:paraId="17EF285C" w14:textId="77777777" w:rsidR="003B3A12" w:rsidRPr="008D39BF" w:rsidRDefault="003B3A12" w:rsidP="003B3A1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3B3A12" w:rsidRPr="008D39BF" w14:paraId="58063177" w14:textId="77777777" w:rsidTr="003B3A12">
        <w:trPr>
          <w:trHeight w:val="295"/>
          <w:jc w:val="center"/>
        </w:trPr>
        <w:tc>
          <w:tcPr>
            <w:tcW w:w="923" w:type="dxa"/>
            <w:tcBorders>
              <w:top w:val="nil"/>
              <w:left w:val="nil"/>
              <w:bottom w:val="nil"/>
              <w:right w:val="nil"/>
            </w:tcBorders>
            <w:shd w:val="clear" w:color="auto" w:fill="auto"/>
          </w:tcPr>
          <w:p w14:paraId="4CEBFD2E" w14:textId="77777777" w:rsidR="003B3A12" w:rsidRPr="008D39BF" w:rsidRDefault="003B3A12" w:rsidP="003B3A12">
            <w:pPr>
              <w:jc w:val="both"/>
              <w:rPr>
                <w:rFonts w:ascii="David" w:hAnsi="David"/>
                <w:sz w:val="26"/>
                <w:szCs w:val="26"/>
              </w:rPr>
            </w:pPr>
            <w:r w:rsidRPr="008D39BF">
              <w:rPr>
                <w:rFonts w:ascii="David" w:hAnsi="David" w:hint="cs"/>
                <w:sz w:val="26"/>
                <w:szCs w:val="26"/>
                <w:rtl/>
              </w:rPr>
              <w:t>ל</w:t>
            </w:r>
            <w:r w:rsidRPr="008D39BF">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145CAA8D" w14:textId="77777777" w:rsidR="003B3A12" w:rsidRPr="008D39BF" w:rsidRDefault="003B3A12" w:rsidP="00DF58DE">
            <w:pPr>
              <w:rPr>
                <w:rFonts w:ascii="David" w:hAnsi="David"/>
                <w:b/>
                <w:bCs/>
                <w:sz w:val="26"/>
                <w:szCs w:val="26"/>
                <w:rtl/>
              </w:rPr>
            </w:pPr>
            <w:r w:rsidRPr="008D39BF">
              <w:rPr>
                <w:rFonts w:ascii="David" w:hAnsi="David"/>
                <w:b/>
                <w:bCs/>
                <w:sz w:val="26"/>
                <w:szCs w:val="26"/>
                <w:rtl/>
              </w:rPr>
              <w:t>כבוד השופט מוחמד חאג' יחיא</w:t>
            </w:r>
          </w:p>
          <w:p w14:paraId="420798B9" w14:textId="77777777" w:rsidR="003B3A12" w:rsidRPr="008D39BF" w:rsidRDefault="003B3A12" w:rsidP="00DF58DE">
            <w:pPr>
              <w:rPr>
                <w:rFonts w:ascii="David" w:hAnsi="David"/>
                <w:sz w:val="26"/>
                <w:szCs w:val="26"/>
                <w:rtl/>
              </w:rPr>
            </w:pPr>
          </w:p>
          <w:p w14:paraId="387ABF35" w14:textId="77777777" w:rsidR="003B3A12" w:rsidRPr="008D39BF" w:rsidRDefault="003B3A12" w:rsidP="003B3A12">
            <w:pPr>
              <w:jc w:val="both"/>
              <w:rPr>
                <w:rFonts w:ascii="David" w:hAnsi="David"/>
                <w:sz w:val="26"/>
                <w:szCs w:val="26"/>
              </w:rPr>
            </w:pPr>
          </w:p>
        </w:tc>
      </w:tr>
      <w:tr w:rsidR="003B3A12" w:rsidRPr="008D39BF" w14:paraId="0908B1F1" w14:textId="77777777" w:rsidTr="003B3A12">
        <w:trPr>
          <w:trHeight w:val="355"/>
          <w:jc w:val="center"/>
        </w:trPr>
        <w:tc>
          <w:tcPr>
            <w:tcW w:w="923" w:type="dxa"/>
            <w:tcBorders>
              <w:top w:val="nil"/>
              <w:left w:val="nil"/>
              <w:bottom w:val="nil"/>
              <w:right w:val="nil"/>
            </w:tcBorders>
            <w:shd w:val="clear" w:color="auto" w:fill="auto"/>
          </w:tcPr>
          <w:p w14:paraId="00A47A93" w14:textId="77777777" w:rsidR="003B3A12" w:rsidRPr="008D39BF" w:rsidRDefault="003B3A12" w:rsidP="003B3A12">
            <w:pPr>
              <w:jc w:val="both"/>
              <w:rPr>
                <w:rFonts w:ascii="David" w:hAnsi="David"/>
                <w:sz w:val="26"/>
                <w:szCs w:val="26"/>
              </w:rPr>
            </w:pPr>
            <w:bookmarkStart w:id="1" w:name="FirstAppellant"/>
            <w:r w:rsidRPr="008D39BF">
              <w:rPr>
                <w:rFonts w:ascii="David" w:hAnsi="David"/>
                <w:sz w:val="26"/>
                <w:szCs w:val="26"/>
                <w:rtl/>
              </w:rPr>
              <w:t>בעניין:</w:t>
            </w:r>
          </w:p>
        </w:tc>
        <w:tc>
          <w:tcPr>
            <w:tcW w:w="3219" w:type="dxa"/>
            <w:tcBorders>
              <w:top w:val="nil"/>
              <w:left w:val="nil"/>
              <w:bottom w:val="nil"/>
              <w:right w:val="nil"/>
            </w:tcBorders>
            <w:shd w:val="clear" w:color="auto" w:fill="auto"/>
          </w:tcPr>
          <w:p w14:paraId="40FF12CC" w14:textId="77777777" w:rsidR="003B3A12" w:rsidRPr="008D39BF" w:rsidRDefault="003B3A12" w:rsidP="003B3A12">
            <w:pPr>
              <w:suppressLineNumbers/>
            </w:pPr>
            <w:r w:rsidRPr="008D39BF">
              <w:rPr>
                <w:rFonts w:ascii="Arial" w:hAnsi="Arial" w:hint="cs"/>
                <w:b/>
                <w:bCs/>
                <w:sz w:val="26"/>
                <w:szCs w:val="26"/>
                <w:rtl/>
              </w:rPr>
              <w:t>ה</w:t>
            </w:r>
            <w:r w:rsidRPr="008D39BF">
              <w:rPr>
                <w:rFonts w:ascii="Arial" w:hAnsi="Arial"/>
                <w:b/>
                <w:bCs/>
                <w:sz w:val="26"/>
                <w:szCs w:val="26"/>
                <w:rtl/>
              </w:rPr>
              <w:t>מאשימה</w:t>
            </w:r>
          </w:p>
          <w:p w14:paraId="1480FB33" w14:textId="77777777" w:rsidR="003B3A12" w:rsidRPr="008D39BF" w:rsidRDefault="003B3A12" w:rsidP="00DF58DE">
            <w:pPr>
              <w:rPr>
                <w:rFonts w:ascii="David" w:hAnsi="David"/>
                <w:sz w:val="26"/>
                <w:szCs w:val="26"/>
              </w:rPr>
            </w:pPr>
          </w:p>
        </w:tc>
        <w:tc>
          <w:tcPr>
            <w:tcW w:w="4678" w:type="dxa"/>
            <w:tcBorders>
              <w:top w:val="nil"/>
              <w:left w:val="nil"/>
              <w:bottom w:val="nil"/>
              <w:right w:val="nil"/>
            </w:tcBorders>
            <w:shd w:val="clear" w:color="auto" w:fill="auto"/>
            <w:vAlign w:val="center"/>
          </w:tcPr>
          <w:p w14:paraId="33317F5D" w14:textId="77777777" w:rsidR="003B3A12" w:rsidRPr="008D39BF" w:rsidRDefault="003B3A12" w:rsidP="003B3A12">
            <w:pPr>
              <w:suppressLineNumbers/>
              <w:rPr>
                <w:rFonts w:ascii="Arial" w:hAnsi="Arial"/>
                <w:b/>
                <w:bCs/>
                <w:sz w:val="26"/>
                <w:szCs w:val="26"/>
                <w:rtl/>
              </w:rPr>
            </w:pPr>
            <w:r w:rsidRPr="008D39BF">
              <w:rPr>
                <w:rFonts w:ascii="Arial" w:hAnsi="Arial"/>
                <w:b/>
                <w:bCs/>
                <w:sz w:val="26"/>
                <w:szCs w:val="26"/>
                <w:rtl/>
              </w:rPr>
              <w:t>מדינת ישראל</w:t>
            </w:r>
            <w:r w:rsidRPr="008D39BF">
              <w:rPr>
                <w:rFonts w:ascii="Arial" w:hAnsi="Arial" w:hint="cs"/>
                <w:b/>
                <w:bCs/>
                <w:sz w:val="26"/>
                <w:szCs w:val="26"/>
                <w:rtl/>
              </w:rPr>
              <w:t xml:space="preserve"> </w:t>
            </w:r>
          </w:p>
          <w:p w14:paraId="0CEFD03B" w14:textId="77777777" w:rsidR="003B3A12" w:rsidRPr="008D39BF" w:rsidRDefault="003B3A12" w:rsidP="003B3A12">
            <w:pPr>
              <w:suppressLineNumbers/>
            </w:pPr>
            <w:r w:rsidRPr="008D39BF">
              <w:rPr>
                <w:rFonts w:ascii="Arial" w:hAnsi="Arial"/>
                <w:sz w:val="26"/>
                <w:szCs w:val="26"/>
                <w:rtl/>
              </w:rPr>
              <w:t>ע"י</w:t>
            </w:r>
            <w:r w:rsidRPr="008D39BF">
              <w:rPr>
                <w:rFonts w:ascii="Arial" w:hAnsi="Arial" w:hint="cs"/>
                <w:sz w:val="26"/>
                <w:szCs w:val="26"/>
                <w:rtl/>
              </w:rPr>
              <w:t xml:space="preserve"> חטיבת תביעות י-ם </w:t>
            </w:r>
            <w:r w:rsidRPr="008D39BF">
              <w:rPr>
                <w:rFonts w:ascii="Arial" w:hAnsi="Arial"/>
                <w:sz w:val="26"/>
                <w:szCs w:val="26"/>
                <w:rtl/>
              </w:rPr>
              <w:t>–</w:t>
            </w:r>
            <w:r w:rsidRPr="008D39BF">
              <w:rPr>
                <w:rFonts w:ascii="Arial" w:hAnsi="Arial" w:hint="cs"/>
                <w:sz w:val="26"/>
                <w:szCs w:val="26"/>
                <w:rtl/>
              </w:rPr>
              <w:t xml:space="preserve"> משטרת ישראל</w:t>
            </w:r>
          </w:p>
          <w:p w14:paraId="671418CF" w14:textId="77777777" w:rsidR="003B3A12" w:rsidRPr="008D39BF" w:rsidRDefault="003B3A12" w:rsidP="00DF58DE">
            <w:pPr>
              <w:rPr>
                <w:rFonts w:ascii="David" w:hAnsi="David"/>
                <w:sz w:val="26"/>
                <w:szCs w:val="26"/>
              </w:rPr>
            </w:pPr>
          </w:p>
        </w:tc>
      </w:tr>
      <w:bookmarkEnd w:id="1"/>
      <w:tr w:rsidR="003B3A12" w:rsidRPr="008D39BF" w14:paraId="203C269F" w14:textId="77777777" w:rsidTr="003B3A12">
        <w:trPr>
          <w:trHeight w:val="355"/>
          <w:jc w:val="center"/>
        </w:trPr>
        <w:tc>
          <w:tcPr>
            <w:tcW w:w="923" w:type="dxa"/>
            <w:tcBorders>
              <w:top w:val="nil"/>
              <w:left w:val="nil"/>
              <w:bottom w:val="nil"/>
              <w:right w:val="nil"/>
            </w:tcBorders>
            <w:shd w:val="clear" w:color="auto" w:fill="auto"/>
          </w:tcPr>
          <w:p w14:paraId="2D9F1DE1" w14:textId="77777777" w:rsidR="003B3A12" w:rsidRPr="008D39BF" w:rsidRDefault="003B3A12" w:rsidP="003B3A12">
            <w:pPr>
              <w:jc w:val="both"/>
              <w:rPr>
                <w:rFonts w:ascii="David" w:hAnsi="David"/>
                <w:sz w:val="26"/>
                <w:szCs w:val="26"/>
                <w:rtl/>
              </w:rPr>
            </w:pPr>
          </w:p>
          <w:p w14:paraId="4C4A0479" w14:textId="77777777" w:rsidR="003B3A12" w:rsidRPr="008D39BF" w:rsidRDefault="003B3A12" w:rsidP="003B3A12">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4E9A7797" w14:textId="77777777" w:rsidR="003B3A12" w:rsidRPr="008D39BF" w:rsidRDefault="003B3A12" w:rsidP="003B3A12">
            <w:pPr>
              <w:jc w:val="center"/>
              <w:rPr>
                <w:rFonts w:ascii="David" w:hAnsi="David"/>
                <w:b/>
                <w:bCs/>
                <w:sz w:val="26"/>
                <w:szCs w:val="26"/>
                <w:rtl/>
              </w:rPr>
            </w:pPr>
          </w:p>
          <w:p w14:paraId="16EAA956" w14:textId="77777777" w:rsidR="003B3A12" w:rsidRPr="008D39BF" w:rsidRDefault="003B3A12" w:rsidP="003B3A12">
            <w:pPr>
              <w:jc w:val="center"/>
              <w:rPr>
                <w:rFonts w:ascii="David" w:hAnsi="David"/>
                <w:b/>
                <w:bCs/>
                <w:sz w:val="26"/>
                <w:szCs w:val="26"/>
                <w:rtl/>
              </w:rPr>
            </w:pPr>
            <w:r w:rsidRPr="008D39BF">
              <w:rPr>
                <w:rFonts w:ascii="David" w:hAnsi="David"/>
                <w:b/>
                <w:bCs/>
                <w:sz w:val="26"/>
                <w:szCs w:val="26"/>
                <w:rtl/>
              </w:rPr>
              <w:t>נגד</w:t>
            </w:r>
          </w:p>
          <w:p w14:paraId="436EF4AD" w14:textId="77777777" w:rsidR="003B3A12" w:rsidRPr="008D39BF" w:rsidRDefault="003B3A12" w:rsidP="003B3A12">
            <w:pPr>
              <w:jc w:val="both"/>
              <w:rPr>
                <w:rFonts w:ascii="David" w:hAnsi="David"/>
                <w:sz w:val="26"/>
                <w:szCs w:val="26"/>
                <w:rtl/>
              </w:rPr>
            </w:pPr>
          </w:p>
          <w:p w14:paraId="12AD5FAD" w14:textId="77777777" w:rsidR="003B3A12" w:rsidRPr="008D39BF" w:rsidRDefault="003B3A12" w:rsidP="003B3A12">
            <w:pPr>
              <w:jc w:val="both"/>
              <w:rPr>
                <w:rFonts w:ascii="David" w:hAnsi="David"/>
                <w:sz w:val="26"/>
                <w:szCs w:val="26"/>
              </w:rPr>
            </w:pPr>
          </w:p>
        </w:tc>
      </w:tr>
      <w:tr w:rsidR="003B3A12" w:rsidRPr="008D39BF" w14:paraId="5415F225" w14:textId="77777777" w:rsidTr="003B3A12">
        <w:trPr>
          <w:trHeight w:val="355"/>
          <w:jc w:val="center"/>
        </w:trPr>
        <w:tc>
          <w:tcPr>
            <w:tcW w:w="923" w:type="dxa"/>
            <w:tcBorders>
              <w:top w:val="nil"/>
              <w:left w:val="nil"/>
              <w:bottom w:val="nil"/>
              <w:right w:val="nil"/>
            </w:tcBorders>
            <w:shd w:val="clear" w:color="auto" w:fill="auto"/>
          </w:tcPr>
          <w:p w14:paraId="3EA27322" w14:textId="77777777" w:rsidR="003B3A12" w:rsidRPr="008D39BF" w:rsidRDefault="003B3A12" w:rsidP="00DF58DE">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7927C33A" w14:textId="77777777" w:rsidR="003B3A12" w:rsidRPr="008D39BF" w:rsidRDefault="003B3A12" w:rsidP="00DF58DE">
            <w:pPr>
              <w:rPr>
                <w:rFonts w:ascii="Arial" w:hAnsi="Arial"/>
                <w:b/>
                <w:bCs/>
                <w:sz w:val="26"/>
                <w:szCs w:val="26"/>
                <w:rtl/>
              </w:rPr>
            </w:pPr>
            <w:r w:rsidRPr="008D39BF">
              <w:rPr>
                <w:rFonts w:ascii="Arial" w:hAnsi="Arial"/>
                <w:b/>
                <w:bCs/>
                <w:sz w:val="26"/>
                <w:szCs w:val="26"/>
                <w:rtl/>
              </w:rPr>
              <w:t>הנאש</w:t>
            </w:r>
            <w:r w:rsidRPr="008D39BF">
              <w:rPr>
                <w:rFonts w:ascii="Arial" w:hAnsi="Arial" w:hint="cs"/>
                <w:b/>
                <w:bCs/>
                <w:sz w:val="26"/>
                <w:szCs w:val="26"/>
                <w:rtl/>
              </w:rPr>
              <w:t>ם</w:t>
            </w:r>
          </w:p>
        </w:tc>
        <w:tc>
          <w:tcPr>
            <w:tcW w:w="4678" w:type="dxa"/>
            <w:tcBorders>
              <w:top w:val="nil"/>
              <w:left w:val="nil"/>
              <w:bottom w:val="nil"/>
              <w:right w:val="nil"/>
            </w:tcBorders>
            <w:shd w:val="clear" w:color="auto" w:fill="auto"/>
            <w:vAlign w:val="center"/>
          </w:tcPr>
          <w:p w14:paraId="05798D26" w14:textId="77777777" w:rsidR="003B3A12" w:rsidRPr="008D39BF" w:rsidRDefault="003B3A12" w:rsidP="003B3A12">
            <w:pPr>
              <w:suppressLineNumbers/>
              <w:rPr>
                <w:rFonts w:ascii="Arial" w:hAnsi="Arial"/>
                <w:b/>
                <w:bCs/>
                <w:sz w:val="26"/>
                <w:szCs w:val="26"/>
                <w:rtl/>
              </w:rPr>
            </w:pPr>
            <w:r w:rsidRPr="008D39BF">
              <w:rPr>
                <w:rFonts w:ascii="Arial" w:hAnsi="Arial" w:hint="cs"/>
                <w:b/>
                <w:bCs/>
                <w:sz w:val="26"/>
                <w:szCs w:val="26"/>
                <w:rtl/>
              </w:rPr>
              <w:t>פלוני</w:t>
            </w:r>
          </w:p>
          <w:p w14:paraId="23288EB3" w14:textId="77777777" w:rsidR="003B3A12" w:rsidRPr="008D39BF" w:rsidRDefault="003B3A12" w:rsidP="003B3A12">
            <w:pPr>
              <w:suppressLineNumbers/>
            </w:pPr>
            <w:r w:rsidRPr="008D39BF">
              <w:rPr>
                <w:rFonts w:ascii="Arial" w:hAnsi="Arial"/>
                <w:sz w:val="26"/>
                <w:szCs w:val="26"/>
                <w:rtl/>
              </w:rPr>
              <w:t>ע"י ב"כ עו"ד</w:t>
            </w:r>
            <w:r w:rsidRPr="008D39BF">
              <w:rPr>
                <w:rFonts w:ascii="Arial" w:hAnsi="Arial" w:hint="cs"/>
                <w:sz w:val="26"/>
                <w:szCs w:val="26"/>
                <w:rtl/>
              </w:rPr>
              <w:t xml:space="preserve"> אבשלום גיספאן</w:t>
            </w:r>
          </w:p>
          <w:p w14:paraId="65F71CBA" w14:textId="77777777" w:rsidR="003B3A12" w:rsidRPr="008D39BF" w:rsidRDefault="003B3A12" w:rsidP="00DF58DE">
            <w:pPr>
              <w:rPr>
                <w:rFonts w:ascii="David" w:hAnsi="David"/>
                <w:sz w:val="26"/>
                <w:szCs w:val="26"/>
              </w:rPr>
            </w:pPr>
          </w:p>
        </w:tc>
      </w:tr>
      <w:bookmarkEnd w:id="2"/>
    </w:tbl>
    <w:p w14:paraId="68F768D4" w14:textId="77777777" w:rsidR="009465A1" w:rsidRPr="009465A1" w:rsidRDefault="009465A1" w:rsidP="009465A1">
      <w:pPr>
        <w:spacing w:before="120" w:after="120" w:line="240" w:lineRule="exact"/>
        <w:ind w:left="283" w:hanging="283"/>
        <w:jc w:val="both"/>
        <w:rPr>
          <w:rFonts w:ascii="FrankRuehl" w:hAnsi="FrankRuehl" w:cs="FrankRuehl"/>
          <w:rtl/>
        </w:rPr>
      </w:pPr>
    </w:p>
    <w:p w14:paraId="767D82BA" w14:textId="77777777" w:rsidR="00291C26" w:rsidRDefault="00291C26" w:rsidP="00291C26">
      <w:pPr>
        <w:rPr>
          <w:sz w:val="26"/>
          <w:szCs w:val="26"/>
          <w:rtl/>
        </w:rPr>
      </w:pPr>
      <w:bookmarkStart w:id="3" w:name="LawTable"/>
      <w:bookmarkEnd w:id="3"/>
    </w:p>
    <w:p w14:paraId="480D011F" w14:textId="77777777" w:rsidR="00291C26" w:rsidRPr="00291C26" w:rsidRDefault="00291C26" w:rsidP="00291C26">
      <w:pPr>
        <w:spacing w:before="120" w:after="120" w:line="240" w:lineRule="exact"/>
        <w:ind w:left="283" w:hanging="283"/>
        <w:jc w:val="both"/>
        <w:rPr>
          <w:rFonts w:ascii="FrankRuehl" w:hAnsi="FrankRuehl" w:cs="FrankRuehl"/>
          <w:rtl/>
        </w:rPr>
      </w:pPr>
    </w:p>
    <w:p w14:paraId="35F0DD4D" w14:textId="77777777" w:rsidR="00291C26" w:rsidRPr="00291C26" w:rsidRDefault="00291C26" w:rsidP="00291C26">
      <w:pPr>
        <w:spacing w:before="120" w:after="120" w:line="240" w:lineRule="exact"/>
        <w:ind w:left="283" w:hanging="283"/>
        <w:jc w:val="both"/>
        <w:rPr>
          <w:rFonts w:ascii="FrankRuehl" w:hAnsi="FrankRuehl" w:cs="FrankRuehl"/>
          <w:rtl/>
        </w:rPr>
      </w:pPr>
    </w:p>
    <w:p w14:paraId="7466A10C" w14:textId="77777777" w:rsidR="00291C26" w:rsidRPr="00291C26" w:rsidRDefault="00291C26" w:rsidP="00291C26">
      <w:pPr>
        <w:spacing w:before="120" w:after="120" w:line="240" w:lineRule="exact"/>
        <w:ind w:left="283" w:hanging="283"/>
        <w:jc w:val="both"/>
        <w:rPr>
          <w:rFonts w:ascii="FrankRuehl" w:hAnsi="FrankRuehl" w:cs="FrankRuehl"/>
          <w:rtl/>
        </w:rPr>
      </w:pPr>
      <w:r w:rsidRPr="00291C26">
        <w:rPr>
          <w:rFonts w:ascii="FrankRuehl" w:hAnsi="FrankRuehl" w:cs="FrankRuehl"/>
          <w:rtl/>
        </w:rPr>
        <w:t xml:space="preserve">חקיקה שאוזכרה: </w:t>
      </w:r>
    </w:p>
    <w:p w14:paraId="203D2D8A" w14:textId="77777777" w:rsidR="00291C26" w:rsidRPr="00291C26" w:rsidRDefault="00291C26" w:rsidP="00291C26">
      <w:pPr>
        <w:spacing w:before="120" w:after="120" w:line="240" w:lineRule="exact"/>
        <w:ind w:left="283" w:hanging="283"/>
        <w:jc w:val="both"/>
        <w:rPr>
          <w:rFonts w:ascii="FrankRuehl" w:hAnsi="FrankRuehl" w:cs="FrankRuehl"/>
          <w:rtl/>
        </w:rPr>
      </w:pPr>
      <w:hyperlink r:id="rId7" w:history="1">
        <w:r w:rsidRPr="00291C26">
          <w:rPr>
            <w:rFonts w:ascii="FrankRuehl" w:hAnsi="FrankRuehl" w:cs="FrankRuehl"/>
            <w:color w:val="0000FF"/>
            <w:rtl/>
          </w:rPr>
          <w:t>פקודת הסמים המסוכנים [נוסח חדש], תשל"ג-1973</w:t>
        </w:r>
      </w:hyperlink>
      <w:r w:rsidRPr="00291C26">
        <w:rPr>
          <w:rFonts w:ascii="FrankRuehl" w:hAnsi="FrankRuehl" w:cs="FrankRuehl"/>
          <w:rtl/>
        </w:rPr>
        <w:t xml:space="preserve">: סע'  </w:t>
      </w:r>
      <w:hyperlink r:id="rId8" w:history="1">
        <w:r w:rsidRPr="00291C26">
          <w:rPr>
            <w:rFonts w:ascii="FrankRuehl" w:hAnsi="FrankRuehl" w:cs="FrankRuehl"/>
            <w:color w:val="0000FF"/>
            <w:rtl/>
          </w:rPr>
          <w:t>6</w:t>
        </w:r>
      </w:hyperlink>
      <w:r w:rsidRPr="00291C26">
        <w:rPr>
          <w:rFonts w:ascii="FrankRuehl" w:hAnsi="FrankRuehl" w:cs="FrankRuehl"/>
          <w:rtl/>
        </w:rPr>
        <w:t xml:space="preserve">, </w:t>
      </w:r>
      <w:hyperlink r:id="rId9" w:history="1">
        <w:r w:rsidRPr="00291C26">
          <w:rPr>
            <w:rFonts w:ascii="FrankRuehl" w:hAnsi="FrankRuehl" w:cs="FrankRuehl"/>
            <w:color w:val="0000FF"/>
            <w:rtl/>
          </w:rPr>
          <w:t>7(א)</w:t>
        </w:r>
      </w:hyperlink>
      <w:r w:rsidRPr="00291C26">
        <w:rPr>
          <w:rFonts w:ascii="FrankRuehl" w:hAnsi="FrankRuehl" w:cs="FrankRuehl"/>
          <w:rtl/>
        </w:rPr>
        <w:t xml:space="preserve">, </w:t>
      </w:r>
      <w:hyperlink r:id="rId10" w:history="1">
        <w:r w:rsidRPr="00291C26">
          <w:rPr>
            <w:rFonts w:ascii="FrankRuehl" w:hAnsi="FrankRuehl" w:cs="FrankRuehl"/>
            <w:color w:val="0000FF"/>
            <w:rtl/>
          </w:rPr>
          <w:t>7(ג)</w:t>
        </w:r>
      </w:hyperlink>
    </w:p>
    <w:p w14:paraId="6608DB6D" w14:textId="77777777" w:rsidR="00291C26" w:rsidRPr="00291C26" w:rsidRDefault="00291C26" w:rsidP="00291C26">
      <w:pPr>
        <w:spacing w:before="120" w:after="120" w:line="240" w:lineRule="exact"/>
        <w:ind w:left="283" w:hanging="283"/>
        <w:jc w:val="both"/>
        <w:rPr>
          <w:rFonts w:ascii="FrankRuehl" w:hAnsi="FrankRuehl" w:cs="FrankRuehl"/>
          <w:rtl/>
        </w:rPr>
      </w:pPr>
      <w:hyperlink r:id="rId11" w:history="1">
        <w:r w:rsidRPr="00291C26">
          <w:rPr>
            <w:rFonts w:ascii="FrankRuehl" w:hAnsi="FrankRuehl" w:cs="FrankRuehl"/>
            <w:color w:val="0000FF"/>
            <w:rtl/>
          </w:rPr>
          <w:t>חוק העונשין, תשל"ז-1977</w:t>
        </w:r>
      </w:hyperlink>
      <w:r w:rsidRPr="00291C26">
        <w:rPr>
          <w:rFonts w:ascii="FrankRuehl" w:hAnsi="FrankRuehl" w:cs="FrankRuehl"/>
          <w:rtl/>
        </w:rPr>
        <w:t xml:space="preserve">: סע'  </w:t>
      </w:r>
      <w:hyperlink r:id="rId12" w:history="1">
        <w:r w:rsidRPr="00291C26">
          <w:rPr>
            <w:rFonts w:ascii="FrankRuehl" w:hAnsi="FrankRuehl" w:cs="FrankRuehl"/>
            <w:color w:val="0000FF"/>
            <w:rtl/>
          </w:rPr>
          <w:t>40ב</w:t>
        </w:r>
      </w:hyperlink>
      <w:r w:rsidRPr="00291C26">
        <w:rPr>
          <w:rFonts w:ascii="FrankRuehl" w:hAnsi="FrankRuehl" w:cs="FrankRuehl"/>
          <w:rtl/>
        </w:rPr>
        <w:t xml:space="preserve">, </w:t>
      </w:r>
      <w:hyperlink r:id="rId13" w:history="1">
        <w:r w:rsidRPr="00291C26">
          <w:rPr>
            <w:rFonts w:ascii="FrankRuehl" w:hAnsi="FrankRuehl" w:cs="FrankRuehl"/>
            <w:color w:val="0000FF"/>
            <w:rtl/>
          </w:rPr>
          <w:t>40ג(א)</w:t>
        </w:r>
      </w:hyperlink>
      <w:r w:rsidRPr="00291C26">
        <w:rPr>
          <w:rFonts w:ascii="FrankRuehl" w:hAnsi="FrankRuehl" w:cs="FrankRuehl"/>
          <w:rtl/>
        </w:rPr>
        <w:t xml:space="preserve">, </w:t>
      </w:r>
      <w:hyperlink r:id="rId14" w:history="1">
        <w:r w:rsidRPr="00291C26">
          <w:rPr>
            <w:rFonts w:ascii="FrankRuehl" w:hAnsi="FrankRuehl" w:cs="FrankRuehl"/>
            <w:color w:val="0000FF"/>
            <w:rtl/>
          </w:rPr>
          <w:t>40ג(ב)</w:t>
        </w:r>
      </w:hyperlink>
      <w:r w:rsidRPr="00291C26">
        <w:rPr>
          <w:rFonts w:ascii="FrankRuehl" w:hAnsi="FrankRuehl" w:cs="FrankRuehl"/>
          <w:rtl/>
        </w:rPr>
        <w:t xml:space="preserve">, </w:t>
      </w:r>
      <w:hyperlink r:id="rId15" w:history="1">
        <w:r w:rsidRPr="00291C26">
          <w:rPr>
            <w:rFonts w:ascii="FrankRuehl" w:hAnsi="FrankRuehl" w:cs="FrankRuehl"/>
            <w:color w:val="0000FF"/>
            <w:rtl/>
          </w:rPr>
          <w:t>71א(ב)</w:t>
        </w:r>
      </w:hyperlink>
      <w:r w:rsidRPr="00291C26">
        <w:rPr>
          <w:rFonts w:ascii="FrankRuehl" w:hAnsi="FrankRuehl" w:cs="FrankRuehl"/>
          <w:rtl/>
        </w:rPr>
        <w:t xml:space="preserve">, </w:t>
      </w:r>
      <w:hyperlink r:id="rId16" w:history="1">
        <w:r w:rsidRPr="00291C26">
          <w:rPr>
            <w:rFonts w:ascii="FrankRuehl" w:hAnsi="FrankRuehl" w:cs="FrankRuehl"/>
            <w:color w:val="0000FF"/>
            <w:rtl/>
          </w:rPr>
          <w:t>71ד(3)</w:t>
        </w:r>
      </w:hyperlink>
      <w:r w:rsidRPr="00291C26">
        <w:rPr>
          <w:rFonts w:ascii="FrankRuehl" w:hAnsi="FrankRuehl" w:cs="FrankRuehl"/>
          <w:rtl/>
        </w:rPr>
        <w:t xml:space="preserve">, </w:t>
      </w:r>
      <w:hyperlink r:id="rId17" w:history="1">
        <w:r w:rsidRPr="00291C26">
          <w:rPr>
            <w:rFonts w:ascii="FrankRuehl" w:hAnsi="FrankRuehl" w:cs="FrankRuehl"/>
            <w:color w:val="0000FF"/>
            <w:rtl/>
          </w:rPr>
          <w:t>144(א)</w:t>
        </w:r>
      </w:hyperlink>
    </w:p>
    <w:p w14:paraId="7CD6CBB2" w14:textId="77777777" w:rsidR="00291C26" w:rsidRPr="00291C26" w:rsidRDefault="00291C26" w:rsidP="00291C26">
      <w:pPr>
        <w:spacing w:before="120" w:after="120" w:line="240" w:lineRule="exact"/>
        <w:ind w:left="283" w:hanging="283"/>
        <w:jc w:val="both"/>
        <w:rPr>
          <w:rFonts w:ascii="FrankRuehl" w:hAnsi="FrankRuehl" w:cs="FrankRuehl"/>
          <w:rtl/>
        </w:rPr>
      </w:pPr>
      <w:hyperlink r:id="rId18" w:history="1">
        <w:r w:rsidRPr="00291C26">
          <w:rPr>
            <w:rFonts w:ascii="FrankRuehl" w:hAnsi="FrankRuehl" w:cs="FrankRuehl"/>
            <w:color w:val="0000FF"/>
            <w:rtl/>
          </w:rPr>
          <w:t>חוק סדר הדין הפלילי [נוסח משולב], תשמ"ב-1982</w:t>
        </w:r>
      </w:hyperlink>
      <w:r w:rsidRPr="00291C26">
        <w:rPr>
          <w:rFonts w:ascii="FrankRuehl" w:hAnsi="FrankRuehl" w:cs="FrankRuehl"/>
          <w:rtl/>
        </w:rPr>
        <w:t xml:space="preserve">: סע'  </w:t>
      </w:r>
      <w:hyperlink r:id="rId19" w:history="1">
        <w:r w:rsidRPr="00291C26">
          <w:rPr>
            <w:rFonts w:ascii="FrankRuehl" w:hAnsi="FrankRuehl" w:cs="FrankRuehl"/>
            <w:color w:val="0000FF"/>
            <w:rtl/>
          </w:rPr>
          <w:t>192א</w:t>
        </w:r>
      </w:hyperlink>
    </w:p>
    <w:p w14:paraId="57516978" w14:textId="77777777" w:rsidR="00291C26" w:rsidRPr="00291C26" w:rsidRDefault="00291C26" w:rsidP="00291C26">
      <w:pPr>
        <w:rPr>
          <w:sz w:val="26"/>
          <w:szCs w:val="26"/>
          <w:rtl/>
        </w:rPr>
      </w:pPr>
      <w:bookmarkStart w:id="4" w:name="LawTable_End"/>
      <w:bookmarkEnd w:id="4"/>
    </w:p>
    <w:p w14:paraId="6947F988" w14:textId="77777777" w:rsidR="003B3A12" w:rsidRPr="009465A1" w:rsidRDefault="003B3A12" w:rsidP="009465A1">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B3A12" w14:paraId="16251556" w14:textId="77777777" w:rsidTr="003B3A12">
        <w:trPr>
          <w:trHeight w:val="355"/>
          <w:jc w:val="center"/>
        </w:trPr>
        <w:tc>
          <w:tcPr>
            <w:tcW w:w="8820" w:type="dxa"/>
            <w:tcBorders>
              <w:top w:val="nil"/>
              <w:left w:val="nil"/>
              <w:bottom w:val="nil"/>
              <w:right w:val="nil"/>
            </w:tcBorders>
            <w:shd w:val="clear" w:color="auto" w:fill="auto"/>
          </w:tcPr>
          <w:p w14:paraId="093CC78D" w14:textId="77777777" w:rsidR="008D39BF" w:rsidRPr="008D39BF" w:rsidRDefault="008D39BF" w:rsidP="008D39BF">
            <w:pPr>
              <w:jc w:val="center"/>
              <w:rPr>
                <w:rFonts w:ascii="David" w:hAnsi="David"/>
                <w:b/>
                <w:bCs/>
                <w:sz w:val="32"/>
                <w:szCs w:val="32"/>
                <w:u w:val="single"/>
                <w:rtl/>
              </w:rPr>
            </w:pPr>
            <w:bookmarkStart w:id="5" w:name="PsakDin" w:colFirst="0" w:colLast="0"/>
            <w:bookmarkEnd w:id="0"/>
            <w:r w:rsidRPr="008D39BF">
              <w:rPr>
                <w:rFonts w:ascii="David" w:hAnsi="David"/>
                <w:b/>
                <w:bCs/>
                <w:sz w:val="32"/>
                <w:szCs w:val="32"/>
                <w:u w:val="single"/>
                <w:rtl/>
              </w:rPr>
              <w:t>גזר דין</w:t>
            </w:r>
          </w:p>
          <w:p w14:paraId="7BC02A56" w14:textId="77777777" w:rsidR="003B3A12" w:rsidRPr="008D39BF" w:rsidRDefault="003B3A12" w:rsidP="008D39BF">
            <w:pPr>
              <w:jc w:val="center"/>
              <w:rPr>
                <w:rFonts w:ascii="David" w:hAnsi="David"/>
                <w:bCs/>
                <w:sz w:val="32"/>
                <w:szCs w:val="32"/>
                <w:u w:val="single"/>
                <w:rtl/>
              </w:rPr>
            </w:pPr>
          </w:p>
        </w:tc>
      </w:tr>
    </w:tbl>
    <w:p w14:paraId="27B053E5" w14:textId="77777777" w:rsidR="003B3A12" w:rsidRPr="000F2247" w:rsidRDefault="003B3A12" w:rsidP="003B3A12">
      <w:pPr>
        <w:rPr>
          <w:rFonts w:ascii="Arial" w:hAnsi="Arial"/>
          <w:b/>
          <w:bCs/>
          <w:sz w:val="26"/>
          <w:szCs w:val="26"/>
          <w:rtl/>
        </w:rPr>
      </w:pPr>
      <w:bookmarkStart w:id="6" w:name="ABSTRACT_START"/>
      <w:bookmarkEnd w:id="5"/>
      <w:bookmarkEnd w:id="6"/>
    </w:p>
    <w:p w14:paraId="328F2EE4" w14:textId="77777777" w:rsidR="003B3A12" w:rsidRDefault="003B3A12" w:rsidP="003B3A12">
      <w:pPr>
        <w:pStyle w:val="a9"/>
        <w:numPr>
          <w:ilvl w:val="0"/>
          <w:numId w:val="1"/>
        </w:numPr>
        <w:spacing w:after="0" w:line="360" w:lineRule="auto"/>
        <w:jc w:val="both"/>
        <w:rPr>
          <w:rFonts w:ascii="FrankRuehl" w:hAnsi="FrankRuehl" w:cs="FrankRuehl"/>
          <w:sz w:val="28"/>
          <w:szCs w:val="28"/>
        </w:rPr>
      </w:pPr>
      <w:r>
        <w:rPr>
          <w:rFonts w:ascii="FrankRuehl" w:hAnsi="FrankRuehl" w:cs="FrankRuehl"/>
          <w:sz w:val="28"/>
          <w:szCs w:val="28"/>
          <w:rtl/>
        </w:rPr>
        <w:t xml:space="preserve">הנאשם הורשע ביום 6.7.2022 בביצוע החזקה ושימוש בסמים שלא לצריכה עצמית, עבירה לפי </w:t>
      </w:r>
      <w:hyperlink r:id="rId20" w:history="1">
        <w:r w:rsidR="00624A4D" w:rsidRPr="00624A4D">
          <w:rPr>
            <w:rStyle w:val="Hyperlink"/>
            <w:rFonts w:ascii="FrankRuehl" w:hAnsi="FrankRuehl" w:cs="FrankRuehl"/>
            <w:sz w:val="28"/>
            <w:szCs w:val="28"/>
            <w:rtl/>
          </w:rPr>
          <w:t>סעיפים 7(א)</w:t>
        </w:r>
      </w:hyperlink>
      <w:r>
        <w:rPr>
          <w:rFonts w:ascii="FrankRuehl" w:hAnsi="FrankRuehl" w:cs="FrankRuehl"/>
          <w:sz w:val="28"/>
          <w:szCs w:val="28"/>
          <w:rtl/>
        </w:rPr>
        <w:t xml:space="preserve"> ו-</w:t>
      </w:r>
      <w:hyperlink r:id="rId21" w:history="1">
        <w:r w:rsidR="00624A4D" w:rsidRPr="00624A4D">
          <w:rPr>
            <w:rStyle w:val="Hyperlink"/>
            <w:rFonts w:ascii="FrankRuehl" w:hAnsi="FrankRuehl" w:cs="FrankRuehl"/>
            <w:sz w:val="28"/>
            <w:szCs w:val="28"/>
            <w:rtl/>
          </w:rPr>
          <w:t>7(ג)</w:t>
        </w:r>
      </w:hyperlink>
      <w:r>
        <w:rPr>
          <w:rFonts w:ascii="FrankRuehl" w:hAnsi="FrankRuehl" w:cs="FrankRuehl"/>
          <w:sz w:val="28"/>
          <w:szCs w:val="28"/>
          <w:rtl/>
        </w:rPr>
        <w:t xml:space="preserve"> רישא </w:t>
      </w:r>
      <w:r>
        <w:rPr>
          <w:rFonts w:ascii="Miriam" w:hAnsi="Miriam" w:cs="Miriam"/>
          <w:rtl/>
        </w:rPr>
        <w:t>ב</w:t>
      </w:r>
      <w:hyperlink r:id="rId22" w:history="1">
        <w:r w:rsidR="008D39BF" w:rsidRPr="008D39BF">
          <w:rPr>
            <w:rFonts w:ascii="Miriam" w:hAnsi="Miriam" w:cs="Miriam"/>
            <w:color w:val="0000FF"/>
            <w:u w:val="single"/>
            <w:rtl/>
          </w:rPr>
          <w:t>פקודת הסמים המסוכנים</w:t>
        </w:r>
      </w:hyperlink>
      <w:r>
        <w:rPr>
          <w:rFonts w:ascii="Miriam" w:hAnsi="Miriam" w:cs="Miriam"/>
          <w:rtl/>
        </w:rPr>
        <w:t xml:space="preserve"> [נוסח חדש], התשל"ג-1973</w:t>
      </w:r>
      <w:r>
        <w:rPr>
          <w:rFonts w:ascii="FrankRuehl" w:hAnsi="FrankRuehl" w:cs="FrankRuehl"/>
          <w:sz w:val="28"/>
          <w:szCs w:val="28"/>
          <w:rtl/>
        </w:rPr>
        <w:t xml:space="preserve"> (להלן: "</w:t>
      </w:r>
      <w:r>
        <w:rPr>
          <w:rFonts w:ascii="Miriam" w:hAnsi="Miriam" w:cs="Miriam"/>
          <w:rtl/>
        </w:rPr>
        <w:t>פקודת הסמים</w:t>
      </w:r>
      <w:r>
        <w:rPr>
          <w:rFonts w:ascii="FrankRuehl" w:hAnsi="FrankRuehl" w:cs="FrankRuehl"/>
          <w:sz w:val="28"/>
          <w:szCs w:val="28"/>
          <w:rtl/>
        </w:rPr>
        <w:t xml:space="preserve">"); בביצוע גידול וייצור סמים מסוכנים, עבירה לפי </w:t>
      </w:r>
      <w:hyperlink r:id="rId23" w:history="1">
        <w:r w:rsidR="00624A4D" w:rsidRPr="00624A4D">
          <w:rPr>
            <w:rStyle w:val="Hyperlink"/>
            <w:rFonts w:ascii="FrankRuehl" w:hAnsi="FrankRuehl" w:cs="FrankRuehl"/>
            <w:sz w:val="28"/>
            <w:szCs w:val="28"/>
            <w:rtl/>
          </w:rPr>
          <w:t>סעיף 6</w:t>
        </w:r>
      </w:hyperlink>
      <w:r>
        <w:rPr>
          <w:rFonts w:ascii="FrankRuehl" w:hAnsi="FrankRuehl" w:cs="FrankRuehl"/>
          <w:sz w:val="28"/>
          <w:szCs w:val="28"/>
          <w:rtl/>
        </w:rPr>
        <w:t xml:space="preserve"> </w:t>
      </w:r>
      <w:r>
        <w:rPr>
          <w:rFonts w:ascii="Miriam" w:hAnsi="Miriam" w:cs="Miriam"/>
          <w:rtl/>
        </w:rPr>
        <w:t>בפקודת הסמים</w:t>
      </w:r>
      <w:r>
        <w:rPr>
          <w:rFonts w:ascii="FrankRuehl" w:hAnsi="FrankRuehl" w:cs="FrankRuehl"/>
          <w:sz w:val="28"/>
          <w:szCs w:val="28"/>
          <w:rtl/>
        </w:rPr>
        <w:t xml:space="preserve">, וכן בביצוע רכישה או החזקת נשק שלא כדין, עבירה לפי </w:t>
      </w:r>
      <w:hyperlink r:id="rId24" w:history="1">
        <w:r w:rsidR="00624A4D" w:rsidRPr="00624A4D">
          <w:rPr>
            <w:rStyle w:val="Hyperlink"/>
            <w:rFonts w:ascii="FrankRuehl" w:hAnsi="FrankRuehl" w:cs="FrankRuehl"/>
            <w:sz w:val="28"/>
            <w:szCs w:val="28"/>
            <w:rtl/>
          </w:rPr>
          <w:t>סעיף 144(א)</w:t>
        </w:r>
      </w:hyperlink>
      <w:r>
        <w:rPr>
          <w:rFonts w:ascii="FrankRuehl" w:hAnsi="FrankRuehl" w:cs="FrankRuehl"/>
          <w:sz w:val="28"/>
          <w:szCs w:val="28"/>
          <w:rtl/>
        </w:rPr>
        <w:t xml:space="preserve"> </w:t>
      </w:r>
      <w:r>
        <w:rPr>
          <w:rFonts w:ascii="Miriam" w:hAnsi="Miriam" w:cs="Miriam"/>
          <w:rtl/>
        </w:rPr>
        <w:t>ב</w:t>
      </w:r>
      <w:hyperlink r:id="rId25" w:history="1">
        <w:r w:rsidR="008D39BF" w:rsidRPr="008D39BF">
          <w:rPr>
            <w:rFonts w:ascii="Miriam" w:hAnsi="Miriam" w:cs="Miriam"/>
            <w:color w:val="0000FF"/>
            <w:u w:val="single"/>
            <w:rtl/>
          </w:rPr>
          <w:t>חוק העונשין</w:t>
        </w:r>
      </w:hyperlink>
      <w:r>
        <w:rPr>
          <w:rFonts w:ascii="Miriam" w:hAnsi="Miriam" w:cs="Miriam"/>
          <w:rtl/>
        </w:rPr>
        <w:t xml:space="preserve">, התשל"ז-1977 </w:t>
      </w:r>
      <w:bookmarkStart w:id="7" w:name="ABSTRACT_END"/>
      <w:bookmarkEnd w:id="7"/>
      <w:r>
        <w:rPr>
          <w:rFonts w:ascii="FrankRuehl" w:hAnsi="FrankRuehl" w:cs="FrankRuehl"/>
          <w:sz w:val="28"/>
          <w:szCs w:val="28"/>
          <w:rtl/>
        </w:rPr>
        <w:t>(להלן: "</w:t>
      </w:r>
      <w:r>
        <w:rPr>
          <w:rFonts w:ascii="Miriam" w:hAnsi="Miriam" w:cs="Miriam"/>
          <w:rtl/>
        </w:rPr>
        <w:t>חוק העונשין</w:t>
      </w:r>
      <w:r>
        <w:rPr>
          <w:rFonts w:ascii="FrankRuehl" w:hAnsi="FrankRuehl" w:cs="FrankRuehl"/>
          <w:sz w:val="28"/>
          <w:szCs w:val="28"/>
          <w:rtl/>
        </w:rPr>
        <w:t>").</w:t>
      </w:r>
    </w:p>
    <w:p w14:paraId="3A06AB3C" w14:textId="77777777" w:rsidR="003B3A12" w:rsidRDefault="003B3A12" w:rsidP="003B3A12">
      <w:pPr>
        <w:pStyle w:val="a9"/>
        <w:spacing w:line="360" w:lineRule="auto"/>
        <w:jc w:val="both"/>
        <w:rPr>
          <w:rFonts w:ascii="FrankRuehl" w:hAnsi="FrankRuehl" w:cs="FrankRuehl"/>
          <w:sz w:val="28"/>
          <w:szCs w:val="28"/>
        </w:rPr>
      </w:pPr>
    </w:p>
    <w:p w14:paraId="2CE3DE70" w14:textId="77777777" w:rsidR="003B3A12" w:rsidRDefault="003B3A12" w:rsidP="003B3A12">
      <w:pPr>
        <w:pStyle w:val="a9"/>
        <w:numPr>
          <w:ilvl w:val="0"/>
          <w:numId w:val="1"/>
        </w:numPr>
        <w:spacing w:after="0" w:line="360" w:lineRule="auto"/>
        <w:jc w:val="both"/>
        <w:rPr>
          <w:rFonts w:ascii="FrankRuehl" w:hAnsi="FrankRuehl" w:cs="FrankRuehl"/>
          <w:sz w:val="28"/>
          <w:szCs w:val="28"/>
        </w:rPr>
      </w:pPr>
      <w:r>
        <w:rPr>
          <w:rFonts w:ascii="FrankRuehl" w:hAnsi="FrankRuehl" w:cs="FrankRuehl"/>
          <w:sz w:val="28"/>
          <w:szCs w:val="28"/>
          <w:rtl/>
        </w:rPr>
        <w:lastRenderedPageBreak/>
        <w:t xml:space="preserve">לפי האישום וכפי שהוכח במשפט, ביום 11.8.2019 בשעה 09:30 לערך, בוצע חיפוש כדין בבית הנאשם במשק 23 במושב נחושה, במסגרתו נמצאו פריטים אלה: 14.11 גרם סם מסוכן מסוג קנבוס מחולק ל-5 שקיות; שני שתילי קנבוס שבהם 3.59 גרם סם מסוכן מסוג קנבוס; רימון עשן ו-141 כדורי נשק מסוג </w:t>
      </w:r>
      <w:r>
        <w:rPr>
          <w:rFonts w:ascii="FrankRuehl" w:hAnsi="FrankRuehl" w:cs="FrankRuehl"/>
        </w:rPr>
        <w:t>M</w:t>
      </w:r>
      <w:r>
        <w:rPr>
          <w:rFonts w:ascii="FrankRuehl" w:hAnsi="FrankRuehl" w:cs="FrankRuehl"/>
          <w:sz w:val="28"/>
          <w:szCs w:val="28"/>
        </w:rPr>
        <w:t>16</w:t>
      </w:r>
      <w:r>
        <w:rPr>
          <w:rFonts w:ascii="FrankRuehl" w:hAnsi="FrankRuehl" w:cs="FrankRuehl"/>
          <w:sz w:val="28"/>
          <w:szCs w:val="28"/>
          <w:rtl/>
        </w:rPr>
        <w:t>.</w:t>
      </w:r>
    </w:p>
    <w:p w14:paraId="3CD926A9" w14:textId="77777777" w:rsidR="003B3A12" w:rsidRDefault="003B3A12" w:rsidP="003B3A12">
      <w:pPr>
        <w:pStyle w:val="a9"/>
        <w:spacing w:line="360" w:lineRule="auto"/>
        <w:jc w:val="both"/>
        <w:rPr>
          <w:rFonts w:ascii="FrankRuehl" w:hAnsi="FrankRuehl" w:cs="FrankRuehl"/>
          <w:sz w:val="28"/>
          <w:szCs w:val="28"/>
        </w:rPr>
      </w:pPr>
    </w:p>
    <w:p w14:paraId="71ACEF2B" w14:textId="77777777" w:rsidR="003B3A12" w:rsidRDefault="003B3A12" w:rsidP="003B3A12">
      <w:pPr>
        <w:pStyle w:val="a9"/>
        <w:numPr>
          <w:ilvl w:val="0"/>
          <w:numId w:val="1"/>
        </w:numPr>
        <w:spacing w:after="0" w:line="360" w:lineRule="auto"/>
        <w:jc w:val="both"/>
        <w:rPr>
          <w:rFonts w:ascii="FrankRuehl" w:hAnsi="FrankRuehl" w:cs="FrankRuehl"/>
          <w:sz w:val="28"/>
          <w:szCs w:val="28"/>
        </w:rPr>
      </w:pPr>
      <w:r>
        <w:rPr>
          <w:rFonts w:ascii="FrankRuehl" w:hAnsi="FrankRuehl" w:cs="FrankRuehl"/>
          <w:sz w:val="28"/>
          <w:szCs w:val="28"/>
          <w:rtl/>
        </w:rPr>
        <w:t>לבקשת ההגנה הוזמן תסקיר של שירות המבחן (תסקיר מיום 19.1.2023). דיון טיעונים לעונש התקיים ביום 29.1.2023.</w:t>
      </w:r>
    </w:p>
    <w:p w14:paraId="1260334B" w14:textId="77777777" w:rsidR="003B3A12" w:rsidRDefault="003B3A12" w:rsidP="003B3A12">
      <w:pPr>
        <w:pStyle w:val="a9"/>
        <w:spacing w:line="360" w:lineRule="auto"/>
        <w:jc w:val="both"/>
        <w:rPr>
          <w:rFonts w:ascii="FrankRuehl" w:hAnsi="FrankRuehl" w:cs="FrankRuehl"/>
          <w:sz w:val="28"/>
          <w:szCs w:val="28"/>
        </w:rPr>
      </w:pPr>
    </w:p>
    <w:p w14:paraId="0F9C82AA" w14:textId="77777777" w:rsidR="003B3A12" w:rsidRDefault="003B3A12" w:rsidP="003B3A12">
      <w:pPr>
        <w:pStyle w:val="a9"/>
        <w:numPr>
          <w:ilvl w:val="0"/>
          <w:numId w:val="1"/>
        </w:numPr>
        <w:spacing w:after="0" w:line="360" w:lineRule="auto"/>
        <w:jc w:val="both"/>
        <w:rPr>
          <w:rFonts w:ascii="FrankRuehl" w:hAnsi="FrankRuehl" w:cs="FrankRuehl"/>
          <w:sz w:val="28"/>
          <w:szCs w:val="28"/>
          <w:rtl/>
        </w:rPr>
      </w:pPr>
      <w:r>
        <w:rPr>
          <w:rFonts w:ascii="FrankRuehl" w:hAnsi="FrankRuehl" w:cs="FrankRuehl"/>
          <w:sz w:val="28"/>
          <w:szCs w:val="28"/>
          <w:rtl/>
        </w:rPr>
        <w:t>לפי התסקיר (בתמצית ותוך שמירה על צנעת הפרט), הנאשם בן 30, נעדר עבר פלילי. תקופת ילדותו ונערותו הייתה מאותגרת, בין מטעמים משפחתיים-רפואיים בין מטעמים חברתיים. הנאשם שירת בצבא שירות מלא. ברם, בהמשך נמצא שהוא סובל מפוסט טראומה, מדיכאון כרוני וגם מקווי אישיות המנעותיים. הוא הוכר כנכה על-ידי המוסד לביטוח לאומי בשיעור גבוה, וכיום הוא מטופל פסיכיאטרית, לרבות תרופתית, באופן שוטף לפי תוכנית שמותאמת לצרכיו. הנאשם הוא גם בעל רישיון לשימוש בקנאביס רפואי. חשוב לציין כי התסקיר נשען הן על הריאיון עם הנאשם הן על פגישה עם מנהלת המרכז הטיפולי שבו הוא שוהה.</w:t>
      </w:r>
    </w:p>
    <w:p w14:paraId="024D7300" w14:textId="77777777" w:rsidR="003B3A12" w:rsidRDefault="003B3A12" w:rsidP="003B3A12">
      <w:pPr>
        <w:pStyle w:val="a9"/>
        <w:spacing w:line="360" w:lineRule="auto"/>
        <w:jc w:val="both"/>
        <w:rPr>
          <w:rFonts w:ascii="FrankRuehl" w:hAnsi="FrankRuehl" w:cs="FrankRuehl"/>
          <w:sz w:val="28"/>
          <w:szCs w:val="28"/>
        </w:rPr>
      </w:pPr>
    </w:p>
    <w:p w14:paraId="70418629" w14:textId="77777777" w:rsidR="003B3A12" w:rsidRDefault="003B3A12" w:rsidP="003B3A12">
      <w:pPr>
        <w:pStyle w:val="a9"/>
        <w:numPr>
          <w:ilvl w:val="0"/>
          <w:numId w:val="1"/>
        </w:numPr>
        <w:spacing w:after="0" w:line="360" w:lineRule="auto"/>
        <w:jc w:val="both"/>
        <w:rPr>
          <w:rFonts w:ascii="FrankRuehl" w:hAnsi="FrankRuehl" w:cs="FrankRuehl"/>
          <w:sz w:val="28"/>
          <w:szCs w:val="28"/>
          <w:rtl/>
        </w:rPr>
      </w:pPr>
      <w:r>
        <w:rPr>
          <w:rFonts w:ascii="FrankRuehl" w:hAnsi="FrankRuehl" w:cs="FrankRuehl"/>
          <w:sz w:val="28"/>
          <w:szCs w:val="28"/>
          <w:rtl/>
        </w:rPr>
        <w:t>ביחס לעבירה מושא ההרשעה, הנאשם "</w:t>
      </w:r>
      <w:r>
        <w:rPr>
          <w:rFonts w:ascii="Miriam" w:hAnsi="Miriam" w:cs="Miriam"/>
          <w:rtl/>
        </w:rPr>
        <w:t>לקח אחריות מלאה על מעשיו</w:t>
      </w:r>
      <w:r>
        <w:rPr>
          <w:rFonts w:ascii="FrankRuehl" w:hAnsi="FrankRuehl" w:cs="FrankRuehl"/>
          <w:sz w:val="28"/>
          <w:szCs w:val="28"/>
          <w:rtl/>
        </w:rPr>
        <w:t>" והודה כי נהג בחוסר אחריות, כך לפי התסקיר. הוא תיאר לפני שירות המבחן כי גידל שתילי קנאביס לצרכיו האישיים ומשקולים כלכליים, וביחס לרימון עשן והכדורים, מדובר בשאריות משירותו הצבאי שריכזה אמו בשקית לשם השבתם לצבא בהזדמנות הראשונה. אשר לגורמי הסיכון להישנות המעשה העברייני, עמד התסקיר על כוחותיו המוגבלים של הנאשם, על קשייו הרגשיים, קשיי התפקוד והחשיבה העצמאית שלו, וכן על תחושות החרדה הקיימות אצלו. כל אלה ואחרים מהווים גורמי סיכון. לצד זאת, יכולתו ליצור קשר המבוסס על אמון, המסוגלות להליך טיפולי, שיתוף הפעולה מצדו למיצוי זכויותיו והמוטיבציה הפנימית שלו להשתקם, זאת לצד נטילת האחריות – אלה מהווים גורמי סיכוי לשיקום.</w:t>
      </w:r>
    </w:p>
    <w:p w14:paraId="1CC4D7D2" w14:textId="77777777" w:rsidR="003B3A12" w:rsidRDefault="003B3A12" w:rsidP="003B3A12">
      <w:pPr>
        <w:pStyle w:val="a9"/>
        <w:spacing w:line="360" w:lineRule="auto"/>
        <w:jc w:val="both"/>
        <w:rPr>
          <w:rFonts w:ascii="FrankRuehl" w:hAnsi="FrankRuehl" w:cs="FrankRuehl"/>
          <w:sz w:val="28"/>
          <w:szCs w:val="28"/>
        </w:rPr>
      </w:pPr>
    </w:p>
    <w:p w14:paraId="469866AF" w14:textId="77777777" w:rsidR="003B3A12" w:rsidRDefault="003B3A12" w:rsidP="003B3A12">
      <w:pPr>
        <w:pStyle w:val="a9"/>
        <w:numPr>
          <w:ilvl w:val="0"/>
          <w:numId w:val="1"/>
        </w:numPr>
        <w:spacing w:after="0" w:line="360" w:lineRule="auto"/>
        <w:jc w:val="both"/>
        <w:rPr>
          <w:rFonts w:ascii="FrankRuehl" w:hAnsi="FrankRuehl" w:cs="FrankRuehl"/>
          <w:sz w:val="28"/>
          <w:szCs w:val="28"/>
          <w:rtl/>
        </w:rPr>
      </w:pPr>
      <w:r>
        <w:rPr>
          <w:rFonts w:ascii="FrankRuehl" w:hAnsi="FrankRuehl" w:cs="FrankRuehl"/>
          <w:sz w:val="28"/>
          <w:szCs w:val="28"/>
          <w:rtl/>
        </w:rPr>
        <w:t xml:space="preserve">בשקלול מעמיק של כל הפרמטרים האמורים, התסקיר בא בהמלצה של ענישה מוחשית בדמות קנס וענישה מותנית שצופת פני עתיד. שירות המבחן סבור כי הנאשם לא יהיה </w:t>
      </w:r>
      <w:r>
        <w:rPr>
          <w:rFonts w:ascii="FrankRuehl" w:hAnsi="FrankRuehl" w:cs="FrankRuehl"/>
          <w:sz w:val="28"/>
          <w:szCs w:val="28"/>
          <w:rtl/>
        </w:rPr>
        <w:lastRenderedPageBreak/>
        <w:t xml:space="preserve">מסוגל להתחייב בענישה מוחשית שעלולה לפגוע בשגרת יומו וביציבותו היחסית נוכח מצבו הנפשי הרעוע, וזה יפגע בשיקומו. אשר לעתירה לביטול ההרשעה, הנאשם ציין לפני שירות המבחן כי בכוונתו ללמוד חינוך וההרשעה תעמוד לו לרועץ. התסקיר אינו בא בהמלצה לביטול הרשעה כמבוקש מאחר ולא הוכח פוטנציאל קיומו של נזק קונקרטי. </w:t>
      </w:r>
    </w:p>
    <w:p w14:paraId="5FA827C8" w14:textId="77777777" w:rsidR="003B3A12" w:rsidRDefault="003B3A12" w:rsidP="003B3A12">
      <w:pPr>
        <w:spacing w:line="360" w:lineRule="auto"/>
        <w:jc w:val="both"/>
        <w:rPr>
          <w:rFonts w:ascii="FrankRuehl" w:hAnsi="FrankRuehl" w:cs="FrankRuehl"/>
          <w:sz w:val="28"/>
          <w:szCs w:val="28"/>
        </w:rPr>
      </w:pPr>
    </w:p>
    <w:p w14:paraId="510B0630" w14:textId="77777777" w:rsidR="003B3A12" w:rsidRDefault="003B3A12" w:rsidP="003B3A12">
      <w:pPr>
        <w:spacing w:line="360" w:lineRule="auto"/>
        <w:jc w:val="both"/>
        <w:rPr>
          <w:rFonts w:ascii="Miriam" w:hAnsi="Miriam" w:cs="Miriam"/>
          <w:u w:val="single"/>
          <w:rtl/>
        </w:rPr>
      </w:pPr>
      <w:r>
        <w:rPr>
          <w:rFonts w:ascii="Miriam" w:hAnsi="Miriam" w:cs="Miriam"/>
          <w:u w:val="single"/>
          <w:rtl/>
        </w:rPr>
        <w:t>עיקרי טענות הצדדים לעונש</w:t>
      </w:r>
    </w:p>
    <w:p w14:paraId="2EF933CF" w14:textId="77777777" w:rsidR="003B3A12" w:rsidRDefault="003B3A12" w:rsidP="003B3A12">
      <w:pPr>
        <w:spacing w:line="360" w:lineRule="auto"/>
        <w:jc w:val="both"/>
        <w:rPr>
          <w:rFonts w:ascii="FrankRuehl" w:hAnsi="FrankRuehl" w:cs="FrankRuehl"/>
          <w:sz w:val="28"/>
          <w:szCs w:val="28"/>
        </w:rPr>
      </w:pPr>
    </w:p>
    <w:p w14:paraId="294553E8" w14:textId="77777777" w:rsidR="003B3A12" w:rsidRDefault="003B3A12" w:rsidP="003B3A12">
      <w:pPr>
        <w:pStyle w:val="a9"/>
        <w:numPr>
          <w:ilvl w:val="0"/>
          <w:numId w:val="1"/>
        </w:numPr>
        <w:spacing w:after="0" w:line="360" w:lineRule="auto"/>
        <w:jc w:val="both"/>
        <w:rPr>
          <w:rFonts w:ascii="FrankRuehl" w:hAnsi="FrankRuehl" w:cs="FrankRuehl"/>
          <w:sz w:val="28"/>
          <w:szCs w:val="28"/>
          <w:rtl/>
        </w:rPr>
      </w:pPr>
      <w:r>
        <w:rPr>
          <w:rFonts w:ascii="FrankRuehl" w:hAnsi="FrankRuehl" w:cs="FrankRuehl"/>
          <w:sz w:val="28"/>
          <w:szCs w:val="28"/>
          <w:rtl/>
        </w:rPr>
        <w:t>המאשימה טוענת, בין השאר ובעיקר, כי מעשי הנאשם שבהם הוא הורשע גורמים להכבדה ניכרת על גורמי אכיפת החוק. לדידה, יש להעמיד את מתחם הענישה כך שינוע בין 4 חודשי מאסר שיכול וירוצו בעבודות שירות עד 8 חודשי מאסר, וכי יש למקֵם את עונשו של הנאשם בשים לב לנסיבותיו האישיות, ברף התחתון של המתחם ולהטיל עליו 4 חודשי מאסר שירוצו בעבודות שירות ככל שיימצא מתאים לכך, לצד ענישה נלווית. המאשימה מתנגדת לביטול ההרשעה מאחר ולא מתקיימים התנאים הנדרשים לכך.</w:t>
      </w:r>
    </w:p>
    <w:p w14:paraId="63B0BE9A" w14:textId="77777777" w:rsidR="003B3A12" w:rsidRDefault="003B3A12" w:rsidP="003B3A12">
      <w:pPr>
        <w:pStyle w:val="a9"/>
        <w:spacing w:line="360" w:lineRule="auto"/>
        <w:jc w:val="both"/>
        <w:rPr>
          <w:rFonts w:ascii="FrankRuehl" w:hAnsi="FrankRuehl" w:cs="FrankRuehl"/>
          <w:sz w:val="28"/>
          <w:szCs w:val="28"/>
          <w:rtl/>
        </w:rPr>
      </w:pPr>
      <w:r>
        <w:rPr>
          <w:rFonts w:ascii="FrankRuehl" w:hAnsi="FrankRuehl" w:cs="FrankRuehl"/>
          <w:sz w:val="28"/>
          <w:szCs w:val="28"/>
          <w:rtl/>
        </w:rPr>
        <w:t xml:space="preserve"> </w:t>
      </w:r>
    </w:p>
    <w:p w14:paraId="0E8CF330" w14:textId="77777777" w:rsidR="003B3A12" w:rsidRDefault="003B3A12" w:rsidP="003B3A12">
      <w:pPr>
        <w:pStyle w:val="a9"/>
        <w:numPr>
          <w:ilvl w:val="0"/>
          <w:numId w:val="1"/>
        </w:numPr>
        <w:spacing w:after="0" w:line="360" w:lineRule="auto"/>
        <w:jc w:val="both"/>
        <w:rPr>
          <w:rFonts w:ascii="FrankRuehl" w:hAnsi="FrankRuehl" w:cs="FrankRuehl"/>
          <w:sz w:val="28"/>
          <w:szCs w:val="28"/>
          <w:rtl/>
        </w:rPr>
      </w:pPr>
      <w:r>
        <w:rPr>
          <w:rFonts w:ascii="FrankRuehl" w:hAnsi="FrankRuehl" w:cs="FrankRuehl"/>
          <w:sz w:val="28"/>
          <w:szCs w:val="28"/>
          <w:rtl/>
        </w:rPr>
        <w:t xml:space="preserve">הנאשם – באמצעות בא-כוחו </w:t>
      </w:r>
      <w:r>
        <w:rPr>
          <w:rFonts w:ascii="Miriam" w:hAnsi="Miriam" w:cs="Miriam"/>
          <w:rtl/>
        </w:rPr>
        <w:t>עו"ד א' גיספאן</w:t>
      </w:r>
      <w:r>
        <w:rPr>
          <w:rFonts w:ascii="FrankRuehl" w:hAnsi="FrankRuehl" w:cs="FrankRuehl"/>
          <w:sz w:val="28"/>
          <w:szCs w:val="28"/>
          <w:rtl/>
        </w:rPr>
        <w:t xml:space="preserve"> – טוען מנגד בין השאר ובעיקר, כי בכתב האישום ובהכרעת הדין לא צוין אם המשקל של הסם הוא "נטו" או "ברוטו". משקל הסם "נטו" מגיע לכדי גבולותיה של עבירה מנהלית. מכל מקום, בהתחשב בנסיבותיו, עותרת ההגנה למידת הרחמים בהשתת העונש. הנאשם סובל מפוסט טראומה ועבר הליך שיקומי ארוך. למרות נסיבות החיים הקשות, הוא הצליח להשתלב בהליך שיקומי כאמור. הוא אמנם השתמש בקנאביס רפואי לפני שקיבל רישיון לכך, אך בשנתיים האחרונות הוא מחזיק רישיון כזה לשימוש במקרה הצורך. הנאשם נטל אחריות. הוא מאשר כי גידל שני צמחים קטנים של הסם אצלו בבית מאחר ורצה להימנע ממגע עם עבריינים וסוחרי סמים. שירות המבחן התרשם כי הנאשם אינו בעל אפיון עברייני. בעניין החזקת התחמושת, לא מדובר בהחזקת נשק. הכדורים נותרו משירותו הצבאי ולגבי רימון העשן, לא מדובר בחפץ שיכול להביא לפציעה. הנאשם נעדר עבר פלילי ומאז האישום עברו מעל שלוש שנים במהלכם לא הסתבך בפלילים. הנאשם עותר לביטול ההרשעה על מנת שלא לפגוע בעתידו, והוא הביע נכונות לביצוע עבודות שירות לתועלת הציבור (של"צ). </w:t>
      </w:r>
    </w:p>
    <w:p w14:paraId="505A38BA" w14:textId="77777777" w:rsidR="003B3A12" w:rsidRDefault="003B3A12" w:rsidP="003B3A12">
      <w:pPr>
        <w:pStyle w:val="a9"/>
        <w:rPr>
          <w:rFonts w:ascii="FrankRuehl" w:hAnsi="FrankRuehl" w:cs="FrankRuehl"/>
          <w:sz w:val="28"/>
          <w:szCs w:val="28"/>
        </w:rPr>
      </w:pPr>
    </w:p>
    <w:p w14:paraId="303F0B91" w14:textId="77777777" w:rsidR="003B3A12" w:rsidRDefault="003B3A12" w:rsidP="003B3A12">
      <w:pPr>
        <w:pStyle w:val="a9"/>
        <w:numPr>
          <w:ilvl w:val="0"/>
          <w:numId w:val="1"/>
        </w:numPr>
        <w:spacing w:after="0" w:line="360" w:lineRule="auto"/>
        <w:jc w:val="both"/>
        <w:rPr>
          <w:rFonts w:ascii="FrankRuehl" w:hAnsi="FrankRuehl" w:cs="FrankRuehl"/>
          <w:sz w:val="28"/>
          <w:szCs w:val="28"/>
        </w:rPr>
      </w:pPr>
      <w:r>
        <w:rPr>
          <w:rFonts w:ascii="FrankRuehl" w:hAnsi="FrankRuehl" w:cs="FrankRuehl"/>
          <w:sz w:val="28"/>
          <w:szCs w:val="28"/>
          <w:rtl/>
        </w:rPr>
        <w:t>גם הנאשם עצמו דיבר לפניי בדיון הטיעונים לעונש. לפיו, הוא נמצא כיום במסגרת שיקומית אינטנסיבית מאוד. באופן יומי, הוא עובד בשעות הבוקר ומשעות הצהריים ועד הערב הוא נמצא בטיפולים. הוא רוצה להמשיך בטיפולים, לשים את הכל מאחוריו ומקווה שעם הטיפולים שלו, יוכל לצאת לדרך חדשה.</w:t>
      </w:r>
    </w:p>
    <w:p w14:paraId="7DAB84E6" w14:textId="77777777" w:rsidR="003B3A12" w:rsidRDefault="003B3A12" w:rsidP="003B3A12">
      <w:pPr>
        <w:pStyle w:val="a9"/>
        <w:rPr>
          <w:rFonts w:ascii="FrankRuehl" w:hAnsi="FrankRuehl" w:cs="FrankRuehl"/>
          <w:sz w:val="28"/>
          <w:szCs w:val="28"/>
        </w:rPr>
      </w:pPr>
    </w:p>
    <w:p w14:paraId="381679D8" w14:textId="77777777" w:rsidR="003B3A12" w:rsidRDefault="003B3A12" w:rsidP="003B3A12">
      <w:pPr>
        <w:pStyle w:val="a9"/>
        <w:numPr>
          <w:ilvl w:val="0"/>
          <w:numId w:val="1"/>
        </w:numPr>
        <w:spacing w:after="0" w:line="360" w:lineRule="auto"/>
        <w:jc w:val="both"/>
        <w:rPr>
          <w:rFonts w:ascii="FrankRuehl" w:hAnsi="FrankRuehl" w:cs="FrankRuehl"/>
          <w:sz w:val="28"/>
          <w:szCs w:val="28"/>
          <w:rtl/>
        </w:rPr>
      </w:pPr>
      <w:r>
        <w:rPr>
          <w:rFonts w:ascii="FrankRuehl" w:hAnsi="FrankRuehl" w:cs="FrankRuehl"/>
          <w:sz w:val="28"/>
          <w:szCs w:val="28"/>
          <w:rtl/>
        </w:rPr>
        <w:t>זה המקום לציין, כי עובר למתן גזר הדין הוריתי על הזמנת חוות דעת של הממונה על עבודות השירות בשירות בתי הסוהר. ברם, סמוך לאחר מכן, עתר הנאשם לשקול את ביטול הוראה זו בציינו כי ענישה בדמות עבודות שירות תביא "</w:t>
      </w:r>
      <w:r>
        <w:rPr>
          <w:rFonts w:ascii="Miriam" w:hAnsi="Miriam" w:cs="Miriam"/>
          <w:rtl/>
        </w:rPr>
        <w:t>לקריסתו הנפשית</w:t>
      </w:r>
      <w:r>
        <w:rPr>
          <w:rFonts w:ascii="FrankRuehl" w:hAnsi="FrankRuehl" w:cs="FrankRuehl"/>
          <w:sz w:val="28"/>
          <w:szCs w:val="28"/>
          <w:rtl/>
        </w:rPr>
        <w:t>" ולמעשה תפגע בתוכנית הטיפול שבה הוא משולב כיום, וזה עלול "</w:t>
      </w:r>
      <w:r>
        <w:rPr>
          <w:rFonts w:ascii="Miriam" w:hAnsi="Miriam" w:cs="Miriam"/>
          <w:rtl/>
        </w:rPr>
        <w:t>לסכן</w:t>
      </w:r>
      <w:r>
        <w:rPr>
          <w:rFonts w:ascii="FrankRuehl" w:hAnsi="FrankRuehl" w:cs="FrankRuehl"/>
          <w:sz w:val="28"/>
          <w:szCs w:val="28"/>
          <w:rtl/>
        </w:rPr>
        <w:t xml:space="preserve">" את חייו ולמנוע ממנו אפשרות לשוב לתפקוד משביע רצון. הנאשם נשען בבקשתו האמורה על מכתב של מכון "סאמיט" – עמותה לשירותי טיפול, שיקום פסיכוסוציאלי ורווחה, מיום 10.4.2023, על מכתב של פסיכיאטר וגם על מכתב נוסף של מכון "סאמיט" מיום 11.4.2023. </w:t>
      </w:r>
    </w:p>
    <w:p w14:paraId="514D2AE9" w14:textId="77777777" w:rsidR="003B3A12" w:rsidRDefault="003B3A12" w:rsidP="003B3A12">
      <w:pPr>
        <w:pStyle w:val="a9"/>
        <w:rPr>
          <w:rFonts w:ascii="FrankRuehl" w:hAnsi="FrankRuehl" w:cs="FrankRuehl"/>
          <w:sz w:val="28"/>
          <w:szCs w:val="28"/>
        </w:rPr>
      </w:pPr>
    </w:p>
    <w:p w14:paraId="18740583" w14:textId="77777777" w:rsidR="003B3A12" w:rsidRDefault="003B3A12" w:rsidP="003B3A12">
      <w:pPr>
        <w:pStyle w:val="a9"/>
        <w:numPr>
          <w:ilvl w:val="0"/>
          <w:numId w:val="1"/>
        </w:numPr>
        <w:spacing w:after="0" w:line="360" w:lineRule="auto"/>
        <w:jc w:val="both"/>
        <w:rPr>
          <w:rFonts w:ascii="FrankRuehl" w:hAnsi="FrankRuehl" w:cs="FrankRuehl"/>
          <w:sz w:val="28"/>
          <w:szCs w:val="28"/>
          <w:rtl/>
        </w:rPr>
      </w:pPr>
      <w:r>
        <w:rPr>
          <w:rFonts w:ascii="FrankRuehl" w:hAnsi="FrankRuehl" w:cs="FrankRuehl"/>
          <w:sz w:val="28"/>
          <w:szCs w:val="28"/>
          <w:rtl/>
        </w:rPr>
        <w:t>על-יסוד התוכן שבמכתבים האמורים וטיעוני הנאשם, וכן מאחר ולא הוגשה כל תגובה מטעם המאשימה (חרף ההחלטה מיום 13.4.2023), הוריתי ביום 30.4.2023 על ביטול זימון חוות דעת כאמור תוך שהובהר כי אין בזאת משום קביעת עמדה כלשהי ביחס לרכיבי הענישה אשר יגובשו רק לאחר בחינה סופית של מכלול הטיעונים לעונש.</w:t>
      </w:r>
    </w:p>
    <w:p w14:paraId="36043667" w14:textId="77777777" w:rsidR="003B3A12" w:rsidRDefault="003B3A12" w:rsidP="003B3A12">
      <w:pPr>
        <w:spacing w:line="360" w:lineRule="auto"/>
        <w:jc w:val="both"/>
        <w:rPr>
          <w:rFonts w:ascii="FrankRuehl" w:hAnsi="FrankRuehl" w:cs="FrankRuehl"/>
          <w:sz w:val="28"/>
          <w:szCs w:val="28"/>
        </w:rPr>
      </w:pPr>
    </w:p>
    <w:p w14:paraId="5AA7CFA7" w14:textId="77777777" w:rsidR="003B3A12" w:rsidRDefault="003B3A12" w:rsidP="003B3A12">
      <w:pPr>
        <w:spacing w:line="360" w:lineRule="auto"/>
        <w:jc w:val="both"/>
        <w:rPr>
          <w:rFonts w:ascii="Miriam" w:hAnsi="Miriam" w:cs="Miriam"/>
          <w:u w:val="single"/>
          <w:rtl/>
        </w:rPr>
      </w:pPr>
      <w:r>
        <w:rPr>
          <w:rFonts w:ascii="Miriam" w:hAnsi="Miriam" w:cs="Miriam"/>
          <w:u w:val="single"/>
          <w:rtl/>
        </w:rPr>
        <w:t>דיון והכרעה</w:t>
      </w:r>
    </w:p>
    <w:p w14:paraId="72D62962" w14:textId="77777777" w:rsidR="003B3A12" w:rsidRDefault="003B3A12" w:rsidP="003B3A12">
      <w:pPr>
        <w:spacing w:line="360" w:lineRule="auto"/>
        <w:jc w:val="both"/>
        <w:rPr>
          <w:rFonts w:ascii="FrankRuehl" w:hAnsi="FrankRuehl" w:cs="FrankRuehl"/>
          <w:sz w:val="28"/>
          <w:szCs w:val="28"/>
        </w:rPr>
      </w:pPr>
    </w:p>
    <w:p w14:paraId="1CFE8E23" w14:textId="77777777" w:rsidR="003B3A12" w:rsidRDefault="003B3A12" w:rsidP="003B3A12">
      <w:pPr>
        <w:pStyle w:val="a9"/>
        <w:numPr>
          <w:ilvl w:val="0"/>
          <w:numId w:val="1"/>
        </w:numPr>
        <w:spacing w:after="0" w:line="360" w:lineRule="auto"/>
        <w:ind w:hanging="494"/>
        <w:jc w:val="both"/>
        <w:rPr>
          <w:rFonts w:ascii="FrankRuehl" w:hAnsi="FrankRuehl" w:cs="FrankRuehl"/>
          <w:sz w:val="28"/>
          <w:szCs w:val="28"/>
          <w:rtl/>
        </w:rPr>
      </w:pPr>
      <w:r>
        <w:rPr>
          <w:rFonts w:ascii="FrankRuehl" w:hAnsi="FrankRuehl" w:cs="FrankRuehl"/>
          <w:sz w:val="28"/>
          <w:szCs w:val="28"/>
          <w:rtl/>
        </w:rPr>
        <w:t>תחילה ביחס לעתירה של הנאשם לביטול הרשעה. לאחר שנתתי את דעתי לטענות הצדדים בנדון, הגעתי לכלל דעה כי דין העתירה להידחות.</w:t>
      </w:r>
    </w:p>
    <w:p w14:paraId="6C9FA02A" w14:textId="77777777" w:rsidR="003B3A12" w:rsidRDefault="003B3A12" w:rsidP="003B3A12">
      <w:pPr>
        <w:pStyle w:val="a9"/>
        <w:spacing w:line="360" w:lineRule="auto"/>
        <w:jc w:val="both"/>
        <w:rPr>
          <w:rFonts w:ascii="FrankRuehl" w:hAnsi="FrankRuehl" w:cs="FrankRuehl"/>
          <w:sz w:val="28"/>
          <w:szCs w:val="28"/>
          <w:rtl/>
        </w:rPr>
      </w:pPr>
    </w:p>
    <w:p w14:paraId="42D06817" w14:textId="77777777" w:rsidR="003B3A12" w:rsidRDefault="003B3A12" w:rsidP="003B3A12">
      <w:pPr>
        <w:pStyle w:val="a9"/>
        <w:numPr>
          <w:ilvl w:val="0"/>
          <w:numId w:val="1"/>
        </w:numPr>
        <w:spacing w:after="0" w:line="360" w:lineRule="auto"/>
        <w:ind w:hanging="494"/>
        <w:jc w:val="both"/>
        <w:rPr>
          <w:rFonts w:ascii="FrankRuehl" w:hAnsi="FrankRuehl" w:cs="FrankRuehl"/>
          <w:sz w:val="28"/>
          <w:szCs w:val="28"/>
          <w:rtl/>
        </w:rPr>
      </w:pPr>
      <w:r>
        <w:rPr>
          <w:rFonts w:ascii="FrankRuehl" w:hAnsi="FrankRuehl" w:cs="FrankRuehl"/>
          <w:sz w:val="28"/>
          <w:szCs w:val="28"/>
          <w:rtl/>
        </w:rPr>
        <w:t xml:space="preserve">לפי ההלכה הפסוקה אי-הרשעה אפשרית בהתקיים שני תנאים מצטברים: </w:t>
      </w:r>
      <w:r>
        <w:rPr>
          <w:rFonts w:ascii="Miriam" w:hAnsi="Miriam" w:cs="Miriam"/>
          <w:rtl/>
        </w:rPr>
        <w:t>הראשון</w:t>
      </w:r>
      <w:r>
        <w:rPr>
          <w:rFonts w:ascii="FrankRuehl" w:hAnsi="FrankRuehl" w:cs="FrankRuehl"/>
          <w:sz w:val="28"/>
          <w:szCs w:val="28"/>
          <w:rtl/>
        </w:rPr>
        <w:t xml:space="preserve"> – מקום בו ההרשעה תפגע פגיעה חמורה בשיקום הנאשם אשר נדרש להצביע על נזק קונקרטי שייגרם לו אם תיוותר הרשעתו על כנה. </w:t>
      </w:r>
      <w:r>
        <w:rPr>
          <w:rFonts w:ascii="Miriam" w:hAnsi="Miriam" w:cs="Miriam"/>
          <w:rtl/>
        </w:rPr>
        <w:t>השני</w:t>
      </w:r>
      <w:r>
        <w:rPr>
          <w:rFonts w:ascii="FrankRuehl" w:hAnsi="FrankRuehl" w:cs="FrankRuehl"/>
          <w:sz w:val="28"/>
          <w:szCs w:val="28"/>
          <w:rtl/>
        </w:rPr>
        <w:t xml:space="preserve"> – סוג העבירה מאפשר לוותר בנסיבות המקרה על ההרשעה מבלי לפגוע באופן מהותי בשיקולי הענישה (</w:t>
      </w:r>
      <w:hyperlink r:id="rId26" w:history="1">
        <w:r w:rsidR="008D39BF" w:rsidRPr="008D39BF">
          <w:rPr>
            <w:rFonts w:ascii="FrankRuehl" w:hAnsi="FrankRuehl" w:cs="FrankRuehl"/>
            <w:color w:val="0000FF"/>
            <w:sz w:val="28"/>
            <w:szCs w:val="28"/>
            <w:u w:val="single"/>
            <w:rtl/>
          </w:rPr>
          <w:t>רע"פ 547/21</w:t>
        </w:r>
      </w:hyperlink>
      <w:r>
        <w:rPr>
          <w:rFonts w:ascii="FrankRuehl" w:hAnsi="FrankRuehl" w:cs="FrankRuehl"/>
          <w:sz w:val="28"/>
          <w:szCs w:val="28"/>
          <w:rtl/>
        </w:rPr>
        <w:t xml:space="preserve"> </w:t>
      </w:r>
      <w:r>
        <w:rPr>
          <w:rFonts w:ascii="Miriam" w:hAnsi="Miriam" w:cs="Miriam"/>
          <w:rtl/>
        </w:rPr>
        <w:t>סיטניק נ' מדינת ישראל</w:t>
      </w:r>
      <w:r>
        <w:rPr>
          <w:rFonts w:ascii="FrankRuehl" w:hAnsi="FrankRuehl" w:cs="FrankRuehl"/>
          <w:sz w:val="28"/>
          <w:szCs w:val="28"/>
          <w:rtl/>
        </w:rPr>
        <w:t xml:space="preserve">, פסקה 8 (17.3.2021); </w:t>
      </w:r>
      <w:hyperlink r:id="rId27" w:history="1">
        <w:r w:rsidR="008D39BF" w:rsidRPr="008D39BF">
          <w:rPr>
            <w:rFonts w:ascii="FrankRuehl" w:hAnsi="FrankRuehl" w:cs="FrankRuehl"/>
            <w:color w:val="0000FF"/>
            <w:sz w:val="28"/>
            <w:szCs w:val="28"/>
            <w:u w:val="single"/>
            <w:rtl/>
          </w:rPr>
          <w:t>רע"פ 6485/20</w:t>
        </w:r>
      </w:hyperlink>
      <w:r>
        <w:rPr>
          <w:rFonts w:ascii="FrankRuehl" w:hAnsi="FrankRuehl" w:cs="FrankRuehl"/>
          <w:sz w:val="28"/>
          <w:szCs w:val="28"/>
          <w:rtl/>
        </w:rPr>
        <w:t xml:space="preserve"> </w:t>
      </w:r>
      <w:r>
        <w:rPr>
          <w:rFonts w:ascii="Miriam" w:hAnsi="Miriam" w:cs="Miriam"/>
          <w:rtl/>
        </w:rPr>
        <w:t>ביטון נ' מדינת ישראל</w:t>
      </w:r>
      <w:r>
        <w:rPr>
          <w:rFonts w:ascii="FrankRuehl" w:hAnsi="FrankRuehl" w:cs="FrankRuehl"/>
          <w:sz w:val="28"/>
          <w:szCs w:val="28"/>
          <w:rtl/>
        </w:rPr>
        <w:t>, פסקה 10 (11.1.2021)). הלכה זו ידועה כהלכת כּתב (</w:t>
      </w:r>
      <w:hyperlink r:id="rId28" w:history="1">
        <w:r w:rsidR="008D39BF" w:rsidRPr="008D39BF">
          <w:rPr>
            <w:rFonts w:ascii="FrankRuehl" w:hAnsi="FrankRuehl" w:cs="FrankRuehl"/>
            <w:color w:val="0000FF"/>
            <w:sz w:val="28"/>
            <w:szCs w:val="28"/>
            <w:u w:val="single"/>
            <w:rtl/>
          </w:rPr>
          <w:t>ע"פ 2083/96</w:t>
        </w:r>
      </w:hyperlink>
      <w:r>
        <w:rPr>
          <w:rFonts w:ascii="FrankRuehl" w:hAnsi="FrankRuehl" w:cs="FrankRuehl"/>
          <w:sz w:val="28"/>
          <w:szCs w:val="28"/>
          <w:rtl/>
        </w:rPr>
        <w:t xml:space="preserve"> </w:t>
      </w:r>
      <w:r>
        <w:rPr>
          <w:rFonts w:ascii="Miriam" w:hAnsi="Miriam" w:cs="Miriam"/>
          <w:rtl/>
        </w:rPr>
        <w:t>כתב נ' מדינת ישראל</w:t>
      </w:r>
      <w:r>
        <w:rPr>
          <w:rFonts w:ascii="FrankRuehl" w:hAnsi="FrankRuehl" w:cs="FrankRuehl"/>
          <w:sz w:val="28"/>
          <w:szCs w:val="28"/>
          <w:rtl/>
        </w:rPr>
        <w:t xml:space="preserve">, פ"ד נב(3) 337 (1997). הסמכות כיום מעוגנת </w:t>
      </w:r>
      <w:hyperlink r:id="rId29" w:history="1">
        <w:r w:rsidR="00624A4D" w:rsidRPr="00624A4D">
          <w:rPr>
            <w:rStyle w:val="Hyperlink"/>
            <w:rFonts w:ascii="FrankRuehl" w:hAnsi="FrankRuehl" w:cs="FrankRuehl"/>
            <w:sz w:val="28"/>
            <w:szCs w:val="28"/>
            <w:rtl/>
          </w:rPr>
          <w:t>בסעיף 192א</w:t>
        </w:r>
      </w:hyperlink>
      <w:r>
        <w:rPr>
          <w:rFonts w:ascii="FrankRuehl" w:hAnsi="FrankRuehl" w:cs="FrankRuehl"/>
          <w:sz w:val="28"/>
          <w:szCs w:val="28"/>
          <w:rtl/>
        </w:rPr>
        <w:t xml:space="preserve"> </w:t>
      </w:r>
      <w:r>
        <w:rPr>
          <w:rFonts w:ascii="Miriam" w:hAnsi="Miriam" w:cs="Miriam"/>
          <w:rtl/>
        </w:rPr>
        <w:t>ב</w:t>
      </w:r>
      <w:hyperlink r:id="rId30" w:history="1">
        <w:r w:rsidR="008D39BF" w:rsidRPr="008D39BF">
          <w:rPr>
            <w:rFonts w:ascii="Miriam" w:hAnsi="Miriam" w:cs="Miriam"/>
            <w:color w:val="0000FF"/>
            <w:u w:val="single"/>
            <w:rtl/>
          </w:rPr>
          <w:t>חוק סדר הדין הפלילי</w:t>
        </w:r>
      </w:hyperlink>
      <w:r>
        <w:rPr>
          <w:rFonts w:ascii="Miriam" w:hAnsi="Miriam" w:cs="Miriam"/>
          <w:rtl/>
        </w:rPr>
        <w:t xml:space="preserve"> [נוסח משולב], התשמ"ב-1982</w:t>
      </w:r>
      <w:r>
        <w:rPr>
          <w:rFonts w:ascii="FrankRuehl" w:hAnsi="FrankRuehl" w:cs="FrankRuehl"/>
          <w:sz w:val="28"/>
          <w:szCs w:val="28"/>
          <w:rtl/>
        </w:rPr>
        <w:t xml:space="preserve"> וגם </w:t>
      </w:r>
      <w:hyperlink r:id="rId31" w:history="1">
        <w:r w:rsidR="00624A4D" w:rsidRPr="00624A4D">
          <w:rPr>
            <w:rStyle w:val="Hyperlink"/>
            <w:rFonts w:ascii="FrankRuehl" w:hAnsi="FrankRuehl" w:cs="FrankRuehl"/>
            <w:sz w:val="28"/>
            <w:szCs w:val="28"/>
            <w:rtl/>
          </w:rPr>
          <w:t>בסעיף 71א(ב)</w:t>
        </w:r>
      </w:hyperlink>
      <w:r>
        <w:rPr>
          <w:rFonts w:ascii="FrankRuehl" w:hAnsi="FrankRuehl" w:cs="FrankRuehl"/>
          <w:sz w:val="28"/>
          <w:szCs w:val="28"/>
          <w:rtl/>
        </w:rPr>
        <w:t xml:space="preserve"> </w:t>
      </w:r>
      <w:r>
        <w:rPr>
          <w:rFonts w:ascii="Miriam" w:hAnsi="Miriam" w:cs="Miriam"/>
          <w:rtl/>
        </w:rPr>
        <w:t>ב</w:t>
      </w:r>
      <w:hyperlink r:id="rId32" w:history="1">
        <w:r w:rsidR="008D39BF" w:rsidRPr="008D39BF">
          <w:rPr>
            <w:rFonts w:ascii="Miriam" w:hAnsi="Miriam" w:cs="Miriam"/>
            <w:color w:val="0000FF"/>
            <w:u w:val="single"/>
            <w:rtl/>
          </w:rPr>
          <w:t>חוק העונשין</w:t>
        </w:r>
      </w:hyperlink>
      <w:r>
        <w:rPr>
          <w:rFonts w:ascii="FrankRuehl" w:hAnsi="FrankRuehl" w:cs="FrankRuehl"/>
          <w:sz w:val="28"/>
          <w:szCs w:val="28"/>
          <w:rtl/>
        </w:rPr>
        <w:t>. מכל מקום, דרך המלך היא כי יש להרשיע את מי שנקבע כי ביצע את העבירה שבגינה הועמד לדין. ביטול הרשעה אינו הכלל אלא החריג לו, למצער ביחס לבגירים (</w:t>
      </w:r>
      <w:hyperlink r:id="rId33" w:history="1">
        <w:r w:rsidR="008D39BF" w:rsidRPr="008D39BF">
          <w:rPr>
            <w:rFonts w:ascii="FrankRuehl" w:hAnsi="FrankRuehl" w:cs="FrankRuehl"/>
            <w:color w:val="0000FF"/>
            <w:sz w:val="28"/>
            <w:szCs w:val="28"/>
            <w:u w:val="single"/>
            <w:rtl/>
          </w:rPr>
          <w:t>ע"פ 8169/20</w:t>
        </w:r>
      </w:hyperlink>
      <w:r>
        <w:rPr>
          <w:rFonts w:ascii="FrankRuehl" w:hAnsi="FrankRuehl" w:cs="FrankRuehl"/>
          <w:sz w:val="28"/>
          <w:szCs w:val="28"/>
          <w:rtl/>
        </w:rPr>
        <w:t xml:space="preserve"> </w:t>
      </w:r>
      <w:r>
        <w:rPr>
          <w:rFonts w:ascii="Miriam" w:hAnsi="Miriam" w:cs="Miriam"/>
          <w:rtl/>
        </w:rPr>
        <w:t>שלום נ' מדינת ישראל</w:t>
      </w:r>
      <w:r>
        <w:rPr>
          <w:rFonts w:ascii="FrankRuehl" w:hAnsi="FrankRuehl" w:cs="FrankRuehl"/>
          <w:sz w:val="28"/>
          <w:szCs w:val="28"/>
          <w:rtl/>
        </w:rPr>
        <w:t xml:space="preserve">, פסקה 2 (26.8.2021); ראו גם: </w:t>
      </w:r>
      <w:hyperlink r:id="rId34" w:history="1">
        <w:r w:rsidR="008D39BF" w:rsidRPr="008D39BF">
          <w:rPr>
            <w:rFonts w:ascii="FrankRuehl" w:hAnsi="FrankRuehl" w:cs="FrankRuehl"/>
            <w:color w:val="0000FF"/>
            <w:sz w:val="28"/>
            <w:szCs w:val="28"/>
            <w:u w:val="single"/>
            <w:rtl/>
          </w:rPr>
          <w:t>רע"פ 5018/18</w:t>
        </w:r>
      </w:hyperlink>
      <w:r>
        <w:rPr>
          <w:rFonts w:ascii="FrankRuehl" w:hAnsi="FrankRuehl" w:cs="FrankRuehl"/>
          <w:sz w:val="28"/>
          <w:szCs w:val="28"/>
          <w:rtl/>
        </w:rPr>
        <w:t xml:space="preserve"> </w:t>
      </w:r>
      <w:r>
        <w:rPr>
          <w:rFonts w:ascii="Miriam" w:hAnsi="Miriam" w:cs="Miriam"/>
          <w:rtl/>
        </w:rPr>
        <w:t>בוזגלו נ' מדינת ישראל</w:t>
      </w:r>
      <w:r>
        <w:rPr>
          <w:rFonts w:ascii="FrankRuehl" w:hAnsi="FrankRuehl" w:cs="FrankRuehl"/>
          <w:sz w:val="28"/>
          <w:szCs w:val="28"/>
          <w:rtl/>
        </w:rPr>
        <w:t xml:space="preserve"> (21.10.2018)).</w:t>
      </w:r>
    </w:p>
    <w:p w14:paraId="50360582" w14:textId="77777777" w:rsidR="003B3A12" w:rsidRDefault="003B3A12" w:rsidP="003B3A12">
      <w:pPr>
        <w:pStyle w:val="a9"/>
        <w:spacing w:line="360" w:lineRule="auto"/>
        <w:jc w:val="both"/>
        <w:rPr>
          <w:rFonts w:ascii="FrankRuehl" w:hAnsi="FrankRuehl" w:cs="FrankRuehl"/>
          <w:sz w:val="28"/>
          <w:szCs w:val="28"/>
        </w:rPr>
      </w:pPr>
    </w:p>
    <w:p w14:paraId="437E2D2F" w14:textId="77777777" w:rsidR="003B3A12" w:rsidRDefault="003B3A12" w:rsidP="003B3A12">
      <w:pPr>
        <w:pStyle w:val="a9"/>
        <w:numPr>
          <w:ilvl w:val="0"/>
          <w:numId w:val="1"/>
        </w:numPr>
        <w:spacing w:after="0" w:line="360" w:lineRule="auto"/>
        <w:ind w:hanging="494"/>
        <w:jc w:val="both"/>
        <w:rPr>
          <w:rFonts w:ascii="FrankRuehl" w:hAnsi="FrankRuehl" w:cs="FrankRuehl"/>
          <w:sz w:val="28"/>
          <w:szCs w:val="28"/>
        </w:rPr>
      </w:pPr>
      <w:r>
        <w:rPr>
          <w:rFonts w:ascii="FrankRuehl" w:hAnsi="FrankRuehl" w:cs="FrankRuehl"/>
          <w:sz w:val="28"/>
          <w:szCs w:val="28"/>
          <w:rtl/>
        </w:rPr>
        <w:t>אינני סבור כי מה משני התנאים מתקיים במקרה לפנינו. העבירות שבהן הורשע הנאשם לאחר כפירה, הן חמורות. השילוב ביניהן, בלשון המעטה, אינו מקהה זאת. בנוסף, מלבד הטענה הכללית לפיה הנאשם עתיד ללמוד מקצוע בתחום החינוך, אין ראיות משכנעות בדבר קיומו של פוטנציאל לנזק ממשי בשיקומו עם הותרת ההרשעה על כנה, וממילא התסקיר לא בא בהמלצה חיובית בנדון. חזקה על כל מעסיק לבחור את עובדיו לפי יכולותיהם, כישוריהם והתאמתם לתפקיד הייעודי. נוסף לאמור אציין, כי כאמור, הנאשם כפר לאורך כל ההליך במיוחס לו ונוהל משפט שלם תוך הטלת דופי בעדויות השוטרים שהעידו ובחוקיות החיפוש שבוצע בביתו. נטילת האחריות על-ידו באה לראשונה רק לפני שירות המבחן. נכון, זכותו של הנאשם לנהל את הגנתו על מנת להוכיח את חפותו. לצד זאת, לא נראה שנסיבות אלו (ובמובחן משקילת מכלול הטענות לקביעת העונש הראוי) מצדיקות גישה סלחנית שתבוא לידי ביטוי בביטול ההרשעה.</w:t>
      </w:r>
    </w:p>
    <w:p w14:paraId="5A983F8F" w14:textId="77777777" w:rsidR="003B3A12" w:rsidRDefault="003B3A12" w:rsidP="003B3A12">
      <w:pPr>
        <w:pStyle w:val="a9"/>
        <w:spacing w:line="360" w:lineRule="auto"/>
        <w:jc w:val="both"/>
        <w:rPr>
          <w:rFonts w:ascii="FrankRuehl" w:hAnsi="FrankRuehl" w:cs="FrankRuehl"/>
          <w:sz w:val="28"/>
          <w:szCs w:val="28"/>
        </w:rPr>
      </w:pPr>
    </w:p>
    <w:p w14:paraId="1DCB48D6" w14:textId="77777777" w:rsidR="003B3A12" w:rsidRDefault="003B3A12" w:rsidP="003B3A12">
      <w:pPr>
        <w:pStyle w:val="a9"/>
        <w:spacing w:line="360" w:lineRule="auto"/>
        <w:jc w:val="both"/>
        <w:rPr>
          <w:rFonts w:ascii="FrankRuehl" w:hAnsi="FrankRuehl" w:cs="FrankRuehl"/>
          <w:sz w:val="28"/>
          <w:szCs w:val="28"/>
          <w:rtl/>
        </w:rPr>
      </w:pPr>
      <w:r>
        <w:rPr>
          <w:rFonts w:ascii="FrankRuehl" w:hAnsi="FrankRuehl" w:cs="FrankRuehl"/>
          <w:sz w:val="28"/>
          <w:szCs w:val="28"/>
          <w:rtl/>
        </w:rPr>
        <w:t>מכאן לעונש הראוי.</w:t>
      </w:r>
    </w:p>
    <w:p w14:paraId="1AB60533" w14:textId="77777777" w:rsidR="003B3A12" w:rsidRDefault="003B3A12" w:rsidP="003B3A12">
      <w:pPr>
        <w:pStyle w:val="a9"/>
        <w:spacing w:line="360" w:lineRule="auto"/>
        <w:jc w:val="both"/>
        <w:rPr>
          <w:rFonts w:ascii="FrankRuehl" w:hAnsi="FrankRuehl" w:cs="FrankRuehl"/>
          <w:sz w:val="28"/>
          <w:szCs w:val="28"/>
        </w:rPr>
      </w:pPr>
    </w:p>
    <w:p w14:paraId="53F225A1" w14:textId="77777777" w:rsidR="003B3A12" w:rsidRDefault="003B3A12" w:rsidP="003B3A12">
      <w:pPr>
        <w:pStyle w:val="a9"/>
        <w:numPr>
          <w:ilvl w:val="0"/>
          <w:numId w:val="1"/>
        </w:numPr>
        <w:spacing w:after="0" w:line="360" w:lineRule="auto"/>
        <w:ind w:hanging="494"/>
        <w:jc w:val="both"/>
        <w:rPr>
          <w:rFonts w:ascii="FrankRuehl" w:hAnsi="FrankRuehl" w:cs="FrankRuehl"/>
          <w:sz w:val="28"/>
          <w:szCs w:val="28"/>
          <w:rtl/>
        </w:rPr>
      </w:pPr>
      <w:r>
        <w:rPr>
          <w:rFonts w:ascii="FrankRuehl" w:hAnsi="FrankRuehl" w:cs="FrankRuehl"/>
          <w:sz w:val="28"/>
          <w:szCs w:val="28"/>
          <w:rtl/>
        </w:rPr>
        <w:t xml:space="preserve">לפי </w:t>
      </w:r>
      <w:hyperlink r:id="rId35" w:history="1">
        <w:r w:rsidR="00624A4D" w:rsidRPr="00624A4D">
          <w:rPr>
            <w:rStyle w:val="Hyperlink"/>
            <w:rFonts w:ascii="FrankRuehl" w:hAnsi="FrankRuehl" w:cs="FrankRuehl"/>
            <w:sz w:val="28"/>
            <w:szCs w:val="28"/>
            <w:rtl/>
          </w:rPr>
          <w:t>סעיף 40ב</w:t>
        </w:r>
      </w:hyperlink>
      <w:r>
        <w:rPr>
          <w:rFonts w:ascii="FrankRuehl" w:hAnsi="FrankRuehl" w:cs="FrankRuehl"/>
          <w:sz w:val="28"/>
          <w:szCs w:val="28"/>
          <w:rtl/>
        </w:rPr>
        <w:t xml:space="preserve"> </w:t>
      </w:r>
      <w:r>
        <w:rPr>
          <w:rFonts w:ascii="Miriam" w:hAnsi="Miriam" w:cs="Miriam"/>
          <w:rtl/>
        </w:rPr>
        <w:t>ב</w:t>
      </w:r>
      <w:hyperlink r:id="rId36" w:history="1">
        <w:r w:rsidR="008D39BF" w:rsidRPr="008D39BF">
          <w:rPr>
            <w:rFonts w:ascii="Miriam" w:hAnsi="Miriam" w:cs="Miriam"/>
            <w:color w:val="0000FF"/>
            <w:u w:val="single"/>
            <w:rtl/>
          </w:rPr>
          <w:t>חוק העונשין</w:t>
        </w:r>
      </w:hyperlink>
      <w:r>
        <w:rPr>
          <w:rFonts w:ascii="FrankRuehl" w:hAnsi="FrankRuehl" w:cs="FrankRuehl"/>
          <w:sz w:val="28"/>
          <w:szCs w:val="28"/>
          <w:rtl/>
        </w:rPr>
        <w:t xml:space="preserve">, העיקרון המנחה בענישה הוא קיומו של יחס הולם בין חומרת מעשה העבירה בנסיבותיו ומידת אשמו של הנאשם ובין סוג ומידת העונש המוטל. לפי </w:t>
      </w:r>
      <w:hyperlink r:id="rId37" w:history="1">
        <w:r w:rsidR="00624A4D" w:rsidRPr="00624A4D">
          <w:rPr>
            <w:rStyle w:val="Hyperlink"/>
            <w:rFonts w:ascii="FrankRuehl" w:hAnsi="FrankRuehl" w:cs="FrankRuehl"/>
            <w:sz w:val="28"/>
            <w:szCs w:val="28"/>
            <w:rtl/>
          </w:rPr>
          <w:t>סעיף 40ג(א)</w:t>
        </w:r>
      </w:hyperlink>
      <w:r>
        <w:rPr>
          <w:rFonts w:ascii="FrankRuehl" w:hAnsi="FrankRuehl" w:cs="FrankRuehl"/>
          <w:sz w:val="28"/>
          <w:szCs w:val="28"/>
          <w:rtl/>
        </w:rPr>
        <w:t>, לקביעת מתחם העונש ההולם, בית המשפט "</w:t>
      </w:r>
      <w:r>
        <w:rPr>
          <w:rFonts w:ascii="Miriam" w:hAnsi="Miriam" w:cs="Miriam"/>
          <w:rtl/>
        </w:rPr>
        <w:t>יתחשב בערך החברתי שנפגע מביצוע העבירה, במידת הפגיעה בו, במדיניות הענישה הנהוגה ובנסיבות הקשורות בביצוע העבירה כאמור בסעיף 40ט</w:t>
      </w:r>
      <w:r>
        <w:rPr>
          <w:rFonts w:ascii="FrankRuehl" w:hAnsi="FrankRuehl" w:cs="FrankRuehl"/>
          <w:sz w:val="28"/>
          <w:szCs w:val="28"/>
          <w:rtl/>
        </w:rPr>
        <w:t xml:space="preserve">", ולפי </w:t>
      </w:r>
      <w:hyperlink r:id="rId38" w:history="1">
        <w:r w:rsidR="00624A4D" w:rsidRPr="00624A4D">
          <w:rPr>
            <w:rStyle w:val="Hyperlink"/>
            <w:rFonts w:ascii="FrankRuehl" w:hAnsi="FrankRuehl" w:cs="FrankRuehl"/>
            <w:sz w:val="28"/>
            <w:szCs w:val="28"/>
            <w:rtl/>
          </w:rPr>
          <w:t>סעיף 40ג(ב)</w:t>
        </w:r>
      </w:hyperlink>
      <w:r>
        <w:rPr>
          <w:rFonts w:ascii="FrankRuehl" w:hAnsi="FrankRuehl" w:cs="FrankRuehl"/>
          <w:sz w:val="28"/>
          <w:szCs w:val="28"/>
          <w:rtl/>
        </w:rPr>
        <w:t xml:space="preserve"> "</w:t>
      </w:r>
      <w:r>
        <w:rPr>
          <w:rFonts w:ascii="Miriam" w:hAnsi="Miriam" w:cs="Miriam"/>
          <w:rtl/>
        </w:rPr>
        <w:t>בתוך מתחם העונש ההולם יגזור בית המשפט את העונש המתאים לנאשם, בהתחשב בנסיבות שאינן קשורות בביצוע העבירה...</w:t>
      </w:r>
      <w:r>
        <w:rPr>
          <w:rFonts w:ascii="FrankRuehl" w:hAnsi="FrankRuehl" w:cs="FrankRuehl"/>
          <w:sz w:val="28"/>
          <w:szCs w:val="28"/>
          <w:rtl/>
        </w:rPr>
        <w:t>".</w:t>
      </w:r>
    </w:p>
    <w:p w14:paraId="0B9A82DC" w14:textId="77777777" w:rsidR="003B3A12" w:rsidRDefault="003B3A12" w:rsidP="003B3A12">
      <w:pPr>
        <w:pStyle w:val="a9"/>
        <w:spacing w:line="360" w:lineRule="auto"/>
        <w:jc w:val="both"/>
        <w:rPr>
          <w:rFonts w:ascii="FrankRuehl" w:hAnsi="FrankRuehl" w:cs="FrankRuehl"/>
          <w:sz w:val="28"/>
          <w:szCs w:val="28"/>
        </w:rPr>
      </w:pPr>
    </w:p>
    <w:p w14:paraId="419ADE94" w14:textId="77777777" w:rsidR="003B3A12" w:rsidRDefault="003B3A12" w:rsidP="003B3A12">
      <w:pPr>
        <w:pStyle w:val="a9"/>
        <w:numPr>
          <w:ilvl w:val="0"/>
          <w:numId w:val="1"/>
        </w:numPr>
        <w:spacing w:after="0" w:line="360" w:lineRule="auto"/>
        <w:ind w:hanging="494"/>
        <w:jc w:val="both"/>
        <w:rPr>
          <w:rFonts w:ascii="FrankRuehl" w:hAnsi="FrankRuehl" w:cs="FrankRuehl"/>
          <w:sz w:val="28"/>
          <w:szCs w:val="28"/>
        </w:rPr>
      </w:pPr>
      <w:r>
        <w:rPr>
          <w:rFonts w:ascii="Miriam" w:hAnsi="Miriam" w:cs="Miriam"/>
          <w:rtl/>
        </w:rPr>
        <w:t>הערכים המוגנים</w:t>
      </w:r>
      <w:r>
        <w:rPr>
          <w:rFonts w:ascii="FrankRuehl" w:hAnsi="FrankRuehl" w:cs="FrankRuehl"/>
          <w:sz w:val="28"/>
          <w:szCs w:val="28"/>
          <w:rtl/>
        </w:rPr>
        <w:t>: אשר להחזקת סמים או גידולם, אין להכביר במילים ביחס למידת הפגיעה החמורה בהגנה על שלום הציבור ובריאותו, ולבטח כאשר מדובר בסם שאינו לצריכה עצמית. הנזק הנובע מהסם הוא ישיר למשתמש בו ועקיף לכלל הציבור. כפי שכבר נפסק, "</w:t>
      </w:r>
      <w:r>
        <w:rPr>
          <w:rFonts w:ascii="Miriam" w:hAnsi="Miriam" w:cs="Miriam"/>
          <w:rtl/>
        </w:rPr>
        <w:t>את נגע הסמים יש לעקור מן השורש</w:t>
      </w:r>
      <w:r>
        <w:rPr>
          <w:rFonts w:ascii="FrankRuehl" w:hAnsi="FrankRuehl" w:cs="FrankRuehl"/>
          <w:sz w:val="28"/>
          <w:szCs w:val="28"/>
          <w:rtl/>
        </w:rPr>
        <w:t>" (</w:t>
      </w:r>
      <w:hyperlink r:id="rId39" w:history="1">
        <w:r w:rsidR="008D39BF" w:rsidRPr="008D39BF">
          <w:rPr>
            <w:rFonts w:ascii="FrankRuehl" w:hAnsi="FrankRuehl" w:cs="FrankRuehl"/>
            <w:color w:val="0000FF"/>
            <w:sz w:val="28"/>
            <w:szCs w:val="28"/>
            <w:u w:val="single"/>
            <w:rtl/>
          </w:rPr>
          <w:t>ע"פ 972/11</w:t>
        </w:r>
      </w:hyperlink>
      <w:r>
        <w:rPr>
          <w:rFonts w:ascii="FrankRuehl" w:hAnsi="FrankRuehl" w:cs="FrankRuehl"/>
          <w:sz w:val="28"/>
          <w:szCs w:val="28"/>
          <w:rtl/>
        </w:rPr>
        <w:t xml:space="preserve"> </w:t>
      </w:r>
      <w:r>
        <w:rPr>
          <w:rFonts w:ascii="Miriam" w:hAnsi="Miriam" w:cs="Miriam"/>
          <w:rtl/>
        </w:rPr>
        <w:t>מדינת ישראל נ' יונה</w:t>
      </w:r>
      <w:r>
        <w:rPr>
          <w:rFonts w:ascii="FrankRuehl" w:hAnsi="FrankRuehl" w:cs="FrankRuehl"/>
          <w:sz w:val="28"/>
          <w:szCs w:val="28"/>
          <w:rtl/>
        </w:rPr>
        <w:t xml:space="preserve"> (4.7.2012)). כך גם ביחס להחזקת התחמושת (רימון הרעש וכדורי הנשק). גם אם לא נמצא נשק זמין בצדם, מדובר בתחמושת מסוכנת כשלעצמה, אשר יכולה לזלוג גם לגורמים עברייניים או גורמי טרור, והדרך משם למימוש הייעוד של תחמושת זו ופגיעה בכלל הציבור אינה ארוכה. אין בידי לקבל את הסבר הנאשם לפיו הוא רק שמר על שאריות תחמושת משירותו הצבאי. </w:t>
      </w:r>
    </w:p>
    <w:p w14:paraId="6D59B77E" w14:textId="77777777" w:rsidR="003B3A12" w:rsidRDefault="003B3A12" w:rsidP="003B3A12">
      <w:pPr>
        <w:pStyle w:val="a9"/>
        <w:spacing w:line="360" w:lineRule="auto"/>
        <w:jc w:val="both"/>
        <w:rPr>
          <w:rFonts w:ascii="FrankRuehl" w:hAnsi="FrankRuehl" w:cs="FrankRuehl"/>
          <w:sz w:val="28"/>
          <w:szCs w:val="28"/>
        </w:rPr>
      </w:pPr>
    </w:p>
    <w:p w14:paraId="25E153E9" w14:textId="77777777" w:rsidR="003B3A12" w:rsidRDefault="003B3A12" w:rsidP="003B3A12">
      <w:pPr>
        <w:pStyle w:val="a9"/>
        <w:numPr>
          <w:ilvl w:val="0"/>
          <w:numId w:val="1"/>
        </w:numPr>
        <w:spacing w:after="0" w:line="360" w:lineRule="auto"/>
        <w:ind w:hanging="494"/>
        <w:jc w:val="both"/>
        <w:rPr>
          <w:rFonts w:ascii="FrankRuehl" w:hAnsi="FrankRuehl" w:cs="FrankRuehl"/>
          <w:sz w:val="28"/>
          <w:szCs w:val="28"/>
        </w:rPr>
      </w:pPr>
      <w:r>
        <w:rPr>
          <w:rFonts w:ascii="Miriam" w:hAnsi="Miriam" w:cs="Miriam"/>
          <w:rtl/>
        </w:rPr>
        <w:t>נסיבות ביצוע העבירה</w:t>
      </w:r>
      <w:r>
        <w:rPr>
          <w:rFonts w:ascii="FrankRuehl" w:hAnsi="FrankRuehl" w:cs="FrankRuehl"/>
          <w:sz w:val="28"/>
          <w:szCs w:val="28"/>
          <w:rtl/>
        </w:rPr>
        <w:t xml:space="preserve">: הנאשם כאמור, נמצא מחזיק בביתו שלא כדין </w:t>
      </w:r>
      <w:r>
        <w:rPr>
          <w:rFonts w:ascii="FrankRuehl" w:hAnsi="FrankRuehl" w:cs="FrankRuehl"/>
          <w:sz w:val="28"/>
          <w:szCs w:val="28"/>
        </w:rPr>
        <w:t>11</w:t>
      </w:r>
      <w:r>
        <w:rPr>
          <w:rFonts w:ascii="FrankRuehl" w:hAnsi="FrankRuehl" w:cs="FrankRuehl"/>
          <w:sz w:val="28"/>
          <w:szCs w:val="28"/>
          <w:rtl/>
        </w:rPr>
        <w:t xml:space="preserve"> גרם סם מסוג קנבוס כשהוא מחולק ל-5 שקיות, שני שתילי קנבוס שבהם 3.59 גרם סם, רימון עשן וכ-140 כדורי נשק מסוג </w:t>
      </w:r>
      <w:r>
        <w:rPr>
          <w:rFonts w:ascii="FrankRuehl" w:hAnsi="FrankRuehl" w:cs="FrankRuehl"/>
        </w:rPr>
        <w:t>M</w:t>
      </w:r>
      <w:r>
        <w:rPr>
          <w:rFonts w:ascii="FrankRuehl" w:hAnsi="FrankRuehl" w:cs="FrankRuehl"/>
          <w:sz w:val="28"/>
          <w:szCs w:val="28"/>
        </w:rPr>
        <w:t>16</w:t>
      </w:r>
      <w:r>
        <w:rPr>
          <w:rFonts w:ascii="FrankRuehl" w:hAnsi="FrankRuehl" w:cs="FrankRuehl"/>
          <w:sz w:val="28"/>
          <w:szCs w:val="28"/>
          <w:rtl/>
        </w:rPr>
        <w:t>. אשר לסמים, לפי התסקיר הנאשם השתמש בהם לצריכה אישית והוא גידל שתילים מטעמים כלכליים וחיסכון בעלויות. זה המקום לציין, כי עוד עובר להגשת סיכומי הצדדים לפני הכרעת הדין, הציג הנאשם רישיון להחזקת ושימוש בקנאביס רפואי מיום 4.3.2021 ועד יום 30.8.2021. בתסקיר ובטיעונים לעונש צוין שהוא החזיק רישיון כזה גם בהמשך. השילוב של העבירות האמורות, מצביע על חומרה במעשה. לצד זאת, התרשמתי כי נסיבות ביצוען של העבירות אינן מצויות ברף החומרה הגבוה, זאת בשים לב למוגבלות הרפואית הנפשית של הנאשם, כעולה ממכלול החומר שהוצג, והעדר קיומם של דפוסים עברייניים.</w:t>
      </w:r>
    </w:p>
    <w:p w14:paraId="505CE44A" w14:textId="77777777" w:rsidR="003B3A12" w:rsidRDefault="003B3A12" w:rsidP="003B3A12">
      <w:pPr>
        <w:pStyle w:val="a9"/>
        <w:spacing w:line="360" w:lineRule="auto"/>
        <w:jc w:val="both"/>
        <w:rPr>
          <w:rFonts w:ascii="FrankRuehl" w:hAnsi="FrankRuehl" w:cs="FrankRuehl"/>
          <w:sz w:val="28"/>
          <w:szCs w:val="28"/>
        </w:rPr>
      </w:pPr>
    </w:p>
    <w:p w14:paraId="16AED223" w14:textId="77777777" w:rsidR="003B3A12" w:rsidRDefault="003B3A12" w:rsidP="003B3A12">
      <w:pPr>
        <w:pStyle w:val="a9"/>
        <w:numPr>
          <w:ilvl w:val="0"/>
          <w:numId w:val="1"/>
        </w:numPr>
        <w:spacing w:after="0" w:line="360" w:lineRule="auto"/>
        <w:ind w:hanging="494"/>
        <w:jc w:val="both"/>
        <w:rPr>
          <w:rFonts w:ascii="FrankRuehl" w:hAnsi="FrankRuehl" w:cs="FrankRuehl"/>
          <w:sz w:val="28"/>
          <w:szCs w:val="28"/>
          <w:rtl/>
        </w:rPr>
      </w:pPr>
      <w:r>
        <w:rPr>
          <w:rFonts w:ascii="Miriam" w:hAnsi="Miriam" w:cs="Miriam"/>
          <w:rtl/>
        </w:rPr>
        <w:t>מדיניות הענישה ההולמת</w:t>
      </w:r>
      <w:r>
        <w:rPr>
          <w:rFonts w:ascii="FrankRuehl" w:hAnsi="FrankRuehl" w:cs="FrankRuehl"/>
          <w:sz w:val="28"/>
          <w:szCs w:val="28"/>
          <w:rtl/>
        </w:rPr>
        <w:t xml:space="preserve">: לאחר מתן הדעת לטיעוני הצדדים בנדון, בהינתן הנסיבות הספציפיות של המקרה לפניי, ולאחר עיון בפסיקה אליה הפנו הצדדים בדיון וגם לפסיקה שתוזכר להלן, אני סבור כי ככלל, מתחם הענישה </w:t>
      </w:r>
      <w:r>
        <w:rPr>
          <w:rFonts w:ascii="Miriam" w:hAnsi="Miriam" w:cs="Miriam"/>
          <w:rtl/>
        </w:rPr>
        <w:t>נע בין תקופת מאסר קצרה שניתן לרצות בעבודות שירות ועד שנת מאסר מאחורי סורג ובריח, זאת לצד ענישה נלווית.</w:t>
      </w:r>
      <w:r>
        <w:rPr>
          <w:rFonts w:ascii="FrankRuehl" w:hAnsi="FrankRuehl" w:cs="FrankRuehl"/>
          <w:sz w:val="28"/>
          <w:szCs w:val="28"/>
          <w:rtl/>
        </w:rPr>
        <w:t xml:space="preserve"> ראו והשוו: עם הפסיקה הבאה בשינויים </w:t>
      </w:r>
      <w:r>
        <w:rPr>
          <w:rFonts w:ascii="FrankRuehl" w:hAnsi="FrankRuehl" w:cs="FrankRuehl"/>
          <w:sz w:val="28"/>
          <w:szCs w:val="28"/>
          <w:u w:val="single"/>
          <w:rtl/>
        </w:rPr>
        <w:t>המתחייבים</w:t>
      </w:r>
      <w:r>
        <w:rPr>
          <w:rFonts w:ascii="FrankRuehl" w:hAnsi="FrankRuehl" w:cs="FrankRuehl"/>
          <w:sz w:val="28"/>
          <w:szCs w:val="28"/>
          <w:rtl/>
        </w:rPr>
        <w:t xml:space="preserve">: </w:t>
      </w:r>
    </w:p>
    <w:p w14:paraId="4BC047BB" w14:textId="77777777" w:rsidR="003B3A12" w:rsidRDefault="008D39BF" w:rsidP="003B3A12">
      <w:pPr>
        <w:pStyle w:val="a9"/>
        <w:numPr>
          <w:ilvl w:val="0"/>
          <w:numId w:val="3"/>
        </w:numPr>
        <w:spacing w:after="0" w:line="360" w:lineRule="auto"/>
        <w:jc w:val="both"/>
        <w:rPr>
          <w:rFonts w:ascii="FrankRuehl" w:hAnsi="FrankRuehl" w:cs="FrankRuehl"/>
          <w:sz w:val="28"/>
          <w:szCs w:val="28"/>
        </w:rPr>
      </w:pPr>
      <w:hyperlink r:id="rId40" w:history="1">
        <w:r w:rsidRPr="008D39BF">
          <w:rPr>
            <w:rFonts w:ascii="FrankRuehl" w:hAnsi="FrankRuehl" w:cs="FrankRuehl"/>
            <w:color w:val="0000FF"/>
            <w:sz w:val="28"/>
            <w:szCs w:val="28"/>
            <w:u w:val="single"/>
            <w:rtl/>
          </w:rPr>
          <w:t>רע"פ 5261/18</w:t>
        </w:r>
      </w:hyperlink>
      <w:r w:rsidR="003B3A12">
        <w:rPr>
          <w:rFonts w:ascii="FrankRuehl" w:hAnsi="FrankRuehl" w:cs="FrankRuehl"/>
          <w:sz w:val="28"/>
          <w:szCs w:val="28"/>
          <w:rtl/>
        </w:rPr>
        <w:t xml:space="preserve"> </w:t>
      </w:r>
      <w:r w:rsidR="003B3A12">
        <w:rPr>
          <w:rFonts w:ascii="Miriam" w:hAnsi="Miriam" w:cs="Miriam"/>
          <w:rtl/>
        </w:rPr>
        <w:t>דוידוף נ' מדינת ישראל</w:t>
      </w:r>
      <w:r w:rsidR="003B3A12">
        <w:rPr>
          <w:rFonts w:ascii="FrankRuehl" w:hAnsi="FrankRuehl" w:cs="FrankRuehl"/>
          <w:sz w:val="28"/>
          <w:szCs w:val="28"/>
          <w:rtl/>
        </w:rPr>
        <w:t xml:space="preserve"> (12.7.2018); </w:t>
      </w:r>
    </w:p>
    <w:p w14:paraId="2A8CA18F" w14:textId="77777777" w:rsidR="003B3A12" w:rsidRDefault="008D39BF" w:rsidP="003B3A12">
      <w:pPr>
        <w:pStyle w:val="a9"/>
        <w:numPr>
          <w:ilvl w:val="0"/>
          <w:numId w:val="3"/>
        </w:numPr>
        <w:spacing w:after="0" w:line="360" w:lineRule="auto"/>
        <w:jc w:val="both"/>
        <w:rPr>
          <w:rFonts w:ascii="FrankRuehl" w:hAnsi="FrankRuehl" w:cs="FrankRuehl"/>
          <w:sz w:val="28"/>
          <w:szCs w:val="28"/>
          <w:rtl/>
        </w:rPr>
      </w:pPr>
      <w:hyperlink r:id="rId41" w:history="1">
        <w:r w:rsidRPr="008D39BF">
          <w:rPr>
            <w:rFonts w:ascii="FrankRuehl" w:hAnsi="FrankRuehl" w:cs="FrankRuehl"/>
            <w:color w:val="0000FF"/>
            <w:sz w:val="28"/>
            <w:szCs w:val="28"/>
            <w:u w:val="single"/>
            <w:rtl/>
          </w:rPr>
          <w:t>רע"פ 8146/17</w:t>
        </w:r>
      </w:hyperlink>
      <w:r w:rsidR="003B3A12">
        <w:rPr>
          <w:rFonts w:ascii="FrankRuehl" w:hAnsi="FrankRuehl" w:cs="FrankRuehl"/>
          <w:sz w:val="28"/>
          <w:szCs w:val="28"/>
          <w:rtl/>
        </w:rPr>
        <w:t xml:space="preserve"> </w:t>
      </w:r>
      <w:r w:rsidR="003B3A12">
        <w:rPr>
          <w:rFonts w:ascii="Miriam" w:hAnsi="Miriam" w:cs="Miriam"/>
          <w:rtl/>
        </w:rPr>
        <w:t>אבישלום נ' מדינת ישראל</w:t>
      </w:r>
      <w:r w:rsidR="003B3A12">
        <w:rPr>
          <w:rFonts w:ascii="FrankRuehl" w:hAnsi="FrankRuehl" w:cs="FrankRuehl"/>
          <w:sz w:val="28"/>
          <w:szCs w:val="28"/>
          <w:rtl/>
        </w:rPr>
        <w:t xml:space="preserve"> (14.11.2017); </w:t>
      </w:r>
    </w:p>
    <w:p w14:paraId="701EAF82" w14:textId="77777777" w:rsidR="003B3A12" w:rsidRDefault="008D39BF" w:rsidP="003B3A12">
      <w:pPr>
        <w:pStyle w:val="a9"/>
        <w:numPr>
          <w:ilvl w:val="0"/>
          <w:numId w:val="3"/>
        </w:numPr>
        <w:spacing w:after="0" w:line="360" w:lineRule="auto"/>
        <w:jc w:val="both"/>
        <w:rPr>
          <w:rFonts w:ascii="FrankRuehl" w:hAnsi="FrankRuehl" w:cs="FrankRuehl"/>
          <w:sz w:val="28"/>
          <w:szCs w:val="28"/>
        </w:rPr>
      </w:pPr>
      <w:hyperlink r:id="rId42" w:history="1">
        <w:r w:rsidRPr="008D39BF">
          <w:rPr>
            <w:rFonts w:ascii="FrankRuehl" w:hAnsi="FrankRuehl" w:cs="FrankRuehl"/>
            <w:color w:val="0000FF"/>
            <w:sz w:val="28"/>
            <w:szCs w:val="28"/>
            <w:u w:val="single"/>
            <w:rtl/>
          </w:rPr>
          <w:t>עפ"ג (מחוזי ב"ש) 20599-04-17</w:t>
        </w:r>
      </w:hyperlink>
      <w:r w:rsidR="003B3A12">
        <w:rPr>
          <w:rFonts w:ascii="FrankRuehl" w:hAnsi="FrankRuehl" w:cs="FrankRuehl"/>
          <w:sz w:val="28"/>
          <w:szCs w:val="28"/>
          <w:rtl/>
        </w:rPr>
        <w:t xml:space="preserve"> </w:t>
      </w:r>
      <w:r w:rsidR="003B3A12">
        <w:rPr>
          <w:rFonts w:ascii="Miriam" w:hAnsi="Miriam" w:cs="Miriam"/>
          <w:rtl/>
        </w:rPr>
        <w:t>מירילשוילי נ' מדינת ישראל</w:t>
      </w:r>
      <w:r w:rsidR="003B3A12">
        <w:rPr>
          <w:rFonts w:ascii="FrankRuehl" w:hAnsi="FrankRuehl" w:cs="FrankRuehl"/>
          <w:sz w:val="28"/>
          <w:szCs w:val="28"/>
          <w:rtl/>
        </w:rPr>
        <w:t xml:space="preserve"> (27.9.2017); </w:t>
      </w:r>
    </w:p>
    <w:p w14:paraId="643FEFC8" w14:textId="77777777" w:rsidR="003B3A12" w:rsidRDefault="008D39BF" w:rsidP="003B3A12">
      <w:pPr>
        <w:pStyle w:val="a9"/>
        <w:numPr>
          <w:ilvl w:val="0"/>
          <w:numId w:val="3"/>
        </w:numPr>
        <w:spacing w:after="0" w:line="360" w:lineRule="auto"/>
        <w:jc w:val="both"/>
        <w:rPr>
          <w:rFonts w:ascii="FrankRuehl" w:hAnsi="FrankRuehl" w:cs="FrankRuehl"/>
          <w:sz w:val="28"/>
          <w:szCs w:val="28"/>
        </w:rPr>
      </w:pPr>
      <w:hyperlink r:id="rId43" w:history="1">
        <w:r w:rsidRPr="008D39BF">
          <w:rPr>
            <w:rFonts w:ascii="FrankRuehl" w:hAnsi="FrankRuehl" w:cs="FrankRuehl"/>
            <w:color w:val="0000FF"/>
            <w:sz w:val="28"/>
            <w:szCs w:val="28"/>
            <w:u w:val="single"/>
            <w:rtl/>
          </w:rPr>
          <w:t>עפ"ג (מחוזי י-ם) 32398-04-16</w:t>
        </w:r>
      </w:hyperlink>
      <w:r w:rsidR="003B3A12">
        <w:rPr>
          <w:rFonts w:ascii="FrankRuehl" w:hAnsi="FrankRuehl" w:cs="FrankRuehl"/>
          <w:sz w:val="28"/>
          <w:szCs w:val="28"/>
          <w:rtl/>
        </w:rPr>
        <w:t xml:space="preserve"> </w:t>
      </w:r>
      <w:r w:rsidR="003B3A12">
        <w:rPr>
          <w:rFonts w:ascii="Miriam" w:hAnsi="Miriam" w:cs="Miriam"/>
          <w:rtl/>
        </w:rPr>
        <w:t>חי נ' מדינת ישראל</w:t>
      </w:r>
      <w:r w:rsidR="003B3A12">
        <w:rPr>
          <w:rFonts w:ascii="FrankRuehl" w:hAnsi="FrankRuehl" w:cs="FrankRuehl"/>
          <w:sz w:val="28"/>
          <w:szCs w:val="28"/>
          <w:rtl/>
        </w:rPr>
        <w:t xml:space="preserve"> (9.4.2017); </w:t>
      </w:r>
    </w:p>
    <w:p w14:paraId="03DEB8AE" w14:textId="77777777" w:rsidR="003B3A12" w:rsidRDefault="008D39BF" w:rsidP="003B3A12">
      <w:pPr>
        <w:pStyle w:val="a9"/>
        <w:numPr>
          <w:ilvl w:val="0"/>
          <w:numId w:val="3"/>
        </w:numPr>
        <w:spacing w:after="0" w:line="360" w:lineRule="auto"/>
        <w:jc w:val="both"/>
        <w:rPr>
          <w:rFonts w:ascii="FrankRuehl" w:hAnsi="FrankRuehl" w:cs="FrankRuehl"/>
          <w:sz w:val="28"/>
          <w:szCs w:val="28"/>
        </w:rPr>
      </w:pPr>
      <w:hyperlink r:id="rId44" w:history="1">
        <w:r w:rsidRPr="008D39BF">
          <w:rPr>
            <w:rFonts w:ascii="FrankRuehl" w:hAnsi="FrankRuehl" w:cs="FrankRuehl"/>
            <w:color w:val="0000FF"/>
            <w:sz w:val="28"/>
            <w:szCs w:val="28"/>
            <w:u w:val="single"/>
            <w:rtl/>
          </w:rPr>
          <w:t>ת"פ (שלום פ"ת) 37282-10-20</w:t>
        </w:r>
      </w:hyperlink>
      <w:r w:rsidR="003B3A12">
        <w:rPr>
          <w:rFonts w:ascii="FrankRuehl" w:hAnsi="FrankRuehl" w:cs="FrankRuehl"/>
          <w:sz w:val="28"/>
          <w:szCs w:val="28"/>
          <w:rtl/>
        </w:rPr>
        <w:t xml:space="preserve"> </w:t>
      </w:r>
      <w:r w:rsidR="003B3A12">
        <w:rPr>
          <w:rFonts w:ascii="Miriam" w:hAnsi="Miriam" w:cs="Miriam"/>
          <w:rtl/>
        </w:rPr>
        <w:t xml:space="preserve">מדינת ישראל נ' עוזירי </w:t>
      </w:r>
      <w:r w:rsidR="003B3A12">
        <w:rPr>
          <w:rFonts w:ascii="FrankRuehl" w:hAnsi="FrankRuehl" w:cs="FrankRuehl"/>
          <w:sz w:val="28"/>
          <w:szCs w:val="28"/>
          <w:rtl/>
        </w:rPr>
        <w:t xml:space="preserve">(5.3.2023); </w:t>
      </w:r>
    </w:p>
    <w:p w14:paraId="125FA9B4" w14:textId="77777777" w:rsidR="003B3A12" w:rsidRDefault="008D39BF" w:rsidP="003B3A12">
      <w:pPr>
        <w:pStyle w:val="a9"/>
        <w:numPr>
          <w:ilvl w:val="0"/>
          <w:numId w:val="3"/>
        </w:numPr>
        <w:spacing w:after="0" w:line="360" w:lineRule="auto"/>
        <w:jc w:val="both"/>
        <w:rPr>
          <w:rFonts w:ascii="FrankRuehl" w:hAnsi="FrankRuehl" w:cs="FrankRuehl"/>
          <w:sz w:val="28"/>
          <w:szCs w:val="28"/>
        </w:rPr>
      </w:pPr>
      <w:hyperlink r:id="rId45" w:history="1">
        <w:r w:rsidRPr="008D39BF">
          <w:rPr>
            <w:rFonts w:ascii="FrankRuehl" w:hAnsi="FrankRuehl" w:cs="FrankRuehl"/>
            <w:color w:val="0000FF"/>
            <w:sz w:val="28"/>
            <w:szCs w:val="28"/>
            <w:u w:val="single"/>
            <w:rtl/>
          </w:rPr>
          <w:t>ת"פ (שלום נת') 40306-12-19</w:t>
        </w:r>
      </w:hyperlink>
      <w:r w:rsidR="003B3A12">
        <w:rPr>
          <w:rFonts w:ascii="FrankRuehl" w:hAnsi="FrankRuehl" w:cs="FrankRuehl"/>
          <w:sz w:val="28"/>
          <w:szCs w:val="28"/>
          <w:rtl/>
        </w:rPr>
        <w:t xml:space="preserve"> </w:t>
      </w:r>
      <w:r w:rsidR="003B3A12">
        <w:rPr>
          <w:rFonts w:ascii="Miriam" w:hAnsi="Miriam" w:cs="Miriam"/>
          <w:rtl/>
        </w:rPr>
        <w:t>מדינת ישראל נ' דיין</w:t>
      </w:r>
      <w:r w:rsidR="003B3A12">
        <w:rPr>
          <w:rFonts w:ascii="FrankRuehl" w:hAnsi="FrankRuehl" w:cs="FrankRuehl"/>
          <w:sz w:val="28"/>
          <w:szCs w:val="28"/>
          <w:rtl/>
        </w:rPr>
        <w:t xml:space="preserve"> (23.1.2023); </w:t>
      </w:r>
    </w:p>
    <w:p w14:paraId="7AFE2498" w14:textId="77777777" w:rsidR="003B3A12" w:rsidRDefault="008D39BF" w:rsidP="003B3A12">
      <w:pPr>
        <w:pStyle w:val="a9"/>
        <w:numPr>
          <w:ilvl w:val="0"/>
          <w:numId w:val="3"/>
        </w:numPr>
        <w:spacing w:after="0" w:line="360" w:lineRule="auto"/>
        <w:jc w:val="both"/>
        <w:rPr>
          <w:rFonts w:ascii="FrankRuehl" w:hAnsi="FrankRuehl" w:cs="FrankRuehl"/>
          <w:sz w:val="28"/>
          <w:szCs w:val="28"/>
        </w:rPr>
      </w:pPr>
      <w:hyperlink r:id="rId46" w:history="1">
        <w:r w:rsidRPr="008D39BF">
          <w:rPr>
            <w:rFonts w:ascii="FrankRuehl" w:hAnsi="FrankRuehl" w:cs="FrankRuehl"/>
            <w:color w:val="0000FF"/>
            <w:sz w:val="28"/>
            <w:szCs w:val="28"/>
            <w:u w:val="single"/>
            <w:rtl/>
          </w:rPr>
          <w:t>ת"פ (שלום ב"ש) 68456-11-20</w:t>
        </w:r>
      </w:hyperlink>
      <w:r w:rsidR="003B3A12">
        <w:rPr>
          <w:rFonts w:ascii="FrankRuehl" w:hAnsi="FrankRuehl" w:cs="FrankRuehl"/>
          <w:sz w:val="28"/>
          <w:szCs w:val="28"/>
          <w:rtl/>
        </w:rPr>
        <w:t xml:space="preserve"> </w:t>
      </w:r>
      <w:r w:rsidR="003B3A12">
        <w:rPr>
          <w:rFonts w:ascii="Miriam" w:hAnsi="Miriam" w:cs="Miriam"/>
          <w:rtl/>
        </w:rPr>
        <w:t xml:space="preserve">מדינת ישראל נ' יוחננוב </w:t>
      </w:r>
      <w:r w:rsidR="003B3A12">
        <w:rPr>
          <w:rFonts w:ascii="FrankRuehl" w:hAnsi="FrankRuehl" w:cs="FrankRuehl"/>
          <w:sz w:val="28"/>
          <w:szCs w:val="28"/>
          <w:rtl/>
        </w:rPr>
        <w:t xml:space="preserve">(21.11.2022); </w:t>
      </w:r>
    </w:p>
    <w:p w14:paraId="02CEE2FE" w14:textId="77777777" w:rsidR="003B3A12" w:rsidRDefault="008D39BF" w:rsidP="003B3A12">
      <w:pPr>
        <w:pStyle w:val="a9"/>
        <w:numPr>
          <w:ilvl w:val="0"/>
          <w:numId w:val="3"/>
        </w:numPr>
        <w:spacing w:after="0" w:line="360" w:lineRule="auto"/>
        <w:jc w:val="both"/>
        <w:rPr>
          <w:rFonts w:ascii="FrankRuehl" w:hAnsi="FrankRuehl" w:cs="FrankRuehl"/>
          <w:sz w:val="28"/>
          <w:szCs w:val="28"/>
        </w:rPr>
      </w:pPr>
      <w:hyperlink r:id="rId47" w:history="1">
        <w:r w:rsidRPr="008D39BF">
          <w:rPr>
            <w:rFonts w:ascii="FrankRuehl" w:hAnsi="FrankRuehl" w:cs="FrankRuehl"/>
            <w:color w:val="0000FF"/>
            <w:sz w:val="28"/>
            <w:szCs w:val="28"/>
            <w:u w:val="single"/>
            <w:rtl/>
          </w:rPr>
          <w:t>ת"פ (שלום ב"ש) 65577-12-19</w:t>
        </w:r>
      </w:hyperlink>
      <w:r w:rsidR="003B3A12">
        <w:rPr>
          <w:rFonts w:ascii="FrankRuehl" w:hAnsi="FrankRuehl" w:cs="FrankRuehl"/>
          <w:sz w:val="28"/>
          <w:szCs w:val="28"/>
          <w:rtl/>
        </w:rPr>
        <w:t xml:space="preserve"> </w:t>
      </w:r>
      <w:r w:rsidR="003B3A12">
        <w:rPr>
          <w:rFonts w:ascii="Miriam" w:hAnsi="Miriam" w:cs="Miriam"/>
          <w:rtl/>
        </w:rPr>
        <w:t>מדינת ישרטל נ' אלקרינאוי</w:t>
      </w:r>
      <w:r w:rsidR="003B3A12">
        <w:rPr>
          <w:rFonts w:ascii="FrankRuehl" w:hAnsi="FrankRuehl" w:cs="FrankRuehl"/>
          <w:sz w:val="28"/>
          <w:szCs w:val="28"/>
          <w:rtl/>
        </w:rPr>
        <w:t xml:space="preserve"> (31.10.2022); </w:t>
      </w:r>
    </w:p>
    <w:p w14:paraId="55E6E2D8" w14:textId="77777777" w:rsidR="003B3A12" w:rsidRDefault="008D39BF" w:rsidP="003B3A12">
      <w:pPr>
        <w:pStyle w:val="a9"/>
        <w:numPr>
          <w:ilvl w:val="0"/>
          <w:numId w:val="3"/>
        </w:numPr>
        <w:spacing w:after="0" w:line="360" w:lineRule="auto"/>
        <w:jc w:val="both"/>
        <w:rPr>
          <w:rFonts w:ascii="FrankRuehl" w:hAnsi="FrankRuehl" w:cs="FrankRuehl"/>
          <w:sz w:val="28"/>
          <w:szCs w:val="28"/>
        </w:rPr>
      </w:pPr>
      <w:hyperlink r:id="rId48" w:history="1">
        <w:r w:rsidRPr="008D39BF">
          <w:rPr>
            <w:rFonts w:ascii="FrankRuehl" w:hAnsi="FrankRuehl" w:cs="FrankRuehl"/>
            <w:color w:val="0000FF"/>
            <w:sz w:val="28"/>
            <w:szCs w:val="28"/>
            <w:u w:val="single"/>
            <w:rtl/>
          </w:rPr>
          <w:t>ת"פ (שלום ק"ג) 56479-12-15</w:t>
        </w:r>
      </w:hyperlink>
      <w:r w:rsidR="003B3A12">
        <w:rPr>
          <w:rFonts w:ascii="FrankRuehl" w:hAnsi="FrankRuehl" w:cs="FrankRuehl"/>
          <w:sz w:val="28"/>
          <w:szCs w:val="28"/>
          <w:rtl/>
        </w:rPr>
        <w:t xml:space="preserve">‏ ‏ </w:t>
      </w:r>
      <w:r w:rsidR="003B3A12">
        <w:rPr>
          <w:rFonts w:ascii="Miriam" w:hAnsi="Miriam" w:cs="Miriam"/>
          <w:rtl/>
        </w:rPr>
        <w:t>מדינת ישראל נ' גלמן</w:t>
      </w:r>
      <w:r w:rsidR="003B3A12">
        <w:rPr>
          <w:rFonts w:ascii="FrankRuehl" w:hAnsi="FrankRuehl" w:cs="FrankRuehl"/>
          <w:sz w:val="28"/>
          <w:szCs w:val="28"/>
          <w:rtl/>
        </w:rPr>
        <w:t xml:space="preserve"> (24.9.2017).</w:t>
      </w:r>
    </w:p>
    <w:p w14:paraId="159957A2" w14:textId="77777777" w:rsidR="003B3A12" w:rsidRDefault="003B3A12" w:rsidP="003B3A12">
      <w:pPr>
        <w:pStyle w:val="a9"/>
        <w:spacing w:line="360" w:lineRule="auto"/>
        <w:jc w:val="both"/>
        <w:rPr>
          <w:rFonts w:ascii="FrankRuehl" w:hAnsi="FrankRuehl" w:cs="FrankRuehl"/>
          <w:sz w:val="28"/>
          <w:szCs w:val="28"/>
        </w:rPr>
      </w:pPr>
    </w:p>
    <w:p w14:paraId="36C3A031" w14:textId="77777777" w:rsidR="003B3A12" w:rsidRDefault="003B3A12" w:rsidP="003B3A12">
      <w:pPr>
        <w:pStyle w:val="a9"/>
        <w:numPr>
          <w:ilvl w:val="0"/>
          <w:numId w:val="1"/>
        </w:numPr>
        <w:spacing w:after="0" w:line="360" w:lineRule="auto"/>
        <w:ind w:hanging="494"/>
        <w:jc w:val="both"/>
        <w:rPr>
          <w:rFonts w:ascii="FrankRuehl" w:hAnsi="FrankRuehl" w:cs="FrankRuehl"/>
          <w:sz w:val="28"/>
          <w:szCs w:val="28"/>
        </w:rPr>
      </w:pPr>
      <w:r>
        <w:rPr>
          <w:rFonts w:ascii="Miriam" w:hAnsi="Miriam" w:cs="Miriam"/>
          <w:rtl/>
        </w:rPr>
        <w:t>נסיבות שאינן קשורות בביצוע העבירות</w:t>
      </w:r>
      <w:r>
        <w:rPr>
          <w:rFonts w:ascii="FrankRuehl" w:hAnsi="FrankRuehl" w:cs="FrankRuehl"/>
          <w:sz w:val="28"/>
          <w:szCs w:val="28"/>
          <w:rtl/>
        </w:rPr>
        <w:t xml:space="preserve">: הנאשם בן כ-30 כיום. נעדר עבר פלילי. הוא סובל ממורכבות רפואית נפשית כפי שמפורטת בתסקיר וגם כעולה מהמסמכים הרפואיים שצורפו לתיק (בכלל זה: מכתבים של מכון סאמיט; נכות בשיעור 46% לפי קביעת המוסד לביטוח לאומי; טיב הנכות הרפואית). התסקיר עמד על כך כי ענישה מוחשית יש בה לפגוע בשיקום הנאשם ובתהליך הטיפולי-הנפשי שהוא כבר החל וממשיך. הדברים נתמכים גם במסמכים הרפואיים שהוצגו כאמור בעתירה לבטל זימון חוות דעת של הממונה. בהקשר זה נתתי את דעתי גם לנסיבות המשפחתיות שמפורטות בתסקיר אשר מפאת צנעת הפרט, אסתפק רק בלהפנות אליו. לפי שירות המבחן, ההליך הפלילי גרם לחידוד הגבול בין המותר והאסור אצל הנאשם ומהווה גורם הרתעתי. כל האמור ייזקף לקולת העונש. </w:t>
      </w:r>
    </w:p>
    <w:p w14:paraId="09E55670" w14:textId="77777777" w:rsidR="003B3A12" w:rsidRDefault="003B3A12" w:rsidP="003B3A12">
      <w:pPr>
        <w:pStyle w:val="a9"/>
        <w:spacing w:line="360" w:lineRule="auto"/>
        <w:jc w:val="both"/>
        <w:rPr>
          <w:rFonts w:ascii="FrankRuehl" w:hAnsi="FrankRuehl" w:cs="FrankRuehl"/>
          <w:sz w:val="28"/>
          <w:szCs w:val="28"/>
        </w:rPr>
      </w:pPr>
    </w:p>
    <w:p w14:paraId="3E31C9F9" w14:textId="77777777" w:rsidR="003B3A12" w:rsidRDefault="003B3A12" w:rsidP="003B3A12">
      <w:pPr>
        <w:pStyle w:val="a9"/>
        <w:numPr>
          <w:ilvl w:val="0"/>
          <w:numId w:val="1"/>
        </w:numPr>
        <w:spacing w:after="0" w:line="360" w:lineRule="auto"/>
        <w:ind w:hanging="494"/>
        <w:jc w:val="both"/>
        <w:rPr>
          <w:rFonts w:ascii="FrankRuehl" w:hAnsi="FrankRuehl" w:cs="FrankRuehl"/>
          <w:sz w:val="28"/>
          <w:szCs w:val="28"/>
          <w:rtl/>
        </w:rPr>
      </w:pPr>
      <w:r>
        <w:rPr>
          <w:rFonts w:ascii="FrankRuehl" w:hAnsi="FrankRuehl" w:cs="FrankRuehl"/>
          <w:sz w:val="28"/>
          <w:szCs w:val="28"/>
          <w:rtl/>
        </w:rPr>
        <w:t xml:space="preserve">עוד תיזקף לקולת העונש, אך במידה זהירה ומתונה, נטילת האחריות לאחר הכרעת הדין. כאמור, הנאשם כפר בכל המיוחס לו ובחר למצות את זכותו המלאה לנהל את המשפט עד תומו (בהליך העידו חמישה שוטרים). הנאשם עצמו בחר שלא להעיד במשפט אך אמו העידה מטעם ההגנה. </w:t>
      </w:r>
    </w:p>
    <w:p w14:paraId="171E33A5" w14:textId="77777777" w:rsidR="003B3A12" w:rsidRDefault="003B3A12" w:rsidP="003B3A12">
      <w:pPr>
        <w:pStyle w:val="a9"/>
        <w:spacing w:line="360" w:lineRule="auto"/>
        <w:jc w:val="both"/>
        <w:rPr>
          <w:rFonts w:ascii="FrankRuehl" w:hAnsi="FrankRuehl" w:cs="FrankRuehl"/>
          <w:sz w:val="28"/>
          <w:szCs w:val="28"/>
        </w:rPr>
      </w:pPr>
    </w:p>
    <w:p w14:paraId="7CB000C7" w14:textId="77777777" w:rsidR="003B3A12" w:rsidRDefault="003B3A12" w:rsidP="003B3A12">
      <w:pPr>
        <w:pStyle w:val="a9"/>
        <w:numPr>
          <w:ilvl w:val="0"/>
          <w:numId w:val="1"/>
        </w:numPr>
        <w:spacing w:after="0" w:line="360" w:lineRule="auto"/>
        <w:ind w:hanging="494"/>
        <w:jc w:val="both"/>
        <w:rPr>
          <w:rFonts w:ascii="FrankRuehl" w:hAnsi="FrankRuehl" w:cs="FrankRuehl"/>
          <w:sz w:val="28"/>
          <w:szCs w:val="28"/>
          <w:rtl/>
        </w:rPr>
      </w:pPr>
      <w:r>
        <w:rPr>
          <w:rFonts w:ascii="FrankRuehl" w:hAnsi="FrankRuehl" w:cs="FrankRuehl"/>
          <w:sz w:val="28"/>
          <w:szCs w:val="28"/>
          <w:rtl/>
        </w:rPr>
        <w:t>בשקלול של כל האמור, ותוך מתן דגש להמלצת שירות המבחן שהצביעה על החשש הממשי לפגיעה השיקומית בהליך הטיפולי שהוא עובר ומאחר ולא התרשמתי כי הנאשם מגלה דפוסים עברייניים, ראוי בעיניי לחרוג במעט, לקולא, מתחתית המתחם באופן זה שיהיה ניתן להסתפק בענישה חינוכית מורחבת לצד ענישה נלווית מרתיעה.</w:t>
      </w:r>
    </w:p>
    <w:p w14:paraId="071AC935" w14:textId="77777777" w:rsidR="003B3A12" w:rsidRDefault="003B3A12" w:rsidP="003B3A12">
      <w:pPr>
        <w:pStyle w:val="a9"/>
        <w:spacing w:line="360" w:lineRule="auto"/>
        <w:jc w:val="both"/>
        <w:rPr>
          <w:rFonts w:ascii="FrankRuehl" w:hAnsi="FrankRuehl" w:cs="FrankRuehl"/>
          <w:sz w:val="28"/>
          <w:szCs w:val="28"/>
        </w:rPr>
      </w:pPr>
    </w:p>
    <w:p w14:paraId="29A5B3EC" w14:textId="77777777" w:rsidR="003B3A12" w:rsidRDefault="003B3A12" w:rsidP="003B3A12">
      <w:pPr>
        <w:spacing w:line="360" w:lineRule="auto"/>
        <w:jc w:val="both"/>
        <w:rPr>
          <w:rFonts w:ascii="Miriam" w:hAnsi="Miriam" w:cs="Miriam"/>
          <w:u w:val="single"/>
          <w:rtl/>
        </w:rPr>
      </w:pPr>
      <w:r>
        <w:rPr>
          <w:rFonts w:ascii="Miriam" w:hAnsi="Miriam" w:cs="Miriam"/>
          <w:u w:val="single"/>
          <w:rtl/>
        </w:rPr>
        <w:t>תוצאה</w:t>
      </w:r>
    </w:p>
    <w:p w14:paraId="54F42B04" w14:textId="77777777" w:rsidR="003B3A12" w:rsidRDefault="003B3A12" w:rsidP="003B3A12">
      <w:pPr>
        <w:spacing w:line="360" w:lineRule="auto"/>
        <w:jc w:val="both"/>
        <w:rPr>
          <w:rFonts w:ascii="FrankRuehl" w:hAnsi="FrankRuehl" w:cs="FrankRuehl"/>
          <w:sz w:val="28"/>
          <w:szCs w:val="28"/>
          <w:u w:val="single"/>
        </w:rPr>
      </w:pPr>
    </w:p>
    <w:p w14:paraId="362320D4" w14:textId="77777777" w:rsidR="003B3A12" w:rsidRDefault="003B3A12" w:rsidP="003B3A12">
      <w:pPr>
        <w:pStyle w:val="a9"/>
        <w:numPr>
          <w:ilvl w:val="0"/>
          <w:numId w:val="1"/>
        </w:numPr>
        <w:spacing w:after="0" w:line="360" w:lineRule="auto"/>
        <w:ind w:hanging="494"/>
        <w:jc w:val="both"/>
        <w:rPr>
          <w:rFonts w:ascii="FrankRuehl" w:hAnsi="FrankRuehl" w:cs="FrankRuehl"/>
          <w:sz w:val="28"/>
          <w:szCs w:val="28"/>
          <w:rtl/>
        </w:rPr>
      </w:pPr>
      <w:r>
        <w:rPr>
          <w:rFonts w:ascii="FrankRuehl" w:hAnsi="FrankRuehl" w:cs="FrankRuehl"/>
          <w:sz w:val="28"/>
          <w:szCs w:val="28"/>
          <w:rtl/>
        </w:rPr>
        <w:t>לאור האמור, אני משית על הנאשם את העונשים הבאים:</w:t>
      </w:r>
    </w:p>
    <w:p w14:paraId="7CAF3FD3" w14:textId="77777777" w:rsidR="003B3A12" w:rsidRDefault="003B3A12" w:rsidP="003B3A12">
      <w:pPr>
        <w:pStyle w:val="a9"/>
        <w:spacing w:line="360" w:lineRule="auto"/>
        <w:jc w:val="both"/>
        <w:rPr>
          <w:rFonts w:ascii="FrankRuehl" w:hAnsi="FrankRuehl" w:cs="FrankRuehl"/>
          <w:sz w:val="28"/>
          <w:szCs w:val="28"/>
          <w:rtl/>
        </w:rPr>
      </w:pPr>
    </w:p>
    <w:p w14:paraId="6A30878C" w14:textId="77777777" w:rsidR="003B3A12" w:rsidRDefault="003B3A12" w:rsidP="003B3A12">
      <w:pPr>
        <w:pStyle w:val="a9"/>
        <w:numPr>
          <w:ilvl w:val="0"/>
          <w:numId w:val="2"/>
        </w:numPr>
        <w:spacing w:after="0" w:line="360" w:lineRule="auto"/>
        <w:jc w:val="both"/>
        <w:rPr>
          <w:rFonts w:ascii="FrankRuehl" w:hAnsi="FrankRuehl" w:cs="FrankRuehl"/>
          <w:sz w:val="28"/>
          <w:szCs w:val="28"/>
          <w:rtl/>
        </w:rPr>
      </w:pPr>
      <w:r>
        <w:rPr>
          <w:rFonts w:ascii="FrankRuehl" w:hAnsi="FrankRuehl" w:cs="FrankRuehl"/>
          <w:sz w:val="28"/>
          <w:szCs w:val="28"/>
          <w:rtl/>
        </w:rPr>
        <w:t xml:space="preserve">הנאשם יבצע 300 שעות לתועלת הציבור לפי תוכנית שיקבע שירות המבחן ותובא לעיוני. שעות אלו יבוצעו </w:t>
      </w:r>
      <w:r>
        <w:rPr>
          <w:rFonts w:ascii="FrankRuehl" w:hAnsi="FrankRuehl" w:cs="FrankRuehl"/>
          <w:sz w:val="28"/>
          <w:szCs w:val="28"/>
          <w:u w:val="single"/>
          <w:rtl/>
        </w:rPr>
        <w:t>תוך שנה</w:t>
      </w:r>
      <w:r>
        <w:rPr>
          <w:rFonts w:ascii="FrankRuehl" w:hAnsi="FrankRuehl" w:cs="FrankRuehl" w:hint="cs"/>
          <w:sz w:val="28"/>
          <w:szCs w:val="28"/>
          <w:rtl/>
        </w:rPr>
        <w:t xml:space="preserve"> לאחר גיבוש תוכנית בעניינו</w:t>
      </w:r>
      <w:r>
        <w:rPr>
          <w:rFonts w:ascii="FrankRuehl" w:hAnsi="FrankRuehl" w:cs="FrankRuehl"/>
          <w:sz w:val="28"/>
          <w:szCs w:val="28"/>
          <w:rtl/>
        </w:rPr>
        <w:t xml:space="preserve">. </w:t>
      </w:r>
      <w:r w:rsidRPr="0089747E">
        <w:rPr>
          <w:rFonts w:ascii="FrankRuehl" w:hAnsi="FrankRuehl" w:cs="FrankRuehl" w:hint="cs"/>
          <w:sz w:val="28"/>
          <w:szCs w:val="28"/>
          <w:u w:val="single"/>
          <w:rtl/>
        </w:rPr>
        <w:t xml:space="preserve">תוכנית </w:t>
      </w:r>
      <w:r>
        <w:rPr>
          <w:rFonts w:ascii="FrankRuehl" w:hAnsi="FrankRuehl" w:cs="FrankRuehl" w:hint="cs"/>
          <w:sz w:val="28"/>
          <w:szCs w:val="28"/>
          <w:u w:val="single"/>
          <w:rtl/>
        </w:rPr>
        <w:t xml:space="preserve">כאמור </w:t>
      </w:r>
      <w:r w:rsidRPr="0089747E">
        <w:rPr>
          <w:rFonts w:ascii="FrankRuehl" w:hAnsi="FrankRuehl" w:cs="FrankRuehl" w:hint="cs"/>
          <w:sz w:val="28"/>
          <w:szCs w:val="28"/>
          <w:u w:val="single"/>
          <w:rtl/>
        </w:rPr>
        <w:t>תוכן על-ידי שירות המבחן 1.9.2023</w:t>
      </w:r>
      <w:r>
        <w:rPr>
          <w:rFonts w:ascii="FrankRuehl" w:hAnsi="FrankRuehl" w:cs="FrankRuehl" w:hint="cs"/>
          <w:sz w:val="28"/>
          <w:szCs w:val="28"/>
          <w:rtl/>
        </w:rPr>
        <w:t xml:space="preserve">. </w:t>
      </w:r>
      <w:r>
        <w:rPr>
          <w:rFonts w:ascii="FrankRuehl" w:hAnsi="FrankRuehl" w:cs="FrankRuehl"/>
          <w:sz w:val="28"/>
          <w:szCs w:val="28"/>
          <w:rtl/>
        </w:rPr>
        <w:t xml:space="preserve">לעניין זה מופנית שימת לב הנאשם להוראת </w:t>
      </w:r>
      <w:hyperlink r:id="rId49" w:history="1">
        <w:r w:rsidR="00624A4D" w:rsidRPr="00624A4D">
          <w:rPr>
            <w:rStyle w:val="Hyperlink"/>
            <w:rFonts w:ascii="FrankRuehl" w:hAnsi="FrankRuehl" w:cs="FrankRuehl"/>
            <w:sz w:val="28"/>
            <w:szCs w:val="28"/>
            <w:rtl/>
          </w:rPr>
          <w:t>סעיף 71ד(3)</w:t>
        </w:r>
      </w:hyperlink>
      <w:r>
        <w:rPr>
          <w:rFonts w:ascii="FrankRuehl" w:hAnsi="FrankRuehl" w:cs="FrankRuehl"/>
          <w:sz w:val="28"/>
          <w:szCs w:val="28"/>
          <w:rtl/>
        </w:rPr>
        <w:t xml:space="preserve"> </w:t>
      </w:r>
      <w:r>
        <w:rPr>
          <w:rFonts w:ascii="Miriam" w:hAnsi="Miriam" w:cs="Miriam"/>
          <w:rtl/>
        </w:rPr>
        <w:t>ב</w:t>
      </w:r>
      <w:hyperlink r:id="rId50" w:history="1">
        <w:r w:rsidR="008D39BF" w:rsidRPr="008D39BF">
          <w:rPr>
            <w:rFonts w:ascii="Miriam" w:hAnsi="Miriam" w:cs="Miriam"/>
            <w:color w:val="0000FF"/>
            <w:u w:val="single"/>
            <w:rtl/>
          </w:rPr>
          <w:t>חוק העונשין</w:t>
        </w:r>
      </w:hyperlink>
      <w:r>
        <w:rPr>
          <w:rFonts w:ascii="FrankRuehl" w:hAnsi="FrankRuehl" w:cs="FrankRuehl"/>
          <w:sz w:val="28"/>
          <w:szCs w:val="28"/>
          <w:rtl/>
        </w:rPr>
        <w:t xml:space="preserve"> לפיה אם יופר צו השירות, רשאי בית המשפט להטיל עונש אחר במקומו.</w:t>
      </w:r>
    </w:p>
    <w:p w14:paraId="62CCF67A" w14:textId="77777777" w:rsidR="003B3A12" w:rsidRDefault="003B3A12" w:rsidP="003B3A12">
      <w:pPr>
        <w:pStyle w:val="a9"/>
        <w:spacing w:line="360" w:lineRule="auto"/>
        <w:ind w:left="1080"/>
        <w:jc w:val="both"/>
        <w:rPr>
          <w:rFonts w:ascii="FrankRuehl" w:hAnsi="FrankRuehl" w:cs="FrankRuehl"/>
          <w:sz w:val="28"/>
          <w:szCs w:val="28"/>
        </w:rPr>
      </w:pPr>
    </w:p>
    <w:p w14:paraId="6C188062" w14:textId="77777777" w:rsidR="003B3A12" w:rsidRDefault="003B3A12" w:rsidP="003B3A12">
      <w:pPr>
        <w:pStyle w:val="a9"/>
        <w:numPr>
          <w:ilvl w:val="0"/>
          <w:numId w:val="2"/>
        </w:numPr>
        <w:spacing w:after="0" w:line="360" w:lineRule="auto"/>
        <w:jc w:val="both"/>
        <w:rPr>
          <w:rFonts w:ascii="FrankRuehl" w:hAnsi="FrankRuehl" w:cs="FrankRuehl"/>
          <w:sz w:val="28"/>
          <w:szCs w:val="28"/>
          <w:rtl/>
        </w:rPr>
      </w:pPr>
      <w:r>
        <w:rPr>
          <w:rFonts w:ascii="FrankRuehl" w:hAnsi="FrankRuehl" w:cs="FrankRuehl"/>
          <w:sz w:val="28"/>
          <w:szCs w:val="28"/>
          <w:rtl/>
        </w:rPr>
        <w:t>5 חודשי מאסר ככל שיעבור מה מהעבירות שבהן הורשע, תוך 3 שנים מהיום.</w:t>
      </w:r>
    </w:p>
    <w:p w14:paraId="0302162F" w14:textId="77777777" w:rsidR="003B3A12" w:rsidRDefault="003B3A12" w:rsidP="003B3A12">
      <w:pPr>
        <w:pStyle w:val="a9"/>
        <w:spacing w:line="360" w:lineRule="auto"/>
        <w:jc w:val="both"/>
        <w:rPr>
          <w:rFonts w:ascii="FrankRuehl" w:hAnsi="FrankRuehl" w:cs="FrankRuehl"/>
          <w:sz w:val="28"/>
          <w:szCs w:val="28"/>
        </w:rPr>
      </w:pPr>
    </w:p>
    <w:p w14:paraId="0219AFD1" w14:textId="77777777" w:rsidR="003B3A12" w:rsidRDefault="003B3A12" w:rsidP="003B3A12">
      <w:pPr>
        <w:pStyle w:val="a9"/>
        <w:numPr>
          <w:ilvl w:val="0"/>
          <w:numId w:val="2"/>
        </w:numPr>
        <w:spacing w:after="0" w:line="360" w:lineRule="auto"/>
        <w:jc w:val="both"/>
        <w:rPr>
          <w:rFonts w:ascii="FrankRuehl" w:hAnsi="FrankRuehl" w:cs="FrankRuehl"/>
          <w:sz w:val="28"/>
          <w:szCs w:val="28"/>
        </w:rPr>
      </w:pPr>
      <w:r>
        <w:rPr>
          <w:rFonts w:ascii="FrankRuehl" w:hAnsi="FrankRuehl" w:cs="FrankRuehl"/>
          <w:sz w:val="28"/>
          <w:szCs w:val="28"/>
          <w:rtl/>
        </w:rPr>
        <w:t xml:space="preserve">מטיל על הנאשם קנס בגובה 5,000 ₪ או 15 ימי מאסר במקומו. הסכום ישולם בשני תשלומים חודשיים שווים ועוקבים, כאשר התשלום הראשון ישולם </w:t>
      </w:r>
      <w:r>
        <w:rPr>
          <w:rFonts w:ascii="FrankRuehl" w:hAnsi="FrankRuehl" w:cs="FrankRuehl"/>
          <w:sz w:val="28"/>
          <w:szCs w:val="28"/>
          <w:u w:val="single"/>
          <w:rtl/>
        </w:rPr>
        <w:t>עד יום 21.</w:t>
      </w:r>
      <w:r>
        <w:rPr>
          <w:rFonts w:ascii="FrankRuehl" w:hAnsi="FrankRuehl" w:cs="FrankRuehl" w:hint="cs"/>
          <w:sz w:val="28"/>
          <w:szCs w:val="28"/>
          <w:u w:val="single"/>
          <w:rtl/>
        </w:rPr>
        <w:t>8</w:t>
      </w:r>
      <w:r>
        <w:rPr>
          <w:rFonts w:ascii="FrankRuehl" w:hAnsi="FrankRuehl" w:cs="FrankRuehl"/>
          <w:sz w:val="28"/>
          <w:szCs w:val="28"/>
          <w:u w:val="single"/>
          <w:rtl/>
        </w:rPr>
        <w:t>.2023 והשני עד יום 21.</w:t>
      </w:r>
      <w:r>
        <w:rPr>
          <w:rFonts w:ascii="FrankRuehl" w:hAnsi="FrankRuehl" w:cs="FrankRuehl" w:hint="cs"/>
          <w:sz w:val="28"/>
          <w:szCs w:val="28"/>
          <w:u w:val="single"/>
          <w:rtl/>
        </w:rPr>
        <w:t>9</w:t>
      </w:r>
      <w:r>
        <w:rPr>
          <w:rFonts w:ascii="FrankRuehl" w:hAnsi="FrankRuehl" w:cs="FrankRuehl"/>
          <w:sz w:val="28"/>
          <w:szCs w:val="28"/>
          <w:u w:val="single"/>
          <w:rtl/>
        </w:rPr>
        <w:t>.2023</w:t>
      </w:r>
      <w:r>
        <w:rPr>
          <w:rFonts w:ascii="FrankRuehl" w:hAnsi="FrankRuehl" w:cs="FrankRuehl"/>
          <w:sz w:val="28"/>
          <w:szCs w:val="28"/>
          <w:rtl/>
        </w:rPr>
        <w:t xml:space="preserve">. התשלומים יבוצעו לחשבון המרכז לגביית קנסות, אגרות והוצאות ברשות האכיפה והגבייה באחת מהדרכים הבאות: בכרטיס אשראי – באתר המקוון של רשות האכיפה והגבייה </w:t>
      </w:r>
      <w:r>
        <w:rPr>
          <w:rFonts w:ascii="FrankRuehl" w:hAnsi="FrankRuehl" w:cs="FrankRuehl"/>
          <w:sz w:val="28"/>
          <w:szCs w:val="28"/>
        </w:rPr>
        <w:t>www.eca.gov.il</w:t>
      </w:r>
      <w:r>
        <w:rPr>
          <w:rFonts w:ascii="FrankRuehl" w:hAnsi="FrankRuehl" w:cs="FrankRuehl"/>
          <w:sz w:val="28"/>
          <w:szCs w:val="28"/>
          <w:rtl/>
        </w:rPr>
        <w:t>; מוקד שירות טלפוני בשירות עצמי (מרכז גבייה) – בטלפון 35592* או בטלפון 073-2055000; במזומן בכל סניף של בנק הדואר.</w:t>
      </w:r>
    </w:p>
    <w:p w14:paraId="2E7A94E2" w14:textId="77777777" w:rsidR="003B3A12" w:rsidRDefault="003B3A12" w:rsidP="003B3A12">
      <w:pPr>
        <w:pStyle w:val="a9"/>
        <w:spacing w:line="360" w:lineRule="auto"/>
        <w:jc w:val="both"/>
        <w:rPr>
          <w:rFonts w:ascii="FrankRuehl" w:hAnsi="FrankRuehl" w:cs="FrankRuehl"/>
          <w:sz w:val="28"/>
          <w:szCs w:val="28"/>
        </w:rPr>
      </w:pPr>
    </w:p>
    <w:p w14:paraId="2FAE762B" w14:textId="77777777" w:rsidR="003B3A12" w:rsidRDefault="003B3A12" w:rsidP="003B3A12">
      <w:pPr>
        <w:pStyle w:val="a9"/>
        <w:numPr>
          <w:ilvl w:val="0"/>
          <w:numId w:val="2"/>
        </w:numPr>
        <w:spacing w:after="0" w:line="360" w:lineRule="auto"/>
        <w:jc w:val="both"/>
        <w:rPr>
          <w:rFonts w:ascii="FrankRuehl" w:hAnsi="FrankRuehl" w:cs="FrankRuehl"/>
          <w:sz w:val="28"/>
          <w:szCs w:val="28"/>
          <w:rtl/>
        </w:rPr>
      </w:pPr>
      <w:r>
        <w:rPr>
          <w:rFonts w:ascii="FrankRuehl" w:hAnsi="FrankRuehl" w:cs="FrankRuehl"/>
          <w:sz w:val="28"/>
          <w:szCs w:val="28"/>
          <w:rtl/>
        </w:rPr>
        <w:t xml:space="preserve">הנאשם יתחייב לשלם סך </w:t>
      </w:r>
      <w:r>
        <w:rPr>
          <w:rFonts w:ascii="FrankRuehl" w:hAnsi="FrankRuehl" w:cs="FrankRuehl" w:hint="cs"/>
          <w:sz w:val="28"/>
          <w:szCs w:val="28"/>
          <w:rtl/>
        </w:rPr>
        <w:t>7</w:t>
      </w:r>
      <w:r>
        <w:rPr>
          <w:rFonts w:ascii="FrankRuehl" w:hAnsi="FrankRuehl" w:cs="FrankRuehl"/>
          <w:sz w:val="28"/>
          <w:szCs w:val="28"/>
          <w:rtl/>
        </w:rPr>
        <w:t>,</w:t>
      </w:r>
      <w:r>
        <w:rPr>
          <w:rFonts w:ascii="FrankRuehl" w:hAnsi="FrankRuehl" w:cs="FrankRuehl" w:hint="cs"/>
          <w:sz w:val="28"/>
          <w:szCs w:val="28"/>
          <w:rtl/>
        </w:rPr>
        <w:t>5</w:t>
      </w:r>
      <w:r>
        <w:rPr>
          <w:rFonts w:ascii="FrankRuehl" w:hAnsi="FrankRuehl" w:cs="FrankRuehl"/>
          <w:sz w:val="28"/>
          <w:szCs w:val="28"/>
          <w:rtl/>
        </w:rPr>
        <w:t xml:space="preserve">00 ₪ ככל שהוא יעבור עבירה מבין העבירות שבהן הורשע תוך שנתיים מהיום. </w:t>
      </w:r>
    </w:p>
    <w:p w14:paraId="52F81A2D" w14:textId="77777777" w:rsidR="003B3A12" w:rsidRDefault="003B3A12" w:rsidP="003B3A12">
      <w:pPr>
        <w:pStyle w:val="a9"/>
        <w:spacing w:after="0" w:line="360" w:lineRule="auto"/>
        <w:jc w:val="both"/>
        <w:rPr>
          <w:rFonts w:ascii="FrankRuehl" w:hAnsi="FrankRuehl" w:cs="FrankRuehl"/>
          <w:sz w:val="28"/>
          <w:szCs w:val="28"/>
        </w:rPr>
      </w:pPr>
      <w:r>
        <w:rPr>
          <w:rFonts w:ascii="FrankRuehl" w:hAnsi="FrankRuehl" w:cs="FrankRuehl"/>
          <w:sz w:val="28"/>
          <w:szCs w:val="28"/>
          <w:rtl/>
        </w:rPr>
        <w:t xml:space="preserve"> </w:t>
      </w:r>
    </w:p>
    <w:p w14:paraId="1310FFED" w14:textId="77777777" w:rsidR="003B3A12" w:rsidRPr="0004645A" w:rsidRDefault="003B3A12" w:rsidP="003B3A12">
      <w:pPr>
        <w:spacing w:line="360" w:lineRule="auto"/>
        <w:jc w:val="both"/>
        <w:rPr>
          <w:rFonts w:ascii="FrankRuehl" w:hAnsi="FrankRuehl" w:cs="FrankRuehl"/>
          <w:sz w:val="28"/>
          <w:szCs w:val="28"/>
          <w:rtl/>
        </w:rPr>
      </w:pPr>
      <w:r w:rsidRPr="0004645A">
        <w:rPr>
          <w:rFonts w:ascii="FrankRuehl" w:hAnsi="FrankRuehl" w:cs="FrankRuehl"/>
          <w:sz w:val="28"/>
          <w:szCs w:val="28"/>
          <w:rtl/>
        </w:rPr>
        <w:t>זכות ערעור לבית המשפט המחוזי בירושלים תוך 45 יום.</w:t>
      </w:r>
    </w:p>
    <w:p w14:paraId="0E36D6D5" w14:textId="77777777" w:rsidR="003B3A12" w:rsidRPr="008D39BF" w:rsidRDefault="008D39BF" w:rsidP="003B3A12">
      <w:pPr>
        <w:pStyle w:val="a9"/>
        <w:spacing w:after="0" w:line="360" w:lineRule="auto"/>
        <w:jc w:val="both"/>
        <w:rPr>
          <w:rFonts w:ascii="FrankRuehl" w:hAnsi="FrankRuehl" w:cs="FrankRuehl"/>
          <w:color w:val="FFFFFF"/>
          <w:sz w:val="2"/>
          <w:szCs w:val="2"/>
          <w:rtl/>
        </w:rPr>
      </w:pPr>
      <w:r w:rsidRPr="008D39BF">
        <w:rPr>
          <w:rFonts w:ascii="FrankRuehl" w:hAnsi="FrankRuehl" w:cs="FrankRuehl"/>
          <w:color w:val="FFFFFF"/>
          <w:sz w:val="2"/>
          <w:szCs w:val="2"/>
          <w:rtl/>
        </w:rPr>
        <w:t>5129371</w:t>
      </w:r>
      <w:r w:rsidR="003B3A12" w:rsidRPr="008D39BF">
        <w:rPr>
          <w:rFonts w:ascii="FrankRuehl" w:hAnsi="FrankRuehl" w:cs="FrankRuehl"/>
          <w:color w:val="FFFFFF"/>
          <w:sz w:val="2"/>
          <w:szCs w:val="2"/>
          <w:rtl/>
        </w:rPr>
        <w:t xml:space="preserve"> </w:t>
      </w:r>
    </w:p>
    <w:p w14:paraId="68DC518A" w14:textId="77777777" w:rsidR="003B3A12" w:rsidRPr="0004645A" w:rsidRDefault="008D39BF" w:rsidP="003B3A12">
      <w:pPr>
        <w:spacing w:line="360" w:lineRule="auto"/>
        <w:jc w:val="both"/>
        <w:rPr>
          <w:rtl/>
        </w:rPr>
      </w:pPr>
      <w:r w:rsidRPr="008D39BF">
        <w:rPr>
          <w:rFonts w:ascii="FrankRuehl" w:hAnsi="FrankRuehl" w:cs="FrankRuehl"/>
          <w:color w:val="FFFFFF"/>
          <w:sz w:val="2"/>
          <w:szCs w:val="2"/>
          <w:u w:val="single"/>
          <w:rtl/>
        </w:rPr>
        <w:t>54678313</w:t>
      </w:r>
      <w:r w:rsidR="003B3A12" w:rsidRPr="0004645A">
        <w:rPr>
          <w:rFonts w:ascii="FrankRuehl" w:hAnsi="FrankRuehl" w:cs="FrankRuehl"/>
          <w:sz w:val="28"/>
          <w:szCs w:val="28"/>
          <w:u w:val="single"/>
          <w:rtl/>
        </w:rPr>
        <w:t>המזכירות – להודיע לשירות המבחן</w:t>
      </w:r>
      <w:r w:rsidR="003B3A12" w:rsidRPr="0004645A">
        <w:rPr>
          <w:rFonts w:ascii="FrankRuehl" w:hAnsi="FrankRuehl" w:cs="FrankRuehl"/>
          <w:sz w:val="28"/>
          <w:szCs w:val="28"/>
          <w:rtl/>
        </w:rPr>
        <w:t>.</w:t>
      </w:r>
    </w:p>
    <w:p w14:paraId="673102C2" w14:textId="77777777" w:rsidR="003B3A12" w:rsidRPr="000F2247" w:rsidRDefault="003B3A12" w:rsidP="003B3A12">
      <w:pPr>
        <w:rPr>
          <w:rFonts w:ascii="Arial" w:hAnsi="Arial"/>
          <w:b/>
          <w:bCs/>
          <w:sz w:val="26"/>
          <w:szCs w:val="26"/>
          <w:rtl/>
        </w:rPr>
      </w:pPr>
    </w:p>
    <w:p w14:paraId="5E43AE55" w14:textId="77777777" w:rsidR="003B3A12" w:rsidRPr="000F2247" w:rsidRDefault="008D39BF" w:rsidP="003B3A12">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ב' תמוז תשפ"ג, 21 יוני 2023. </w:t>
      </w:r>
      <w:bookmarkEnd w:id="8"/>
      <w:r w:rsidR="003B3A12">
        <w:rPr>
          <w:rFonts w:ascii="Arial" w:hAnsi="Arial"/>
          <w:b/>
          <w:bCs/>
          <w:sz w:val="26"/>
          <w:szCs w:val="26"/>
          <w:rtl/>
        </w:rPr>
        <w:tab/>
      </w:r>
      <w:r w:rsidR="003B3A12">
        <w:rPr>
          <w:rFonts w:ascii="Arial" w:hAnsi="Arial"/>
          <w:b/>
          <w:bCs/>
          <w:sz w:val="26"/>
          <w:szCs w:val="26"/>
          <w:rtl/>
        </w:rPr>
        <w:tab/>
      </w:r>
      <w:r w:rsidR="003B3A12">
        <w:rPr>
          <w:rFonts w:ascii="Arial" w:hAnsi="Arial"/>
          <w:b/>
          <w:bCs/>
          <w:sz w:val="26"/>
          <w:szCs w:val="26"/>
          <w:rtl/>
        </w:rPr>
        <w:tab/>
      </w:r>
      <w:r w:rsidR="003B3A12">
        <w:rPr>
          <w:rFonts w:ascii="Arial" w:hAnsi="Arial"/>
          <w:b/>
          <w:bCs/>
          <w:sz w:val="26"/>
          <w:szCs w:val="26"/>
          <w:rtl/>
        </w:rPr>
        <w:tab/>
      </w:r>
      <w:r w:rsidR="003B3A12">
        <w:rPr>
          <w:rFonts w:ascii="Arial" w:hAnsi="Arial"/>
          <w:b/>
          <w:bCs/>
          <w:sz w:val="26"/>
          <w:szCs w:val="26"/>
          <w:rtl/>
        </w:rPr>
        <w:tab/>
      </w:r>
      <w:r w:rsidR="003B3A12">
        <w:rPr>
          <w:rFonts w:ascii="Arial" w:hAnsi="Arial"/>
          <w:b/>
          <w:bCs/>
          <w:sz w:val="26"/>
          <w:szCs w:val="26"/>
          <w:rtl/>
        </w:rPr>
        <w:tab/>
      </w:r>
      <w:r w:rsidR="003B3A12">
        <w:rPr>
          <w:rFonts w:ascii="Arial" w:hAnsi="Arial"/>
          <w:b/>
          <w:bCs/>
          <w:sz w:val="26"/>
          <w:szCs w:val="26"/>
          <w:rtl/>
        </w:rPr>
        <w:tab/>
      </w:r>
      <w:r w:rsidR="003B3A12">
        <w:rPr>
          <w:rFonts w:ascii="Arial" w:hAnsi="Arial" w:hint="cs"/>
          <w:b/>
          <w:bCs/>
          <w:sz w:val="26"/>
          <w:szCs w:val="26"/>
          <w:rtl/>
        </w:rPr>
        <w:t xml:space="preserve">         </w:t>
      </w:r>
    </w:p>
    <w:p w14:paraId="6583D542" w14:textId="77777777" w:rsidR="003B3A12" w:rsidRPr="000F2247" w:rsidRDefault="003B3A12" w:rsidP="008D39B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D9931C7" w14:textId="77777777" w:rsidR="003B3A12" w:rsidRPr="000F2247" w:rsidRDefault="003B3A12" w:rsidP="003B3A12">
      <w:pPr>
        <w:jc w:val="center"/>
        <w:rPr>
          <w:rFonts w:ascii="Arial" w:hAnsi="Arial"/>
          <w:b/>
          <w:bCs/>
          <w:sz w:val="26"/>
          <w:szCs w:val="26"/>
          <w:rtl/>
        </w:rPr>
      </w:pPr>
    </w:p>
    <w:p w14:paraId="491748E1" w14:textId="77777777" w:rsidR="00B66844" w:rsidRPr="008D39BF" w:rsidRDefault="00B66844" w:rsidP="008D39BF">
      <w:pPr>
        <w:keepNext/>
        <w:rPr>
          <w:rFonts w:ascii="David" w:hAnsi="David"/>
          <w:color w:val="000000"/>
          <w:sz w:val="22"/>
          <w:szCs w:val="22"/>
          <w:rtl/>
        </w:rPr>
      </w:pPr>
    </w:p>
    <w:p w14:paraId="1D53B250" w14:textId="77777777" w:rsidR="008D39BF" w:rsidRPr="008D39BF" w:rsidRDefault="008D39BF" w:rsidP="008D39BF">
      <w:pPr>
        <w:keepNext/>
        <w:rPr>
          <w:rFonts w:ascii="David" w:hAnsi="David"/>
          <w:color w:val="000000"/>
          <w:sz w:val="22"/>
          <w:szCs w:val="22"/>
          <w:rtl/>
        </w:rPr>
      </w:pPr>
      <w:r w:rsidRPr="008D39BF">
        <w:rPr>
          <w:rFonts w:ascii="David" w:hAnsi="David"/>
          <w:color w:val="000000"/>
          <w:sz w:val="22"/>
          <w:szCs w:val="22"/>
          <w:rtl/>
        </w:rPr>
        <w:t>מוחמד חאג' יחיא 54678313</w:t>
      </w:r>
    </w:p>
    <w:p w14:paraId="2EEC60FC" w14:textId="77777777" w:rsidR="008D39BF" w:rsidRDefault="008D39BF" w:rsidP="008D39BF">
      <w:r w:rsidRPr="008D39BF">
        <w:rPr>
          <w:color w:val="000000"/>
          <w:rtl/>
        </w:rPr>
        <w:t>נוסח מסמך זה כפוף לשינויי ניסוח ועריכה</w:t>
      </w:r>
    </w:p>
    <w:p w14:paraId="3D5166AF" w14:textId="77777777" w:rsidR="008D39BF" w:rsidRDefault="008D39BF" w:rsidP="008D39BF">
      <w:pPr>
        <w:rPr>
          <w:rtl/>
        </w:rPr>
      </w:pPr>
    </w:p>
    <w:p w14:paraId="76DD17D2" w14:textId="77777777" w:rsidR="008D39BF" w:rsidRDefault="008D39BF" w:rsidP="008D39BF">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p>
    <w:p w14:paraId="1AE7C1BC" w14:textId="77777777" w:rsidR="008D39BF" w:rsidRPr="008D39BF" w:rsidRDefault="008D39BF" w:rsidP="008D39BF">
      <w:pPr>
        <w:jc w:val="center"/>
        <w:rPr>
          <w:color w:val="0000FF"/>
          <w:u w:val="single"/>
        </w:rPr>
      </w:pPr>
    </w:p>
    <w:sectPr w:rsidR="008D39BF" w:rsidRPr="008D39BF" w:rsidSect="008D39BF">
      <w:headerReference w:type="even" r:id="rId52"/>
      <w:headerReference w:type="default" r:id="rId53"/>
      <w:footerReference w:type="even" r:id="rId54"/>
      <w:footerReference w:type="default" r:id="rId5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59C7C3" w14:textId="77777777" w:rsidR="00DE4C7A" w:rsidRDefault="00DE4C7A" w:rsidP="00CA1A0B">
      <w:r>
        <w:separator/>
      </w:r>
    </w:p>
  </w:endnote>
  <w:endnote w:type="continuationSeparator" w:id="0">
    <w:p w14:paraId="03A6AEDD" w14:textId="77777777" w:rsidR="00DE4C7A" w:rsidRDefault="00DE4C7A" w:rsidP="00CA1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FrankRuehl">
    <w:panose1 w:val="020E05030601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6004AC" w14:textId="77777777" w:rsidR="008D39BF" w:rsidRDefault="008D39BF" w:rsidP="008D39B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3A0275A" w14:textId="77777777" w:rsidR="00DF58DE" w:rsidRPr="008D39BF" w:rsidRDefault="008D39BF" w:rsidP="008D39B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2B938" w14:textId="77777777" w:rsidR="008D39BF" w:rsidRDefault="008D39BF" w:rsidP="008D39B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F0FB7">
      <w:rPr>
        <w:rFonts w:ascii="FrankRuehl" w:hAnsi="FrankRuehl" w:cs="FrankRuehl"/>
        <w:noProof/>
        <w:rtl/>
      </w:rPr>
      <w:t>1</w:t>
    </w:r>
    <w:r>
      <w:rPr>
        <w:rFonts w:ascii="FrankRuehl" w:hAnsi="FrankRuehl" w:cs="FrankRuehl"/>
        <w:rtl/>
      </w:rPr>
      <w:fldChar w:fldCharType="end"/>
    </w:r>
  </w:p>
  <w:p w14:paraId="0098567D" w14:textId="77777777" w:rsidR="00DF58DE" w:rsidRPr="008D39BF" w:rsidRDefault="008D39BF" w:rsidP="008D39B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9DC9E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D55875" w14:textId="77777777" w:rsidR="00DE4C7A" w:rsidRDefault="00DE4C7A" w:rsidP="00CA1A0B">
      <w:r>
        <w:separator/>
      </w:r>
    </w:p>
  </w:footnote>
  <w:footnote w:type="continuationSeparator" w:id="0">
    <w:p w14:paraId="4020E885" w14:textId="77777777" w:rsidR="00DE4C7A" w:rsidRDefault="00DE4C7A" w:rsidP="00CA1A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5A334A" w14:textId="77777777" w:rsidR="008D39BF" w:rsidRPr="008D39BF" w:rsidRDefault="008D39BF" w:rsidP="008D39B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35543-02-20</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B5D21" w14:textId="77777777" w:rsidR="008D39BF" w:rsidRPr="008D39BF" w:rsidRDefault="008D39BF" w:rsidP="008D39B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35543-02-20</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57B7D"/>
    <w:multiLevelType w:val="hybridMultilevel"/>
    <w:tmpl w:val="B17A3BE6"/>
    <w:lvl w:ilvl="0" w:tplc="5C0E0A5C">
      <w:start w:val="1"/>
      <w:numFmt w:val="hebrew1"/>
      <w:lvlText w:val="%1)"/>
      <w:lvlJc w:val="left"/>
      <w:pPr>
        <w:ind w:left="1080" w:hanging="360"/>
      </w:pPr>
      <w:rPr>
        <w:rFonts w:ascii="FrankRuehl" w:hAnsi="FrankRuehl" w:cs="FrankRueh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4D795EC2"/>
    <w:multiLevelType w:val="hybridMultilevel"/>
    <w:tmpl w:val="E238184C"/>
    <w:lvl w:ilvl="0" w:tplc="86C25E04">
      <w:start w:val="1"/>
      <w:numFmt w:val="decimal"/>
      <w:lvlText w:val="%1)"/>
      <w:lvlJc w:val="left"/>
      <w:pPr>
        <w:ind w:left="720" w:hanging="360"/>
      </w:pPr>
      <w:rPr>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5E223E9"/>
    <w:multiLevelType w:val="hybridMultilevel"/>
    <w:tmpl w:val="4A344026"/>
    <w:lvl w:ilvl="0" w:tplc="69B23688">
      <w:numFmt w:val="bullet"/>
      <w:lvlText w:val=""/>
      <w:lvlJc w:val="left"/>
      <w:pPr>
        <w:ind w:left="1080" w:hanging="360"/>
      </w:pPr>
      <w:rPr>
        <w:rFonts w:ascii="Symbol" w:eastAsia="Calibri" w:hAnsi="Symbol" w:cs="FrankRueh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21192485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040933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805399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B3A12"/>
    <w:rsid w:val="000F66BF"/>
    <w:rsid w:val="001B5A3B"/>
    <w:rsid w:val="00291C26"/>
    <w:rsid w:val="003B3A12"/>
    <w:rsid w:val="003E5AD2"/>
    <w:rsid w:val="00624A4D"/>
    <w:rsid w:val="006364C5"/>
    <w:rsid w:val="007C6A47"/>
    <w:rsid w:val="008D39BF"/>
    <w:rsid w:val="009465A1"/>
    <w:rsid w:val="00B66844"/>
    <w:rsid w:val="00CA1A0B"/>
    <w:rsid w:val="00CF0FB7"/>
    <w:rsid w:val="00D116F0"/>
    <w:rsid w:val="00DE4C7A"/>
    <w:rsid w:val="00DF58DE"/>
    <w:rsid w:val="00EB74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C87C59F"/>
  <w15:chartTrackingRefBased/>
  <w15:docId w15:val="{647A915F-0A27-4D4C-A246-59D007DE5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B3A1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B3A12"/>
    <w:pPr>
      <w:tabs>
        <w:tab w:val="center" w:pos="4153"/>
        <w:tab w:val="right" w:pos="8306"/>
      </w:tabs>
    </w:pPr>
  </w:style>
  <w:style w:type="character" w:customStyle="1" w:styleId="a4">
    <w:name w:val="כותרת עליונה תו"/>
    <w:link w:val="a3"/>
    <w:rsid w:val="003B3A12"/>
    <w:rPr>
      <w:rFonts w:ascii="Times New Roman" w:eastAsia="Times New Roman" w:hAnsi="Times New Roman" w:cs="David"/>
      <w:sz w:val="24"/>
      <w:szCs w:val="24"/>
    </w:rPr>
  </w:style>
  <w:style w:type="paragraph" w:styleId="a5">
    <w:name w:val="footer"/>
    <w:basedOn w:val="a"/>
    <w:link w:val="a6"/>
    <w:rsid w:val="003B3A12"/>
    <w:pPr>
      <w:tabs>
        <w:tab w:val="center" w:pos="4153"/>
        <w:tab w:val="right" w:pos="8306"/>
      </w:tabs>
    </w:pPr>
  </w:style>
  <w:style w:type="character" w:customStyle="1" w:styleId="a6">
    <w:name w:val="כותרת תחתונה תו"/>
    <w:link w:val="a5"/>
    <w:rsid w:val="003B3A12"/>
    <w:rPr>
      <w:rFonts w:ascii="Times New Roman" w:eastAsia="Times New Roman" w:hAnsi="Times New Roman" w:cs="David"/>
      <w:sz w:val="24"/>
      <w:szCs w:val="24"/>
    </w:rPr>
  </w:style>
  <w:style w:type="table" w:styleId="a7">
    <w:name w:val="Table Grid"/>
    <w:basedOn w:val="a1"/>
    <w:rsid w:val="003B3A1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B3A12"/>
  </w:style>
  <w:style w:type="paragraph" w:styleId="a9">
    <w:name w:val="List Paragraph"/>
    <w:basedOn w:val="a"/>
    <w:qFormat/>
    <w:rsid w:val="003B3A12"/>
    <w:pPr>
      <w:spacing w:after="160" w:line="256" w:lineRule="auto"/>
      <w:ind w:left="720"/>
      <w:contextualSpacing/>
    </w:pPr>
    <w:rPr>
      <w:rFonts w:ascii="Calibri" w:eastAsia="Calibri" w:hAnsi="Calibri" w:cs="Arial"/>
      <w:sz w:val="22"/>
      <w:szCs w:val="22"/>
    </w:rPr>
  </w:style>
  <w:style w:type="character" w:styleId="Hyperlink">
    <w:name w:val="Hyperlink"/>
    <w:rsid w:val="008D39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c.a" TargetMode="External"/><Relationship Id="rId18" Type="http://schemas.openxmlformats.org/officeDocument/2006/relationships/hyperlink" Target="http://www.nevo.co.il/law/74903" TargetMode="External"/><Relationship Id="rId26" Type="http://schemas.openxmlformats.org/officeDocument/2006/relationships/hyperlink" Target="http://www.nevo.co.il/case/27351133" TargetMode="External"/><Relationship Id="rId39" Type="http://schemas.openxmlformats.org/officeDocument/2006/relationships/hyperlink" Target="http://www.nevo.co.il/case/5738608" TargetMode="External"/><Relationship Id="rId21" Type="http://schemas.openxmlformats.org/officeDocument/2006/relationships/hyperlink" Target="http://www.nevo.co.il/law/4216/7.c" TargetMode="External"/><Relationship Id="rId34" Type="http://schemas.openxmlformats.org/officeDocument/2006/relationships/hyperlink" Target="http://www.nevo.co.il/case/24345651" TargetMode="External"/><Relationship Id="rId42" Type="http://schemas.openxmlformats.org/officeDocument/2006/relationships/hyperlink" Target="http://www.nevo.co.il/case/22531303" TargetMode="External"/><Relationship Id="rId47" Type="http://schemas.openxmlformats.org/officeDocument/2006/relationships/hyperlink" Target="http://www.nevo.co.il/case/26309110" TargetMode="External"/><Relationship Id="rId50" Type="http://schemas.openxmlformats.org/officeDocument/2006/relationships/hyperlink" Target="http://www.nevo.co.il/law/70301" TargetMode="External"/><Relationship Id="rId55"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71d.3" TargetMode="External"/><Relationship Id="rId29" Type="http://schemas.openxmlformats.org/officeDocument/2006/relationships/hyperlink" Target="http://www.nevo.co.il/law/74903/192a" TargetMode="External"/><Relationship Id="rId11" Type="http://schemas.openxmlformats.org/officeDocument/2006/relationships/hyperlink" Target="http://www.nevo.co.il/law/70301" TargetMode="External"/><Relationship Id="rId24" Type="http://schemas.openxmlformats.org/officeDocument/2006/relationships/hyperlink" Target="http://www.nevo.co.il/law/70301/144.a"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40c.a" TargetMode="External"/><Relationship Id="rId40" Type="http://schemas.openxmlformats.org/officeDocument/2006/relationships/hyperlink" Target="http://www.nevo.co.il/case/24492956" TargetMode="External"/><Relationship Id="rId45" Type="http://schemas.openxmlformats.org/officeDocument/2006/relationships/hyperlink" Target="http://www.nevo.co.il/case/26278294" TargetMode="External"/><Relationship Id="rId53" Type="http://schemas.openxmlformats.org/officeDocument/2006/relationships/header" Target="header2.xml"/><Relationship Id="rId5" Type="http://schemas.openxmlformats.org/officeDocument/2006/relationships/footnotes" Target="footnotes.xml"/><Relationship Id="rId19" Type="http://schemas.openxmlformats.org/officeDocument/2006/relationships/hyperlink" Target="http://www.nevo.co.il/law/74903/192a"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0c.b" TargetMode="External"/><Relationship Id="rId22" Type="http://schemas.openxmlformats.org/officeDocument/2006/relationships/hyperlink" Target="http://www.nevo.co.il/law/4216" TargetMode="External"/><Relationship Id="rId27" Type="http://schemas.openxmlformats.org/officeDocument/2006/relationships/hyperlink" Target="http://www.nevo.co.il/case/27008094" TargetMode="External"/><Relationship Id="rId30" Type="http://schemas.openxmlformats.org/officeDocument/2006/relationships/hyperlink" Target="http://www.nevo.co.il/law/74903" TargetMode="External"/><Relationship Id="rId35" Type="http://schemas.openxmlformats.org/officeDocument/2006/relationships/hyperlink" Target="http://www.nevo.co.il/law/70301/40b" TargetMode="External"/><Relationship Id="rId43" Type="http://schemas.openxmlformats.org/officeDocument/2006/relationships/hyperlink" Target="http://www.nevo.co.il/case/21305839" TargetMode="External"/><Relationship Id="rId48" Type="http://schemas.openxmlformats.org/officeDocument/2006/relationships/hyperlink" Target="http://www.nevo.co.il/case/20828408" TargetMode="External"/><Relationship Id="rId56" Type="http://schemas.openxmlformats.org/officeDocument/2006/relationships/fontTable" Target="fontTable.xml"/><Relationship Id="rId8" Type="http://schemas.openxmlformats.org/officeDocument/2006/relationships/hyperlink" Target="http://www.nevo.co.il/law/4216/6" TargetMode="External"/><Relationship Id="rId51"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70301/40b"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7186392" TargetMode="External"/><Relationship Id="rId38" Type="http://schemas.openxmlformats.org/officeDocument/2006/relationships/hyperlink" Target="http://www.nevo.co.il/law/70301/40c.b" TargetMode="External"/><Relationship Id="rId46" Type="http://schemas.openxmlformats.org/officeDocument/2006/relationships/hyperlink" Target="http://www.nevo.co.il/case/27195285" TargetMode="External"/><Relationship Id="rId20" Type="http://schemas.openxmlformats.org/officeDocument/2006/relationships/hyperlink" Target="http://www.nevo.co.il/law/4216/7.a" TargetMode="External"/><Relationship Id="rId41" Type="http://schemas.openxmlformats.org/officeDocument/2006/relationships/hyperlink" Target="http://www.nevo.co.il/case/23226226"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71a.b" TargetMode="External"/><Relationship Id="rId23" Type="http://schemas.openxmlformats.org/officeDocument/2006/relationships/hyperlink" Target="http://www.nevo.co.il/law/4216/6" TargetMode="External"/><Relationship Id="rId28" Type="http://schemas.openxmlformats.org/officeDocument/2006/relationships/hyperlink" Target="http://www.nevo.co.il/case/5810781" TargetMode="External"/><Relationship Id="rId36" Type="http://schemas.openxmlformats.org/officeDocument/2006/relationships/hyperlink" Target="http://www.nevo.co.il/law/70301" TargetMode="External"/><Relationship Id="rId49" Type="http://schemas.openxmlformats.org/officeDocument/2006/relationships/hyperlink" Target="http://www.nevo.co.il/law/70301/71d.3" TargetMode="External"/><Relationship Id="rId57" Type="http://schemas.openxmlformats.org/officeDocument/2006/relationships/theme" Target="theme/theme1.xml"/><Relationship Id="rId10" Type="http://schemas.openxmlformats.org/officeDocument/2006/relationships/hyperlink" Target="http://www.nevo.co.il/law/4216/7.c" TargetMode="External"/><Relationship Id="rId31" Type="http://schemas.openxmlformats.org/officeDocument/2006/relationships/hyperlink" Target="http://www.nevo.co.il/law/70301/71a.b" TargetMode="External"/><Relationship Id="rId44" Type="http://schemas.openxmlformats.org/officeDocument/2006/relationships/hyperlink" Target="http://www.nevo.co.il/case/27084362"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2437</Words>
  <Characters>12188</Characters>
  <Application>Microsoft Office Word</Application>
  <DocSecurity>0</DocSecurity>
  <Lines>101</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14596</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7995492</vt:i4>
      </vt:variant>
      <vt:variant>
        <vt:i4>129</vt:i4>
      </vt:variant>
      <vt:variant>
        <vt:i4>0</vt:i4>
      </vt:variant>
      <vt:variant>
        <vt:i4>5</vt:i4>
      </vt:variant>
      <vt:variant>
        <vt:lpwstr>http://www.nevo.co.il/law/70301</vt:lpwstr>
      </vt:variant>
      <vt:variant>
        <vt:lpwstr/>
      </vt:variant>
      <vt:variant>
        <vt:i4>4849670</vt:i4>
      </vt:variant>
      <vt:variant>
        <vt:i4>126</vt:i4>
      </vt:variant>
      <vt:variant>
        <vt:i4>0</vt:i4>
      </vt:variant>
      <vt:variant>
        <vt:i4>5</vt:i4>
      </vt:variant>
      <vt:variant>
        <vt:lpwstr>http://www.nevo.co.il/law/70301/71d.3</vt:lpwstr>
      </vt:variant>
      <vt:variant>
        <vt:lpwstr/>
      </vt:variant>
      <vt:variant>
        <vt:i4>3276914</vt:i4>
      </vt:variant>
      <vt:variant>
        <vt:i4>123</vt:i4>
      </vt:variant>
      <vt:variant>
        <vt:i4>0</vt:i4>
      </vt:variant>
      <vt:variant>
        <vt:i4>5</vt:i4>
      </vt:variant>
      <vt:variant>
        <vt:lpwstr>http://www.nevo.co.il/case/20828408</vt:lpwstr>
      </vt:variant>
      <vt:variant>
        <vt:lpwstr/>
      </vt:variant>
      <vt:variant>
        <vt:i4>3735667</vt:i4>
      </vt:variant>
      <vt:variant>
        <vt:i4>120</vt:i4>
      </vt:variant>
      <vt:variant>
        <vt:i4>0</vt:i4>
      </vt:variant>
      <vt:variant>
        <vt:i4>5</vt:i4>
      </vt:variant>
      <vt:variant>
        <vt:lpwstr>http://www.nevo.co.il/case/26309110</vt:lpwstr>
      </vt:variant>
      <vt:variant>
        <vt:lpwstr/>
      </vt:variant>
      <vt:variant>
        <vt:i4>4063352</vt:i4>
      </vt:variant>
      <vt:variant>
        <vt:i4>117</vt:i4>
      </vt:variant>
      <vt:variant>
        <vt:i4>0</vt:i4>
      </vt:variant>
      <vt:variant>
        <vt:i4>5</vt:i4>
      </vt:variant>
      <vt:variant>
        <vt:lpwstr>http://www.nevo.co.il/case/27195285</vt:lpwstr>
      </vt:variant>
      <vt:variant>
        <vt:lpwstr/>
      </vt:variant>
      <vt:variant>
        <vt:i4>3211383</vt:i4>
      </vt:variant>
      <vt:variant>
        <vt:i4>114</vt:i4>
      </vt:variant>
      <vt:variant>
        <vt:i4>0</vt:i4>
      </vt:variant>
      <vt:variant>
        <vt:i4>5</vt:i4>
      </vt:variant>
      <vt:variant>
        <vt:lpwstr>http://www.nevo.co.il/case/26278294</vt:lpwstr>
      </vt:variant>
      <vt:variant>
        <vt:lpwstr/>
      </vt:variant>
      <vt:variant>
        <vt:i4>3145848</vt:i4>
      </vt:variant>
      <vt:variant>
        <vt:i4>111</vt:i4>
      </vt:variant>
      <vt:variant>
        <vt:i4>0</vt:i4>
      </vt:variant>
      <vt:variant>
        <vt:i4>5</vt:i4>
      </vt:variant>
      <vt:variant>
        <vt:lpwstr>http://www.nevo.co.il/case/27084362</vt:lpwstr>
      </vt:variant>
      <vt:variant>
        <vt:lpwstr/>
      </vt:variant>
      <vt:variant>
        <vt:i4>3604605</vt:i4>
      </vt:variant>
      <vt:variant>
        <vt:i4>108</vt:i4>
      </vt:variant>
      <vt:variant>
        <vt:i4>0</vt:i4>
      </vt:variant>
      <vt:variant>
        <vt:i4>5</vt:i4>
      </vt:variant>
      <vt:variant>
        <vt:lpwstr>http://www.nevo.co.il/case/21305839</vt:lpwstr>
      </vt:variant>
      <vt:variant>
        <vt:lpwstr/>
      </vt:variant>
      <vt:variant>
        <vt:i4>3539062</vt:i4>
      </vt:variant>
      <vt:variant>
        <vt:i4>105</vt:i4>
      </vt:variant>
      <vt:variant>
        <vt:i4>0</vt:i4>
      </vt:variant>
      <vt:variant>
        <vt:i4>5</vt:i4>
      </vt:variant>
      <vt:variant>
        <vt:lpwstr>http://www.nevo.co.il/case/22531303</vt:lpwstr>
      </vt:variant>
      <vt:variant>
        <vt:lpwstr/>
      </vt:variant>
      <vt:variant>
        <vt:i4>3407991</vt:i4>
      </vt:variant>
      <vt:variant>
        <vt:i4>102</vt:i4>
      </vt:variant>
      <vt:variant>
        <vt:i4>0</vt:i4>
      </vt:variant>
      <vt:variant>
        <vt:i4>5</vt:i4>
      </vt:variant>
      <vt:variant>
        <vt:lpwstr>http://www.nevo.co.il/case/23226226</vt:lpwstr>
      </vt:variant>
      <vt:variant>
        <vt:lpwstr/>
      </vt:variant>
      <vt:variant>
        <vt:i4>3211376</vt:i4>
      </vt:variant>
      <vt:variant>
        <vt:i4>99</vt:i4>
      </vt:variant>
      <vt:variant>
        <vt:i4>0</vt:i4>
      </vt:variant>
      <vt:variant>
        <vt:i4>5</vt:i4>
      </vt:variant>
      <vt:variant>
        <vt:lpwstr>http://www.nevo.co.il/case/24492956</vt:lpwstr>
      </vt:variant>
      <vt:variant>
        <vt:lpwstr/>
      </vt:variant>
      <vt:variant>
        <vt:i4>3670139</vt:i4>
      </vt:variant>
      <vt:variant>
        <vt:i4>96</vt:i4>
      </vt:variant>
      <vt:variant>
        <vt:i4>0</vt:i4>
      </vt:variant>
      <vt:variant>
        <vt:i4>5</vt:i4>
      </vt:variant>
      <vt:variant>
        <vt:lpwstr>http://www.nevo.co.il/case/5738608</vt:lpwstr>
      </vt:variant>
      <vt:variant>
        <vt:lpwstr/>
      </vt:variant>
      <vt:variant>
        <vt:i4>4915202</vt:i4>
      </vt:variant>
      <vt:variant>
        <vt:i4>93</vt:i4>
      </vt:variant>
      <vt:variant>
        <vt:i4>0</vt:i4>
      </vt:variant>
      <vt:variant>
        <vt:i4>5</vt:i4>
      </vt:variant>
      <vt:variant>
        <vt:lpwstr>http://www.nevo.co.il/law/70301/40c.b</vt:lpwstr>
      </vt:variant>
      <vt:variant>
        <vt:lpwstr/>
      </vt:variant>
      <vt:variant>
        <vt:i4>4915202</vt:i4>
      </vt:variant>
      <vt:variant>
        <vt:i4>90</vt:i4>
      </vt:variant>
      <vt:variant>
        <vt:i4>0</vt:i4>
      </vt:variant>
      <vt:variant>
        <vt:i4>5</vt:i4>
      </vt:variant>
      <vt:variant>
        <vt:lpwstr>http://www.nevo.co.il/law/70301/40c.a</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6619233</vt:i4>
      </vt:variant>
      <vt:variant>
        <vt:i4>84</vt:i4>
      </vt:variant>
      <vt:variant>
        <vt:i4>0</vt:i4>
      </vt:variant>
      <vt:variant>
        <vt:i4>5</vt:i4>
      </vt:variant>
      <vt:variant>
        <vt:lpwstr>http://www.nevo.co.il/law/70301/40b</vt:lpwstr>
      </vt:variant>
      <vt:variant>
        <vt:lpwstr/>
      </vt:variant>
      <vt:variant>
        <vt:i4>3211378</vt:i4>
      </vt:variant>
      <vt:variant>
        <vt:i4>81</vt:i4>
      </vt:variant>
      <vt:variant>
        <vt:i4>0</vt:i4>
      </vt:variant>
      <vt:variant>
        <vt:i4>5</vt:i4>
      </vt:variant>
      <vt:variant>
        <vt:lpwstr>http://www.nevo.co.il/case/24345651</vt:lpwstr>
      </vt:variant>
      <vt:variant>
        <vt:lpwstr/>
      </vt:variant>
      <vt:variant>
        <vt:i4>3932280</vt:i4>
      </vt:variant>
      <vt:variant>
        <vt:i4>78</vt:i4>
      </vt:variant>
      <vt:variant>
        <vt:i4>0</vt:i4>
      </vt:variant>
      <vt:variant>
        <vt:i4>5</vt:i4>
      </vt:variant>
      <vt:variant>
        <vt:lpwstr>http://www.nevo.co.il/case/27186392</vt:lpwstr>
      </vt:variant>
      <vt:variant>
        <vt:lpwstr/>
      </vt:variant>
      <vt:variant>
        <vt:i4>7995492</vt:i4>
      </vt:variant>
      <vt:variant>
        <vt:i4>75</vt:i4>
      </vt:variant>
      <vt:variant>
        <vt:i4>0</vt:i4>
      </vt:variant>
      <vt:variant>
        <vt:i4>5</vt:i4>
      </vt:variant>
      <vt:variant>
        <vt:lpwstr>http://www.nevo.co.il/law/70301</vt:lpwstr>
      </vt:variant>
      <vt:variant>
        <vt:lpwstr/>
      </vt:variant>
      <vt:variant>
        <vt:i4>4849667</vt:i4>
      </vt:variant>
      <vt:variant>
        <vt:i4>72</vt:i4>
      </vt:variant>
      <vt:variant>
        <vt:i4>0</vt:i4>
      </vt:variant>
      <vt:variant>
        <vt:i4>5</vt:i4>
      </vt:variant>
      <vt:variant>
        <vt:lpwstr>http://www.nevo.co.il/law/70301/71a.b</vt:lpwstr>
      </vt:variant>
      <vt:variant>
        <vt:lpwstr/>
      </vt:variant>
      <vt:variant>
        <vt:i4>8257646</vt:i4>
      </vt:variant>
      <vt:variant>
        <vt:i4>69</vt:i4>
      </vt:variant>
      <vt:variant>
        <vt:i4>0</vt:i4>
      </vt:variant>
      <vt:variant>
        <vt:i4>5</vt:i4>
      </vt:variant>
      <vt:variant>
        <vt:lpwstr>http://www.nevo.co.il/law/74903</vt:lpwstr>
      </vt:variant>
      <vt:variant>
        <vt:lpwstr/>
      </vt:variant>
      <vt:variant>
        <vt:i4>589918</vt:i4>
      </vt:variant>
      <vt:variant>
        <vt:i4>66</vt:i4>
      </vt:variant>
      <vt:variant>
        <vt:i4>0</vt:i4>
      </vt:variant>
      <vt:variant>
        <vt:i4>5</vt:i4>
      </vt:variant>
      <vt:variant>
        <vt:lpwstr>http://www.nevo.co.il/law/74903/192a</vt:lpwstr>
      </vt:variant>
      <vt:variant>
        <vt:lpwstr/>
      </vt:variant>
      <vt:variant>
        <vt:i4>3276916</vt:i4>
      </vt:variant>
      <vt:variant>
        <vt:i4>63</vt:i4>
      </vt:variant>
      <vt:variant>
        <vt:i4>0</vt:i4>
      </vt:variant>
      <vt:variant>
        <vt:i4>5</vt:i4>
      </vt:variant>
      <vt:variant>
        <vt:lpwstr>http://www.nevo.co.il/case/5810781</vt:lpwstr>
      </vt:variant>
      <vt:variant>
        <vt:lpwstr/>
      </vt:variant>
      <vt:variant>
        <vt:i4>3342451</vt:i4>
      </vt:variant>
      <vt:variant>
        <vt:i4>60</vt:i4>
      </vt:variant>
      <vt:variant>
        <vt:i4>0</vt:i4>
      </vt:variant>
      <vt:variant>
        <vt:i4>5</vt:i4>
      </vt:variant>
      <vt:variant>
        <vt:lpwstr>http://www.nevo.co.il/case/27008094</vt:lpwstr>
      </vt:variant>
      <vt:variant>
        <vt:lpwstr/>
      </vt:variant>
      <vt:variant>
        <vt:i4>3342455</vt:i4>
      </vt:variant>
      <vt:variant>
        <vt:i4>57</vt:i4>
      </vt:variant>
      <vt:variant>
        <vt:i4>0</vt:i4>
      </vt:variant>
      <vt:variant>
        <vt:i4>5</vt:i4>
      </vt:variant>
      <vt:variant>
        <vt:lpwstr>http://www.nevo.co.il/case/27351133</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5177424</vt:i4>
      </vt:variant>
      <vt:variant>
        <vt:i4>51</vt:i4>
      </vt:variant>
      <vt:variant>
        <vt:i4>0</vt:i4>
      </vt:variant>
      <vt:variant>
        <vt:i4>5</vt:i4>
      </vt:variant>
      <vt:variant>
        <vt:lpwstr>http://www.nevo.co.il/law/70301/144.a</vt:lpwstr>
      </vt:variant>
      <vt:variant>
        <vt:lpwstr/>
      </vt:variant>
      <vt:variant>
        <vt:i4>4718666</vt:i4>
      </vt:variant>
      <vt:variant>
        <vt:i4>48</vt:i4>
      </vt:variant>
      <vt:variant>
        <vt:i4>0</vt:i4>
      </vt:variant>
      <vt:variant>
        <vt:i4>5</vt:i4>
      </vt:variant>
      <vt:variant>
        <vt:lpwstr>http://www.nevo.co.il/law/4216/6</vt:lpwstr>
      </vt:variant>
      <vt:variant>
        <vt:lpwstr/>
      </vt:variant>
      <vt:variant>
        <vt:i4>8257637</vt:i4>
      </vt:variant>
      <vt:variant>
        <vt:i4>45</vt:i4>
      </vt:variant>
      <vt:variant>
        <vt:i4>0</vt:i4>
      </vt:variant>
      <vt:variant>
        <vt:i4>5</vt:i4>
      </vt:variant>
      <vt:variant>
        <vt:lpwstr>http://www.nevo.co.il/law/4216</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589918</vt:i4>
      </vt:variant>
      <vt:variant>
        <vt:i4>36</vt:i4>
      </vt:variant>
      <vt:variant>
        <vt:i4>0</vt:i4>
      </vt:variant>
      <vt:variant>
        <vt:i4>5</vt:i4>
      </vt:variant>
      <vt:variant>
        <vt:lpwstr>http://www.nevo.co.il/law/74903/192a</vt:lpwstr>
      </vt:variant>
      <vt:variant>
        <vt:lpwstr/>
      </vt:variant>
      <vt:variant>
        <vt:i4>8257646</vt:i4>
      </vt:variant>
      <vt:variant>
        <vt:i4>33</vt:i4>
      </vt:variant>
      <vt:variant>
        <vt:i4>0</vt:i4>
      </vt:variant>
      <vt:variant>
        <vt:i4>5</vt:i4>
      </vt:variant>
      <vt:variant>
        <vt:lpwstr>http://www.nevo.co.il/law/74903</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4849670</vt:i4>
      </vt:variant>
      <vt:variant>
        <vt:i4>27</vt:i4>
      </vt:variant>
      <vt:variant>
        <vt:i4>0</vt:i4>
      </vt:variant>
      <vt:variant>
        <vt:i4>5</vt:i4>
      </vt:variant>
      <vt:variant>
        <vt:lpwstr>http://www.nevo.co.il/law/70301/71d.3</vt:lpwstr>
      </vt:variant>
      <vt:variant>
        <vt:lpwstr/>
      </vt:variant>
      <vt:variant>
        <vt:i4>4849667</vt:i4>
      </vt:variant>
      <vt:variant>
        <vt:i4>24</vt:i4>
      </vt:variant>
      <vt:variant>
        <vt:i4>0</vt:i4>
      </vt:variant>
      <vt:variant>
        <vt:i4>5</vt:i4>
      </vt:variant>
      <vt:variant>
        <vt:lpwstr>http://www.nevo.co.il/law/70301/71a.b</vt:lpwstr>
      </vt:variant>
      <vt:variant>
        <vt:lpwstr/>
      </vt:variant>
      <vt:variant>
        <vt:i4>4915202</vt:i4>
      </vt:variant>
      <vt:variant>
        <vt:i4>21</vt:i4>
      </vt:variant>
      <vt:variant>
        <vt:i4>0</vt:i4>
      </vt:variant>
      <vt:variant>
        <vt:i4>5</vt:i4>
      </vt:variant>
      <vt:variant>
        <vt:lpwstr>http://www.nevo.co.il/law/70301/40c.b</vt:lpwstr>
      </vt:variant>
      <vt:variant>
        <vt:lpwstr/>
      </vt:variant>
      <vt:variant>
        <vt:i4>4915202</vt:i4>
      </vt:variant>
      <vt:variant>
        <vt:i4>18</vt:i4>
      </vt:variant>
      <vt:variant>
        <vt:i4>0</vt:i4>
      </vt:variant>
      <vt:variant>
        <vt:i4>5</vt:i4>
      </vt:variant>
      <vt:variant>
        <vt:lpwstr>http://www.nevo.co.il/law/70301/40c.a</vt:lpwstr>
      </vt:variant>
      <vt:variant>
        <vt:lpwstr/>
      </vt:variant>
      <vt:variant>
        <vt:i4>6619233</vt:i4>
      </vt:variant>
      <vt:variant>
        <vt:i4>15</vt:i4>
      </vt:variant>
      <vt:variant>
        <vt:i4>0</vt:i4>
      </vt:variant>
      <vt:variant>
        <vt:i4>5</vt:i4>
      </vt:variant>
      <vt:variant>
        <vt:lpwstr>http://www.nevo.co.il/law/70301/40b</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2025-01-19T17:43:00Z</dcterms:created>
  <dcterms:modified xsi:type="dcterms:W3CDTF">2025-01-19T17:43:00Z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35543</vt:lpwstr>
  </property>
  <property fmtid="{D5CDD505-2E9C-101B-9397-08002B2CF9AE}" pid="6" name="NEWPARTB">
    <vt:lpwstr>02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אבשלום גיספאן</vt:lpwstr>
  </property>
  <property fmtid="{D5CDD505-2E9C-101B-9397-08002B2CF9AE}" pid="11" name="JUDGE">
    <vt:lpwstr>מוחמד חאג' יחיא</vt:lpwstr>
  </property>
  <property fmtid="{D5CDD505-2E9C-101B-9397-08002B2CF9AE}" pid="12" name="CITY">
    <vt:lpwstr>י-ם</vt:lpwstr>
  </property>
  <property fmtid="{D5CDD505-2E9C-101B-9397-08002B2CF9AE}" pid="13" name="DATE">
    <vt:lpwstr>20230621</vt:lpwstr>
  </property>
  <property fmtid="{D5CDD505-2E9C-101B-9397-08002B2CF9AE}" pid="14" name="TYPE_N_DATE">
    <vt:lpwstr>38020230621</vt:lpwstr>
  </property>
  <property fmtid="{D5CDD505-2E9C-101B-9397-08002B2CF9AE}" pid="15" name="WORDNUMPAGES">
    <vt:lpwstr>8</vt:lpwstr>
  </property>
  <property fmtid="{D5CDD505-2E9C-101B-9397-08002B2CF9AE}" pid="16" name="TYPE_ABS_DATE">
    <vt:lpwstr>380020230621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27351133;27008094;5810781;27186392;24345651;5738608;24492956;23226226;22531303;21305839;27084362;26278294;27195285;26309110;20828408</vt:lpwstr>
  </property>
  <property fmtid="{D5CDD505-2E9C-101B-9397-08002B2CF9AE}" pid="36" name="LAWLISTTMP1">
    <vt:lpwstr>4216/007.a;007.c;006</vt:lpwstr>
  </property>
  <property fmtid="{D5CDD505-2E9C-101B-9397-08002B2CF9AE}" pid="37" name="LAWLISTTMP2">
    <vt:lpwstr>70301/144.a;071a.b;040b;040c.a;040c.b;071d.3</vt:lpwstr>
  </property>
  <property fmtid="{D5CDD505-2E9C-101B-9397-08002B2CF9AE}" pid="38" name="LAWLISTTMP3">
    <vt:lpwstr>74903/192a</vt:lpwstr>
  </property>
</Properties>
</file>