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FA2916" w:rsidRPr="002957D0" w14:paraId="6B2F856E" w14:textId="77777777" w:rsidTr="004B4E2C">
        <w:trPr>
          <w:trHeight w:hRule="exact" w:val="418"/>
          <w:jc w:val="center"/>
        </w:trPr>
        <w:tc>
          <w:tcPr>
            <w:tcW w:w="8721" w:type="dxa"/>
            <w:gridSpan w:val="2"/>
          </w:tcPr>
          <w:p w14:paraId="4D55AF36" w14:textId="77777777" w:rsidR="00FA2916" w:rsidRPr="002957D0" w:rsidRDefault="00FA2916" w:rsidP="00341284">
            <w:pPr>
              <w:pStyle w:val="a3"/>
              <w:jc w:val="center"/>
              <w:rPr>
                <w:rFonts w:ascii="Tahoma" w:hAnsi="Tahoma" w:cs="Tahoma"/>
                <w:color w:val="000080"/>
                <w:rtl/>
              </w:rPr>
            </w:pPr>
            <w:bookmarkStart w:id="0" w:name="FirstLawyer"/>
            <w:bookmarkStart w:id="1" w:name="LastJudge"/>
            <w:r w:rsidRPr="002957D0">
              <w:rPr>
                <w:rFonts w:ascii="Tahoma" w:hAnsi="Tahoma" w:cs="Tahoma"/>
                <w:b/>
                <w:bCs/>
                <w:color w:val="000080"/>
                <w:rtl/>
              </w:rPr>
              <w:t>בית משפט השלום ברמלה</w:t>
            </w:r>
          </w:p>
        </w:tc>
      </w:tr>
      <w:tr w:rsidR="00FA2916" w:rsidRPr="002957D0" w14:paraId="45FBDEE8" w14:textId="77777777" w:rsidTr="004B4E2C">
        <w:trPr>
          <w:trHeight w:val="337"/>
          <w:jc w:val="center"/>
        </w:trPr>
        <w:tc>
          <w:tcPr>
            <w:tcW w:w="5054" w:type="dxa"/>
          </w:tcPr>
          <w:p w14:paraId="191EAC7F" w14:textId="77777777" w:rsidR="00FA2916" w:rsidRPr="002957D0" w:rsidRDefault="00FA2916" w:rsidP="00341284">
            <w:pPr>
              <w:rPr>
                <w:rFonts w:cs="FrankRuehl"/>
                <w:sz w:val="28"/>
                <w:szCs w:val="28"/>
                <w:rtl/>
              </w:rPr>
            </w:pPr>
            <w:r w:rsidRPr="002957D0">
              <w:rPr>
                <w:rFonts w:cs="FrankRuehl"/>
                <w:sz w:val="28"/>
                <w:szCs w:val="28"/>
                <w:rtl/>
              </w:rPr>
              <w:t>ת"פ</w:t>
            </w:r>
            <w:r w:rsidRPr="002957D0">
              <w:rPr>
                <w:rFonts w:cs="FrankRuehl" w:hint="cs"/>
                <w:sz w:val="28"/>
                <w:szCs w:val="28"/>
                <w:rtl/>
              </w:rPr>
              <w:t xml:space="preserve"> </w:t>
            </w:r>
            <w:r w:rsidRPr="002957D0">
              <w:rPr>
                <w:rFonts w:cs="FrankRuehl"/>
                <w:sz w:val="28"/>
                <w:szCs w:val="28"/>
                <w:rtl/>
              </w:rPr>
              <w:t>8254-02-20</w:t>
            </w:r>
            <w:r w:rsidRPr="002957D0">
              <w:rPr>
                <w:rFonts w:cs="FrankRuehl" w:hint="cs"/>
                <w:sz w:val="28"/>
                <w:szCs w:val="28"/>
                <w:rtl/>
              </w:rPr>
              <w:t xml:space="preserve"> </w:t>
            </w:r>
            <w:r w:rsidRPr="002957D0">
              <w:rPr>
                <w:rFonts w:cs="FrankRuehl"/>
                <w:sz w:val="28"/>
                <w:szCs w:val="28"/>
                <w:rtl/>
              </w:rPr>
              <w:t>מדינת ישראל נ' שעבאן</w:t>
            </w:r>
          </w:p>
          <w:p w14:paraId="48CC4E64" w14:textId="77777777" w:rsidR="00FA2916" w:rsidRPr="002957D0" w:rsidRDefault="00FA2916" w:rsidP="00341284">
            <w:pPr>
              <w:pStyle w:val="a3"/>
              <w:rPr>
                <w:rFonts w:cs="FrankRuehl"/>
                <w:sz w:val="28"/>
                <w:szCs w:val="28"/>
                <w:rtl/>
              </w:rPr>
            </w:pPr>
          </w:p>
        </w:tc>
        <w:tc>
          <w:tcPr>
            <w:tcW w:w="3667" w:type="dxa"/>
          </w:tcPr>
          <w:p w14:paraId="60E82C64" w14:textId="77777777" w:rsidR="00FA2916" w:rsidRPr="002957D0" w:rsidRDefault="00FA2916" w:rsidP="00341284">
            <w:pPr>
              <w:pStyle w:val="a3"/>
              <w:jc w:val="right"/>
              <w:rPr>
                <w:rFonts w:cs="FrankRuehl"/>
                <w:sz w:val="28"/>
                <w:szCs w:val="28"/>
                <w:rtl/>
              </w:rPr>
            </w:pPr>
          </w:p>
        </w:tc>
      </w:tr>
    </w:tbl>
    <w:p w14:paraId="6AA3374E" w14:textId="77777777" w:rsidR="00FA2916" w:rsidRPr="002957D0" w:rsidRDefault="00FA2916" w:rsidP="00FA2916">
      <w:pPr>
        <w:pStyle w:val="a3"/>
        <w:rPr>
          <w:rtl/>
        </w:rPr>
      </w:pPr>
      <w:r w:rsidRPr="002957D0">
        <w:rPr>
          <w:rFonts w:hint="cs"/>
          <w:rtl/>
        </w:rPr>
        <w:t xml:space="preserve"> </w:t>
      </w:r>
    </w:p>
    <w:p w14:paraId="128DA10D" w14:textId="77777777" w:rsidR="00FA2916" w:rsidRPr="002957D0" w:rsidRDefault="00FA2916" w:rsidP="00FA2916">
      <w:pPr>
        <w:rPr>
          <w:b/>
          <w:bCs/>
          <w:sz w:val="28"/>
          <w:szCs w:val="28"/>
          <w:rtl/>
        </w:rPr>
      </w:pPr>
    </w:p>
    <w:p w14:paraId="5E6830E9" w14:textId="77777777" w:rsidR="00FA2916" w:rsidRPr="002957D0" w:rsidRDefault="00FA2916" w:rsidP="00FA2916">
      <w:pPr>
        <w:rPr>
          <w:b/>
          <w:bCs/>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6"/>
        <w:gridCol w:w="3759"/>
      </w:tblGrid>
      <w:tr w:rsidR="00FA2916" w:rsidRPr="002957D0" w14:paraId="5E64B2F8" w14:textId="77777777" w:rsidTr="002957D0">
        <w:trPr>
          <w:trHeight w:val="295"/>
          <w:jc w:val="center"/>
        </w:trPr>
        <w:tc>
          <w:tcPr>
            <w:tcW w:w="945" w:type="dxa"/>
            <w:tcBorders>
              <w:top w:val="nil"/>
              <w:left w:val="nil"/>
              <w:bottom w:val="nil"/>
              <w:right w:val="nil"/>
            </w:tcBorders>
            <w:shd w:val="clear" w:color="auto" w:fill="auto"/>
          </w:tcPr>
          <w:p w14:paraId="5E293588" w14:textId="77777777" w:rsidR="00FA2916" w:rsidRPr="002957D0" w:rsidRDefault="00FA2916" w:rsidP="00FA2916">
            <w:pPr>
              <w:jc w:val="both"/>
              <w:rPr>
                <w:rFonts w:ascii="David" w:hAnsi="David"/>
                <w:b/>
                <w:bCs/>
                <w:sz w:val="28"/>
                <w:szCs w:val="28"/>
              </w:rPr>
            </w:pPr>
            <w:r w:rsidRPr="002957D0">
              <w:rPr>
                <w:rFonts w:ascii="David" w:hAnsi="David"/>
                <w:b/>
                <w:bCs/>
                <w:sz w:val="28"/>
                <w:szCs w:val="28"/>
                <w:rtl/>
              </w:rPr>
              <w:t xml:space="preserve">בפני </w:t>
            </w:r>
          </w:p>
        </w:tc>
        <w:tc>
          <w:tcPr>
            <w:tcW w:w="7875" w:type="dxa"/>
            <w:gridSpan w:val="2"/>
            <w:tcBorders>
              <w:top w:val="nil"/>
              <w:left w:val="nil"/>
              <w:bottom w:val="nil"/>
              <w:right w:val="nil"/>
            </w:tcBorders>
            <w:shd w:val="clear" w:color="auto" w:fill="auto"/>
          </w:tcPr>
          <w:p w14:paraId="6DF788E8" w14:textId="77777777" w:rsidR="00FA2916" w:rsidRPr="002957D0" w:rsidRDefault="00FA2916" w:rsidP="00341284">
            <w:pPr>
              <w:rPr>
                <w:rFonts w:ascii="David" w:hAnsi="David"/>
                <w:b/>
                <w:bCs/>
                <w:sz w:val="28"/>
                <w:szCs w:val="28"/>
                <w:rtl/>
              </w:rPr>
            </w:pPr>
            <w:r w:rsidRPr="002957D0">
              <w:rPr>
                <w:rFonts w:ascii="David" w:hAnsi="David"/>
                <w:b/>
                <w:bCs/>
                <w:sz w:val="28"/>
                <w:szCs w:val="28"/>
                <w:rtl/>
              </w:rPr>
              <w:t>כבוד השופט  הישאם  אבו שחאדה</w:t>
            </w:r>
          </w:p>
          <w:p w14:paraId="4C4C18B4" w14:textId="77777777" w:rsidR="00FA2916" w:rsidRPr="002957D0" w:rsidRDefault="00FA2916" w:rsidP="00341284">
            <w:pPr>
              <w:rPr>
                <w:rFonts w:ascii="David" w:hAnsi="David"/>
                <w:b/>
                <w:bCs/>
                <w:sz w:val="28"/>
                <w:szCs w:val="28"/>
                <w:rtl/>
              </w:rPr>
            </w:pPr>
          </w:p>
          <w:p w14:paraId="1E5C84F0" w14:textId="77777777" w:rsidR="00FA2916" w:rsidRPr="002957D0" w:rsidRDefault="00FA2916" w:rsidP="00FA2916">
            <w:pPr>
              <w:jc w:val="both"/>
              <w:rPr>
                <w:rFonts w:ascii="David" w:hAnsi="David"/>
                <w:b/>
                <w:bCs/>
                <w:sz w:val="28"/>
                <w:szCs w:val="28"/>
              </w:rPr>
            </w:pPr>
          </w:p>
        </w:tc>
      </w:tr>
      <w:tr w:rsidR="00FA2916" w:rsidRPr="002957D0" w14:paraId="4AD43A7C" w14:textId="77777777" w:rsidTr="002957D0">
        <w:trPr>
          <w:trHeight w:val="355"/>
          <w:jc w:val="center"/>
        </w:trPr>
        <w:tc>
          <w:tcPr>
            <w:tcW w:w="945" w:type="dxa"/>
            <w:tcBorders>
              <w:top w:val="nil"/>
              <w:left w:val="nil"/>
              <w:bottom w:val="nil"/>
              <w:right w:val="nil"/>
            </w:tcBorders>
            <w:shd w:val="clear" w:color="auto" w:fill="auto"/>
          </w:tcPr>
          <w:p w14:paraId="5832AE62" w14:textId="77777777" w:rsidR="00FA2916" w:rsidRPr="002957D0" w:rsidRDefault="00FA2916" w:rsidP="00FA2916">
            <w:pPr>
              <w:jc w:val="both"/>
              <w:rPr>
                <w:rFonts w:ascii="David" w:hAnsi="David"/>
                <w:b/>
                <w:bCs/>
                <w:sz w:val="28"/>
                <w:szCs w:val="28"/>
              </w:rPr>
            </w:pPr>
            <w:bookmarkStart w:id="2" w:name="FirstAppellant"/>
            <w:r w:rsidRPr="002957D0">
              <w:rPr>
                <w:rFonts w:ascii="David" w:hAnsi="David"/>
                <w:b/>
                <w:bCs/>
                <w:sz w:val="28"/>
                <w:szCs w:val="28"/>
                <w:rtl/>
              </w:rPr>
              <w:t>בעניין:</w:t>
            </w:r>
          </w:p>
        </w:tc>
        <w:tc>
          <w:tcPr>
            <w:tcW w:w="4116" w:type="dxa"/>
            <w:tcBorders>
              <w:top w:val="nil"/>
              <w:left w:val="nil"/>
              <w:bottom w:val="nil"/>
              <w:right w:val="nil"/>
            </w:tcBorders>
            <w:shd w:val="clear" w:color="auto" w:fill="auto"/>
          </w:tcPr>
          <w:p w14:paraId="2B58BAB9" w14:textId="77777777" w:rsidR="00FA2916" w:rsidRPr="002957D0" w:rsidRDefault="00FA2916" w:rsidP="00341284">
            <w:pPr>
              <w:rPr>
                <w:rFonts w:ascii="David" w:hAnsi="David"/>
                <w:b/>
                <w:bCs/>
                <w:sz w:val="28"/>
                <w:szCs w:val="28"/>
              </w:rPr>
            </w:pPr>
            <w:r w:rsidRPr="002957D0">
              <w:rPr>
                <w:rFonts w:ascii="David" w:hAnsi="David" w:hint="cs"/>
                <w:b/>
                <w:bCs/>
                <w:sz w:val="28"/>
                <w:szCs w:val="28"/>
                <w:rtl/>
              </w:rPr>
              <w:t xml:space="preserve">המאשימה - </w:t>
            </w:r>
            <w:r w:rsidRPr="002957D0">
              <w:rPr>
                <w:rFonts w:ascii="David" w:hAnsi="David"/>
                <w:b/>
                <w:bCs/>
                <w:sz w:val="28"/>
                <w:szCs w:val="28"/>
                <w:rtl/>
              </w:rPr>
              <w:t>מדינת ישראל</w:t>
            </w:r>
            <w:r w:rsidRPr="002957D0">
              <w:rPr>
                <w:rFonts w:ascii="David" w:hAnsi="David"/>
                <w:b/>
                <w:bCs/>
                <w:sz w:val="28"/>
                <w:szCs w:val="28"/>
                <w:rtl/>
              </w:rPr>
              <w:br/>
            </w:r>
            <w:r w:rsidRPr="002957D0">
              <w:rPr>
                <w:rFonts w:ascii="David" w:hAnsi="David" w:hint="cs"/>
                <w:b/>
                <w:bCs/>
                <w:sz w:val="28"/>
                <w:szCs w:val="28"/>
                <w:rtl/>
              </w:rPr>
              <w:t xml:space="preserve">ע"י המתמחה אריאל סיני </w:t>
            </w:r>
            <w:r w:rsidRPr="002957D0">
              <w:rPr>
                <w:rFonts w:ascii="David" w:hAnsi="David"/>
                <w:b/>
                <w:bCs/>
                <w:sz w:val="28"/>
                <w:szCs w:val="28"/>
                <w:rtl/>
              </w:rPr>
              <w:br/>
            </w:r>
          </w:p>
        </w:tc>
        <w:tc>
          <w:tcPr>
            <w:tcW w:w="3759" w:type="dxa"/>
            <w:tcBorders>
              <w:top w:val="nil"/>
              <w:left w:val="nil"/>
              <w:bottom w:val="nil"/>
              <w:right w:val="nil"/>
            </w:tcBorders>
            <w:shd w:val="clear" w:color="auto" w:fill="auto"/>
          </w:tcPr>
          <w:p w14:paraId="06000BE0" w14:textId="77777777" w:rsidR="00FA2916" w:rsidRPr="002957D0" w:rsidRDefault="00FA2916" w:rsidP="00FA2916">
            <w:pPr>
              <w:jc w:val="both"/>
              <w:rPr>
                <w:rFonts w:ascii="David" w:hAnsi="David"/>
                <w:b/>
                <w:bCs/>
                <w:sz w:val="28"/>
                <w:szCs w:val="28"/>
              </w:rPr>
            </w:pPr>
          </w:p>
        </w:tc>
      </w:tr>
      <w:bookmarkEnd w:id="2"/>
      <w:tr w:rsidR="00FA2916" w:rsidRPr="002957D0" w14:paraId="55DA10B4" w14:textId="77777777" w:rsidTr="002957D0">
        <w:trPr>
          <w:gridAfter w:val="2"/>
          <w:wAfter w:w="7875" w:type="dxa"/>
          <w:trHeight w:val="355"/>
          <w:jc w:val="center"/>
        </w:trPr>
        <w:tc>
          <w:tcPr>
            <w:tcW w:w="945" w:type="dxa"/>
            <w:tcBorders>
              <w:top w:val="nil"/>
              <w:left w:val="nil"/>
              <w:bottom w:val="nil"/>
              <w:right w:val="nil"/>
            </w:tcBorders>
            <w:shd w:val="clear" w:color="auto" w:fill="auto"/>
          </w:tcPr>
          <w:p w14:paraId="4AD48408" w14:textId="77777777" w:rsidR="00FA2916" w:rsidRPr="002957D0" w:rsidRDefault="00FA2916" w:rsidP="00FA2916">
            <w:pPr>
              <w:jc w:val="both"/>
              <w:rPr>
                <w:rFonts w:ascii="David" w:hAnsi="David"/>
                <w:b/>
                <w:bCs/>
                <w:sz w:val="28"/>
                <w:szCs w:val="28"/>
                <w:rtl/>
              </w:rPr>
            </w:pPr>
          </w:p>
        </w:tc>
      </w:tr>
      <w:tr w:rsidR="00FA2916" w:rsidRPr="002957D0" w14:paraId="15980EB3" w14:textId="77777777" w:rsidTr="002957D0">
        <w:trPr>
          <w:trHeight w:val="355"/>
          <w:jc w:val="center"/>
        </w:trPr>
        <w:tc>
          <w:tcPr>
            <w:tcW w:w="945" w:type="dxa"/>
            <w:tcBorders>
              <w:top w:val="nil"/>
              <w:left w:val="nil"/>
              <w:bottom w:val="nil"/>
              <w:right w:val="nil"/>
            </w:tcBorders>
            <w:shd w:val="clear" w:color="auto" w:fill="auto"/>
          </w:tcPr>
          <w:p w14:paraId="29BFB584" w14:textId="77777777" w:rsidR="00FA2916" w:rsidRPr="002957D0" w:rsidRDefault="00FA2916" w:rsidP="00FA2916">
            <w:pPr>
              <w:jc w:val="both"/>
              <w:rPr>
                <w:rFonts w:ascii="David" w:hAnsi="David"/>
                <w:b/>
                <w:bCs/>
                <w:sz w:val="28"/>
                <w:szCs w:val="28"/>
                <w:rtl/>
              </w:rPr>
            </w:pPr>
          </w:p>
        </w:tc>
        <w:tc>
          <w:tcPr>
            <w:tcW w:w="7875" w:type="dxa"/>
            <w:gridSpan w:val="2"/>
            <w:tcBorders>
              <w:top w:val="nil"/>
              <w:left w:val="nil"/>
              <w:bottom w:val="nil"/>
              <w:right w:val="nil"/>
            </w:tcBorders>
            <w:shd w:val="clear" w:color="auto" w:fill="auto"/>
          </w:tcPr>
          <w:p w14:paraId="3AA3408D" w14:textId="77777777" w:rsidR="00FA2916" w:rsidRPr="002957D0" w:rsidRDefault="00FA2916" w:rsidP="00FA2916">
            <w:pPr>
              <w:jc w:val="center"/>
              <w:rPr>
                <w:rFonts w:ascii="David" w:hAnsi="David"/>
                <w:b/>
                <w:bCs/>
                <w:sz w:val="28"/>
                <w:szCs w:val="28"/>
                <w:rtl/>
              </w:rPr>
            </w:pPr>
          </w:p>
          <w:p w14:paraId="23F03286" w14:textId="77777777" w:rsidR="00FA2916" w:rsidRPr="002957D0" w:rsidRDefault="00FA2916" w:rsidP="00FA2916">
            <w:pPr>
              <w:jc w:val="center"/>
              <w:rPr>
                <w:rFonts w:ascii="David" w:hAnsi="David"/>
                <w:b/>
                <w:bCs/>
                <w:sz w:val="28"/>
                <w:szCs w:val="28"/>
                <w:rtl/>
              </w:rPr>
            </w:pPr>
            <w:r w:rsidRPr="002957D0">
              <w:rPr>
                <w:rFonts w:ascii="David" w:hAnsi="David"/>
                <w:b/>
                <w:bCs/>
                <w:sz w:val="28"/>
                <w:szCs w:val="28"/>
                <w:rtl/>
              </w:rPr>
              <w:t>נגד</w:t>
            </w:r>
          </w:p>
          <w:p w14:paraId="50CEF53A" w14:textId="77777777" w:rsidR="00FA2916" w:rsidRPr="002957D0" w:rsidRDefault="00FA2916" w:rsidP="00FA2916">
            <w:pPr>
              <w:jc w:val="center"/>
              <w:rPr>
                <w:rFonts w:ascii="David" w:hAnsi="David"/>
                <w:b/>
                <w:bCs/>
                <w:sz w:val="28"/>
                <w:szCs w:val="28"/>
                <w:rtl/>
              </w:rPr>
            </w:pPr>
          </w:p>
          <w:p w14:paraId="2EA294E7" w14:textId="77777777" w:rsidR="00FA2916" w:rsidRPr="002957D0" w:rsidRDefault="00FA2916" w:rsidP="00FA2916">
            <w:pPr>
              <w:jc w:val="center"/>
              <w:rPr>
                <w:rFonts w:ascii="David" w:hAnsi="David"/>
                <w:b/>
                <w:bCs/>
                <w:sz w:val="28"/>
                <w:szCs w:val="28"/>
                <w:rtl/>
              </w:rPr>
            </w:pPr>
          </w:p>
          <w:p w14:paraId="2E372BCC" w14:textId="77777777" w:rsidR="00FA2916" w:rsidRPr="002957D0" w:rsidRDefault="00FA2916" w:rsidP="00FA2916">
            <w:pPr>
              <w:jc w:val="both"/>
              <w:rPr>
                <w:rFonts w:ascii="David" w:hAnsi="David"/>
                <w:b/>
                <w:bCs/>
                <w:sz w:val="28"/>
                <w:szCs w:val="28"/>
              </w:rPr>
            </w:pPr>
          </w:p>
        </w:tc>
      </w:tr>
      <w:tr w:rsidR="00FA2916" w:rsidRPr="002957D0" w14:paraId="592714AF" w14:textId="77777777" w:rsidTr="002957D0">
        <w:trPr>
          <w:trHeight w:val="355"/>
          <w:jc w:val="center"/>
        </w:trPr>
        <w:tc>
          <w:tcPr>
            <w:tcW w:w="945" w:type="dxa"/>
            <w:tcBorders>
              <w:top w:val="nil"/>
              <w:left w:val="nil"/>
              <w:bottom w:val="nil"/>
              <w:right w:val="nil"/>
            </w:tcBorders>
            <w:shd w:val="clear" w:color="auto" w:fill="auto"/>
          </w:tcPr>
          <w:p w14:paraId="0578977D" w14:textId="77777777" w:rsidR="00FA2916" w:rsidRPr="002957D0" w:rsidRDefault="00FA2916" w:rsidP="00341284">
            <w:pPr>
              <w:rPr>
                <w:rFonts w:ascii="David" w:hAnsi="David"/>
                <w:b/>
                <w:bCs/>
                <w:sz w:val="28"/>
                <w:szCs w:val="28"/>
                <w:rtl/>
              </w:rPr>
            </w:pPr>
          </w:p>
        </w:tc>
        <w:tc>
          <w:tcPr>
            <w:tcW w:w="4116" w:type="dxa"/>
            <w:tcBorders>
              <w:top w:val="nil"/>
              <w:left w:val="nil"/>
              <w:bottom w:val="nil"/>
              <w:right w:val="nil"/>
            </w:tcBorders>
            <w:shd w:val="clear" w:color="auto" w:fill="auto"/>
          </w:tcPr>
          <w:p w14:paraId="7E583B32" w14:textId="77777777" w:rsidR="00FA2916" w:rsidRPr="002957D0" w:rsidRDefault="00FA2916" w:rsidP="00341284">
            <w:pPr>
              <w:rPr>
                <w:rFonts w:ascii="David" w:hAnsi="David"/>
                <w:b/>
                <w:bCs/>
                <w:sz w:val="28"/>
                <w:szCs w:val="28"/>
                <w:rtl/>
              </w:rPr>
            </w:pPr>
            <w:r w:rsidRPr="002957D0">
              <w:rPr>
                <w:rFonts w:ascii="David" w:hAnsi="David" w:hint="cs"/>
                <w:b/>
                <w:bCs/>
                <w:sz w:val="28"/>
                <w:szCs w:val="28"/>
                <w:rtl/>
              </w:rPr>
              <w:t xml:space="preserve">הנאשם - </w:t>
            </w:r>
            <w:r w:rsidRPr="002957D0">
              <w:rPr>
                <w:rFonts w:ascii="David" w:hAnsi="David"/>
                <w:b/>
                <w:bCs/>
                <w:sz w:val="28"/>
                <w:szCs w:val="28"/>
                <w:rtl/>
              </w:rPr>
              <w:t>עלי שעבאן</w:t>
            </w:r>
            <w:r w:rsidRPr="002957D0">
              <w:rPr>
                <w:rFonts w:ascii="David" w:hAnsi="David"/>
                <w:b/>
                <w:bCs/>
                <w:sz w:val="28"/>
                <w:szCs w:val="28"/>
                <w:rtl/>
              </w:rPr>
              <w:br/>
            </w:r>
            <w:r w:rsidRPr="002957D0">
              <w:rPr>
                <w:rFonts w:ascii="David" w:hAnsi="David" w:hint="cs"/>
                <w:b/>
                <w:bCs/>
                <w:sz w:val="28"/>
                <w:szCs w:val="28"/>
                <w:rtl/>
              </w:rPr>
              <w:t xml:space="preserve">ע"י עוה"ד גיל גבאי </w:t>
            </w:r>
            <w:r w:rsidRPr="002957D0">
              <w:rPr>
                <w:rFonts w:ascii="David" w:hAnsi="David"/>
                <w:b/>
                <w:bCs/>
                <w:sz w:val="28"/>
                <w:szCs w:val="28"/>
                <w:rtl/>
              </w:rPr>
              <w:br/>
            </w:r>
            <w:r w:rsidRPr="002957D0">
              <w:rPr>
                <w:rFonts w:ascii="David" w:hAnsi="David"/>
                <w:b/>
                <w:bCs/>
                <w:sz w:val="28"/>
                <w:szCs w:val="28"/>
                <w:rtl/>
              </w:rPr>
              <w:br/>
            </w:r>
          </w:p>
        </w:tc>
        <w:tc>
          <w:tcPr>
            <w:tcW w:w="3759" w:type="dxa"/>
            <w:tcBorders>
              <w:top w:val="nil"/>
              <w:left w:val="nil"/>
              <w:bottom w:val="nil"/>
              <w:right w:val="nil"/>
            </w:tcBorders>
            <w:shd w:val="clear" w:color="auto" w:fill="auto"/>
          </w:tcPr>
          <w:p w14:paraId="19E3F47D" w14:textId="77777777" w:rsidR="00FA2916" w:rsidRPr="002957D0" w:rsidRDefault="00FA2916" w:rsidP="00FA2916">
            <w:pPr>
              <w:jc w:val="right"/>
              <w:rPr>
                <w:rFonts w:ascii="David" w:hAnsi="David"/>
                <w:b/>
                <w:bCs/>
                <w:sz w:val="28"/>
                <w:szCs w:val="28"/>
              </w:rPr>
            </w:pPr>
          </w:p>
        </w:tc>
      </w:tr>
      <w:tr w:rsidR="00FA2916" w:rsidRPr="002957D0" w14:paraId="0B6AE57C" w14:textId="77777777" w:rsidTr="002957D0">
        <w:trPr>
          <w:gridAfter w:val="2"/>
          <w:wAfter w:w="7875" w:type="dxa"/>
          <w:trHeight w:val="355"/>
          <w:jc w:val="center"/>
        </w:trPr>
        <w:tc>
          <w:tcPr>
            <w:tcW w:w="945" w:type="dxa"/>
            <w:tcBorders>
              <w:top w:val="nil"/>
              <w:left w:val="nil"/>
              <w:bottom w:val="nil"/>
              <w:right w:val="nil"/>
            </w:tcBorders>
            <w:shd w:val="clear" w:color="auto" w:fill="auto"/>
          </w:tcPr>
          <w:p w14:paraId="4B515D08" w14:textId="77777777" w:rsidR="00FA2916" w:rsidRPr="002957D0" w:rsidRDefault="00FA2916" w:rsidP="00FA2916">
            <w:pPr>
              <w:jc w:val="both"/>
              <w:rPr>
                <w:rFonts w:ascii="David" w:hAnsi="David"/>
                <w:b/>
                <w:bCs/>
                <w:sz w:val="28"/>
                <w:szCs w:val="28"/>
                <w:rtl/>
              </w:rPr>
            </w:pPr>
          </w:p>
        </w:tc>
      </w:tr>
    </w:tbl>
    <w:p w14:paraId="1EF276E7" w14:textId="77777777" w:rsidR="004B4E2C" w:rsidRPr="004B4E2C" w:rsidRDefault="004B4E2C" w:rsidP="004B4E2C">
      <w:pPr>
        <w:spacing w:before="120" w:after="120" w:line="240" w:lineRule="exact"/>
        <w:ind w:left="283" w:hanging="283"/>
        <w:jc w:val="both"/>
        <w:rPr>
          <w:rFonts w:ascii="FrankRuehl" w:hAnsi="FrankRuehl" w:cs="FrankRuehl"/>
          <w:rtl/>
        </w:rPr>
      </w:pPr>
    </w:p>
    <w:p w14:paraId="56C83FE0" w14:textId="77777777" w:rsidR="00CD5F20" w:rsidRPr="00CD5F20" w:rsidRDefault="00CD5F20" w:rsidP="00CD5F20">
      <w:pPr>
        <w:spacing w:before="120" w:after="120" w:line="240" w:lineRule="exact"/>
        <w:ind w:left="283" w:hanging="283"/>
        <w:jc w:val="both"/>
        <w:rPr>
          <w:rFonts w:ascii="FrankRuehl" w:hAnsi="FrankRuehl" w:cs="FrankRuehl"/>
          <w:rtl/>
        </w:rPr>
      </w:pPr>
    </w:p>
    <w:p w14:paraId="5B476AE9" w14:textId="77777777" w:rsidR="00C12018" w:rsidRDefault="00C12018" w:rsidP="00C12018">
      <w:pPr>
        <w:rPr>
          <w:rtl/>
        </w:rPr>
      </w:pPr>
      <w:bookmarkStart w:id="3" w:name="LawTable"/>
      <w:bookmarkEnd w:id="3"/>
    </w:p>
    <w:p w14:paraId="5DDD541E" w14:textId="77777777" w:rsidR="00C12018" w:rsidRPr="00C12018" w:rsidRDefault="00C12018" w:rsidP="00C12018">
      <w:pPr>
        <w:spacing w:before="120" w:after="120" w:line="240" w:lineRule="exact"/>
        <w:ind w:left="283" w:hanging="283"/>
        <w:jc w:val="both"/>
        <w:rPr>
          <w:rFonts w:ascii="FrankRuehl" w:hAnsi="FrankRuehl" w:cs="FrankRuehl"/>
          <w:rtl/>
        </w:rPr>
      </w:pPr>
    </w:p>
    <w:p w14:paraId="0EF0FD2F" w14:textId="77777777" w:rsidR="00C12018" w:rsidRPr="00C12018" w:rsidRDefault="00C12018" w:rsidP="00C12018">
      <w:pPr>
        <w:spacing w:before="120" w:after="120" w:line="240" w:lineRule="exact"/>
        <w:ind w:left="283" w:hanging="283"/>
        <w:jc w:val="both"/>
        <w:rPr>
          <w:rFonts w:ascii="FrankRuehl" w:hAnsi="FrankRuehl" w:cs="FrankRuehl"/>
          <w:rtl/>
        </w:rPr>
      </w:pPr>
    </w:p>
    <w:p w14:paraId="4E2DB855" w14:textId="77777777" w:rsidR="00C12018" w:rsidRPr="00C12018" w:rsidRDefault="00C12018" w:rsidP="00C12018">
      <w:pPr>
        <w:spacing w:before="120" w:after="120" w:line="240" w:lineRule="exact"/>
        <w:ind w:left="283" w:hanging="283"/>
        <w:jc w:val="both"/>
        <w:rPr>
          <w:rFonts w:ascii="FrankRuehl" w:hAnsi="FrankRuehl" w:cs="FrankRuehl"/>
          <w:rtl/>
        </w:rPr>
      </w:pPr>
      <w:r w:rsidRPr="00C12018">
        <w:rPr>
          <w:rFonts w:ascii="FrankRuehl" w:hAnsi="FrankRuehl" w:cs="FrankRuehl"/>
          <w:rtl/>
        </w:rPr>
        <w:t xml:space="preserve">חקיקה שאוזכרה: </w:t>
      </w:r>
    </w:p>
    <w:p w14:paraId="4B0580ED" w14:textId="77777777" w:rsidR="00C12018" w:rsidRPr="00C12018" w:rsidRDefault="00C12018" w:rsidP="00C12018">
      <w:pPr>
        <w:spacing w:before="120" w:after="120" w:line="240" w:lineRule="exact"/>
        <w:ind w:left="283" w:hanging="283"/>
        <w:jc w:val="both"/>
        <w:rPr>
          <w:rFonts w:ascii="FrankRuehl" w:hAnsi="FrankRuehl" w:cs="FrankRuehl"/>
          <w:rtl/>
        </w:rPr>
      </w:pPr>
      <w:hyperlink r:id="rId7" w:history="1">
        <w:r w:rsidRPr="00C12018">
          <w:rPr>
            <w:rFonts w:ascii="FrankRuehl" w:hAnsi="FrankRuehl" w:cs="FrankRuehl"/>
            <w:color w:val="0000FF"/>
            <w:rtl/>
          </w:rPr>
          <w:t>חוק העונשין, תשל"ז-1977</w:t>
        </w:r>
      </w:hyperlink>
      <w:r w:rsidRPr="00C12018">
        <w:rPr>
          <w:rFonts w:ascii="FrankRuehl" w:hAnsi="FrankRuehl" w:cs="FrankRuehl"/>
          <w:rtl/>
        </w:rPr>
        <w:t xml:space="preserve">: סע'  </w:t>
      </w:r>
      <w:hyperlink r:id="rId8" w:history="1">
        <w:r w:rsidRPr="00C12018">
          <w:rPr>
            <w:rFonts w:ascii="FrankRuehl" w:hAnsi="FrankRuehl" w:cs="FrankRuehl"/>
            <w:color w:val="0000FF"/>
            <w:rtl/>
          </w:rPr>
          <w:t>144</w:t>
        </w:r>
      </w:hyperlink>
      <w:r w:rsidRPr="00C12018">
        <w:rPr>
          <w:rFonts w:ascii="FrankRuehl" w:hAnsi="FrankRuehl" w:cs="FrankRuehl"/>
          <w:rtl/>
        </w:rPr>
        <w:t xml:space="preserve">, </w:t>
      </w:r>
      <w:hyperlink r:id="rId9" w:history="1">
        <w:r w:rsidRPr="00C12018">
          <w:rPr>
            <w:rFonts w:ascii="FrankRuehl" w:hAnsi="FrankRuehl" w:cs="FrankRuehl"/>
            <w:color w:val="0000FF"/>
            <w:rtl/>
          </w:rPr>
          <w:t>144(א)</w:t>
        </w:r>
      </w:hyperlink>
      <w:r w:rsidRPr="00C12018">
        <w:rPr>
          <w:rFonts w:ascii="FrankRuehl" w:hAnsi="FrankRuehl" w:cs="FrankRuehl"/>
          <w:rtl/>
        </w:rPr>
        <w:t xml:space="preserve">, </w:t>
      </w:r>
      <w:hyperlink r:id="rId10" w:history="1">
        <w:r w:rsidRPr="00C12018">
          <w:rPr>
            <w:rFonts w:ascii="FrankRuehl" w:hAnsi="FrankRuehl" w:cs="FrankRuehl"/>
            <w:color w:val="0000FF"/>
            <w:rtl/>
          </w:rPr>
          <w:t>244</w:t>
        </w:r>
      </w:hyperlink>
    </w:p>
    <w:p w14:paraId="2D2FDB17" w14:textId="77777777" w:rsidR="00C12018" w:rsidRPr="00C12018" w:rsidRDefault="00C12018" w:rsidP="00C12018">
      <w:pPr>
        <w:rPr>
          <w:rtl/>
        </w:rPr>
      </w:pPr>
      <w:bookmarkStart w:id="4" w:name="LawTable_End"/>
      <w:bookmarkEnd w:id="4"/>
    </w:p>
    <w:p w14:paraId="1FF4D6C7" w14:textId="77777777" w:rsidR="002957D0" w:rsidRPr="00CD5F20" w:rsidRDefault="002957D0" w:rsidP="00CD5F20"/>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A2916" w:rsidRPr="009444D3" w14:paraId="00D4179E" w14:textId="77777777" w:rsidTr="00FA2916">
        <w:trPr>
          <w:trHeight w:val="355"/>
          <w:jc w:val="center"/>
        </w:trPr>
        <w:tc>
          <w:tcPr>
            <w:tcW w:w="8820" w:type="dxa"/>
            <w:tcBorders>
              <w:top w:val="nil"/>
              <w:left w:val="nil"/>
              <w:bottom w:val="nil"/>
              <w:right w:val="nil"/>
            </w:tcBorders>
            <w:shd w:val="clear" w:color="auto" w:fill="auto"/>
          </w:tcPr>
          <w:p w14:paraId="0EE04678" w14:textId="77777777" w:rsidR="002957D0" w:rsidRPr="002957D0" w:rsidRDefault="002957D0" w:rsidP="002957D0">
            <w:pPr>
              <w:jc w:val="center"/>
              <w:rPr>
                <w:rFonts w:ascii="David" w:hAnsi="David"/>
                <w:b/>
                <w:bCs/>
                <w:sz w:val="28"/>
                <w:szCs w:val="28"/>
                <w:u w:val="single"/>
                <w:rtl/>
              </w:rPr>
            </w:pPr>
            <w:bookmarkStart w:id="5" w:name="PsakDin" w:colFirst="0" w:colLast="0"/>
            <w:bookmarkEnd w:id="0"/>
            <w:bookmarkEnd w:id="1"/>
            <w:r w:rsidRPr="002957D0">
              <w:rPr>
                <w:rFonts w:ascii="David" w:hAnsi="David"/>
                <w:b/>
                <w:bCs/>
                <w:sz w:val="28"/>
                <w:szCs w:val="28"/>
                <w:u w:val="single"/>
                <w:rtl/>
              </w:rPr>
              <w:t>גזר דין</w:t>
            </w:r>
          </w:p>
          <w:p w14:paraId="4CFC2995" w14:textId="77777777" w:rsidR="00FA2916" w:rsidRPr="002957D0" w:rsidRDefault="00FA2916" w:rsidP="002957D0">
            <w:pPr>
              <w:jc w:val="center"/>
              <w:rPr>
                <w:rFonts w:ascii="David" w:hAnsi="David"/>
                <w:b/>
                <w:bCs/>
                <w:sz w:val="28"/>
                <w:szCs w:val="28"/>
                <w:u w:val="single"/>
                <w:rtl/>
              </w:rPr>
            </w:pPr>
          </w:p>
        </w:tc>
      </w:tr>
      <w:bookmarkEnd w:id="5"/>
    </w:tbl>
    <w:p w14:paraId="639ABDBF" w14:textId="77777777" w:rsidR="00FA2916" w:rsidRPr="009444D3" w:rsidRDefault="00FA2916" w:rsidP="00FA2916">
      <w:pPr>
        <w:rPr>
          <w:rFonts w:ascii="David" w:hAnsi="David"/>
          <w:b/>
          <w:bCs/>
          <w:sz w:val="28"/>
          <w:szCs w:val="28"/>
          <w:rtl/>
        </w:rPr>
      </w:pPr>
    </w:p>
    <w:p w14:paraId="426E2ED1" w14:textId="77777777" w:rsidR="00FA2916" w:rsidRPr="009444D3" w:rsidRDefault="00FA2916" w:rsidP="00FA2916">
      <w:pPr>
        <w:spacing w:line="360" w:lineRule="auto"/>
        <w:jc w:val="both"/>
        <w:rPr>
          <w:rFonts w:ascii="David" w:hAnsi="David"/>
          <w:b/>
          <w:bCs/>
          <w:sz w:val="28"/>
          <w:szCs w:val="28"/>
          <w:u w:val="single"/>
          <w:rtl/>
        </w:rPr>
      </w:pPr>
      <w:r w:rsidRPr="009444D3">
        <w:rPr>
          <w:rFonts w:ascii="David" w:hAnsi="David" w:hint="cs"/>
          <w:b/>
          <w:bCs/>
          <w:sz w:val="28"/>
          <w:szCs w:val="28"/>
          <w:u w:val="single"/>
          <w:rtl/>
        </w:rPr>
        <w:t>ההליכים עד כה</w:t>
      </w:r>
    </w:p>
    <w:p w14:paraId="1806D27B" w14:textId="77777777" w:rsidR="00FA2916" w:rsidRDefault="00FA2916" w:rsidP="00FA2916">
      <w:pPr>
        <w:spacing w:line="360" w:lineRule="auto"/>
        <w:jc w:val="both"/>
        <w:rPr>
          <w:rFonts w:ascii="David" w:hAnsi="David"/>
          <w:rtl/>
        </w:rPr>
      </w:pPr>
    </w:p>
    <w:p w14:paraId="58C58842" w14:textId="77777777" w:rsidR="00FA2916" w:rsidRDefault="00FA2916" w:rsidP="00FA2916">
      <w:pPr>
        <w:spacing w:line="360" w:lineRule="auto"/>
        <w:ind w:left="720" w:hanging="720"/>
        <w:jc w:val="both"/>
        <w:rPr>
          <w:rFonts w:ascii="David" w:hAnsi="David"/>
          <w:rtl/>
        </w:rPr>
      </w:pPr>
      <w:r>
        <w:rPr>
          <w:rFonts w:ascii="David" w:hAnsi="David"/>
          <w:rtl/>
        </w:rPr>
        <w:t>1.</w:t>
      </w:r>
      <w:r>
        <w:rPr>
          <w:rFonts w:ascii="David" w:hAnsi="David"/>
          <w:rtl/>
        </w:rPr>
        <w:tab/>
      </w:r>
      <w:bookmarkStart w:id="6" w:name="ABSTRACT_START"/>
      <w:bookmarkEnd w:id="6"/>
      <w:r>
        <w:rPr>
          <w:rFonts w:ascii="David" w:hAnsi="David"/>
          <w:rtl/>
        </w:rPr>
        <w:t xml:space="preserve">כנגד הנאשם הוגש כתב אישום אשר מייחס לו את ביצוען של העבירות הבאות: החזקת נשק ותחמושת לפי </w:t>
      </w:r>
      <w:hyperlink r:id="rId11" w:history="1">
        <w:r w:rsidR="004B4E2C" w:rsidRPr="004B4E2C">
          <w:rPr>
            <w:rStyle w:val="Hyperlink"/>
            <w:rFonts w:ascii="David" w:hAnsi="David"/>
            <w:rtl/>
          </w:rPr>
          <w:t>סעיף 144(א)</w:t>
        </w:r>
      </w:hyperlink>
      <w:r>
        <w:rPr>
          <w:rFonts w:ascii="David" w:hAnsi="David"/>
          <w:rtl/>
        </w:rPr>
        <w:t xml:space="preserve"> ל</w:t>
      </w:r>
      <w:hyperlink r:id="rId12" w:history="1">
        <w:r w:rsidR="002957D0" w:rsidRPr="002957D0">
          <w:rPr>
            <w:rFonts w:ascii="David" w:hAnsi="David"/>
            <w:color w:val="0000FF"/>
            <w:u w:val="single"/>
            <w:rtl/>
          </w:rPr>
          <w:t>חוק העונשין</w:t>
        </w:r>
      </w:hyperlink>
      <w:r>
        <w:rPr>
          <w:rFonts w:ascii="David" w:hAnsi="David"/>
          <w:rtl/>
        </w:rPr>
        <w:t xml:space="preserve">, התשל"ז – 1977 (להלן: </w:t>
      </w:r>
      <w:r>
        <w:rPr>
          <w:rFonts w:ascii="David" w:hAnsi="David"/>
          <w:b/>
          <w:bCs/>
          <w:rtl/>
        </w:rPr>
        <w:t>חוק העונשין</w:t>
      </w:r>
      <w:r>
        <w:rPr>
          <w:rFonts w:ascii="David" w:hAnsi="David"/>
          <w:rtl/>
        </w:rPr>
        <w:t xml:space="preserve">) וכן שיבוש מהלכי משפט לפי </w:t>
      </w:r>
      <w:hyperlink r:id="rId13" w:history="1">
        <w:r w:rsidR="004B4E2C" w:rsidRPr="004B4E2C">
          <w:rPr>
            <w:rStyle w:val="Hyperlink"/>
            <w:rFonts w:ascii="David" w:hAnsi="David"/>
            <w:rtl/>
          </w:rPr>
          <w:t>סעיף 244</w:t>
        </w:r>
      </w:hyperlink>
      <w:r>
        <w:rPr>
          <w:rFonts w:ascii="David" w:hAnsi="David"/>
          <w:rtl/>
        </w:rPr>
        <w:t xml:space="preserve"> לחוק העונשין. </w:t>
      </w:r>
    </w:p>
    <w:p w14:paraId="2D092212" w14:textId="77777777" w:rsidR="00FA2916" w:rsidRDefault="00FA2916" w:rsidP="00FA2916">
      <w:pPr>
        <w:spacing w:line="360" w:lineRule="auto"/>
        <w:jc w:val="both"/>
        <w:rPr>
          <w:rFonts w:ascii="David" w:hAnsi="David"/>
          <w:rtl/>
        </w:rPr>
      </w:pPr>
      <w:bookmarkStart w:id="7" w:name="ABSTRACT_END"/>
      <w:bookmarkEnd w:id="7"/>
    </w:p>
    <w:p w14:paraId="526CDB10" w14:textId="77777777" w:rsidR="00FA2916" w:rsidRDefault="00FA2916" w:rsidP="00FA2916">
      <w:pPr>
        <w:spacing w:line="360" w:lineRule="auto"/>
        <w:ind w:left="720" w:hanging="720"/>
        <w:jc w:val="both"/>
        <w:rPr>
          <w:rFonts w:ascii="David" w:hAnsi="David"/>
          <w:rtl/>
        </w:rPr>
      </w:pPr>
      <w:r>
        <w:rPr>
          <w:rFonts w:ascii="David" w:hAnsi="David"/>
          <w:rtl/>
        </w:rPr>
        <w:t>2.</w:t>
      </w:r>
      <w:r>
        <w:rPr>
          <w:rFonts w:ascii="David" w:hAnsi="David"/>
          <w:rtl/>
        </w:rPr>
        <w:tab/>
        <w:t xml:space="preserve">על פי עובדות כתב האישום, ביום 28.1.2020 בשעה 16:30 לערך, הגיע כוח משטרתי למתחם ביתו של הנאשם בשכונת "דהמש" וזאת במסגרת פעילות שגרתית במקום. באותה העת, שהה הנאשם מחוץ לפתח ביתו כשברשותו אקדח מסוג יריחו, טעון במחסנית ובה 16 כדורים של 9 מ"מ (להלן: </w:t>
      </w:r>
      <w:r>
        <w:rPr>
          <w:rFonts w:ascii="David" w:hAnsi="David"/>
          <w:b/>
          <w:bCs/>
          <w:rtl/>
        </w:rPr>
        <w:t>האקדח</w:t>
      </w:r>
      <w:r>
        <w:rPr>
          <w:rFonts w:ascii="David" w:hAnsi="David"/>
          <w:rtl/>
        </w:rPr>
        <w:t xml:space="preserve">). משהבחין הנאשם בכוח המשטרה מתקרב אליו, התכופף ורץ אל חלקו האחורי של ביתו ושם השליך את האקדח מעבר לחומה הצמודה לביתו. </w:t>
      </w:r>
    </w:p>
    <w:p w14:paraId="351CDC70" w14:textId="77777777" w:rsidR="00FA2916" w:rsidRDefault="00FA2916" w:rsidP="00FA2916">
      <w:pPr>
        <w:spacing w:line="360" w:lineRule="auto"/>
        <w:ind w:left="720" w:hanging="720"/>
        <w:jc w:val="both"/>
        <w:rPr>
          <w:rFonts w:ascii="David" w:hAnsi="David"/>
          <w:rtl/>
        </w:rPr>
      </w:pPr>
    </w:p>
    <w:p w14:paraId="2F41968C" w14:textId="77777777" w:rsidR="00FA2916" w:rsidRDefault="00FA2916" w:rsidP="00FA2916">
      <w:pPr>
        <w:spacing w:line="360" w:lineRule="auto"/>
        <w:ind w:left="720" w:hanging="720"/>
        <w:jc w:val="both"/>
        <w:rPr>
          <w:rFonts w:ascii="David" w:hAnsi="David"/>
          <w:rtl/>
        </w:rPr>
      </w:pPr>
      <w:r>
        <w:rPr>
          <w:rFonts w:ascii="David" w:hAnsi="David" w:hint="cs"/>
          <w:rtl/>
        </w:rPr>
        <w:t xml:space="preserve">3. </w:t>
      </w:r>
      <w:r>
        <w:rPr>
          <w:rFonts w:ascii="David" w:hAnsi="David" w:hint="cs"/>
          <w:rtl/>
        </w:rPr>
        <w:tab/>
        <w:t>הנאשם כפר בעובדות כתב האישום ולאחר שמיעת הראיות קבעתי בהכרעת הדין, בתמצית, כדלקמן: בידי המשטרה היה מידע מודיעיני על קיומו של סכסוך פעיל בין משפחתו של הנאשם לבין משפחה יריבה ועקב כך הנאשם מחזיק נשק להגנתו; הוכח מעל לכל ספק סביר שהנאשם החזיק את האקדח בביתו והשליכו מעבר לחומה כאשר אחד מהשוטרים שנכנסו לביתו רדף אחריו; עם זאת, נקבע שהכניסה של השוטרים למתחם ביתו נעשתה שלא כדין ולכן האקדח שנתפס במהלך אותה כניסה, נפסל כראייה; עקב כך, הנאשם זוכה מהעבירה של החזקת נשק ותחמושת וגם מהעבירה של שיבוש מהלכי משפט.</w:t>
      </w:r>
    </w:p>
    <w:p w14:paraId="023934E2" w14:textId="77777777" w:rsidR="00FA2916" w:rsidRDefault="00FA2916" w:rsidP="00FA2916">
      <w:pPr>
        <w:spacing w:line="360" w:lineRule="auto"/>
        <w:ind w:left="720" w:hanging="720"/>
        <w:jc w:val="both"/>
        <w:rPr>
          <w:rFonts w:ascii="David" w:hAnsi="David"/>
          <w:rtl/>
        </w:rPr>
      </w:pPr>
    </w:p>
    <w:p w14:paraId="67AE622B" w14:textId="77777777" w:rsidR="00FA2916" w:rsidRDefault="00FA2916" w:rsidP="00FA2916">
      <w:pPr>
        <w:spacing w:line="360" w:lineRule="auto"/>
        <w:ind w:left="720" w:hanging="720"/>
        <w:jc w:val="both"/>
        <w:rPr>
          <w:rFonts w:ascii="David" w:hAnsi="David"/>
          <w:rtl/>
        </w:rPr>
      </w:pPr>
      <w:r>
        <w:rPr>
          <w:rFonts w:ascii="David" w:hAnsi="David" w:hint="cs"/>
          <w:rtl/>
        </w:rPr>
        <w:t xml:space="preserve">4. </w:t>
      </w:r>
      <w:r>
        <w:rPr>
          <w:rFonts w:ascii="David" w:hAnsi="David" w:hint="cs"/>
          <w:rtl/>
        </w:rPr>
        <w:tab/>
        <w:t>המאשימה הגישה ערעור לבית המשפט המחוזי במחוז מרכז על הכרעת הדין המזכה והערעור התקבל. עקב כך, הנאשם הורשע בביצוען של שתי העבירות שצוינו לעיל והתיק הוחזר לערכאה זו לטיעונים לעונש (</w:t>
      </w:r>
      <w:hyperlink r:id="rId14" w:history="1">
        <w:r w:rsidR="002957D0" w:rsidRPr="002957D0">
          <w:rPr>
            <w:rFonts w:ascii="David" w:hAnsi="David"/>
            <w:color w:val="0000FF"/>
            <w:u w:val="single"/>
            <w:rtl/>
          </w:rPr>
          <w:t>ע"פ (מחוזי מרכז) 42276-09-20</w:t>
        </w:r>
      </w:hyperlink>
      <w:r>
        <w:rPr>
          <w:rFonts w:ascii="David" w:hAnsi="David" w:hint="cs"/>
          <w:rtl/>
        </w:rPr>
        <w:t xml:space="preserve">, ניתן ביום 4.10.21). </w:t>
      </w:r>
    </w:p>
    <w:p w14:paraId="27F901F0" w14:textId="77777777" w:rsidR="00FA2916" w:rsidRPr="009444D3" w:rsidRDefault="00FA2916" w:rsidP="00FA2916">
      <w:pPr>
        <w:spacing w:line="360" w:lineRule="auto"/>
        <w:ind w:left="720" w:hanging="720"/>
        <w:jc w:val="both"/>
        <w:rPr>
          <w:rFonts w:ascii="David" w:hAnsi="David"/>
          <w:sz w:val="28"/>
          <w:szCs w:val="28"/>
          <w:rtl/>
        </w:rPr>
      </w:pPr>
    </w:p>
    <w:p w14:paraId="16CC1767" w14:textId="77777777" w:rsidR="00FA2916" w:rsidRPr="009444D3" w:rsidRDefault="00FA2916" w:rsidP="00FA2916">
      <w:pPr>
        <w:spacing w:line="360" w:lineRule="auto"/>
        <w:ind w:left="720" w:hanging="720"/>
        <w:jc w:val="both"/>
        <w:rPr>
          <w:rFonts w:ascii="David" w:hAnsi="David"/>
          <w:b/>
          <w:bCs/>
          <w:sz w:val="28"/>
          <w:szCs w:val="28"/>
          <w:u w:val="single"/>
          <w:rtl/>
        </w:rPr>
      </w:pPr>
      <w:r w:rsidRPr="009444D3">
        <w:rPr>
          <w:rFonts w:ascii="David" w:hAnsi="David" w:hint="cs"/>
          <w:b/>
          <w:bCs/>
          <w:sz w:val="28"/>
          <w:szCs w:val="28"/>
          <w:u w:val="single"/>
          <w:rtl/>
        </w:rPr>
        <w:t>טענות הצדדים לעונש</w:t>
      </w:r>
    </w:p>
    <w:p w14:paraId="2EAA7B46" w14:textId="77777777" w:rsidR="00FA2916" w:rsidRDefault="00FA2916" w:rsidP="00FA2916">
      <w:pPr>
        <w:spacing w:line="360" w:lineRule="auto"/>
        <w:ind w:left="720" w:hanging="720"/>
        <w:jc w:val="both"/>
        <w:rPr>
          <w:rFonts w:ascii="David" w:hAnsi="David"/>
          <w:u w:val="single"/>
          <w:rtl/>
        </w:rPr>
      </w:pPr>
    </w:p>
    <w:p w14:paraId="5D47F063" w14:textId="77777777" w:rsidR="00FA2916" w:rsidRDefault="00FA2916" w:rsidP="00FA2916">
      <w:pPr>
        <w:spacing w:line="360" w:lineRule="auto"/>
        <w:ind w:left="720" w:hanging="720"/>
        <w:jc w:val="both"/>
        <w:rPr>
          <w:rFonts w:ascii="David" w:hAnsi="David"/>
          <w:rtl/>
        </w:rPr>
      </w:pPr>
      <w:r w:rsidRPr="00921BEF">
        <w:rPr>
          <w:rFonts w:ascii="David" w:hAnsi="David" w:hint="cs"/>
          <w:rtl/>
        </w:rPr>
        <w:t>5.</w:t>
      </w:r>
      <w:r w:rsidRPr="00921BEF">
        <w:rPr>
          <w:rFonts w:ascii="David" w:hAnsi="David" w:hint="cs"/>
          <w:rtl/>
        </w:rPr>
        <w:tab/>
      </w:r>
      <w:r>
        <w:rPr>
          <w:rFonts w:ascii="David" w:hAnsi="David" w:hint="cs"/>
          <w:rtl/>
        </w:rPr>
        <w:t xml:space="preserve">בא כוח המאשימה הפנה לעבר הפלילי המכביד של הנאשם כפי שהוא עולה מתוך גיליון הרישום הפלילי (ת/32). כמו כן, טען שעבירות של החזקת נשק הפכו ל-"מכת מדינה", ואף מכת "האזור" ומכאן גם הצורך בהחמרה משמעותית בענישה של עבירות מעין אלה. בנוסף, טען שגם אם הכניסה של השוטרים למתחם ביתו של הנאשם הייתה בתחילתה בעייתית בשל העדר קיומו של צו חיפוש כדין, צו השעה בדבר הצורך להחמיר בענישתו של הנאשם, עדיין  עומד על כנו. </w:t>
      </w:r>
    </w:p>
    <w:p w14:paraId="2BDDFC81" w14:textId="77777777" w:rsidR="00FA2916" w:rsidRDefault="00FA2916" w:rsidP="00FA2916">
      <w:pPr>
        <w:spacing w:line="360" w:lineRule="auto"/>
        <w:ind w:left="720" w:hanging="720"/>
        <w:jc w:val="both"/>
        <w:rPr>
          <w:rFonts w:ascii="David" w:hAnsi="David"/>
          <w:rtl/>
        </w:rPr>
      </w:pPr>
    </w:p>
    <w:p w14:paraId="7E2CA1F9" w14:textId="77777777" w:rsidR="00FA2916" w:rsidRDefault="00FA2916" w:rsidP="00FA2916">
      <w:pPr>
        <w:spacing w:line="360" w:lineRule="auto"/>
        <w:ind w:left="720" w:hanging="720"/>
        <w:jc w:val="both"/>
        <w:rPr>
          <w:rFonts w:ascii="David" w:hAnsi="David"/>
          <w:rtl/>
        </w:rPr>
      </w:pPr>
      <w:r>
        <w:rPr>
          <w:rFonts w:ascii="David" w:hAnsi="David" w:hint="cs"/>
          <w:rtl/>
        </w:rPr>
        <w:t>6.</w:t>
      </w:r>
      <w:r>
        <w:rPr>
          <w:rFonts w:ascii="David" w:hAnsi="David" w:hint="cs"/>
          <w:rtl/>
        </w:rPr>
        <w:tab/>
        <w:t xml:space="preserve">לעומת זאת, בא כוח הנאשם טען שהיה חשש ממשי ורציני שהמשפחה היריבה תפגע בחייו של הנאשם או של מי מבני ביתו, ולכן מדובר בנסיבה משמעותית לקולא בהחזקת האקדח ששימש להגנה עצמית. יתר על כן, טען שיש לתת את הדעת לקולא להתנהלות של המשטרה בכניסה חוזרת ונשנית למתחם ביתו של הנאשם, וזאת כפי שפורט בהרחבה בהכרעת הדין המקורית שנתתי ואשר הובילה לזיכויו של הנאשם. </w:t>
      </w:r>
    </w:p>
    <w:p w14:paraId="114EC7BE" w14:textId="77777777" w:rsidR="00FA2916" w:rsidRDefault="00FA2916" w:rsidP="00FA2916">
      <w:pPr>
        <w:spacing w:line="360" w:lineRule="auto"/>
        <w:ind w:left="720" w:hanging="720"/>
        <w:jc w:val="both"/>
        <w:rPr>
          <w:rFonts w:ascii="David" w:hAnsi="David"/>
          <w:rtl/>
        </w:rPr>
      </w:pPr>
    </w:p>
    <w:p w14:paraId="16518849" w14:textId="77777777" w:rsidR="00FA2916" w:rsidRDefault="00FA2916" w:rsidP="00FA2916">
      <w:pPr>
        <w:spacing w:line="360" w:lineRule="auto"/>
        <w:ind w:left="720" w:hanging="720"/>
        <w:jc w:val="both"/>
        <w:rPr>
          <w:rFonts w:ascii="David" w:hAnsi="David"/>
          <w:rtl/>
        </w:rPr>
      </w:pPr>
      <w:r>
        <w:rPr>
          <w:rFonts w:ascii="David" w:hAnsi="David" w:hint="cs"/>
          <w:rtl/>
        </w:rPr>
        <w:lastRenderedPageBreak/>
        <w:t>7.</w:t>
      </w:r>
      <w:r>
        <w:rPr>
          <w:rFonts w:ascii="David" w:hAnsi="David" w:hint="cs"/>
          <w:rtl/>
        </w:rPr>
        <w:tab/>
        <w:t xml:space="preserve">לבסוף, בא כוח הנאשם טען שיש להתחשב לקולא גם ב-"רכבת ההרים" שעבר הנאשם במהלך כל גלגוליו של התיק: החל ממעצרו של הנאשם עד לתום ההליכים המשפטיים כנגדו, שמיעת הראיות בהיותו עצור, זיכויו של הנאשם, שחרורו ממעצר והציפייה שלו שההליכים הסתיימו, ערעור המדינה על הכרעת הדין המזכה, הרשעתו על ידי בית המשפט המחוזי למעלה משנה לאחר שניתן הזיכוי, ולבסוף החזרת התיק לטיעונים לעונש לערכאה זו. לפיכך, ההגנה טענה שיש להסתפק בתקופת מעצרו של הנאשם שנמשכה כשישה וחצי חודשים. </w:t>
      </w:r>
    </w:p>
    <w:p w14:paraId="50E61E34" w14:textId="77777777" w:rsidR="00FA2916" w:rsidRPr="00210BBB" w:rsidRDefault="00FA2916" w:rsidP="00FA2916">
      <w:pPr>
        <w:spacing w:line="360" w:lineRule="auto"/>
        <w:ind w:left="720" w:hanging="720"/>
        <w:jc w:val="both"/>
        <w:rPr>
          <w:rFonts w:ascii="David" w:hAnsi="David"/>
          <w:u w:val="single"/>
          <w:rtl/>
        </w:rPr>
      </w:pPr>
    </w:p>
    <w:p w14:paraId="272187E2" w14:textId="77777777" w:rsidR="00FA2916" w:rsidRPr="00EC4E02" w:rsidRDefault="00FA2916" w:rsidP="00FA2916">
      <w:pPr>
        <w:spacing w:line="360" w:lineRule="auto"/>
        <w:ind w:left="720" w:hanging="720"/>
        <w:jc w:val="both"/>
        <w:rPr>
          <w:rFonts w:ascii="David" w:hAnsi="David"/>
          <w:b/>
          <w:bCs/>
          <w:sz w:val="28"/>
          <w:szCs w:val="28"/>
          <w:u w:val="single"/>
          <w:rtl/>
        </w:rPr>
      </w:pPr>
      <w:r w:rsidRPr="00EC4E02">
        <w:rPr>
          <w:rFonts w:ascii="David" w:hAnsi="David" w:hint="cs"/>
          <w:b/>
          <w:bCs/>
          <w:sz w:val="28"/>
          <w:szCs w:val="28"/>
          <w:u w:val="single"/>
          <w:rtl/>
        </w:rPr>
        <w:t>מתחם העונש ההולם</w:t>
      </w:r>
    </w:p>
    <w:p w14:paraId="4C66BE85" w14:textId="77777777" w:rsidR="00FA2916" w:rsidRDefault="00FA2916" w:rsidP="00FA2916">
      <w:pPr>
        <w:spacing w:line="360" w:lineRule="auto"/>
        <w:ind w:left="720" w:hanging="720"/>
        <w:jc w:val="both"/>
        <w:rPr>
          <w:rFonts w:ascii="David" w:hAnsi="David"/>
          <w:u w:val="single"/>
          <w:rtl/>
        </w:rPr>
      </w:pPr>
    </w:p>
    <w:p w14:paraId="1CA7D0DB" w14:textId="77777777" w:rsidR="00FA2916" w:rsidRDefault="00FA2916" w:rsidP="00FA2916">
      <w:pPr>
        <w:spacing w:line="360" w:lineRule="auto"/>
        <w:ind w:left="720" w:hanging="720"/>
        <w:jc w:val="both"/>
        <w:rPr>
          <w:rFonts w:ascii="David" w:hAnsi="David"/>
          <w:rtl/>
        </w:rPr>
      </w:pPr>
      <w:r>
        <w:rPr>
          <w:rFonts w:ascii="David" w:hAnsi="David" w:hint="cs"/>
          <w:rtl/>
        </w:rPr>
        <w:t>8.</w:t>
      </w:r>
      <w:r>
        <w:rPr>
          <w:rFonts w:ascii="David" w:hAnsi="David" w:hint="cs"/>
          <w:rtl/>
        </w:rPr>
        <w:tab/>
        <w:t xml:space="preserve">לגבי הטענה של הנאשם שהאקדח הוחזק "להגנה עצמית" במסגרת סכסוך פעיל עם משפחה יריבה, ולכן מדובר בנסיבה לקולא שמצדיקה הקלה משמעותית בעונש, או לחילופין הפחתה בגבולות מתחם העונש ההולם, טענה זו דינה להידחות. טענה </w:t>
      </w:r>
      <w:r w:rsidRPr="00083CB2">
        <w:rPr>
          <w:rFonts w:ascii="David" w:hAnsi="David" w:hint="cs"/>
          <w:rtl/>
        </w:rPr>
        <w:t>דומה הועלתה ב-ע"פ</w:t>
      </w:r>
      <w:r>
        <w:rPr>
          <w:rFonts w:ascii="David" w:hAnsi="David" w:hint="cs"/>
          <w:rtl/>
        </w:rPr>
        <w:t xml:space="preserve"> </w:t>
      </w:r>
      <w:hyperlink r:id="rId15" w:history="1">
        <w:r w:rsidR="00CD5F20" w:rsidRPr="00CD5F20">
          <w:rPr>
            <w:rStyle w:val="Hyperlink"/>
            <w:rFonts w:ascii="David" w:hAnsi="David"/>
            <w:rtl/>
          </w:rPr>
          <w:t xml:space="preserve">5645/15 </w:t>
        </w:r>
      </w:hyperlink>
      <w:r>
        <w:rPr>
          <w:rFonts w:ascii="David" w:hAnsi="David" w:hint="cs"/>
          <w:rtl/>
        </w:rPr>
        <w:t xml:space="preserve"> </w:t>
      </w:r>
      <w:r w:rsidRPr="00083CB2">
        <w:rPr>
          <w:rFonts w:ascii="David" w:hAnsi="David" w:hint="cs"/>
          <w:b/>
          <w:bCs/>
          <w:rtl/>
        </w:rPr>
        <w:t>תיהאווי נ' מדינת ישראל</w:t>
      </w:r>
      <w:r>
        <w:rPr>
          <w:rFonts w:ascii="David" w:hAnsi="David" w:hint="cs"/>
          <w:rtl/>
        </w:rPr>
        <w:t xml:space="preserve"> (פורסם בנבו, 14.2.16). באותו עניין, היה מדובר בעבירה של החזקת נשק שלא כדין והושתו על המערער 15 חודשי מאסר בפועל, וזאת על אף העובדה שהיה מדובר בבחור צעיר שניהל אורח חיים נורמטיבי וההחזקה הייתה על רקע של תחושת מאוימות בשל סכסוך פעיל למול משפחה יריבה. בפסקה 7 לפסק הדין שניתן פה אחד על ידי הרכב תלתא, כבוד השופט מזוז קבע כדלקמן: </w:t>
      </w:r>
    </w:p>
    <w:p w14:paraId="6D04218C" w14:textId="77777777" w:rsidR="00FA2916" w:rsidRDefault="00FA2916" w:rsidP="00FA2916">
      <w:pPr>
        <w:spacing w:line="360" w:lineRule="auto"/>
        <w:ind w:left="720" w:hanging="720"/>
        <w:jc w:val="both"/>
        <w:rPr>
          <w:rFonts w:ascii="David" w:hAnsi="David"/>
          <w:rtl/>
        </w:rPr>
      </w:pPr>
    </w:p>
    <w:p w14:paraId="5287D658" w14:textId="77777777" w:rsidR="00FA2916" w:rsidRDefault="00FA2916" w:rsidP="00FA2916">
      <w:pPr>
        <w:spacing w:line="360" w:lineRule="auto"/>
        <w:ind w:left="2880"/>
        <w:jc w:val="both"/>
        <w:rPr>
          <w:rFonts w:ascii="David" w:hAnsi="David"/>
          <w:rtl/>
        </w:rPr>
      </w:pPr>
      <w:r>
        <w:rPr>
          <w:rFonts w:ascii="David" w:hAnsi="David" w:hint="cs"/>
          <w:rtl/>
        </w:rPr>
        <w:t xml:space="preserve">"נוכח האמור לעיל, אין בידי לקבל את הטענה לפיה העונש שהוטל על המערער חמור מהמקובל. </w:t>
      </w:r>
      <w:r w:rsidRPr="00E201D5">
        <w:rPr>
          <w:rFonts w:ascii="David" w:hAnsi="David" w:hint="cs"/>
          <w:u w:val="single"/>
          <w:rtl/>
        </w:rPr>
        <w:t>המערער הודה בהחזקת נשק הטעון במחסנית על רקע סכסוך משפחות</w:t>
      </w:r>
      <w:r>
        <w:rPr>
          <w:rFonts w:ascii="David" w:hAnsi="David" w:hint="cs"/>
          <w:rtl/>
        </w:rPr>
        <w:t xml:space="preserve">. הסכסוך הגלום בהחזקת נשק בנסיבות אלה, גלוי לעין. הוא עלול להוביל לפגיעה בגוף ובנפש. </w:t>
      </w:r>
      <w:r w:rsidRPr="00083CB2">
        <w:rPr>
          <w:rFonts w:ascii="David" w:hAnsi="David" w:hint="cs"/>
          <w:u w:val="single"/>
          <w:rtl/>
        </w:rPr>
        <w:t>העובדה שמטרת החזקת הנשק היתה, לטענת המערער, לשם הגנה עצמית, אין בה כדי להפחית מהחומרה</w:t>
      </w:r>
      <w:r>
        <w:rPr>
          <w:rFonts w:ascii="David" w:hAnsi="David" w:hint="cs"/>
          <w:rtl/>
        </w:rPr>
        <w:t>; אדרבא, מדובר במצב העלול להתדרדר להסלמה אלימה ולירי ופגיעה הן במעורבים בסכסוך והן בעוברי אורח בלתי מעורבים."</w:t>
      </w:r>
    </w:p>
    <w:p w14:paraId="4036C9C2" w14:textId="77777777" w:rsidR="00FA2916" w:rsidRDefault="00FA2916" w:rsidP="00FA2916">
      <w:pPr>
        <w:spacing w:line="360" w:lineRule="auto"/>
        <w:ind w:left="720"/>
        <w:jc w:val="both"/>
        <w:rPr>
          <w:rFonts w:ascii="David" w:hAnsi="David"/>
          <w:rtl/>
        </w:rPr>
      </w:pPr>
    </w:p>
    <w:p w14:paraId="10E6DE83" w14:textId="77777777" w:rsidR="00FA2916" w:rsidRDefault="00FA2916" w:rsidP="00FA2916">
      <w:pPr>
        <w:spacing w:line="360" w:lineRule="auto"/>
        <w:ind w:left="2880"/>
        <w:jc w:val="both"/>
        <w:rPr>
          <w:rFonts w:ascii="Arial" w:hAnsi="Arial"/>
        </w:rPr>
      </w:pPr>
      <w:r>
        <w:rPr>
          <w:rFonts w:ascii="Arial" w:hAnsi="Arial"/>
          <w:rtl/>
        </w:rPr>
        <w:t>(ההדגשות שלי – ה'א'ש')</w:t>
      </w:r>
    </w:p>
    <w:p w14:paraId="03F30290" w14:textId="77777777" w:rsidR="00FA2916" w:rsidRPr="00210BBB" w:rsidRDefault="00FA2916" w:rsidP="00FA2916">
      <w:pPr>
        <w:spacing w:line="360" w:lineRule="auto"/>
        <w:ind w:left="720" w:hanging="720"/>
        <w:jc w:val="both"/>
        <w:rPr>
          <w:rFonts w:ascii="David" w:hAnsi="David"/>
          <w:u w:val="single"/>
          <w:rtl/>
        </w:rPr>
      </w:pPr>
    </w:p>
    <w:p w14:paraId="1CB5FFEB" w14:textId="77777777" w:rsidR="00FA2916" w:rsidRDefault="00FA2916" w:rsidP="00FA2916">
      <w:pPr>
        <w:spacing w:line="360" w:lineRule="auto"/>
        <w:ind w:left="720" w:hanging="720"/>
        <w:jc w:val="both"/>
        <w:rPr>
          <w:rFonts w:ascii="David" w:hAnsi="David"/>
          <w:rtl/>
        </w:rPr>
      </w:pPr>
      <w:r>
        <w:rPr>
          <w:rFonts w:ascii="David" w:hAnsi="David" w:hint="cs"/>
          <w:rtl/>
        </w:rPr>
        <w:t>9.</w:t>
      </w:r>
      <w:r>
        <w:rPr>
          <w:rFonts w:ascii="David" w:hAnsi="David" w:hint="cs"/>
          <w:rtl/>
        </w:rPr>
        <w:tab/>
        <w:t xml:space="preserve">ב- </w:t>
      </w:r>
      <w:hyperlink r:id="rId16" w:history="1">
        <w:r w:rsidR="002957D0" w:rsidRPr="002957D0">
          <w:rPr>
            <w:rFonts w:ascii="David" w:hAnsi="David"/>
            <w:color w:val="0000FF"/>
            <w:u w:val="single"/>
            <w:rtl/>
          </w:rPr>
          <w:t>ע"פ 4945/13</w:t>
        </w:r>
      </w:hyperlink>
      <w:r>
        <w:rPr>
          <w:rFonts w:ascii="David" w:hAnsi="David" w:hint="cs"/>
          <w:rtl/>
        </w:rPr>
        <w:t xml:space="preserve"> </w:t>
      </w:r>
      <w:r w:rsidRPr="00CD0325">
        <w:rPr>
          <w:rFonts w:ascii="David" w:hAnsi="David" w:hint="cs"/>
          <w:b/>
          <w:bCs/>
          <w:rtl/>
        </w:rPr>
        <w:t>מדינת ישראל נ</w:t>
      </w:r>
      <w:r w:rsidRPr="00CD0325">
        <w:rPr>
          <w:rFonts w:ascii="David" w:hAnsi="David"/>
          <w:b/>
          <w:bCs/>
        </w:rPr>
        <w:t>'</w:t>
      </w:r>
      <w:r w:rsidRPr="00CD0325">
        <w:rPr>
          <w:rFonts w:ascii="David" w:hAnsi="David" w:hint="cs"/>
          <w:b/>
          <w:bCs/>
          <w:rtl/>
        </w:rPr>
        <w:t xml:space="preserve"> סלימאן</w:t>
      </w:r>
      <w:r>
        <w:rPr>
          <w:rFonts w:ascii="David" w:hAnsi="David" w:hint="cs"/>
          <w:rtl/>
        </w:rPr>
        <w:t xml:space="preserve"> (פורסם בנבו, 9.1.14) להלן: (עניין: </w:t>
      </w:r>
      <w:r w:rsidRPr="00CD0325">
        <w:rPr>
          <w:rFonts w:ascii="David" w:hAnsi="David" w:hint="cs"/>
          <w:b/>
          <w:bCs/>
          <w:rtl/>
        </w:rPr>
        <w:t>סלימאן</w:t>
      </w:r>
      <w:r>
        <w:rPr>
          <w:rFonts w:ascii="David" w:hAnsi="David" w:hint="cs"/>
          <w:rtl/>
        </w:rPr>
        <w:t xml:space="preserve">) כבוד השופטת ארבל עמדה בהרחבה על הערכים החברתיים המוגנים בעבירה של החזקת נשק. כאן היה מדובר בהחזקת נשק על ידי בחור צעיר בן 20 שנים, נעדר עבר פלילי, ניהל אורח חיים נורמטיבי ולמד אדריכלות. הנשק הוחזק על רקע איומים שקיבל לפגיעה ישירה בו. המניע של המשיב להחזקת הנשק היה פחד ממשי לפגיעה בו ולא מניע עברייני של נקמה.  </w:t>
      </w:r>
    </w:p>
    <w:p w14:paraId="0D27974B" w14:textId="77777777" w:rsidR="00FA2916" w:rsidRDefault="00FA2916" w:rsidP="00FA2916">
      <w:pPr>
        <w:spacing w:line="360" w:lineRule="auto"/>
        <w:ind w:left="720"/>
        <w:jc w:val="both"/>
        <w:rPr>
          <w:rFonts w:ascii="David" w:hAnsi="David"/>
          <w:rtl/>
        </w:rPr>
      </w:pPr>
    </w:p>
    <w:p w14:paraId="42E3BF35" w14:textId="77777777" w:rsidR="00FA2916" w:rsidRDefault="00FA2916" w:rsidP="00FA2916">
      <w:pPr>
        <w:spacing w:line="360" w:lineRule="auto"/>
        <w:ind w:left="720" w:hanging="720"/>
        <w:jc w:val="both"/>
        <w:rPr>
          <w:rFonts w:ascii="David" w:hAnsi="David"/>
          <w:rtl/>
        </w:rPr>
      </w:pPr>
      <w:r>
        <w:rPr>
          <w:rFonts w:ascii="David" w:hAnsi="David" w:hint="cs"/>
          <w:rtl/>
        </w:rPr>
        <w:t>10.</w:t>
      </w:r>
      <w:r>
        <w:rPr>
          <w:rFonts w:ascii="David" w:hAnsi="David" w:hint="cs"/>
          <w:rtl/>
        </w:rPr>
        <w:tab/>
        <w:t xml:space="preserve">בעניין </w:t>
      </w:r>
      <w:r w:rsidRPr="00A56ABA">
        <w:rPr>
          <w:rFonts w:ascii="David" w:hAnsi="David" w:hint="cs"/>
          <w:b/>
          <w:bCs/>
          <w:rtl/>
        </w:rPr>
        <w:t xml:space="preserve">סלימאן </w:t>
      </w:r>
      <w:r>
        <w:rPr>
          <w:rFonts w:ascii="David" w:hAnsi="David" w:hint="cs"/>
          <w:rtl/>
        </w:rPr>
        <w:t xml:space="preserve">נקבע </w:t>
      </w:r>
      <w:r w:rsidRPr="00964B63">
        <w:rPr>
          <w:rFonts w:ascii="David" w:hAnsi="David" w:hint="cs"/>
          <w:u w:val="single"/>
          <w:rtl/>
        </w:rPr>
        <w:t>שהערכים החברתיים המוגנים</w:t>
      </w:r>
      <w:r>
        <w:rPr>
          <w:rFonts w:ascii="David" w:hAnsi="David" w:hint="cs"/>
          <w:rtl/>
        </w:rPr>
        <w:t xml:space="preserve"> הם כדלקמן (פסקה 11 לפסק הדין): קיים פוטנציאל סיכון הרסני לפגיעה בשלום הציבור וביטחונו מהעבירה של החזקת נשק שלא כדין; קיים חשש לפעילות עבריינית שעלולה להביא לקיפוח חייהם של אזרחים תמימים; קיים חשש שהמחזיק בנשק שלא כדין יתפתה לעשות בו שימוש גם  ברגעי לחץ ופחד; בנוסף, העבירה של החזקת נשק יש בה יסוד של נטילת החוק לידיי</w:t>
      </w:r>
      <w:r>
        <w:rPr>
          <w:rFonts w:ascii="David" w:hAnsi="David" w:hint="eastAsia"/>
          <w:rtl/>
        </w:rPr>
        <w:t>ם</w:t>
      </w:r>
      <w:r>
        <w:rPr>
          <w:rFonts w:ascii="David" w:hAnsi="David" w:hint="cs"/>
          <w:rtl/>
        </w:rPr>
        <w:t xml:space="preserve"> במקום להותיר את דבר האיומים על חייו של הנאשם לטיפול הגורם המוסמך לכך והוא משטרת ישראל; נשיאת נשק שלא כדין במסגרת סכסוך פעיל למול גורם עברייני, יש בה פגיעה בסדר החברתי וזאת מעבר לעצם יצירת הסיכון לשלום הציבור.</w:t>
      </w:r>
    </w:p>
    <w:p w14:paraId="362B3F7A" w14:textId="77777777" w:rsidR="00FA2916" w:rsidRDefault="00FA2916" w:rsidP="00FA2916">
      <w:pPr>
        <w:spacing w:line="360" w:lineRule="auto"/>
        <w:ind w:left="720"/>
        <w:jc w:val="both"/>
        <w:rPr>
          <w:rFonts w:ascii="David" w:hAnsi="David"/>
          <w:rtl/>
        </w:rPr>
      </w:pPr>
    </w:p>
    <w:p w14:paraId="342F0263" w14:textId="77777777" w:rsidR="00FA2916" w:rsidRDefault="00FA2916" w:rsidP="00FA2916">
      <w:pPr>
        <w:spacing w:line="360" w:lineRule="auto"/>
        <w:ind w:left="720" w:hanging="720"/>
        <w:jc w:val="both"/>
        <w:rPr>
          <w:rFonts w:ascii="David" w:hAnsi="David"/>
          <w:rtl/>
        </w:rPr>
      </w:pPr>
      <w:r>
        <w:rPr>
          <w:rFonts w:ascii="David" w:hAnsi="David" w:hint="cs"/>
          <w:rtl/>
        </w:rPr>
        <w:t>11.</w:t>
      </w:r>
      <w:r>
        <w:rPr>
          <w:rFonts w:ascii="David" w:hAnsi="David" w:hint="cs"/>
          <w:rtl/>
        </w:rPr>
        <w:tab/>
        <w:t xml:space="preserve">כמו כן, בעניין </w:t>
      </w:r>
      <w:r w:rsidRPr="00BE655C">
        <w:rPr>
          <w:rFonts w:ascii="David" w:hAnsi="David" w:hint="cs"/>
          <w:b/>
          <w:bCs/>
          <w:rtl/>
        </w:rPr>
        <w:t>סלימאן</w:t>
      </w:r>
      <w:r>
        <w:rPr>
          <w:rFonts w:ascii="David" w:hAnsi="David" w:hint="cs"/>
          <w:rtl/>
        </w:rPr>
        <w:t xml:space="preserve"> נקבע שקיימת </w:t>
      </w:r>
      <w:r w:rsidRPr="00964B63">
        <w:rPr>
          <w:rFonts w:ascii="David" w:hAnsi="David" w:hint="cs"/>
          <w:u w:val="single"/>
          <w:rtl/>
        </w:rPr>
        <w:t>מגמת החמרה</w:t>
      </w:r>
      <w:r>
        <w:rPr>
          <w:rFonts w:ascii="David" w:hAnsi="David" w:hint="cs"/>
          <w:rtl/>
        </w:rPr>
        <w:t xml:space="preserve"> בפסיקה בעונשי המאסר שיש לגזור על נאשמים המחזיקים נשק שלא כדין (פסקה 14 לפסק הדין). </w:t>
      </w:r>
    </w:p>
    <w:p w14:paraId="0A7B6C5B" w14:textId="77777777" w:rsidR="00FA2916" w:rsidRDefault="00FA2916" w:rsidP="00FA2916">
      <w:pPr>
        <w:spacing w:line="360" w:lineRule="auto"/>
        <w:ind w:left="720"/>
        <w:jc w:val="both"/>
        <w:rPr>
          <w:rFonts w:ascii="David" w:hAnsi="David"/>
          <w:rtl/>
        </w:rPr>
      </w:pPr>
    </w:p>
    <w:p w14:paraId="3BF8911C" w14:textId="77777777" w:rsidR="00FA2916" w:rsidRDefault="00FA2916" w:rsidP="00FA2916">
      <w:pPr>
        <w:spacing w:line="360" w:lineRule="auto"/>
        <w:ind w:left="720" w:hanging="720"/>
        <w:jc w:val="both"/>
        <w:rPr>
          <w:rFonts w:ascii="David" w:hAnsi="David"/>
          <w:rtl/>
        </w:rPr>
      </w:pPr>
      <w:r>
        <w:rPr>
          <w:rFonts w:ascii="David" w:hAnsi="David" w:hint="cs"/>
          <w:rtl/>
        </w:rPr>
        <w:t>12.</w:t>
      </w:r>
      <w:r>
        <w:rPr>
          <w:rFonts w:ascii="David" w:hAnsi="David" w:hint="cs"/>
          <w:rtl/>
        </w:rPr>
        <w:tab/>
        <w:t xml:space="preserve">בפסיקה מאוחרת יותר אף נקבע שהעבירה של החזקת נשק היא בגדר </w:t>
      </w:r>
      <w:r w:rsidRPr="00964B63">
        <w:rPr>
          <w:rFonts w:ascii="David" w:hAnsi="David" w:hint="cs"/>
          <w:u w:val="single"/>
          <w:rtl/>
        </w:rPr>
        <w:t>מכת מדינה</w:t>
      </w:r>
      <w:r>
        <w:rPr>
          <w:rFonts w:ascii="David" w:hAnsi="David" w:hint="cs"/>
          <w:rtl/>
        </w:rPr>
        <w:t xml:space="preserve"> ומכאן גם החובה להחמיר בענישה על ידי השתת מאסרים בפועל מאחורי סורג ובריח (</w:t>
      </w:r>
      <w:hyperlink r:id="rId17" w:history="1">
        <w:r w:rsidR="002957D0" w:rsidRPr="002957D0">
          <w:rPr>
            <w:rFonts w:ascii="David" w:hAnsi="David"/>
            <w:color w:val="0000FF"/>
            <w:u w:val="single"/>
            <w:rtl/>
          </w:rPr>
          <w:t>ע"פ 5765/20</w:t>
        </w:r>
      </w:hyperlink>
      <w:r>
        <w:rPr>
          <w:rFonts w:ascii="David" w:hAnsi="David" w:hint="cs"/>
          <w:rtl/>
        </w:rPr>
        <w:t xml:space="preserve"> </w:t>
      </w:r>
      <w:r w:rsidRPr="00BE655C">
        <w:rPr>
          <w:rFonts w:ascii="David" w:hAnsi="David" w:hint="cs"/>
          <w:b/>
          <w:bCs/>
          <w:rtl/>
        </w:rPr>
        <w:t>אבו בכר נ</w:t>
      </w:r>
      <w:r w:rsidRPr="00BE655C">
        <w:rPr>
          <w:rFonts w:ascii="David" w:hAnsi="David"/>
          <w:b/>
          <w:bCs/>
        </w:rPr>
        <w:t>'</w:t>
      </w:r>
      <w:r w:rsidRPr="00BE655C">
        <w:rPr>
          <w:rFonts w:ascii="David" w:hAnsi="David" w:hint="cs"/>
          <w:b/>
          <w:bCs/>
          <w:rtl/>
        </w:rPr>
        <w:t xml:space="preserve"> מדינת ישראל</w:t>
      </w:r>
      <w:r>
        <w:rPr>
          <w:rFonts w:ascii="David" w:hAnsi="David" w:hint="cs"/>
          <w:rtl/>
        </w:rPr>
        <w:t xml:space="preserve"> (פורסם בנבו, 22.3.21) פסקה 3); </w:t>
      </w:r>
      <w:hyperlink r:id="rId18" w:history="1">
        <w:r w:rsidR="002957D0" w:rsidRPr="002957D0">
          <w:rPr>
            <w:rFonts w:ascii="David" w:hAnsi="David"/>
            <w:color w:val="0000FF"/>
            <w:u w:val="single"/>
            <w:rtl/>
          </w:rPr>
          <w:t>ע"פ 2141/21</w:t>
        </w:r>
      </w:hyperlink>
      <w:r>
        <w:rPr>
          <w:rFonts w:ascii="David" w:hAnsi="David" w:hint="cs"/>
          <w:rtl/>
        </w:rPr>
        <w:t xml:space="preserve"> </w:t>
      </w:r>
      <w:r w:rsidRPr="00BE655C">
        <w:rPr>
          <w:rFonts w:ascii="David" w:hAnsi="David" w:hint="cs"/>
          <w:b/>
          <w:bCs/>
          <w:rtl/>
        </w:rPr>
        <w:t>חניני נ</w:t>
      </w:r>
      <w:r w:rsidRPr="00BE655C">
        <w:rPr>
          <w:rFonts w:ascii="David" w:hAnsi="David"/>
          <w:b/>
          <w:bCs/>
        </w:rPr>
        <w:t>'</w:t>
      </w:r>
      <w:r w:rsidRPr="00BE655C">
        <w:rPr>
          <w:rFonts w:ascii="David" w:hAnsi="David" w:hint="cs"/>
          <w:b/>
          <w:bCs/>
          <w:rtl/>
        </w:rPr>
        <w:t xml:space="preserve"> מדינת ישראל</w:t>
      </w:r>
      <w:r>
        <w:rPr>
          <w:rFonts w:ascii="David" w:hAnsi="David" w:hint="cs"/>
          <w:rtl/>
        </w:rPr>
        <w:t xml:space="preserve"> (פורסם בנבו, 27.5.21) פסקה 2). </w:t>
      </w:r>
    </w:p>
    <w:p w14:paraId="49E3C5E6" w14:textId="77777777" w:rsidR="00FA2916" w:rsidRDefault="00FA2916" w:rsidP="00FA2916">
      <w:pPr>
        <w:spacing w:line="360" w:lineRule="auto"/>
        <w:ind w:left="720"/>
        <w:jc w:val="both"/>
        <w:rPr>
          <w:rFonts w:ascii="David" w:hAnsi="David"/>
          <w:rtl/>
        </w:rPr>
      </w:pPr>
    </w:p>
    <w:p w14:paraId="422BE385" w14:textId="77777777" w:rsidR="00FA2916" w:rsidRDefault="00FA2916" w:rsidP="00FA2916">
      <w:pPr>
        <w:spacing w:line="360" w:lineRule="auto"/>
        <w:ind w:left="720" w:hanging="720"/>
        <w:jc w:val="both"/>
        <w:rPr>
          <w:rFonts w:ascii="David" w:hAnsi="David"/>
          <w:rtl/>
        </w:rPr>
      </w:pPr>
      <w:r>
        <w:rPr>
          <w:rFonts w:ascii="David" w:hAnsi="David" w:hint="cs"/>
          <w:rtl/>
        </w:rPr>
        <w:t>13.</w:t>
      </w:r>
      <w:r>
        <w:rPr>
          <w:rFonts w:ascii="David" w:hAnsi="David" w:hint="cs"/>
          <w:rtl/>
        </w:rPr>
        <w:tab/>
        <w:t>ב-</w:t>
      </w:r>
      <w:hyperlink r:id="rId19" w:history="1">
        <w:r w:rsidR="002957D0" w:rsidRPr="002957D0">
          <w:rPr>
            <w:rFonts w:ascii="David" w:hAnsi="David"/>
            <w:color w:val="0000FF"/>
            <w:u w:val="single"/>
            <w:rtl/>
          </w:rPr>
          <w:t>ע"פ 2892/13</w:t>
        </w:r>
      </w:hyperlink>
      <w:r>
        <w:rPr>
          <w:rFonts w:ascii="David" w:hAnsi="David" w:hint="cs"/>
          <w:rtl/>
        </w:rPr>
        <w:t xml:space="preserve"> </w:t>
      </w:r>
      <w:r w:rsidRPr="000456B2">
        <w:rPr>
          <w:rFonts w:ascii="David" w:hAnsi="David" w:hint="cs"/>
          <w:b/>
          <w:bCs/>
          <w:rtl/>
        </w:rPr>
        <w:t>עודתאללה נ</w:t>
      </w:r>
      <w:r w:rsidRPr="000456B2">
        <w:rPr>
          <w:rFonts w:ascii="David" w:hAnsi="David"/>
          <w:b/>
          <w:bCs/>
        </w:rPr>
        <w:t>'</w:t>
      </w:r>
      <w:r w:rsidRPr="000456B2">
        <w:rPr>
          <w:rFonts w:ascii="David" w:hAnsi="David" w:hint="cs"/>
          <w:b/>
          <w:bCs/>
          <w:rtl/>
        </w:rPr>
        <w:t xml:space="preserve"> מדינת ישראל</w:t>
      </w:r>
      <w:r>
        <w:rPr>
          <w:rFonts w:ascii="David" w:hAnsi="David" w:hint="cs"/>
          <w:rtl/>
        </w:rPr>
        <w:t xml:space="preserve"> (פורסם בנבו, 29.9.13), בית המשפט המחוזי בנצרת קבע שמתחם העונש ההולם בעבירה של החזקת אקדח, נע בין 12 עד 36 חודשי מאסר בפועל. במסגרת הערעור שהוגש, בית המשפט העליון קבע שאין מקום להתערב במתחם שנקבע (ראו פסקאות 6 ו-11 לפסק הדין). </w:t>
      </w:r>
    </w:p>
    <w:p w14:paraId="28C42C6D" w14:textId="77777777" w:rsidR="00FA2916" w:rsidRDefault="00FA2916" w:rsidP="00FA2916">
      <w:pPr>
        <w:spacing w:line="360" w:lineRule="auto"/>
        <w:ind w:left="720"/>
        <w:jc w:val="both"/>
        <w:rPr>
          <w:rFonts w:ascii="David" w:hAnsi="David"/>
          <w:rtl/>
        </w:rPr>
      </w:pPr>
    </w:p>
    <w:p w14:paraId="08E9138A" w14:textId="77777777" w:rsidR="00FA2916" w:rsidRDefault="00FA2916" w:rsidP="00FA2916">
      <w:pPr>
        <w:spacing w:line="360" w:lineRule="auto"/>
        <w:ind w:left="720" w:hanging="720"/>
        <w:jc w:val="both"/>
        <w:rPr>
          <w:rFonts w:ascii="David" w:hAnsi="David"/>
          <w:rtl/>
        </w:rPr>
      </w:pPr>
      <w:r>
        <w:rPr>
          <w:rFonts w:ascii="David" w:hAnsi="David" w:hint="cs"/>
          <w:rtl/>
        </w:rPr>
        <w:t>14.</w:t>
      </w:r>
      <w:r>
        <w:rPr>
          <w:rFonts w:ascii="David" w:hAnsi="David" w:hint="cs"/>
          <w:rtl/>
        </w:rPr>
        <w:tab/>
        <w:t xml:space="preserve">לדוגמאות מהפסיקה שהושתו 12 חודשי מאסר בפועל בגין ביצוע עבירה של החזקת נשק שלא כדין גם כאשר היה מדובר בנאשמים נעדרי עבר פלילי, או בעלי עבר פלילי ישן ורחוק בזמן, בעלי משפחות ומתפרנסים למחייתם מעבודה נורמטיבית, ראו למשל: </w:t>
      </w:r>
      <w:hyperlink r:id="rId20" w:history="1">
        <w:r w:rsidR="002957D0" w:rsidRPr="002957D0">
          <w:rPr>
            <w:rFonts w:ascii="David" w:hAnsi="David"/>
            <w:color w:val="0000FF"/>
            <w:u w:val="single"/>
            <w:rtl/>
          </w:rPr>
          <w:t>רע"פ 6265/20</w:t>
        </w:r>
      </w:hyperlink>
      <w:r>
        <w:rPr>
          <w:rFonts w:ascii="David" w:hAnsi="David" w:hint="cs"/>
          <w:rtl/>
        </w:rPr>
        <w:t xml:space="preserve"> </w:t>
      </w:r>
      <w:r w:rsidRPr="000456B2">
        <w:rPr>
          <w:rFonts w:ascii="David" w:hAnsi="David" w:hint="cs"/>
          <w:b/>
          <w:bCs/>
          <w:rtl/>
        </w:rPr>
        <w:t>אבו אלקיעאן נ' מדינת ישראל</w:t>
      </w:r>
      <w:r>
        <w:rPr>
          <w:rFonts w:ascii="David" w:hAnsi="David" w:hint="cs"/>
          <w:rtl/>
        </w:rPr>
        <w:t xml:space="preserve"> (פורסם בנבו, 15.9.20); </w:t>
      </w:r>
      <w:hyperlink r:id="rId21" w:history="1">
        <w:r w:rsidR="002957D0" w:rsidRPr="002957D0">
          <w:rPr>
            <w:rFonts w:ascii="David" w:hAnsi="David"/>
            <w:color w:val="0000FF"/>
            <w:u w:val="single"/>
            <w:rtl/>
          </w:rPr>
          <w:t>ע"פ 545/20</w:t>
        </w:r>
      </w:hyperlink>
      <w:r>
        <w:rPr>
          <w:rFonts w:ascii="David" w:hAnsi="David" w:hint="cs"/>
          <w:rtl/>
        </w:rPr>
        <w:t xml:space="preserve"> </w:t>
      </w:r>
      <w:r w:rsidRPr="000456B2">
        <w:rPr>
          <w:rFonts w:ascii="David" w:hAnsi="David" w:hint="cs"/>
          <w:b/>
          <w:bCs/>
          <w:rtl/>
        </w:rPr>
        <w:t>פלוני נ' מדינת ישראל</w:t>
      </w:r>
      <w:r>
        <w:rPr>
          <w:rFonts w:ascii="David" w:hAnsi="David" w:hint="cs"/>
          <w:rtl/>
        </w:rPr>
        <w:t xml:space="preserve"> (פורסם בנבו, 3.5.21); </w:t>
      </w:r>
      <w:hyperlink r:id="rId22" w:history="1">
        <w:r w:rsidR="002957D0" w:rsidRPr="002957D0">
          <w:rPr>
            <w:rFonts w:ascii="David" w:hAnsi="David"/>
            <w:color w:val="0000FF"/>
            <w:u w:val="single"/>
            <w:rtl/>
          </w:rPr>
          <w:t>רע"פ 5613/20</w:t>
        </w:r>
      </w:hyperlink>
      <w:r>
        <w:rPr>
          <w:rFonts w:ascii="David" w:hAnsi="David" w:hint="cs"/>
          <w:rtl/>
        </w:rPr>
        <w:t xml:space="preserve"> </w:t>
      </w:r>
      <w:r w:rsidRPr="003A2FE9">
        <w:rPr>
          <w:rFonts w:ascii="David" w:hAnsi="David" w:hint="cs"/>
          <w:b/>
          <w:bCs/>
          <w:rtl/>
        </w:rPr>
        <w:t>אלהוזייל נ' מדינת ישראל</w:t>
      </w:r>
      <w:r>
        <w:rPr>
          <w:rFonts w:ascii="David" w:hAnsi="David" w:hint="cs"/>
          <w:rtl/>
        </w:rPr>
        <w:t xml:space="preserve"> (פורסם בנבו, 25.8.20)). </w:t>
      </w:r>
    </w:p>
    <w:p w14:paraId="709F429D" w14:textId="77777777" w:rsidR="00FA2916" w:rsidRDefault="00FA2916" w:rsidP="00FA2916">
      <w:pPr>
        <w:spacing w:line="360" w:lineRule="auto"/>
        <w:ind w:left="720" w:hanging="720"/>
        <w:jc w:val="both"/>
        <w:rPr>
          <w:rFonts w:ascii="David" w:hAnsi="David"/>
          <w:rtl/>
        </w:rPr>
      </w:pPr>
    </w:p>
    <w:p w14:paraId="28CB64B1" w14:textId="77777777" w:rsidR="00FA2916" w:rsidRDefault="00FA2916" w:rsidP="00FA2916">
      <w:pPr>
        <w:spacing w:line="360" w:lineRule="auto"/>
        <w:ind w:left="720" w:hanging="720"/>
        <w:jc w:val="both"/>
        <w:rPr>
          <w:rFonts w:ascii="David" w:hAnsi="David"/>
          <w:rtl/>
        </w:rPr>
      </w:pPr>
      <w:r>
        <w:rPr>
          <w:rFonts w:ascii="David" w:hAnsi="David" w:hint="cs"/>
          <w:rtl/>
        </w:rPr>
        <w:t>15.</w:t>
      </w:r>
      <w:r>
        <w:rPr>
          <w:rFonts w:ascii="David" w:hAnsi="David" w:hint="cs"/>
          <w:rtl/>
        </w:rPr>
        <w:tab/>
        <w:t>כמובן, שישנם מקרים בפסיקה שבהם הושתו בגין העבירה של החזקת נשק, עונשים שהם פחות מ-12 חודשים, כגון 8, 9 ו-10 חודשי מאסר, וזאת כאשר היה מדובר בנאשמים נורמטיביים ללא עבר פלילי (</w:t>
      </w:r>
      <w:hyperlink r:id="rId23" w:history="1">
        <w:r w:rsidR="002957D0" w:rsidRPr="002957D0">
          <w:rPr>
            <w:rFonts w:ascii="David" w:hAnsi="David"/>
            <w:color w:val="0000FF"/>
            <w:u w:val="single"/>
            <w:rtl/>
          </w:rPr>
          <w:t>רע"פ 7344/18</w:t>
        </w:r>
      </w:hyperlink>
      <w:r>
        <w:rPr>
          <w:rFonts w:ascii="David" w:hAnsi="David" w:hint="cs"/>
          <w:rtl/>
        </w:rPr>
        <w:t xml:space="preserve"> </w:t>
      </w:r>
      <w:r w:rsidRPr="00B9075E">
        <w:rPr>
          <w:rFonts w:ascii="David" w:hAnsi="David" w:hint="cs"/>
          <w:b/>
          <w:bCs/>
          <w:rtl/>
        </w:rPr>
        <w:t>מאג'ד נ' מדינת ישראל</w:t>
      </w:r>
      <w:r>
        <w:rPr>
          <w:rFonts w:ascii="David" w:hAnsi="David" w:hint="cs"/>
          <w:rtl/>
        </w:rPr>
        <w:t xml:space="preserve"> (פורסם בנבו, 21.10.18); </w:t>
      </w:r>
      <w:hyperlink r:id="rId24" w:history="1">
        <w:r w:rsidR="002957D0" w:rsidRPr="002957D0">
          <w:rPr>
            <w:rFonts w:ascii="David" w:hAnsi="David"/>
            <w:color w:val="0000FF"/>
            <w:u w:val="single"/>
            <w:rtl/>
          </w:rPr>
          <w:t>רע"פ 19/21</w:t>
        </w:r>
      </w:hyperlink>
      <w:r>
        <w:rPr>
          <w:rFonts w:ascii="David" w:hAnsi="David" w:hint="cs"/>
          <w:rtl/>
        </w:rPr>
        <w:t xml:space="preserve"> </w:t>
      </w:r>
      <w:r w:rsidRPr="003A2FE9">
        <w:rPr>
          <w:rFonts w:ascii="David" w:hAnsi="David" w:hint="cs"/>
          <w:b/>
          <w:bCs/>
          <w:rtl/>
        </w:rPr>
        <w:t>אבו צעלוק נ' מדינת ישראל</w:t>
      </w:r>
      <w:r>
        <w:rPr>
          <w:rFonts w:ascii="David" w:hAnsi="David" w:hint="cs"/>
          <w:rtl/>
        </w:rPr>
        <w:t xml:space="preserve"> (פורסם בנבו, 4.1.21); </w:t>
      </w:r>
      <w:hyperlink r:id="rId25" w:history="1">
        <w:r w:rsidR="002957D0" w:rsidRPr="002957D0">
          <w:rPr>
            <w:rFonts w:ascii="David" w:hAnsi="David"/>
            <w:color w:val="0000FF"/>
            <w:u w:val="single"/>
            <w:rtl/>
          </w:rPr>
          <w:t>רע"פ 5757/18</w:t>
        </w:r>
      </w:hyperlink>
      <w:r>
        <w:rPr>
          <w:rFonts w:ascii="David" w:hAnsi="David" w:hint="cs"/>
          <w:rtl/>
        </w:rPr>
        <w:t xml:space="preserve"> </w:t>
      </w:r>
      <w:r w:rsidRPr="005713B4">
        <w:rPr>
          <w:rFonts w:ascii="David" w:hAnsi="David" w:hint="cs"/>
          <w:b/>
          <w:bCs/>
          <w:rtl/>
        </w:rPr>
        <w:t>מריסאת נ' מדינת ישראל</w:t>
      </w:r>
      <w:r w:rsidRPr="005713B4">
        <w:rPr>
          <w:rFonts w:ascii="David" w:hAnsi="David" w:hint="cs"/>
          <w:rtl/>
        </w:rPr>
        <w:t xml:space="preserve"> </w:t>
      </w:r>
      <w:r>
        <w:rPr>
          <w:rFonts w:ascii="David" w:hAnsi="David" w:hint="cs"/>
          <w:rtl/>
        </w:rPr>
        <w:t xml:space="preserve">(פורסם בנבו, 2.8.18); </w:t>
      </w:r>
      <w:hyperlink r:id="rId26" w:history="1">
        <w:r w:rsidR="002957D0" w:rsidRPr="002957D0">
          <w:rPr>
            <w:rFonts w:ascii="David" w:hAnsi="David"/>
            <w:color w:val="0000FF"/>
            <w:u w:val="single"/>
            <w:rtl/>
          </w:rPr>
          <w:t>רע"פ 3619/21</w:t>
        </w:r>
      </w:hyperlink>
      <w:r>
        <w:rPr>
          <w:rFonts w:ascii="David" w:hAnsi="David" w:hint="cs"/>
          <w:rtl/>
        </w:rPr>
        <w:t xml:space="preserve"> </w:t>
      </w:r>
      <w:r w:rsidRPr="003A2FE9">
        <w:rPr>
          <w:rFonts w:ascii="David" w:hAnsi="David" w:hint="cs"/>
          <w:b/>
          <w:bCs/>
          <w:rtl/>
        </w:rPr>
        <w:t>אבו היל</w:t>
      </w:r>
      <w:r>
        <w:rPr>
          <w:rFonts w:ascii="David" w:hAnsi="David" w:hint="cs"/>
          <w:b/>
          <w:bCs/>
          <w:rtl/>
        </w:rPr>
        <w:t>א</w:t>
      </w:r>
      <w:r w:rsidRPr="003A2FE9">
        <w:rPr>
          <w:rFonts w:ascii="David" w:hAnsi="David" w:hint="cs"/>
          <w:b/>
          <w:bCs/>
          <w:rtl/>
        </w:rPr>
        <w:t>ל נ' מדינת ישראל</w:t>
      </w:r>
      <w:r>
        <w:rPr>
          <w:rFonts w:ascii="David" w:hAnsi="David" w:hint="cs"/>
          <w:rtl/>
        </w:rPr>
        <w:t xml:space="preserve"> (פורסם בנבו, 26.5.21).</w:t>
      </w:r>
    </w:p>
    <w:p w14:paraId="1DE2A442" w14:textId="77777777" w:rsidR="00FA2916" w:rsidRDefault="00FA2916" w:rsidP="00FA2916">
      <w:pPr>
        <w:spacing w:line="360" w:lineRule="auto"/>
        <w:ind w:left="720" w:hanging="720"/>
        <w:jc w:val="both"/>
        <w:rPr>
          <w:rFonts w:ascii="David" w:hAnsi="David"/>
          <w:rtl/>
        </w:rPr>
      </w:pPr>
    </w:p>
    <w:p w14:paraId="1AC4362B" w14:textId="77777777" w:rsidR="00FA2916" w:rsidRDefault="00FA2916" w:rsidP="00FA2916">
      <w:pPr>
        <w:spacing w:line="360" w:lineRule="auto"/>
        <w:ind w:left="720" w:hanging="720"/>
        <w:jc w:val="both"/>
        <w:rPr>
          <w:rFonts w:ascii="David" w:hAnsi="David"/>
          <w:rtl/>
        </w:rPr>
      </w:pPr>
      <w:r>
        <w:rPr>
          <w:rFonts w:ascii="David" w:hAnsi="David" w:hint="cs"/>
          <w:rtl/>
        </w:rPr>
        <w:t>16.</w:t>
      </w:r>
      <w:r>
        <w:rPr>
          <w:rFonts w:ascii="David" w:hAnsi="David"/>
          <w:rtl/>
        </w:rPr>
        <w:tab/>
      </w:r>
      <w:r>
        <w:rPr>
          <w:rFonts w:ascii="David" w:hAnsi="David" w:hint="cs"/>
          <w:rtl/>
        </w:rPr>
        <w:t xml:space="preserve">וכמובן שישנן דוגמאות בפסיקתו של בית המשפט העליון שבהן ניתנו עונשים חמורים יותר מ-12 חודשים, כגון 20 חודשי מאסר בפועל בגין עבירה של החזקת נשק, וזאת כאשר היה מדובר במערער עם עבר פלילי (ראו למשל, </w:t>
      </w:r>
      <w:hyperlink r:id="rId27" w:history="1">
        <w:r w:rsidR="002957D0" w:rsidRPr="002957D0">
          <w:rPr>
            <w:rFonts w:ascii="David" w:hAnsi="David"/>
            <w:color w:val="0000FF"/>
            <w:u w:val="single"/>
            <w:rtl/>
          </w:rPr>
          <w:t>ע"פ 2141/21</w:t>
        </w:r>
      </w:hyperlink>
      <w:r>
        <w:rPr>
          <w:rFonts w:ascii="David" w:hAnsi="David" w:hint="cs"/>
          <w:rtl/>
        </w:rPr>
        <w:t xml:space="preserve"> </w:t>
      </w:r>
      <w:r w:rsidRPr="00B9075E">
        <w:rPr>
          <w:rFonts w:ascii="David" w:hAnsi="David" w:hint="cs"/>
          <w:b/>
          <w:bCs/>
          <w:rtl/>
        </w:rPr>
        <w:t>חניני נ' מדינת ישראל</w:t>
      </w:r>
      <w:r>
        <w:rPr>
          <w:rFonts w:ascii="David" w:hAnsi="David" w:hint="cs"/>
          <w:rtl/>
        </w:rPr>
        <w:t xml:space="preserve"> (פורסם בנבו, 27.5.21)). </w:t>
      </w:r>
    </w:p>
    <w:p w14:paraId="745EE051" w14:textId="77777777" w:rsidR="00FA2916" w:rsidRDefault="00FA2916" w:rsidP="00FA2916">
      <w:pPr>
        <w:spacing w:line="360" w:lineRule="auto"/>
        <w:ind w:left="720" w:hanging="720"/>
        <w:jc w:val="both"/>
        <w:rPr>
          <w:rFonts w:ascii="David" w:hAnsi="David"/>
          <w:rtl/>
        </w:rPr>
      </w:pPr>
    </w:p>
    <w:p w14:paraId="76D07550" w14:textId="77777777" w:rsidR="00FA2916" w:rsidRDefault="00FA2916" w:rsidP="00FA2916">
      <w:pPr>
        <w:spacing w:line="360" w:lineRule="auto"/>
        <w:ind w:left="720" w:hanging="720"/>
        <w:jc w:val="both"/>
        <w:rPr>
          <w:rFonts w:ascii="David" w:hAnsi="David"/>
          <w:rtl/>
        </w:rPr>
      </w:pPr>
      <w:r>
        <w:rPr>
          <w:rFonts w:ascii="David" w:hAnsi="David" w:hint="cs"/>
          <w:rtl/>
        </w:rPr>
        <w:t>17.</w:t>
      </w:r>
      <w:r>
        <w:rPr>
          <w:rFonts w:ascii="David" w:hAnsi="David" w:hint="cs"/>
          <w:rtl/>
        </w:rPr>
        <w:tab/>
        <w:t xml:space="preserve">לפיכך, הנני קובע שמתחם העונש ההולם לעבירות שבוצעו על ידי הנאשם ובנסיבות ביצוען </w:t>
      </w:r>
      <w:r w:rsidRPr="00964B63">
        <w:rPr>
          <w:rFonts w:ascii="David" w:hAnsi="David" w:hint="cs"/>
          <w:u w:val="single"/>
          <w:rtl/>
        </w:rPr>
        <w:t xml:space="preserve">נע בין 12 עד 36 חודשי מאסר בפועל, בצירוף מאסר על תנאי וקנס כספי. </w:t>
      </w:r>
    </w:p>
    <w:p w14:paraId="363181DD" w14:textId="77777777" w:rsidR="00FA2916" w:rsidRDefault="00FA2916" w:rsidP="00FA2916">
      <w:pPr>
        <w:spacing w:line="360" w:lineRule="auto"/>
        <w:ind w:left="720"/>
        <w:jc w:val="both"/>
        <w:rPr>
          <w:rFonts w:ascii="David" w:hAnsi="David"/>
          <w:rtl/>
        </w:rPr>
      </w:pPr>
    </w:p>
    <w:p w14:paraId="244FC23F" w14:textId="77777777" w:rsidR="00FA2916" w:rsidRPr="000B1737" w:rsidRDefault="00FA2916" w:rsidP="00FA2916">
      <w:pPr>
        <w:spacing w:line="360" w:lineRule="auto"/>
        <w:jc w:val="both"/>
        <w:rPr>
          <w:rFonts w:ascii="David" w:hAnsi="David"/>
          <w:b/>
          <w:bCs/>
          <w:sz w:val="28"/>
          <w:szCs w:val="28"/>
          <w:u w:val="single"/>
          <w:rtl/>
        </w:rPr>
      </w:pPr>
      <w:r w:rsidRPr="000B1737">
        <w:rPr>
          <w:rFonts w:ascii="David" w:hAnsi="David" w:hint="cs"/>
          <w:b/>
          <w:bCs/>
          <w:sz w:val="28"/>
          <w:szCs w:val="28"/>
          <w:u w:val="single"/>
          <w:rtl/>
        </w:rPr>
        <w:t>קביעת העונש המתאים בתוך מתחם העונש ההולם</w:t>
      </w:r>
    </w:p>
    <w:p w14:paraId="22DB9EE4" w14:textId="77777777" w:rsidR="00FA2916" w:rsidRDefault="00FA2916" w:rsidP="00FA2916">
      <w:pPr>
        <w:spacing w:line="360" w:lineRule="auto"/>
        <w:ind w:left="720"/>
        <w:jc w:val="both"/>
        <w:rPr>
          <w:rFonts w:ascii="David" w:hAnsi="David"/>
          <w:rtl/>
        </w:rPr>
      </w:pPr>
    </w:p>
    <w:p w14:paraId="5E6B468D" w14:textId="77777777" w:rsidR="00FA2916" w:rsidRDefault="00FA2916" w:rsidP="00FA2916">
      <w:pPr>
        <w:spacing w:line="360" w:lineRule="auto"/>
        <w:ind w:left="720" w:hanging="720"/>
        <w:jc w:val="both"/>
        <w:rPr>
          <w:rFonts w:ascii="David" w:hAnsi="David"/>
          <w:rtl/>
        </w:rPr>
      </w:pPr>
      <w:r>
        <w:rPr>
          <w:rFonts w:ascii="David" w:hAnsi="David" w:hint="cs"/>
          <w:rtl/>
        </w:rPr>
        <w:t>18.</w:t>
      </w:r>
      <w:r>
        <w:rPr>
          <w:rFonts w:ascii="David" w:hAnsi="David" w:hint="cs"/>
          <w:rtl/>
        </w:rPr>
        <w:tab/>
        <w:t xml:space="preserve">בעת קביעת העונש המתאים בתוך מתחם העונש ההולם לקחתי בחשבון </w:t>
      </w:r>
      <w:r w:rsidRPr="0059640E">
        <w:rPr>
          <w:rFonts w:ascii="David" w:hAnsi="David" w:hint="cs"/>
          <w:b/>
          <w:bCs/>
          <w:u w:val="single"/>
          <w:rtl/>
        </w:rPr>
        <w:t>לחומרא</w:t>
      </w:r>
      <w:r>
        <w:rPr>
          <w:rFonts w:ascii="David" w:hAnsi="David" w:hint="cs"/>
          <w:rtl/>
        </w:rPr>
        <w:t xml:space="preserve"> את עברו הפלילי המכביד של הנאשם. לנאשם 19 הרשעות קודמות. על מנת להביא בפני הקורא את כובד משקלו של עברו הפלילי, אביא את תמציתו בטבלה הבאה: </w:t>
      </w:r>
    </w:p>
    <w:p w14:paraId="547E7221" w14:textId="77777777" w:rsidR="00FA2916" w:rsidRDefault="00FA2916" w:rsidP="00FA2916">
      <w:pPr>
        <w:spacing w:line="360" w:lineRule="auto"/>
        <w:ind w:left="720" w:hanging="720"/>
        <w:jc w:val="both"/>
        <w:rPr>
          <w:rFonts w:ascii="David" w:hAnsi="David"/>
          <w:rtl/>
        </w:rPr>
      </w:pPr>
    </w:p>
    <w:tbl>
      <w:tblPr>
        <w:bidiVisual/>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5"/>
        <w:gridCol w:w="2652"/>
        <w:gridCol w:w="2578"/>
      </w:tblGrid>
      <w:tr w:rsidR="00FA2916" w14:paraId="43D35069" w14:textId="77777777" w:rsidTr="00FA2916">
        <w:tc>
          <w:tcPr>
            <w:tcW w:w="2545" w:type="dxa"/>
            <w:shd w:val="clear" w:color="auto" w:fill="auto"/>
          </w:tcPr>
          <w:p w14:paraId="11ED2CD7" w14:textId="77777777" w:rsidR="00FA2916" w:rsidRPr="00FA2916" w:rsidRDefault="00FA2916" w:rsidP="00FA2916">
            <w:pPr>
              <w:spacing w:line="360" w:lineRule="auto"/>
              <w:jc w:val="both"/>
              <w:rPr>
                <w:rFonts w:ascii="David" w:hAnsi="David"/>
                <w:b/>
                <w:bCs/>
                <w:rtl/>
              </w:rPr>
            </w:pPr>
            <w:r w:rsidRPr="00FA2916">
              <w:rPr>
                <w:rFonts w:ascii="David" w:hAnsi="David" w:hint="cs"/>
                <w:b/>
                <w:bCs/>
                <w:rtl/>
              </w:rPr>
              <w:t>השנה שבה ניתן גזר הדין</w:t>
            </w:r>
          </w:p>
        </w:tc>
        <w:tc>
          <w:tcPr>
            <w:tcW w:w="2652" w:type="dxa"/>
            <w:shd w:val="clear" w:color="auto" w:fill="auto"/>
          </w:tcPr>
          <w:p w14:paraId="52DDE735" w14:textId="77777777" w:rsidR="00FA2916" w:rsidRPr="00FA2916" w:rsidRDefault="00FA2916" w:rsidP="00FA2916">
            <w:pPr>
              <w:spacing w:line="360" w:lineRule="auto"/>
              <w:jc w:val="both"/>
              <w:rPr>
                <w:rFonts w:ascii="David" w:hAnsi="David"/>
                <w:b/>
                <w:bCs/>
                <w:rtl/>
              </w:rPr>
            </w:pPr>
            <w:r w:rsidRPr="00FA2916">
              <w:rPr>
                <w:rFonts w:ascii="David" w:hAnsi="David" w:hint="cs"/>
                <w:b/>
                <w:bCs/>
                <w:rtl/>
              </w:rPr>
              <w:t>סוג העבירות שבהן הורשע</w:t>
            </w:r>
          </w:p>
        </w:tc>
        <w:tc>
          <w:tcPr>
            <w:tcW w:w="2578" w:type="dxa"/>
            <w:shd w:val="clear" w:color="auto" w:fill="auto"/>
          </w:tcPr>
          <w:p w14:paraId="25FBB173" w14:textId="77777777" w:rsidR="00FA2916" w:rsidRPr="00FA2916" w:rsidRDefault="00FA2916" w:rsidP="00FA2916">
            <w:pPr>
              <w:spacing w:line="360" w:lineRule="auto"/>
              <w:jc w:val="both"/>
              <w:rPr>
                <w:rFonts w:ascii="David" w:hAnsi="David"/>
                <w:b/>
                <w:bCs/>
                <w:rtl/>
              </w:rPr>
            </w:pPr>
            <w:r w:rsidRPr="00FA2916">
              <w:rPr>
                <w:rFonts w:ascii="David" w:hAnsi="David" w:hint="cs"/>
                <w:b/>
                <w:bCs/>
                <w:rtl/>
              </w:rPr>
              <w:t>עיקרי העונש</w:t>
            </w:r>
          </w:p>
        </w:tc>
      </w:tr>
      <w:tr w:rsidR="00FA2916" w14:paraId="34A8F506" w14:textId="77777777" w:rsidTr="00FA2916">
        <w:tc>
          <w:tcPr>
            <w:tcW w:w="2545" w:type="dxa"/>
            <w:shd w:val="clear" w:color="auto" w:fill="auto"/>
          </w:tcPr>
          <w:p w14:paraId="1CC09880" w14:textId="77777777" w:rsidR="00FA2916" w:rsidRPr="00FA2916" w:rsidRDefault="00FA2916" w:rsidP="00FA2916">
            <w:pPr>
              <w:spacing w:line="360" w:lineRule="auto"/>
              <w:jc w:val="both"/>
              <w:rPr>
                <w:rFonts w:ascii="David" w:hAnsi="David"/>
                <w:b/>
                <w:bCs/>
                <w:rtl/>
              </w:rPr>
            </w:pPr>
            <w:r w:rsidRPr="00FA2916">
              <w:rPr>
                <w:rFonts w:ascii="David" w:hAnsi="David" w:hint="cs"/>
                <w:b/>
                <w:bCs/>
                <w:rtl/>
              </w:rPr>
              <w:t>1983</w:t>
            </w:r>
          </w:p>
        </w:tc>
        <w:tc>
          <w:tcPr>
            <w:tcW w:w="2652" w:type="dxa"/>
            <w:shd w:val="clear" w:color="auto" w:fill="auto"/>
          </w:tcPr>
          <w:p w14:paraId="23A71D80" w14:textId="77777777" w:rsidR="00FA2916" w:rsidRPr="00FA2916" w:rsidRDefault="00FA2916" w:rsidP="00FA2916">
            <w:pPr>
              <w:spacing w:line="360" w:lineRule="auto"/>
              <w:jc w:val="both"/>
              <w:rPr>
                <w:rFonts w:ascii="David" w:hAnsi="David"/>
                <w:rtl/>
              </w:rPr>
            </w:pPr>
            <w:r w:rsidRPr="00FA2916">
              <w:rPr>
                <w:rFonts w:ascii="David" w:hAnsi="David" w:hint="cs"/>
                <w:rtl/>
              </w:rPr>
              <w:t>פריצה לבניין</w:t>
            </w:r>
          </w:p>
        </w:tc>
        <w:tc>
          <w:tcPr>
            <w:tcW w:w="2578" w:type="dxa"/>
            <w:shd w:val="clear" w:color="auto" w:fill="auto"/>
          </w:tcPr>
          <w:p w14:paraId="5D23776A" w14:textId="77777777" w:rsidR="00FA2916" w:rsidRPr="00FA2916" w:rsidRDefault="00FA2916" w:rsidP="00FA2916">
            <w:pPr>
              <w:spacing w:line="360" w:lineRule="auto"/>
              <w:jc w:val="both"/>
              <w:rPr>
                <w:rFonts w:ascii="David" w:hAnsi="David"/>
                <w:rtl/>
              </w:rPr>
            </w:pPr>
            <w:r w:rsidRPr="00FA2916">
              <w:rPr>
                <w:rFonts w:ascii="David" w:hAnsi="David" w:hint="cs"/>
                <w:rtl/>
              </w:rPr>
              <w:t>7 חודשי מאסר בפועל</w:t>
            </w:r>
          </w:p>
        </w:tc>
      </w:tr>
      <w:tr w:rsidR="00FA2916" w14:paraId="3BF0F8EB" w14:textId="77777777" w:rsidTr="00FA2916">
        <w:tc>
          <w:tcPr>
            <w:tcW w:w="2545" w:type="dxa"/>
            <w:shd w:val="clear" w:color="auto" w:fill="auto"/>
          </w:tcPr>
          <w:p w14:paraId="50CCC703" w14:textId="77777777" w:rsidR="00FA2916" w:rsidRPr="00FA2916" w:rsidRDefault="00FA2916" w:rsidP="00FA2916">
            <w:pPr>
              <w:spacing w:line="360" w:lineRule="auto"/>
              <w:jc w:val="both"/>
              <w:rPr>
                <w:rFonts w:ascii="David" w:hAnsi="David"/>
                <w:b/>
                <w:bCs/>
                <w:rtl/>
              </w:rPr>
            </w:pPr>
            <w:r w:rsidRPr="00FA2916">
              <w:rPr>
                <w:rFonts w:ascii="David" w:hAnsi="David" w:hint="cs"/>
                <w:b/>
                <w:bCs/>
                <w:rtl/>
              </w:rPr>
              <w:t>1984</w:t>
            </w:r>
          </w:p>
        </w:tc>
        <w:tc>
          <w:tcPr>
            <w:tcW w:w="2652" w:type="dxa"/>
            <w:shd w:val="clear" w:color="auto" w:fill="auto"/>
          </w:tcPr>
          <w:p w14:paraId="5AFBA424" w14:textId="77777777" w:rsidR="00FA2916" w:rsidRPr="00FA2916" w:rsidRDefault="00FA2916" w:rsidP="00FA2916">
            <w:pPr>
              <w:spacing w:line="360" w:lineRule="auto"/>
              <w:jc w:val="both"/>
              <w:rPr>
                <w:rFonts w:ascii="David" w:hAnsi="David"/>
                <w:rtl/>
              </w:rPr>
            </w:pPr>
            <w:r w:rsidRPr="00FA2916">
              <w:rPr>
                <w:rFonts w:ascii="David" w:hAnsi="David" w:hint="cs"/>
                <w:rtl/>
              </w:rPr>
              <w:t>קבלת נכסים שהושגו בפשע</w:t>
            </w:r>
          </w:p>
        </w:tc>
        <w:tc>
          <w:tcPr>
            <w:tcW w:w="2578" w:type="dxa"/>
            <w:shd w:val="clear" w:color="auto" w:fill="auto"/>
          </w:tcPr>
          <w:p w14:paraId="02D4E20F" w14:textId="77777777" w:rsidR="00FA2916" w:rsidRPr="00FA2916" w:rsidRDefault="00FA2916" w:rsidP="00FA2916">
            <w:pPr>
              <w:spacing w:line="360" w:lineRule="auto"/>
              <w:jc w:val="both"/>
              <w:rPr>
                <w:rFonts w:ascii="David" w:hAnsi="David"/>
                <w:rtl/>
              </w:rPr>
            </w:pPr>
            <w:r w:rsidRPr="00FA2916">
              <w:rPr>
                <w:rFonts w:ascii="David" w:hAnsi="David" w:hint="cs"/>
                <w:rtl/>
              </w:rPr>
              <w:t>מאסר על תנאי</w:t>
            </w:r>
          </w:p>
        </w:tc>
      </w:tr>
      <w:tr w:rsidR="00FA2916" w14:paraId="2D239419" w14:textId="77777777" w:rsidTr="00FA2916">
        <w:tc>
          <w:tcPr>
            <w:tcW w:w="2545" w:type="dxa"/>
            <w:shd w:val="clear" w:color="auto" w:fill="auto"/>
          </w:tcPr>
          <w:p w14:paraId="268A344E" w14:textId="77777777" w:rsidR="00FA2916" w:rsidRPr="00FA2916" w:rsidRDefault="00FA2916" w:rsidP="00FA2916">
            <w:pPr>
              <w:spacing w:line="360" w:lineRule="auto"/>
              <w:jc w:val="both"/>
              <w:rPr>
                <w:rFonts w:ascii="David" w:hAnsi="David"/>
                <w:b/>
                <w:bCs/>
                <w:rtl/>
              </w:rPr>
            </w:pPr>
            <w:r w:rsidRPr="00FA2916">
              <w:rPr>
                <w:rFonts w:ascii="David" w:hAnsi="David" w:hint="cs"/>
                <w:b/>
                <w:bCs/>
                <w:rtl/>
              </w:rPr>
              <w:t>1984</w:t>
            </w:r>
          </w:p>
        </w:tc>
        <w:tc>
          <w:tcPr>
            <w:tcW w:w="2652" w:type="dxa"/>
            <w:shd w:val="clear" w:color="auto" w:fill="auto"/>
          </w:tcPr>
          <w:p w14:paraId="1F055227" w14:textId="77777777" w:rsidR="00FA2916" w:rsidRPr="00FA2916" w:rsidRDefault="00FA2916" w:rsidP="00FA2916">
            <w:pPr>
              <w:spacing w:line="360" w:lineRule="auto"/>
              <w:jc w:val="both"/>
              <w:rPr>
                <w:rFonts w:ascii="David" w:hAnsi="David"/>
                <w:rtl/>
              </w:rPr>
            </w:pPr>
            <w:r w:rsidRPr="00FA2916">
              <w:rPr>
                <w:rFonts w:ascii="David" w:hAnsi="David" w:hint="cs"/>
                <w:rtl/>
              </w:rPr>
              <w:t>מסירת עדויות סותרות</w:t>
            </w:r>
          </w:p>
        </w:tc>
        <w:tc>
          <w:tcPr>
            <w:tcW w:w="2578" w:type="dxa"/>
            <w:shd w:val="clear" w:color="auto" w:fill="auto"/>
          </w:tcPr>
          <w:p w14:paraId="2A2D7664" w14:textId="77777777" w:rsidR="00FA2916" w:rsidRPr="00FA2916" w:rsidRDefault="00FA2916" w:rsidP="00FA2916">
            <w:pPr>
              <w:spacing w:line="360" w:lineRule="auto"/>
              <w:jc w:val="both"/>
              <w:rPr>
                <w:rFonts w:ascii="David" w:hAnsi="David"/>
                <w:rtl/>
              </w:rPr>
            </w:pPr>
            <w:r w:rsidRPr="00FA2916">
              <w:rPr>
                <w:rFonts w:ascii="David" w:hAnsi="David" w:hint="cs"/>
                <w:rtl/>
              </w:rPr>
              <w:t>מאסר על תנאי</w:t>
            </w:r>
          </w:p>
        </w:tc>
      </w:tr>
      <w:tr w:rsidR="00FA2916" w14:paraId="65EFA0DF" w14:textId="77777777" w:rsidTr="00FA2916">
        <w:tc>
          <w:tcPr>
            <w:tcW w:w="2545" w:type="dxa"/>
            <w:shd w:val="clear" w:color="auto" w:fill="auto"/>
          </w:tcPr>
          <w:p w14:paraId="48F55EA5" w14:textId="77777777" w:rsidR="00FA2916" w:rsidRPr="00FA2916" w:rsidRDefault="00FA2916" w:rsidP="00FA2916">
            <w:pPr>
              <w:spacing w:line="360" w:lineRule="auto"/>
              <w:jc w:val="both"/>
              <w:rPr>
                <w:rFonts w:ascii="David" w:hAnsi="David"/>
                <w:b/>
                <w:bCs/>
                <w:rtl/>
              </w:rPr>
            </w:pPr>
            <w:r w:rsidRPr="00FA2916">
              <w:rPr>
                <w:rFonts w:ascii="David" w:hAnsi="David" w:hint="cs"/>
                <w:b/>
                <w:bCs/>
                <w:rtl/>
              </w:rPr>
              <w:t>1986</w:t>
            </w:r>
          </w:p>
        </w:tc>
        <w:tc>
          <w:tcPr>
            <w:tcW w:w="2652" w:type="dxa"/>
            <w:shd w:val="clear" w:color="auto" w:fill="auto"/>
          </w:tcPr>
          <w:p w14:paraId="083CB86F" w14:textId="77777777" w:rsidR="00FA2916" w:rsidRPr="00FA2916" w:rsidRDefault="00FA2916" w:rsidP="00FA2916">
            <w:pPr>
              <w:spacing w:line="360" w:lineRule="auto"/>
              <w:jc w:val="both"/>
              <w:rPr>
                <w:rFonts w:ascii="David" w:hAnsi="David"/>
                <w:rtl/>
              </w:rPr>
            </w:pPr>
            <w:r w:rsidRPr="00FA2916">
              <w:rPr>
                <w:rFonts w:ascii="David" w:hAnsi="David" w:hint="cs"/>
                <w:rtl/>
              </w:rPr>
              <w:t>נהיגת רכב ללא רישיון</w:t>
            </w:r>
          </w:p>
        </w:tc>
        <w:tc>
          <w:tcPr>
            <w:tcW w:w="2578" w:type="dxa"/>
            <w:shd w:val="clear" w:color="auto" w:fill="auto"/>
          </w:tcPr>
          <w:p w14:paraId="1C7C41A9" w14:textId="77777777" w:rsidR="00FA2916" w:rsidRPr="00FA2916" w:rsidRDefault="00FA2916" w:rsidP="00FA2916">
            <w:pPr>
              <w:spacing w:line="360" w:lineRule="auto"/>
              <w:jc w:val="both"/>
              <w:rPr>
                <w:rFonts w:ascii="David" w:hAnsi="David"/>
                <w:rtl/>
              </w:rPr>
            </w:pPr>
            <w:r w:rsidRPr="00FA2916">
              <w:rPr>
                <w:rFonts w:ascii="David" w:hAnsi="David" w:hint="cs"/>
                <w:rtl/>
              </w:rPr>
              <w:t>מאסר על תנאי</w:t>
            </w:r>
          </w:p>
        </w:tc>
      </w:tr>
      <w:tr w:rsidR="00FA2916" w14:paraId="0E262A00" w14:textId="77777777" w:rsidTr="00FA2916">
        <w:tc>
          <w:tcPr>
            <w:tcW w:w="2545" w:type="dxa"/>
            <w:shd w:val="clear" w:color="auto" w:fill="auto"/>
          </w:tcPr>
          <w:p w14:paraId="34FB78DC" w14:textId="77777777" w:rsidR="00FA2916" w:rsidRPr="00FA2916" w:rsidRDefault="00FA2916" w:rsidP="00FA2916">
            <w:pPr>
              <w:spacing w:line="360" w:lineRule="auto"/>
              <w:jc w:val="both"/>
              <w:rPr>
                <w:rFonts w:ascii="David" w:hAnsi="David"/>
                <w:b/>
                <w:bCs/>
                <w:rtl/>
              </w:rPr>
            </w:pPr>
            <w:r w:rsidRPr="00FA2916">
              <w:rPr>
                <w:rFonts w:ascii="David" w:hAnsi="David" w:hint="cs"/>
                <w:b/>
                <w:bCs/>
                <w:rtl/>
              </w:rPr>
              <w:t>1986</w:t>
            </w:r>
          </w:p>
        </w:tc>
        <w:tc>
          <w:tcPr>
            <w:tcW w:w="2652" w:type="dxa"/>
            <w:shd w:val="clear" w:color="auto" w:fill="auto"/>
          </w:tcPr>
          <w:p w14:paraId="2E584E57" w14:textId="77777777" w:rsidR="00FA2916" w:rsidRPr="00FA2916" w:rsidRDefault="00FA2916" w:rsidP="00FA2916">
            <w:pPr>
              <w:spacing w:line="360" w:lineRule="auto"/>
              <w:jc w:val="both"/>
              <w:rPr>
                <w:rFonts w:ascii="David" w:hAnsi="David"/>
                <w:rtl/>
              </w:rPr>
            </w:pPr>
            <w:r w:rsidRPr="00FA2916">
              <w:rPr>
                <w:rFonts w:ascii="David" w:hAnsi="David" w:hint="cs"/>
                <w:rtl/>
              </w:rPr>
              <w:t>רכישת/החזקת נשק</w:t>
            </w:r>
          </w:p>
        </w:tc>
        <w:tc>
          <w:tcPr>
            <w:tcW w:w="2578" w:type="dxa"/>
            <w:shd w:val="clear" w:color="auto" w:fill="auto"/>
          </w:tcPr>
          <w:p w14:paraId="0CC21ED9" w14:textId="77777777" w:rsidR="00FA2916" w:rsidRPr="00FA2916" w:rsidRDefault="00FA2916" w:rsidP="00FA2916">
            <w:pPr>
              <w:spacing w:line="360" w:lineRule="auto"/>
              <w:jc w:val="both"/>
              <w:rPr>
                <w:rFonts w:ascii="David" w:hAnsi="David"/>
                <w:rtl/>
              </w:rPr>
            </w:pPr>
            <w:r w:rsidRPr="00FA2916">
              <w:rPr>
                <w:rFonts w:ascii="David" w:hAnsi="David" w:hint="cs"/>
                <w:rtl/>
              </w:rPr>
              <w:t>שנתיים וחצי מאסר בפועל</w:t>
            </w:r>
          </w:p>
        </w:tc>
      </w:tr>
      <w:tr w:rsidR="00FA2916" w14:paraId="670813C1" w14:textId="77777777" w:rsidTr="00FA2916">
        <w:tc>
          <w:tcPr>
            <w:tcW w:w="2545" w:type="dxa"/>
            <w:shd w:val="clear" w:color="auto" w:fill="auto"/>
          </w:tcPr>
          <w:p w14:paraId="6925FA32" w14:textId="77777777" w:rsidR="00FA2916" w:rsidRPr="00FA2916" w:rsidRDefault="00FA2916" w:rsidP="00FA2916">
            <w:pPr>
              <w:spacing w:line="360" w:lineRule="auto"/>
              <w:jc w:val="both"/>
              <w:rPr>
                <w:rFonts w:ascii="David" w:hAnsi="David"/>
                <w:b/>
                <w:bCs/>
                <w:rtl/>
              </w:rPr>
            </w:pPr>
            <w:r w:rsidRPr="00FA2916">
              <w:rPr>
                <w:rFonts w:ascii="David" w:hAnsi="David" w:hint="cs"/>
                <w:b/>
                <w:bCs/>
                <w:rtl/>
              </w:rPr>
              <w:t>1990</w:t>
            </w:r>
          </w:p>
        </w:tc>
        <w:tc>
          <w:tcPr>
            <w:tcW w:w="2652" w:type="dxa"/>
            <w:shd w:val="clear" w:color="auto" w:fill="auto"/>
          </w:tcPr>
          <w:p w14:paraId="70FC32D8" w14:textId="77777777" w:rsidR="00FA2916" w:rsidRPr="00FA2916" w:rsidRDefault="00FA2916" w:rsidP="00FA2916">
            <w:pPr>
              <w:spacing w:line="360" w:lineRule="auto"/>
              <w:jc w:val="both"/>
              <w:rPr>
                <w:rFonts w:ascii="David" w:hAnsi="David"/>
                <w:rtl/>
              </w:rPr>
            </w:pPr>
            <w:r w:rsidRPr="00FA2916">
              <w:rPr>
                <w:rFonts w:ascii="David" w:hAnsi="David" w:hint="cs"/>
                <w:rtl/>
              </w:rPr>
              <w:t>החזקת כלים להכנת סם</w:t>
            </w:r>
          </w:p>
        </w:tc>
        <w:tc>
          <w:tcPr>
            <w:tcW w:w="2578" w:type="dxa"/>
            <w:shd w:val="clear" w:color="auto" w:fill="auto"/>
          </w:tcPr>
          <w:p w14:paraId="16376AC7" w14:textId="77777777" w:rsidR="00FA2916" w:rsidRPr="00FA2916" w:rsidRDefault="00FA2916" w:rsidP="00FA2916">
            <w:pPr>
              <w:spacing w:line="360" w:lineRule="auto"/>
              <w:jc w:val="both"/>
              <w:rPr>
                <w:rFonts w:ascii="David" w:hAnsi="David"/>
                <w:rtl/>
              </w:rPr>
            </w:pPr>
            <w:r w:rsidRPr="00FA2916">
              <w:rPr>
                <w:rFonts w:ascii="David" w:hAnsi="David" w:hint="cs"/>
                <w:rtl/>
              </w:rPr>
              <w:t xml:space="preserve">מאסר על תנאי </w:t>
            </w:r>
          </w:p>
        </w:tc>
      </w:tr>
      <w:tr w:rsidR="00FA2916" w14:paraId="70A98491" w14:textId="77777777" w:rsidTr="00FA2916">
        <w:tc>
          <w:tcPr>
            <w:tcW w:w="2545" w:type="dxa"/>
            <w:shd w:val="clear" w:color="auto" w:fill="auto"/>
          </w:tcPr>
          <w:p w14:paraId="3BEACD8C" w14:textId="77777777" w:rsidR="00FA2916" w:rsidRPr="00FA2916" w:rsidRDefault="00FA2916" w:rsidP="00FA2916">
            <w:pPr>
              <w:spacing w:line="360" w:lineRule="auto"/>
              <w:jc w:val="both"/>
              <w:rPr>
                <w:rFonts w:ascii="David" w:hAnsi="David"/>
                <w:b/>
                <w:bCs/>
                <w:rtl/>
              </w:rPr>
            </w:pPr>
            <w:r w:rsidRPr="00FA2916">
              <w:rPr>
                <w:rFonts w:ascii="David" w:hAnsi="David" w:hint="cs"/>
                <w:b/>
                <w:bCs/>
                <w:rtl/>
              </w:rPr>
              <w:t>1990</w:t>
            </w:r>
          </w:p>
        </w:tc>
        <w:tc>
          <w:tcPr>
            <w:tcW w:w="2652" w:type="dxa"/>
            <w:shd w:val="clear" w:color="auto" w:fill="auto"/>
          </w:tcPr>
          <w:p w14:paraId="39DC460E" w14:textId="77777777" w:rsidR="00FA2916" w:rsidRPr="00FA2916" w:rsidRDefault="00FA2916" w:rsidP="00FA2916">
            <w:pPr>
              <w:spacing w:line="360" w:lineRule="auto"/>
              <w:jc w:val="both"/>
              <w:rPr>
                <w:rFonts w:ascii="David" w:hAnsi="David"/>
                <w:rtl/>
              </w:rPr>
            </w:pPr>
            <w:r w:rsidRPr="00FA2916">
              <w:rPr>
                <w:rFonts w:ascii="David" w:hAnsi="David" w:hint="cs"/>
                <w:rtl/>
              </w:rPr>
              <w:t xml:space="preserve">סחר בסמים </w:t>
            </w:r>
          </w:p>
        </w:tc>
        <w:tc>
          <w:tcPr>
            <w:tcW w:w="2578" w:type="dxa"/>
            <w:shd w:val="clear" w:color="auto" w:fill="auto"/>
          </w:tcPr>
          <w:p w14:paraId="52786AE4" w14:textId="77777777" w:rsidR="00FA2916" w:rsidRPr="00FA2916" w:rsidRDefault="00FA2916" w:rsidP="00FA2916">
            <w:pPr>
              <w:spacing w:line="360" w:lineRule="auto"/>
              <w:jc w:val="both"/>
              <w:rPr>
                <w:rFonts w:ascii="David" w:hAnsi="David"/>
                <w:rtl/>
              </w:rPr>
            </w:pPr>
            <w:r w:rsidRPr="00FA2916">
              <w:rPr>
                <w:rFonts w:ascii="David" w:hAnsi="David" w:hint="cs"/>
                <w:rtl/>
              </w:rPr>
              <w:t>9 חודשי מאסר בפועל</w:t>
            </w:r>
          </w:p>
        </w:tc>
      </w:tr>
      <w:tr w:rsidR="00FA2916" w14:paraId="25BF52C1" w14:textId="77777777" w:rsidTr="00FA2916">
        <w:tc>
          <w:tcPr>
            <w:tcW w:w="2545" w:type="dxa"/>
            <w:shd w:val="clear" w:color="auto" w:fill="auto"/>
          </w:tcPr>
          <w:p w14:paraId="324FA36A" w14:textId="77777777" w:rsidR="00FA2916" w:rsidRPr="00FA2916" w:rsidRDefault="00FA2916" w:rsidP="00FA2916">
            <w:pPr>
              <w:spacing w:line="360" w:lineRule="auto"/>
              <w:jc w:val="both"/>
              <w:rPr>
                <w:rFonts w:ascii="David" w:hAnsi="David"/>
                <w:b/>
                <w:bCs/>
                <w:rtl/>
              </w:rPr>
            </w:pPr>
            <w:r w:rsidRPr="00FA2916">
              <w:rPr>
                <w:rFonts w:ascii="David" w:hAnsi="David" w:hint="cs"/>
                <w:b/>
                <w:bCs/>
                <w:rtl/>
              </w:rPr>
              <w:t>1991</w:t>
            </w:r>
          </w:p>
        </w:tc>
        <w:tc>
          <w:tcPr>
            <w:tcW w:w="2652" w:type="dxa"/>
            <w:shd w:val="clear" w:color="auto" w:fill="auto"/>
          </w:tcPr>
          <w:p w14:paraId="343CF359" w14:textId="77777777" w:rsidR="00FA2916" w:rsidRPr="00FA2916" w:rsidRDefault="00FA2916" w:rsidP="00FA2916">
            <w:pPr>
              <w:spacing w:line="360" w:lineRule="auto"/>
              <w:jc w:val="both"/>
              <w:rPr>
                <w:rFonts w:ascii="David" w:hAnsi="David"/>
                <w:rtl/>
              </w:rPr>
            </w:pPr>
            <w:r w:rsidRPr="00FA2916">
              <w:rPr>
                <w:rFonts w:ascii="David" w:hAnsi="David" w:hint="cs"/>
                <w:rtl/>
              </w:rPr>
              <w:t>הסגת גבול פלילית</w:t>
            </w:r>
          </w:p>
        </w:tc>
        <w:tc>
          <w:tcPr>
            <w:tcW w:w="2578" w:type="dxa"/>
            <w:shd w:val="clear" w:color="auto" w:fill="auto"/>
          </w:tcPr>
          <w:p w14:paraId="21506F02" w14:textId="77777777" w:rsidR="00FA2916" w:rsidRPr="00FA2916" w:rsidRDefault="00FA2916" w:rsidP="00FA2916">
            <w:pPr>
              <w:spacing w:line="360" w:lineRule="auto"/>
              <w:jc w:val="both"/>
              <w:rPr>
                <w:rFonts w:ascii="David" w:hAnsi="David"/>
                <w:rtl/>
              </w:rPr>
            </w:pPr>
            <w:r w:rsidRPr="00FA2916">
              <w:rPr>
                <w:rFonts w:ascii="David" w:hAnsi="David" w:hint="cs"/>
                <w:rtl/>
              </w:rPr>
              <w:t>מאסר על תנאי</w:t>
            </w:r>
          </w:p>
        </w:tc>
      </w:tr>
      <w:tr w:rsidR="00FA2916" w14:paraId="24BC1BF0" w14:textId="77777777" w:rsidTr="00FA2916">
        <w:tc>
          <w:tcPr>
            <w:tcW w:w="2545" w:type="dxa"/>
            <w:shd w:val="clear" w:color="auto" w:fill="auto"/>
          </w:tcPr>
          <w:p w14:paraId="37D68457" w14:textId="77777777" w:rsidR="00FA2916" w:rsidRPr="00FA2916" w:rsidRDefault="00FA2916" w:rsidP="00FA2916">
            <w:pPr>
              <w:spacing w:line="360" w:lineRule="auto"/>
              <w:jc w:val="both"/>
              <w:rPr>
                <w:rFonts w:ascii="David" w:hAnsi="David"/>
                <w:b/>
                <w:bCs/>
                <w:rtl/>
              </w:rPr>
            </w:pPr>
            <w:r w:rsidRPr="00FA2916">
              <w:rPr>
                <w:rFonts w:ascii="David" w:hAnsi="David" w:hint="cs"/>
                <w:b/>
                <w:bCs/>
                <w:rtl/>
              </w:rPr>
              <w:t>1992</w:t>
            </w:r>
          </w:p>
        </w:tc>
        <w:tc>
          <w:tcPr>
            <w:tcW w:w="2652" w:type="dxa"/>
            <w:shd w:val="clear" w:color="auto" w:fill="auto"/>
          </w:tcPr>
          <w:p w14:paraId="3B9FC95C" w14:textId="77777777" w:rsidR="00FA2916" w:rsidRPr="00FA2916" w:rsidRDefault="00FA2916" w:rsidP="00FA2916">
            <w:pPr>
              <w:spacing w:line="360" w:lineRule="auto"/>
              <w:jc w:val="both"/>
              <w:rPr>
                <w:rFonts w:ascii="David" w:hAnsi="David"/>
                <w:rtl/>
              </w:rPr>
            </w:pPr>
            <w:r w:rsidRPr="00FA2916">
              <w:rPr>
                <w:rFonts w:ascii="David" w:hAnsi="David" w:hint="cs"/>
                <w:rtl/>
              </w:rPr>
              <w:t>החזקת מטבע זר ללא היתר</w:t>
            </w:r>
          </w:p>
        </w:tc>
        <w:tc>
          <w:tcPr>
            <w:tcW w:w="2578" w:type="dxa"/>
            <w:shd w:val="clear" w:color="auto" w:fill="auto"/>
          </w:tcPr>
          <w:p w14:paraId="7BFC9A65" w14:textId="77777777" w:rsidR="00FA2916" w:rsidRPr="00FA2916" w:rsidRDefault="00FA2916" w:rsidP="00FA2916">
            <w:pPr>
              <w:spacing w:line="360" w:lineRule="auto"/>
              <w:jc w:val="both"/>
              <w:rPr>
                <w:rFonts w:ascii="David" w:hAnsi="David"/>
                <w:rtl/>
              </w:rPr>
            </w:pPr>
            <w:r w:rsidRPr="00FA2916">
              <w:rPr>
                <w:rFonts w:ascii="David" w:hAnsi="David" w:hint="cs"/>
                <w:rtl/>
              </w:rPr>
              <w:t>קנס</w:t>
            </w:r>
          </w:p>
        </w:tc>
      </w:tr>
      <w:tr w:rsidR="00FA2916" w14:paraId="43C4E58B" w14:textId="77777777" w:rsidTr="00FA2916">
        <w:tc>
          <w:tcPr>
            <w:tcW w:w="2545" w:type="dxa"/>
            <w:shd w:val="clear" w:color="auto" w:fill="auto"/>
          </w:tcPr>
          <w:p w14:paraId="5F889AC8" w14:textId="77777777" w:rsidR="00FA2916" w:rsidRPr="00FA2916" w:rsidRDefault="00FA2916" w:rsidP="00FA2916">
            <w:pPr>
              <w:spacing w:line="360" w:lineRule="auto"/>
              <w:jc w:val="both"/>
              <w:rPr>
                <w:rFonts w:ascii="David" w:hAnsi="David"/>
                <w:b/>
                <w:bCs/>
                <w:rtl/>
              </w:rPr>
            </w:pPr>
            <w:r w:rsidRPr="00FA2916">
              <w:rPr>
                <w:rFonts w:ascii="David" w:hAnsi="David" w:hint="cs"/>
                <w:b/>
                <w:bCs/>
                <w:rtl/>
              </w:rPr>
              <w:t>1992</w:t>
            </w:r>
          </w:p>
        </w:tc>
        <w:tc>
          <w:tcPr>
            <w:tcW w:w="2652" w:type="dxa"/>
            <w:shd w:val="clear" w:color="auto" w:fill="auto"/>
          </w:tcPr>
          <w:p w14:paraId="16A6C745" w14:textId="77777777" w:rsidR="00FA2916" w:rsidRPr="00FA2916" w:rsidRDefault="00FA2916" w:rsidP="00FA2916">
            <w:pPr>
              <w:spacing w:line="360" w:lineRule="auto"/>
              <w:jc w:val="both"/>
              <w:rPr>
                <w:rFonts w:ascii="David" w:hAnsi="David"/>
                <w:rtl/>
              </w:rPr>
            </w:pPr>
            <w:r w:rsidRPr="00FA2916">
              <w:rPr>
                <w:rFonts w:ascii="David" w:hAnsi="David" w:hint="cs"/>
                <w:rtl/>
              </w:rPr>
              <w:t>תקיפה והעלבת עובד ציבור</w:t>
            </w:r>
          </w:p>
        </w:tc>
        <w:tc>
          <w:tcPr>
            <w:tcW w:w="2578" w:type="dxa"/>
            <w:shd w:val="clear" w:color="auto" w:fill="auto"/>
          </w:tcPr>
          <w:p w14:paraId="17376907" w14:textId="77777777" w:rsidR="00FA2916" w:rsidRPr="00FA2916" w:rsidRDefault="00FA2916" w:rsidP="00FA2916">
            <w:pPr>
              <w:spacing w:line="360" w:lineRule="auto"/>
              <w:jc w:val="both"/>
              <w:rPr>
                <w:rFonts w:ascii="David" w:hAnsi="David"/>
                <w:rtl/>
              </w:rPr>
            </w:pPr>
            <w:r w:rsidRPr="00FA2916">
              <w:rPr>
                <w:rFonts w:ascii="David" w:hAnsi="David" w:hint="cs"/>
                <w:rtl/>
              </w:rPr>
              <w:t>מאסר על תנאי</w:t>
            </w:r>
          </w:p>
        </w:tc>
      </w:tr>
      <w:tr w:rsidR="00FA2916" w14:paraId="75BE2E5C" w14:textId="77777777" w:rsidTr="00FA2916">
        <w:tc>
          <w:tcPr>
            <w:tcW w:w="2545" w:type="dxa"/>
            <w:shd w:val="clear" w:color="auto" w:fill="auto"/>
          </w:tcPr>
          <w:p w14:paraId="73A6E195" w14:textId="77777777" w:rsidR="00FA2916" w:rsidRPr="00FA2916" w:rsidRDefault="00FA2916" w:rsidP="00FA2916">
            <w:pPr>
              <w:spacing w:line="360" w:lineRule="auto"/>
              <w:jc w:val="both"/>
              <w:rPr>
                <w:rFonts w:ascii="David" w:hAnsi="David"/>
                <w:b/>
                <w:bCs/>
                <w:rtl/>
              </w:rPr>
            </w:pPr>
            <w:r w:rsidRPr="00FA2916">
              <w:rPr>
                <w:rFonts w:ascii="David" w:hAnsi="David" w:hint="cs"/>
                <w:b/>
                <w:bCs/>
                <w:rtl/>
              </w:rPr>
              <w:t>1993</w:t>
            </w:r>
          </w:p>
        </w:tc>
        <w:tc>
          <w:tcPr>
            <w:tcW w:w="2652" w:type="dxa"/>
            <w:shd w:val="clear" w:color="auto" w:fill="auto"/>
          </w:tcPr>
          <w:p w14:paraId="6428F408" w14:textId="77777777" w:rsidR="00FA2916" w:rsidRPr="00FA2916" w:rsidRDefault="00FA2916" w:rsidP="00FA2916">
            <w:pPr>
              <w:spacing w:line="360" w:lineRule="auto"/>
              <w:jc w:val="both"/>
              <w:rPr>
                <w:rFonts w:ascii="David" w:hAnsi="David"/>
                <w:rtl/>
              </w:rPr>
            </w:pPr>
            <w:r w:rsidRPr="00FA2916">
              <w:rPr>
                <w:rFonts w:ascii="David" w:hAnsi="David" w:hint="cs"/>
                <w:rtl/>
              </w:rPr>
              <w:t>סחר בסמים</w:t>
            </w:r>
          </w:p>
        </w:tc>
        <w:tc>
          <w:tcPr>
            <w:tcW w:w="2578" w:type="dxa"/>
            <w:shd w:val="clear" w:color="auto" w:fill="auto"/>
          </w:tcPr>
          <w:p w14:paraId="1226CE1F" w14:textId="77777777" w:rsidR="00FA2916" w:rsidRPr="00FA2916" w:rsidRDefault="00FA2916" w:rsidP="00FA2916">
            <w:pPr>
              <w:spacing w:line="360" w:lineRule="auto"/>
              <w:jc w:val="both"/>
              <w:rPr>
                <w:rFonts w:ascii="David" w:hAnsi="David"/>
                <w:rtl/>
              </w:rPr>
            </w:pPr>
            <w:r w:rsidRPr="00FA2916">
              <w:rPr>
                <w:rFonts w:ascii="David" w:hAnsi="David" w:hint="cs"/>
                <w:rtl/>
              </w:rPr>
              <w:t>42 חודשי מאסר בפועל</w:t>
            </w:r>
          </w:p>
        </w:tc>
      </w:tr>
      <w:tr w:rsidR="00FA2916" w14:paraId="00A8B70C" w14:textId="77777777" w:rsidTr="00FA2916">
        <w:tc>
          <w:tcPr>
            <w:tcW w:w="2545" w:type="dxa"/>
            <w:shd w:val="clear" w:color="auto" w:fill="auto"/>
          </w:tcPr>
          <w:p w14:paraId="1C057AFB" w14:textId="77777777" w:rsidR="00FA2916" w:rsidRPr="00FA2916" w:rsidRDefault="00FA2916" w:rsidP="00FA2916">
            <w:pPr>
              <w:spacing w:line="360" w:lineRule="auto"/>
              <w:jc w:val="both"/>
              <w:rPr>
                <w:rFonts w:ascii="David" w:hAnsi="David"/>
                <w:b/>
                <w:bCs/>
                <w:rtl/>
              </w:rPr>
            </w:pPr>
            <w:r w:rsidRPr="00FA2916">
              <w:rPr>
                <w:rFonts w:ascii="David" w:hAnsi="David" w:hint="cs"/>
                <w:b/>
                <w:bCs/>
                <w:rtl/>
              </w:rPr>
              <w:t>1999</w:t>
            </w:r>
          </w:p>
        </w:tc>
        <w:tc>
          <w:tcPr>
            <w:tcW w:w="2652" w:type="dxa"/>
            <w:shd w:val="clear" w:color="auto" w:fill="auto"/>
          </w:tcPr>
          <w:p w14:paraId="194BB6E5" w14:textId="77777777" w:rsidR="00FA2916" w:rsidRPr="00FA2916" w:rsidRDefault="00FA2916" w:rsidP="00FA2916">
            <w:pPr>
              <w:spacing w:line="360" w:lineRule="auto"/>
              <w:jc w:val="both"/>
              <w:rPr>
                <w:rFonts w:ascii="David" w:hAnsi="David"/>
                <w:rtl/>
              </w:rPr>
            </w:pPr>
            <w:r w:rsidRPr="00FA2916">
              <w:rPr>
                <w:rFonts w:ascii="David" w:hAnsi="David" w:hint="cs"/>
                <w:rtl/>
              </w:rPr>
              <w:t>איומים</w:t>
            </w:r>
          </w:p>
        </w:tc>
        <w:tc>
          <w:tcPr>
            <w:tcW w:w="2578" w:type="dxa"/>
            <w:shd w:val="clear" w:color="auto" w:fill="auto"/>
          </w:tcPr>
          <w:p w14:paraId="08B41C27" w14:textId="77777777" w:rsidR="00FA2916" w:rsidRPr="00FA2916" w:rsidRDefault="00FA2916" w:rsidP="00FA2916">
            <w:pPr>
              <w:spacing w:line="360" w:lineRule="auto"/>
              <w:jc w:val="both"/>
              <w:rPr>
                <w:rFonts w:ascii="David" w:hAnsi="David"/>
                <w:rtl/>
              </w:rPr>
            </w:pPr>
            <w:r w:rsidRPr="00FA2916">
              <w:rPr>
                <w:rFonts w:ascii="David" w:hAnsi="David" w:hint="cs"/>
                <w:rtl/>
              </w:rPr>
              <w:t>מאסר על תנאי</w:t>
            </w:r>
          </w:p>
        </w:tc>
      </w:tr>
      <w:tr w:rsidR="00FA2916" w14:paraId="17C6B0AB" w14:textId="77777777" w:rsidTr="00FA2916">
        <w:tc>
          <w:tcPr>
            <w:tcW w:w="2545" w:type="dxa"/>
            <w:shd w:val="clear" w:color="auto" w:fill="auto"/>
          </w:tcPr>
          <w:p w14:paraId="638307A5" w14:textId="77777777" w:rsidR="00FA2916" w:rsidRPr="00FA2916" w:rsidRDefault="00FA2916" w:rsidP="00FA2916">
            <w:pPr>
              <w:spacing w:line="360" w:lineRule="auto"/>
              <w:jc w:val="both"/>
              <w:rPr>
                <w:rFonts w:ascii="David" w:hAnsi="David"/>
                <w:b/>
                <w:bCs/>
                <w:rtl/>
              </w:rPr>
            </w:pPr>
            <w:r w:rsidRPr="00FA2916">
              <w:rPr>
                <w:rFonts w:ascii="David" w:hAnsi="David" w:hint="cs"/>
                <w:b/>
                <w:bCs/>
                <w:rtl/>
              </w:rPr>
              <w:t>2000</w:t>
            </w:r>
          </w:p>
        </w:tc>
        <w:tc>
          <w:tcPr>
            <w:tcW w:w="2652" w:type="dxa"/>
            <w:shd w:val="clear" w:color="auto" w:fill="auto"/>
          </w:tcPr>
          <w:p w14:paraId="34C93F4D" w14:textId="77777777" w:rsidR="00FA2916" w:rsidRPr="00FA2916" w:rsidRDefault="00FA2916" w:rsidP="00FA2916">
            <w:pPr>
              <w:spacing w:line="360" w:lineRule="auto"/>
              <w:jc w:val="both"/>
              <w:rPr>
                <w:rFonts w:ascii="David" w:hAnsi="David"/>
                <w:rtl/>
              </w:rPr>
            </w:pPr>
            <w:r w:rsidRPr="00FA2916">
              <w:rPr>
                <w:rFonts w:ascii="David" w:hAnsi="David" w:hint="cs"/>
                <w:rtl/>
              </w:rPr>
              <w:t xml:space="preserve">בניה שלא כדין </w:t>
            </w:r>
          </w:p>
        </w:tc>
        <w:tc>
          <w:tcPr>
            <w:tcW w:w="2578" w:type="dxa"/>
            <w:shd w:val="clear" w:color="auto" w:fill="auto"/>
          </w:tcPr>
          <w:p w14:paraId="278E43AB" w14:textId="77777777" w:rsidR="00FA2916" w:rsidRPr="00FA2916" w:rsidRDefault="00FA2916" w:rsidP="00FA2916">
            <w:pPr>
              <w:spacing w:line="360" w:lineRule="auto"/>
              <w:jc w:val="both"/>
              <w:rPr>
                <w:rFonts w:ascii="David" w:hAnsi="David"/>
                <w:rtl/>
              </w:rPr>
            </w:pPr>
            <w:r w:rsidRPr="00FA2916">
              <w:rPr>
                <w:rFonts w:ascii="David" w:hAnsi="David" w:hint="cs"/>
                <w:rtl/>
              </w:rPr>
              <w:t xml:space="preserve">קנס </w:t>
            </w:r>
          </w:p>
        </w:tc>
      </w:tr>
      <w:tr w:rsidR="00FA2916" w14:paraId="08AD4980" w14:textId="77777777" w:rsidTr="00FA2916">
        <w:tc>
          <w:tcPr>
            <w:tcW w:w="2545" w:type="dxa"/>
            <w:shd w:val="clear" w:color="auto" w:fill="auto"/>
          </w:tcPr>
          <w:p w14:paraId="3C7456C7" w14:textId="77777777" w:rsidR="00FA2916" w:rsidRPr="00FA2916" w:rsidRDefault="00FA2916" w:rsidP="00FA2916">
            <w:pPr>
              <w:spacing w:line="360" w:lineRule="auto"/>
              <w:jc w:val="both"/>
              <w:rPr>
                <w:rFonts w:ascii="David" w:hAnsi="David"/>
                <w:b/>
                <w:bCs/>
                <w:rtl/>
              </w:rPr>
            </w:pPr>
            <w:r w:rsidRPr="00FA2916">
              <w:rPr>
                <w:rFonts w:ascii="David" w:hAnsi="David" w:hint="cs"/>
                <w:b/>
                <w:bCs/>
                <w:rtl/>
              </w:rPr>
              <w:t xml:space="preserve">2001 </w:t>
            </w:r>
          </w:p>
        </w:tc>
        <w:tc>
          <w:tcPr>
            <w:tcW w:w="2652" w:type="dxa"/>
            <w:shd w:val="clear" w:color="auto" w:fill="auto"/>
          </w:tcPr>
          <w:p w14:paraId="5631F525" w14:textId="77777777" w:rsidR="00FA2916" w:rsidRPr="00FA2916" w:rsidRDefault="00FA2916" w:rsidP="00FA2916">
            <w:pPr>
              <w:spacing w:line="360" w:lineRule="auto"/>
              <w:jc w:val="both"/>
              <w:rPr>
                <w:rFonts w:ascii="David" w:hAnsi="David"/>
                <w:rtl/>
              </w:rPr>
            </w:pPr>
            <w:r w:rsidRPr="00FA2916">
              <w:rPr>
                <w:rFonts w:ascii="David" w:hAnsi="David" w:hint="cs"/>
                <w:rtl/>
              </w:rPr>
              <w:t>סחר בסמים</w:t>
            </w:r>
          </w:p>
        </w:tc>
        <w:tc>
          <w:tcPr>
            <w:tcW w:w="2578" w:type="dxa"/>
            <w:shd w:val="clear" w:color="auto" w:fill="auto"/>
          </w:tcPr>
          <w:p w14:paraId="55967903" w14:textId="77777777" w:rsidR="00FA2916" w:rsidRPr="00FA2916" w:rsidRDefault="00FA2916" w:rsidP="00FA2916">
            <w:pPr>
              <w:spacing w:line="360" w:lineRule="auto"/>
              <w:jc w:val="both"/>
              <w:rPr>
                <w:rFonts w:ascii="David" w:hAnsi="David"/>
                <w:rtl/>
              </w:rPr>
            </w:pPr>
            <w:r w:rsidRPr="00FA2916">
              <w:rPr>
                <w:rFonts w:ascii="David" w:hAnsi="David" w:hint="cs"/>
                <w:rtl/>
              </w:rPr>
              <w:t>הארכת מאסר על תנאי</w:t>
            </w:r>
          </w:p>
        </w:tc>
      </w:tr>
      <w:tr w:rsidR="00FA2916" w14:paraId="0D889C04" w14:textId="77777777" w:rsidTr="00FA2916">
        <w:tc>
          <w:tcPr>
            <w:tcW w:w="2545" w:type="dxa"/>
            <w:shd w:val="clear" w:color="auto" w:fill="auto"/>
          </w:tcPr>
          <w:p w14:paraId="7AE96C11" w14:textId="77777777" w:rsidR="00FA2916" w:rsidRPr="00FA2916" w:rsidRDefault="00FA2916" w:rsidP="00FA2916">
            <w:pPr>
              <w:spacing w:line="360" w:lineRule="auto"/>
              <w:jc w:val="both"/>
              <w:rPr>
                <w:rFonts w:ascii="David" w:hAnsi="David"/>
                <w:b/>
                <w:bCs/>
                <w:rtl/>
              </w:rPr>
            </w:pPr>
            <w:r w:rsidRPr="00FA2916">
              <w:rPr>
                <w:rFonts w:ascii="David" w:hAnsi="David" w:hint="cs"/>
                <w:b/>
                <w:bCs/>
                <w:rtl/>
              </w:rPr>
              <w:t>2005</w:t>
            </w:r>
          </w:p>
        </w:tc>
        <w:tc>
          <w:tcPr>
            <w:tcW w:w="2652" w:type="dxa"/>
            <w:shd w:val="clear" w:color="auto" w:fill="auto"/>
          </w:tcPr>
          <w:p w14:paraId="67E3CDB2" w14:textId="77777777" w:rsidR="00FA2916" w:rsidRPr="00FA2916" w:rsidRDefault="00FA2916" w:rsidP="00FA2916">
            <w:pPr>
              <w:spacing w:line="360" w:lineRule="auto"/>
              <w:jc w:val="both"/>
              <w:rPr>
                <w:rFonts w:ascii="David" w:hAnsi="David"/>
                <w:rtl/>
              </w:rPr>
            </w:pPr>
            <w:r w:rsidRPr="00FA2916">
              <w:rPr>
                <w:rFonts w:ascii="David" w:hAnsi="David" w:hint="cs"/>
                <w:rtl/>
              </w:rPr>
              <w:t>העלבת עובד ציבור</w:t>
            </w:r>
          </w:p>
        </w:tc>
        <w:tc>
          <w:tcPr>
            <w:tcW w:w="2578" w:type="dxa"/>
            <w:shd w:val="clear" w:color="auto" w:fill="auto"/>
          </w:tcPr>
          <w:p w14:paraId="295719E1" w14:textId="77777777" w:rsidR="00FA2916" w:rsidRPr="00FA2916" w:rsidRDefault="00FA2916" w:rsidP="00FA2916">
            <w:pPr>
              <w:spacing w:line="360" w:lineRule="auto"/>
              <w:jc w:val="both"/>
              <w:rPr>
                <w:rFonts w:ascii="David" w:hAnsi="David"/>
                <w:rtl/>
              </w:rPr>
            </w:pPr>
            <w:r w:rsidRPr="00FA2916">
              <w:rPr>
                <w:rFonts w:ascii="David" w:hAnsi="David" w:hint="cs"/>
                <w:rtl/>
              </w:rPr>
              <w:t>מאסר על תנאי</w:t>
            </w:r>
          </w:p>
        </w:tc>
      </w:tr>
      <w:tr w:rsidR="00FA2916" w14:paraId="7DD33A7E" w14:textId="77777777" w:rsidTr="00FA2916">
        <w:tc>
          <w:tcPr>
            <w:tcW w:w="2545" w:type="dxa"/>
            <w:shd w:val="clear" w:color="auto" w:fill="auto"/>
          </w:tcPr>
          <w:p w14:paraId="4CD5FFAC" w14:textId="77777777" w:rsidR="00FA2916" w:rsidRPr="00FA2916" w:rsidRDefault="00FA2916" w:rsidP="00FA2916">
            <w:pPr>
              <w:spacing w:line="360" w:lineRule="auto"/>
              <w:jc w:val="both"/>
              <w:rPr>
                <w:rFonts w:ascii="David" w:hAnsi="David"/>
                <w:b/>
                <w:bCs/>
                <w:rtl/>
              </w:rPr>
            </w:pPr>
            <w:r w:rsidRPr="00FA2916">
              <w:rPr>
                <w:rFonts w:ascii="David" w:hAnsi="David" w:hint="cs"/>
                <w:b/>
                <w:bCs/>
                <w:rtl/>
              </w:rPr>
              <w:t>2007</w:t>
            </w:r>
          </w:p>
        </w:tc>
        <w:tc>
          <w:tcPr>
            <w:tcW w:w="2652" w:type="dxa"/>
            <w:shd w:val="clear" w:color="auto" w:fill="auto"/>
          </w:tcPr>
          <w:p w14:paraId="48BE487E" w14:textId="77777777" w:rsidR="00FA2916" w:rsidRPr="00FA2916" w:rsidRDefault="00FA2916" w:rsidP="00FA2916">
            <w:pPr>
              <w:spacing w:line="360" w:lineRule="auto"/>
              <w:jc w:val="both"/>
              <w:rPr>
                <w:rFonts w:ascii="David" w:hAnsi="David"/>
                <w:rtl/>
              </w:rPr>
            </w:pPr>
            <w:r w:rsidRPr="00FA2916">
              <w:rPr>
                <w:rFonts w:ascii="David" w:hAnsi="David" w:hint="cs"/>
                <w:rtl/>
              </w:rPr>
              <w:t>הפרת הוראה חוקית</w:t>
            </w:r>
          </w:p>
        </w:tc>
        <w:tc>
          <w:tcPr>
            <w:tcW w:w="2578" w:type="dxa"/>
            <w:shd w:val="clear" w:color="auto" w:fill="auto"/>
          </w:tcPr>
          <w:p w14:paraId="46EFEFE7" w14:textId="77777777" w:rsidR="00FA2916" w:rsidRPr="00FA2916" w:rsidRDefault="00FA2916" w:rsidP="00FA2916">
            <w:pPr>
              <w:spacing w:line="360" w:lineRule="auto"/>
              <w:jc w:val="both"/>
              <w:rPr>
                <w:rFonts w:ascii="David" w:hAnsi="David"/>
                <w:rtl/>
              </w:rPr>
            </w:pPr>
            <w:r w:rsidRPr="00FA2916">
              <w:rPr>
                <w:rFonts w:ascii="David" w:hAnsi="David" w:hint="cs"/>
                <w:rtl/>
              </w:rPr>
              <w:t>מאסר על תנאי</w:t>
            </w:r>
          </w:p>
        </w:tc>
      </w:tr>
      <w:tr w:rsidR="00FA2916" w14:paraId="16183FE7" w14:textId="77777777" w:rsidTr="00FA2916">
        <w:tc>
          <w:tcPr>
            <w:tcW w:w="2545" w:type="dxa"/>
            <w:shd w:val="clear" w:color="auto" w:fill="auto"/>
          </w:tcPr>
          <w:p w14:paraId="2B780237" w14:textId="77777777" w:rsidR="00FA2916" w:rsidRPr="00FA2916" w:rsidRDefault="00FA2916" w:rsidP="00FA2916">
            <w:pPr>
              <w:spacing w:line="360" w:lineRule="auto"/>
              <w:jc w:val="both"/>
              <w:rPr>
                <w:rFonts w:ascii="David" w:hAnsi="David"/>
                <w:b/>
                <w:bCs/>
                <w:rtl/>
              </w:rPr>
            </w:pPr>
            <w:r w:rsidRPr="00FA2916">
              <w:rPr>
                <w:rFonts w:ascii="David" w:hAnsi="David" w:hint="cs"/>
                <w:b/>
                <w:bCs/>
                <w:rtl/>
              </w:rPr>
              <w:t>2008</w:t>
            </w:r>
          </w:p>
        </w:tc>
        <w:tc>
          <w:tcPr>
            <w:tcW w:w="2652" w:type="dxa"/>
            <w:shd w:val="clear" w:color="auto" w:fill="auto"/>
          </w:tcPr>
          <w:p w14:paraId="35F9B6FF" w14:textId="77777777" w:rsidR="00FA2916" w:rsidRPr="00FA2916" w:rsidRDefault="00FA2916" w:rsidP="00FA2916">
            <w:pPr>
              <w:spacing w:line="360" w:lineRule="auto"/>
              <w:jc w:val="both"/>
              <w:rPr>
                <w:rFonts w:ascii="David" w:hAnsi="David"/>
                <w:rtl/>
              </w:rPr>
            </w:pPr>
            <w:r w:rsidRPr="00FA2916">
              <w:rPr>
                <w:rFonts w:ascii="David" w:hAnsi="David" w:hint="cs"/>
                <w:rtl/>
              </w:rPr>
              <w:t>איומים והפרעה לעובד ציבור</w:t>
            </w:r>
          </w:p>
        </w:tc>
        <w:tc>
          <w:tcPr>
            <w:tcW w:w="2578" w:type="dxa"/>
            <w:shd w:val="clear" w:color="auto" w:fill="auto"/>
          </w:tcPr>
          <w:p w14:paraId="47EE2542" w14:textId="77777777" w:rsidR="00FA2916" w:rsidRPr="00FA2916" w:rsidRDefault="00FA2916" w:rsidP="00FA2916">
            <w:pPr>
              <w:spacing w:line="360" w:lineRule="auto"/>
              <w:jc w:val="both"/>
              <w:rPr>
                <w:rFonts w:ascii="David" w:hAnsi="David"/>
                <w:rtl/>
              </w:rPr>
            </w:pPr>
            <w:r w:rsidRPr="00FA2916">
              <w:rPr>
                <w:rFonts w:ascii="David" w:hAnsi="David" w:hint="cs"/>
                <w:rtl/>
              </w:rPr>
              <w:t>מאסר על תנאי</w:t>
            </w:r>
          </w:p>
        </w:tc>
      </w:tr>
      <w:tr w:rsidR="00FA2916" w14:paraId="26C86E76" w14:textId="77777777" w:rsidTr="00FA2916">
        <w:tc>
          <w:tcPr>
            <w:tcW w:w="2545" w:type="dxa"/>
            <w:shd w:val="clear" w:color="auto" w:fill="auto"/>
          </w:tcPr>
          <w:p w14:paraId="3B583C1D" w14:textId="77777777" w:rsidR="00FA2916" w:rsidRPr="00FA2916" w:rsidRDefault="00FA2916" w:rsidP="00FA2916">
            <w:pPr>
              <w:spacing w:line="360" w:lineRule="auto"/>
              <w:jc w:val="both"/>
              <w:rPr>
                <w:rFonts w:ascii="David" w:hAnsi="David"/>
                <w:b/>
                <w:bCs/>
                <w:rtl/>
              </w:rPr>
            </w:pPr>
            <w:r w:rsidRPr="00FA2916">
              <w:rPr>
                <w:rFonts w:ascii="David" w:hAnsi="David" w:hint="cs"/>
                <w:b/>
                <w:bCs/>
                <w:rtl/>
              </w:rPr>
              <w:t>2014</w:t>
            </w:r>
          </w:p>
        </w:tc>
        <w:tc>
          <w:tcPr>
            <w:tcW w:w="2652" w:type="dxa"/>
            <w:shd w:val="clear" w:color="auto" w:fill="auto"/>
          </w:tcPr>
          <w:p w14:paraId="4306EB0B" w14:textId="77777777" w:rsidR="00FA2916" w:rsidRPr="00FA2916" w:rsidRDefault="00FA2916" w:rsidP="00FA2916">
            <w:pPr>
              <w:spacing w:line="360" w:lineRule="auto"/>
              <w:jc w:val="both"/>
              <w:rPr>
                <w:rFonts w:ascii="David" w:hAnsi="David"/>
                <w:rtl/>
              </w:rPr>
            </w:pPr>
            <w:r w:rsidRPr="00FA2916">
              <w:rPr>
                <w:rFonts w:ascii="David" w:hAnsi="David" w:hint="cs"/>
                <w:rtl/>
              </w:rPr>
              <w:t>איומים</w:t>
            </w:r>
          </w:p>
        </w:tc>
        <w:tc>
          <w:tcPr>
            <w:tcW w:w="2578" w:type="dxa"/>
            <w:shd w:val="clear" w:color="auto" w:fill="auto"/>
          </w:tcPr>
          <w:p w14:paraId="7B73DBE9" w14:textId="77777777" w:rsidR="00FA2916" w:rsidRPr="00FA2916" w:rsidRDefault="00FA2916" w:rsidP="00FA2916">
            <w:pPr>
              <w:spacing w:line="360" w:lineRule="auto"/>
              <w:jc w:val="both"/>
              <w:rPr>
                <w:rFonts w:ascii="David" w:hAnsi="David"/>
                <w:rtl/>
              </w:rPr>
            </w:pPr>
            <w:r w:rsidRPr="00FA2916">
              <w:rPr>
                <w:rFonts w:ascii="David" w:hAnsi="David" w:hint="cs"/>
                <w:rtl/>
              </w:rPr>
              <w:t>חודשיים מאסר בפועל</w:t>
            </w:r>
          </w:p>
        </w:tc>
      </w:tr>
      <w:tr w:rsidR="00FA2916" w14:paraId="067847CB" w14:textId="77777777" w:rsidTr="00FA2916">
        <w:tc>
          <w:tcPr>
            <w:tcW w:w="2545" w:type="dxa"/>
            <w:shd w:val="clear" w:color="auto" w:fill="auto"/>
          </w:tcPr>
          <w:p w14:paraId="72425F3C" w14:textId="77777777" w:rsidR="00FA2916" w:rsidRPr="00FA2916" w:rsidRDefault="00FA2916" w:rsidP="00FA2916">
            <w:pPr>
              <w:spacing w:line="360" w:lineRule="auto"/>
              <w:jc w:val="both"/>
              <w:rPr>
                <w:rFonts w:ascii="David" w:hAnsi="David"/>
                <w:b/>
                <w:bCs/>
                <w:rtl/>
              </w:rPr>
            </w:pPr>
            <w:r w:rsidRPr="00FA2916">
              <w:rPr>
                <w:rFonts w:ascii="David" w:hAnsi="David" w:hint="cs"/>
                <w:b/>
                <w:bCs/>
                <w:rtl/>
              </w:rPr>
              <w:t>2014</w:t>
            </w:r>
          </w:p>
        </w:tc>
        <w:tc>
          <w:tcPr>
            <w:tcW w:w="2652" w:type="dxa"/>
            <w:shd w:val="clear" w:color="auto" w:fill="auto"/>
          </w:tcPr>
          <w:p w14:paraId="774C6DBD" w14:textId="77777777" w:rsidR="00FA2916" w:rsidRPr="00FA2916" w:rsidRDefault="00FA2916" w:rsidP="00FA2916">
            <w:pPr>
              <w:spacing w:line="360" w:lineRule="auto"/>
              <w:jc w:val="both"/>
              <w:rPr>
                <w:rFonts w:ascii="David" w:hAnsi="David"/>
                <w:rtl/>
              </w:rPr>
            </w:pPr>
            <w:r w:rsidRPr="00FA2916">
              <w:rPr>
                <w:rFonts w:ascii="David" w:hAnsi="David" w:hint="cs"/>
                <w:rtl/>
              </w:rPr>
              <w:t>פציעה</w:t>
            </w:r>
          </w:p>
        </w:tc>
        <w:tc>
          <w:tcPr>
            <w:tcW w:w="2578" w:type="dxa"/>
            <w:shd w:val="clear" w:color="auto" w:fill="auto"/>
          </w:tcPr>
          <w:p w14:paraId="4A1AF00F" w14:textId="77777777" w:rsidR="00FA2916" w:rsidRPr="00FA2916" w:rsidRDefault="00FA2916" w:rsidP="00FA2916">
            <w:pPr>
              <w:spacing w:line="360" w:lineRule="auto"/>
              <w:jc w:val="both"/>
              <w:rPr>
                <w:rFonts w:ascii="David" w:hAnsi="David"/>
                <w:rtl/>
              </w:rPr>
            </w:pPr>
            <w:r w:rsidRPr="00FA2916">
              <w:rPr>
                <w:rFonts w:ascii="David" w:hAnsi="David" w:hint="cs"/>
                <w:rtl/>
              </w:rPr>
              <w:t>7 חודשי מאסר בפועל</w:t>
            </w:r>
          </w:p>
        </w:tc>
      </w:tr>
    </w:tbl>
    <w:p w14:paraId="4F66F024" w14:textId="77777777" w:rsidR="00FA2916" w:rsidRDefault="00FA2916" w:rsidP="00FA2916">
      <w:pPr>
        <w:spacing w:line="360" w:lineRule="auto"/>
        <w:ind w:left="720" w:hanging="720"/>
        <w:jc w:val="both"/>
        <w:rPr>
          <w:rFonts w:ascii="David" w:hAnsi="David"/>
          <w:rtl/>
        </w:rPr>
      </w:pPr>
    </w:p>
    <w:p w14:paraId="3B17742A" w14:textId="77777777" w:rsidR="00FA2916" w:rsidRDefault="00FA2916" w:rsidP="00FA2916">
      <w:pPr>
        <w:spacing w:line="360" w:lineRule="auto"/>
        <w:ind w:left="720" w:hanging="720"/>
        <w:jc w:val="both"/>
        <w:rPr>
          <w:rFonts w:ascii="David" w:hAnsi="David"/>
          <w:rtl/>
        </w:rPr>
      </w:pPr>
      <w:r>
        <w:rPr>
          <w:rFonts w:ascii="David" w:hAnsi="David" w:hint="cs"/>
          <w:rtl/>
        </w:rPr>
        <w:t>19.</w:t>
      </w:r>
      <w:r>
        <w:rPr>
          <w:rFonts w:ascii="David" w:hAnsi="David"/>
          <w:rtl/>
        </w:rPr>
        <w:tab/>
      </w:r>
      <w:r>
        <w:rPr>
          <w:rFonts w:ascii="David" w:hAnsi="David" w:hint="cs"/>
          <w:rtl/>
        </w:rPr>
        <w:t xml:space="preserve">עינינו הרואות שמאז שנת 1983 ועד שנת 2014, הנאשם ביצע סדרה של עבירות בתחום הרכוש, האלימות והסמים. יוזכר, בשנת 1986 הורשע בעבירה של החזקת נשק ונדון לתקופת מאסר בפועל של שנתיים וחצי. מדובר ברישום פלילי משמעותי שפועל לחובתו של הנאשם ואשר מצדיק החמרה בעונשו. </w:t>
      </w:r>
    </w:p>
    <w:p w14:paraId="0DD035FE" w14:textId="77777777" w:rsidR="00FA2916" w:rsidRDefault="00FA2916" w:rsidP="00FA2916">
      <w:pPr>
        <w:spacing w:line="360" w:lineRule="auto"/>
        <w:ind w:left="720" w:hanging="720"/>
        <w:jc w:val="both"/>
        <w:rPr>
          <w:rFonts w:ascii="David" w:hAnsi="David"/>
          <w:rtl/>
        </w:rPr>
      </w:pPr>
    </w:p>
    <w:p w14:paraId="07B416BC" w14:textId="77777777" w:rsidR="00FA2916" w:rsidRDefault="00FA2916" w:rsidP="00FA2916">
      <w:pPr>
        <w:spacing w:line="360" w:lineRule="auto"/>
        <w:ind w:left="720" w:hanging="720"/>
        <w:jc w:val="both"/>
        <w:rPr>
          <w:rFonts w:ascii="David" w:hAnsi="David"/>
          <w:rtl/>
        </w:rPr>
      </w:pPr>
      <w:r>
        <w:rPr>
          <w:rFonts w:ascii="David" w:hAnsi="David" w:hint="cs"/>
          <w:rtl/>
        </w:rPr>
        <w:t>20.</w:t>
      </w:r>
      <w:r>
        <w:rPr>
          <w:rFonts w:ascii="David" w:hAnsi="David" w:hint="cs"/>
          <w:rtl/>
        </w:rPr>
        <w:tab/>
      </w:r>
      <w:r w:rsidRPr="000B1737">
        <w:rPr>
          <w:rFonts w:ascii="David" w:hAnsi="David" w:hint="cs"/>
          <w:b/>
          <w:bCs/>
          <w:u w:val="single"/>
          <w:rtl/>
        </w:rPr>
        <w:t>לקולא</w:t>
      </w:r>
      <w:r>
        <w:rPr>
          <w:rFonts w:ascii="David" w:hAnsi="David" w:hint="cs"/>
          <w:rtl/>
        </w:rPr>
        <w:t>, לקחתי בחשבון את גילו של הנאשם, שכיום הוא בן 59 שנים, והיותו אב לילדים וסב לנכדים. בנוסף, לקחתי בחשבון את נסיבות הכניסה של השוטרים לביתו כפי שהדבר פורט בהרחבה בהכרעת הדין המקורית שנתתי. ולבסוף, לקחתי בחשבון גם את מה שכונה על ידי הנאשם כ-"רכבת ההרים" של גלגוליו של תיק זה. יובהר, הביטוי "רכבת הרים", כשיקול לקולא, נלקח על ידי הנאשם מתוך דברי כבוד השופט שטיין ב-</w:t>
      </w:r>
      <w:hyperlink r:id="rId28" w:history="1">
        <w:r w:rsidR="002957D0" w:rsidRPr="002957D0">
          <w:rPr>
            <w:rFonts w:ascii="David" w:hAnsi="David"/>
            <w:color w:val="0000FF"/>
            <w:u w:val="single"/>
            <w:rtl/>
          </w:rPr>
          <w:t>ע"פ 7097/20</w:t>
        </w:r>
      </w:hyperlink>
      <w:r>
        <w:rPr>
          <w:rFonts w:ascii="David" w:hAnsi="David" w:hint="cs"/>
          <w:rtl/>
        </w:rPr>
        <w:t xml:space="preserve"> </w:t>
      </w:r>
      <w:r w:rsidRPr="005713B4">
        <w:rPr>
          <w:rFonts w:ascii="David" w:hAnsi="David" w:hint="cs"/>
          <w:b/>
          <w:bCs/>
          <w:rtl/>
        </w:rPr>
        <w:t>מדינת ישראל נ' שטרית</w:t>
      </w:r>
      <w:r>
        <w:rPr>
          <w:rFonts w:ascii="David" w:hAnsi="David" w:hint="cs"/>
          <w:rtl/>
        </w:rPr>
        <w:t xml:space="preserve"> (פורסם בנבו, 25.12.20) פסקה 4. </w:t>
      </w:r>
    </w:p>
    <w:p w14:paraId="22D8EC63" w14:textId="77777777" w:rsidR="00FA2916" w:rsidRDefault="00FA2916" w:rsidP="00FA2916">
      <w:pPr>
        <w:spacing w:line="360" w:lineRule="auto"/>
        <w:ind w:left="720" w:hanging="720"/>
        <w:jc w:val="both"/>
        <w:rPr>
          <w:rFonts w:ascii="David" w:hAnsi="David"/>
          <w:rtl/>
        </w:rPr>
      </w:pPr>
    </w:p>
    <w:p w14:paraId="76F14D61" w14:textId="77777777" w:rsidR="00FA2916" w:rsidRDefault="00FA2916" w:rsidP="00FA2916">
      <w:pPr>
        <w:spacing w:line="360" w:lineRule="auto"/>
        <w:ind w:left="720" w:hanging="720"/>
        <w:jc w:val="both"/>
        <w:rPr>
          <w:rFonts w:ascii="David" w:hAnsi="David"/>
          <w:rtl/>
        </w:rPr>
      </w:pPr>
      <w:r>
        <w:rPr>
          <w:rFonts w:ascii="David" w:hAnsi="David" w:hint="cs"/>
          <w:rtl/>
        </w:rPr>
        <w:t>21.</w:t>
      </w:r>
      <w:r>
        <w:rPr>
          <w:rFonts w:ascii="David" w:hAnsi="David" w:hint="cs"/>
          <w:rtl/>
        </w:rPr>
        <w:tab/>
        <w:t xml:space="preserve">לאור כל האמור לעיל, הנני משית על הנאשם את העונשים הבאים: </w:t>
      </w:r>
    </w:p>
    <w:p w14:paraId="22328404" w14:textId="77777777" w:rsidR="00FA2916" w:rsidRDefault="00FA2916" w:rsidP="00FA2916">
      <w:pPr>
        <w:spacing w:line="360" w:lineRule="auto"/>
        <w:ind w:left="720" w:hanging="720"/>
        <w:jc w:val="both"/>
        <w:rPr>
          <w:rFonts w:ascii="David" w:hAnsi="David"/>
          <w:rtl/>
        </w:rPr>
      </w:pPr>
    </w:p>
    <w:p w14:paraId="06FF5803" w14:textId="77777777" w:rsidR="00FA2916" w:rsidRDefault="00FA2916" w:rsidP="00FA2916">
      <w:pPr>
        <w:pStyle w:val="a9"/>
        <w:numPr>
          <w:ilvl w:val="0"/>
          <w:numId w:val="1"/>
        </w:numPr>
        <w:spacing w:line="360" w:lineRule="auto"/>
        <w:jc w:val="both"/>
        <w:rPr>
          <w:rFonts w:ascii="David" w:hAnsi="David"/>
        </w:rPr>
      </w:pPr>
      <w:r>
        <w:rPr>
          <w:rFonts w:ascii="David" w:hAnsi="David" w:hint="cs"/>
          <w:rtl/>
        </w:rPr>
        <w:t xml:space="preserve">20 חודשי מאסר בפועל וזאת בניכוי ימי מעצרו מיום 28.1.20 ועד ליום 6.8.20. </w:t>
      </w:r>
    </w:p>
    <w:p w14:paraId="0CE0144E" w14:textId="77777777" w:rsidR="00FA2916" w:rsidRPr="00754897" w:rsidRDefault="00FA2916" w:rsidP="00FA2916">
      <w:pPr>
        <w:pStyle w:val="a9"/>
        <w:spacing w:line="360" w:lineRule="auto"/>
        <w:ind w:left="1080"/>
        <w:jc w:val="both"/>
        <w:rPr>
          <w:rFonts w:ascii="David" w:hAnsi="David"/>
        </w:rPr>
      </w:pPr>
    </w:p>
    <w:p w14:paraId="0B77A412" w14:textId="77777777" w:rsidR="00FA2916" w:rsidRDefault="00FA2916" w:rsidP="00FA2916">
      <w:pPr>
        <w:pStyle w:val="a9"/>
        <w:numPr>
          <w:ilvl w:val="0"/>
          <w:numId w:val="1"/>
        </w:numPr>
        <w:spacing w:line="360" w:lineRule="auto"/>
        <w:jc w:val="both"/>
        <w:rPr>
          <w:rFonts w:ascii="David" w:hAnsi="David"/>
        </w:rPr>
      </w:pPr>
      <w:r>
        <w:rPr>
          <w:rFonts w:ascii="David" w:hAnsi="David" w:hint="cs"/>
          <w:rtl/>
        </w:rPr>
        <w:t xml:space="preserve">8 חודשי מאסר על תנאי והתנאי הוא שבמשך 3 שנים ממועד שחרורו, הנאשם לא יבצע עבירה לפי </w:t>
      </w:r>
      <w:hyperlink r:id="rId29" w:history="1">
        <w:r w:rsidR="004B4E2C" w:rsidRPr="004B4E2C">
          <w:rPr>
            <w:rStyle w:val="Hyperlink"/>
            <w:rFonts w:ascii="David" w:hAnsi="David" w:hint="eastAsia"/>
            <w:rtl/>
          </w:rPr>
          <w:t>סעיף</w:t>
        </w:r>
        <w:r w:rsidR="004B4E2C" w:rsidRPr="004B4E2C">
          <w:rPr>
            <w:rStyle w:val="Hyperlink"/>
            <w:rFonts w:ascii="David" w:hAnsi="David"/>
            <w:rtl/>
          </w:rPr>
          <w:t xml:space="preserve"> 144</w:t>
        </w:r>
      </w:hyperlink>
      <w:r>
        <w:rPr>
          <w:rFonts w:ascii="David" w:hAnsi="David" w:hint="cs"/>
          <w:rtl/>
        </w:rPr>
        <w:t xml:space="preserve"> ל</w:t>
      </w:r>
      <w:hyperlink r:id="rId30" w:history="1">
        <w:r w:rsidR="002957D0" w:rsidRPr="002957D0">
          <w:rPr>
            <w:rFonts w:ascii="David" w:hAnsi="David"/>
            <w:color w:val="0000FF"/>
            <w:u w:val="single"/>
            <w:rtl/>
          </w:rPr>
          <w:t>חוק העונשין</w:t>
        </w:r>
      </w:hyperlink>
      <w:r>
        <w:rPr>
          <w:rFonts w:ascii="David" w:hAnsi="David" w:hint="cs"/>
          <w:rtl/>
        </w:rPr>
        <w:t xml:space="preserve"> או לפי </w:t>
      </w:r>
      <w:hyperlink r:id="rId31" w:history="1">
        <w:r w:rsidR="004B4E2C" w:rsidRPr="004B4E2C">
          <w:rPr>
            <w:rStyle w:val="Hyperlink"/>
            <w:rFonts w:ascii="David" w:hAnsi="David" w:hint="eastAsia"/>
            <w:rtl/>
          </w:rPr>
          <w:t>סעיף</w:t>
        </w:r>
        <w:r w:rsidR="004B4E2C" w:rsidRPr="004B4E2C">
          <w:rPr>
            <w:rStyle w:val="Hyperlink"/>
            <w:rFonts w:ascii="David" w:hAnsi="David"/>
            <w:rtl/>
          </w:rPr>
          <w:t xml:space="preserve"> 244</w:t>
        </w:r>
      </w:hyperlink>
      <w:r>
        <w:rPr>
          <w:rFonts w:ascii="David" w:hAnsi="David" w:hint="cs"/>
          <w:rtl/>
        </w:rPr>
        <w:t xml:space="preserve"> לחוק העונשין. </w:t>
      </w:r>
    </w:p>
    <w:p w14:paraId="07DDEEB4" w14:textId="77777777" w:rsidR="00FA2916" w:rsidRPr="00754897" w:rsidRDefault="00FA2916" w:rsidP="00FA2916">
      <w:pPr>
        <w:pStyle w:val="a9"/>
        <w:spacing w:line="360" w:lineRule="auto"/>
        <w:ind w:left="1080"/>
        <w:jc w:val="both"/>
        <w:rPr>
          <w:rFonts w:ascii="David" w:hAnsi="David"/>
        </w:rPr>
      </w:pPr>
    </w:p>
    <w:p w14:paraId="681B30A7" w14:textId="77777777" w:rsidR="00FA2916" w:rsidRDefault="00FA2916" w:rsidP="00FA2916">
      <w:pPr>
        <w:pStyle w:val="a9"/>
        <w:numPr>
          <w:ilvl w:val="0"/>
          <w:numId w:val="1"/>
        </w:numPr>
        <w:spacing w:line="360" w:lineRule="auto"/>
      </w:pPr>
      <w:r>
        <w:rPr>
          <w:rFonts w:hint="cs"/>
          <w:rtl/>
        </w:rPr>
        <w:t>הנאשם ישלם קנס בסך 7,000 ₪</w:t>
      </w:r>
      <w:r w:rsidRPr="005C4D2F">
        <w:rPr>
          <w:rFonts w:hint="cs"/>
          <w:rtl/>
        </w:rPr>
        <w:t xml:space="preserve">, או  </w:t>
      </w:r>
      <w:r>
        <w:rPr>
          <w:rFonts w:hint="cs"/>
          <w:rtl/>
        </w:rPr>
        <w:t>20</w:t>
      </w:r>
      <w:r w:rsidRPr="005C4D2F">
        <w:rPr>
          <w:rFonts w:hint="cs"/>
          <w:rtl/>
        </w:rPr>
        <w:t xml:space="preserve">  ימי מאסר תמורתו. </w:t>
      </w:r>
    </w:p>
    <w:p w14:paraId="76265885" w14:textId="77777777" w:rsidR="00FA2916" w:rsidRDefault="00FA2916" w:rsidP="00FA2916">
      <w:pPr>
        <w:spacing w:line="360" w:lineRule="auto"/>
        <w:ind w:left="1080"/>
        <w:rPr>
          <w:rtl/>
        </w:rPr>
      </w:pPr>
      <w:r w:rsidRPr="005C4D2F">
        <w:rPr>
          <w:rFonts w:hint="cs"/>
          <w:rtl/>
        </w:rPr>
        <w:t xml:space="preserve">הקנס ישולם ב- </w:t>
      </w:r>
      <w:r>
        <w:rPr>
          <w:rFonts w:hint="cs"/>
          <w:rtl/>
        </w:rPr>
        <w:t>10</w:t>
      </w:r>
      <w:r w:rsidRPr="005C4D2F">
        <w:rPr>
          <w:rFonts w:hint="cs"/>
          <w:rtl/>
        </w:rPr>
        <w:t xml:space="preserve"> תשלומים חודשי</w:t>
      </w:r>
      <w:r>
        <w:rPr>
          <w:rFonts w:hint="cs"/>
          <w:rtl/>
        </w:rPr>
        <w:t>י</w:t>
      </w:r>
      <w:r w:rsidRPr="005C4D2F">
        <w:rPr>
          <w:rFonts w:hint="cs"/>
          <w:rtl/>
        </w:rPr>
        <w:t xml:space="preserve">ם שווים ורצופים כאשר הראשון שבהם עד ליום </w:t>
      </w:r>
      <w:r>
        <w:rPr>
          <w:rFonts w:hint="cs"/>
          <w:rtl/>
        </w:rPr>
        <w:t>1.2.2022</w:t>
      </w:r>
      <w:r w:rsidRPr="005C4D2F">
        <w:rPr>
          <w:rFonts w:hint="cs"/>
          <w:rtl/>
        </w:rPr>
        <w:t xml:space="preserve"> והיתרה ב-1 לכל חודש שלאחריו. היה ואחד התשלומים לא ישולם במועד, אזי יעמוד מלוא סכום הקנס לפ</w:t>
      </w:r>
      <w:r>
        <w:rPr>
          <w:rFonts w:hint="cs"/>
          <w:rtl/>
        </w:rPr>
        <w:t>י</w:t>
      </w:r>
      <w:r w:rsidRPr="005C4D2F">
        <w:rPr>
          <w:rFonts w:hint="cs"/>
          <w:rtl/>
        </w:rPr>
        <w:t xml:space="preserve">רעון מידי. </w:t>
      </w:r>
    </w:p>
    <w:p w14:paraId="381EEF10" w14:textId="77777777" w:rsidR="00FA2916" w:rsidRDefault="00FA2916" w:rsidP="00FA2916">
      <w:pPr>
        <w:spacing w:line="360" w:lineRule="auto"/>
        <w:rPr>
          <w:rtl/>
        </w:rPr>
      </w:pPr>
    </w:p>
    <w:p w14:paraId="15C5FF53" w14:textId="77777777" w:rsidR="00FA2916" w:rsidRDefault="002957D0" w:rsidP="00FA2916">
      <w:pPr>
        <w:spacing w:line="360" w:lineRule="auto"/>
        <w:rPr>
          <w:rFonts w:ascii="David" w:hAnsi="David"/>
          <w:rtl/>
        </w:rPr>
      </w:pPr>
      <w:r w:rsidRPr="002957D0">
        <w:rPr>
          <w:color w:val="FFFFFF"/>
          <w:sz w:val="2"/>
          <w:szCs w:val="2"/>
          <w:rtl/>
        </w:rPr>
        <w:t>5129371</w:t>
      </w:r>
      <w:r w:rsidR="00FA2916">
        <w:rPr>
          <w:rFonts w:hint="cs"/>
          <w:rtl/>
        </w:rPr>
        <w:t xml:space="preserve">זכות ערעור תוך 45 יום. </w:t>
      </w:r>
    </w:p>
    <w:p w14:paraId="67E0C3B4" w14:textId="77777777" w:rsidR="00FA2916" w:rsidRPr="002957D0" w:rsidRDefault="002957D0" w:rsidP="00FA2916">
      <w:pPr>
        <w:spacing w:line="360" w:lineRule="auto"/>
        <w:ind w:left="720" w:hanging="720"/>
        <w:jc w:val="both"/>
        <w:rPr>
          <w:rFonts w:ascii="David" w:hAnsi="David"/>
          <w:color w:val="FFFFFF"/>
          <w:sz w:val="2"/>
          <w:szCs w:val="2"/>
          <w:rtl/>
        </w:rPr>
      </w:pPr>
      <w:r w:rsidRPr="002957D0">
        <w:rPr>
          <w:rFonts w:ascii="David" w:hAnsi="David"/>
          <w:color w:val="FFFFFF"/>
          <w:sz w:val="2"/>
          <w:szCs w:val="2"/>
          <w:rtl/>
        </w:rPr>
        <w:t>54678313</w:t>
      </w:r>
    </w:p>
    <w:p w14:paraId="34C0C534" w14:textId="77777777" w:rsidR="00FA2916" w:rsidRPr="002B7D23" w:rsidRDefault="00FA2916" w:rsidP="00FA2916">
      <w:pPr>
        <w:rPr>
          <w:rFonts w:ascii="David" w:hAnsi="David"/>
          <w:sz w:val="26"/>
          <w:szCs w:val="26"/>
          <w:rtl/>
        </w:rPr>
      </w:pPr>
    </w:p>
    <w:p w14:paraId="625A3C8C" w14:textId="77777777" w:rsidR="00FA2916" w:rsidRPr="002B7D23" w:rsidRDefault="002957D0" w:rsidP="00FA2916">
      <w:pPr>
        <w:rPr>
          <w:rFonts w:ascii="David" w:hAnsi="David"/>
          <w:sz w:val="26"/>
          <w:szCs w:val="26"/>
          <w:rtl/>
        </w:rPr>
      </w:pPr>
      <w:bookmarkStart w:id="8" w:name="Nitan"/>
      <w:r>
        <w:rPr>
          <w:rFonts w:ascii="David" w:hAnsi="David"/>
          <w:sz w:val="26"/>
          <w:szCs w:val="26"/>
          <w:rtl/>
        </w:rPr>
        <w:t xml:space="preserve">ניתן היום,  י"ט כסלו תשפ"ב, 23 נובמבר 2021, במעמד הצדדים. </w:t>
      </w:r>
      <w:bookmarkEnd w:id="8"/>
    </w:p>
    <w:p w14:paraId="3AD1ACD6" w14:textId="77777777" w:rsidR="00FA2916" w:rsidRPr="002B7D23" w:rsidRDefault="00FA2916" w:rsidP="002957D0">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18E06FC0" w14:textId="77777777" w:rsidR="00FA2916" w:rsidRPr="002B7D23" w:rsidRDefault="00FA2916" w:rsidP="00FA2916">
      <w:pPr>
        <w:jc w:val="center"/>
        <w:rPr>
          <w:rFonts w:ascii="David" w:hAnsi="David"/>
          <w:sz w:val="26"/>
          <w:szCs w:val="26"/>
          <w:rtl/>
        </w:rPr>
      </w:pPr>
    </w:p>
    <w:p w14:paraId="752BE2B4" w14:textId="77777777" w:rsidR="00DD3879" w:rsidRPr="002957D0" w:rsidRDefault="00DD3879" w:rsidP="002957D0">
      <w:pPr>
        <w:keepNext/>
        <w:rPr>
          <w:rFonts w:ascii="David" w:hAnsi="David"/>
          <w:color w:val="000000"/>
          <w:sz w:val="22"/>
          <w:szCs w:val="22"/>
          <w:rtl/>
        </w:rPr>
      </w:pPr>
    </w:p>
    <w:p w14:paraId="2FA4F7F2" w14:textId="77777777" w:rsidR="002957D0" w:rsidRPr="002957D0" w:rsidRDefault="002957D0" w:rsidP="002957D0">
      <w:pPr>
        <w:keepNext/>
        <w:rPr>
          <w:rFonts w:ascii="David" w:hAnsi="David"/>
          <w:color w:val="000000"/>
          <w:sz w:val="22"/>
          <w:szCs w:val="22"/>
          <w:rtl/>
        </w:rPr>
      </w:pPr>
      <w:r w:rsidRPr="002957D0">
        <w:rPr>
          <w:rFonts w:ascii="David" w:hAnsi="David"/>
          <w:color w:val="000000"/>
          <w:sz w:val="22"/>
          <w:szCs w:val="22"/>
          <w:rtl/>
        </w:rPr>
        <w:t>הישאם אבו שחאדה 54678313</w:t>
      </w:r>
    </w:p>
    <w:p w14:paraId="66C8CFC2" w14:textId="77777777" w:rsidR="002957D0" w:rsidRDefault="002957D0" w:rsidP="002957D0">
      <w:r w:rsidRPr="002957D0">
        <w:rPr>
          <w:color w:val="000000"/>
          <w:rtl/>
        </w:rPr>
        <w:t>נוסח מסמך זה כפוף לשינויי ניסוח ועריכה</w:t>
      </w:r>
    </w:p>
    <w:p w14:paraId="40D7454E" w14:textId="77777777" w:rsidR="002957D0" w:rsidRDefault="002957D0" w:rsidP="002957D0">
      <w:pPr>
        <w:rPr>
          <w:rtl/>
        </w:rPr>
      </w:pPr>
    </w:p>
    <w:p w14:paraId="1D8A9688" w14:textId="77777777" w:rsidR="002957D0" w:rsidRDefault="002957D0" w:rsidP="002957D0">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68BDA709" w14:textId="77777777" w:rsidR="002957D0" w:rsidRPr="002957D0" w:rsidRDefault="002957D0" w:rsidP="002957D0">
      <w:pPr>
        <w:jc w:val="center"/>
        <w:rPr>
          <w:color w:val="0000FF"/>
          <w:u w:val="single"/>
        </w:rPr>
      </w:pPr>
    </w:p>
    <w:sectPr w:rsidR="002957D0" w:rsidRPr="002957D0" w:rsidSect="002957D0">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E5E9DE" w14:textId="77777777" w:rsidR="00565439" w:rsidRDefault="00565439" w:rsidP="002A5386">
      <w:r>
        <w:separator/>
      </w:r>
    </w:p>
  </w:endnote>
  <w:endnote w:type="continuationSeparator" w:id="0">
    <w:p w14:paraId="49624C2C" w14:textId="77777777" w:rsidR="00565439" w:rsidRDefault="00565439" w:rsidP="002A5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D56380" w14:textId="77777777" w:rsidR="002957D0" w:rsidRDefault="002957D0" w:rsidP="002957D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656E8B5" w14:textId="77777777" w:rsidR="00341284" w:rsidRPr="002957D0" w:rsidRDefault="002957D0" w:rsidP="002957D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7E5835" w14:textId="77777777" w:rsidR="002957D0" w:rsidRDefault="002957D0" w:rsidP="002957D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F4A32">
      <w:rPr>
        <w:rFonts w:ascii="FrankRuehl" w:hAnsi="FrankRuehl" w:cs="FrankRuehl"/>
        <w:noProof/>
        <w:rtl/>
      </w:rPr>
      <w:t>1</w:t>
    </w:r>
    <w:r>
      <w:rPr>
        <w:rFonts w:ascii="FrankRuehl" w:hAnsi="FrankRuehl" w:cs="FrankRuehl"/>
        <w:rtl/>
      </w:rPr>
      <w:fldChar w:fldCharType="end"/>
    </w:r>
  </w:p>
  <w:p w14:paraId="720A9310" w14:textId="77777777" w:rsidR="00341284" w:rsidRPr="002957D0" w:rsidRDefault="002957D0" w:rsidP="002957D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383D8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B8FEE8" w14:textId="77777777" w:rsidR="00565439" w:rsidRDefault="00565439" w:rsidP="002A5386">
      <w:r>
        <w:separator/>
      </w:r>
    </w:p>
  </w:footnote>
  <w:footnote w:type="continuationSeparator" w:id="0">
    <w:p w14:paraId="5D747577" w14:textId="77777777" w:rsidR="00565439" w:rsidRDefault="00565439" w:rsidP="002A5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5962F" w14:textId="77777777" w:rsidR="002957D0" w:rsidRPr="002957D0" w:rsidRDefault="002957D0" w:rsidP="002957D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8254-02-20</w:t>
    </w:r>
    <w:r>
      <w:rPr>
        <w:rFonts w:ascii="David" w:hAnsi="David"/>
        <w:color w:val="000000"/>
        <w:sz w:val="22"/>
        <w:szCs w:val="22"/>
        <w:rtl/>
      </w:rPr>
      <w:tab/>
      <w:t xml:space="preserve"> מדינת ישראל נ' עלי שעבאן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56B6BC" w14:textId="77777777" w:rsidR="002957D0" w:rsidRPr="002957D0" w:rsidRDefault="002957D0" w:rsidP="002957D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8254-02-20</w:t>
    </w:r>
    <w:r>
      <w:rPr>
        <w:rFonts w:ascii="David" w:hAnsi="David"/>
        <w:color w:val="000000"/>
        <w:sz w:val="22"/>
        <w:szCs w:val="22"/>
        <w:rtl/>
      </w:rPr>
      <w:tab/>
      <w:t xml:space="preserve"> מדינת ישראל נ' עלי שעבאן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D72CDA"/>
    <w:multiLevelType w:val="hybridMultilevel"/>
    <w:tmpl w:val="EDF0AB78"/>
    <w:lvl w:ilvl="0" w:tplc="64A8031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81522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A2916"/>
    <w:rsid w:val="00181A04"/>
    <w:rsid w:val="00285EE8"/>
    <w:rsid w:val="002957D0"/>
    <w:rsid w:val="002A5386"/>
    <w:rsid w:val="00341284"/>
    <w:rsid w:val="003F4A32"/>
    <w:rsid w:val="004B4E2C"/>
    <w:rsid w:val="00565439"/>
    <w:rsid w:val="005E4135"/>
    <w:rsid w:val="00687406"/>
    <w:rsid w:val="007B5FC0"/>
    <w:rsid w:val="00897320"/>
    <w:rsid w:val="009A4E4C"/>
    <w:rsid w:val="00C12018"/>
    <w:rsid w:val="00CD5F20"/>
    <w:rsid w:val="00DD3879"/>
    <w:rsid w:val="00FA29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626FB66"/>
  <w15:chartTrackingRefBased/>
  <w15:docId w15:val="{1FB2A4D6-FD9A-4125-B295-04B369F1B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A291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A2916"/>
    <w:pPr>
      <w:tabs>
        <w:tab w:val="center" w:pos="4153"/>
        <w:tab w:val="right" w:pos="8306"/>
      </w:tabs>
    </w:pPr>
  </w:style>
  <w:style w:type="character" w:customStyle="1" w:styleId="a4">
    <w:name w:val="כותרת עליונה תו"/>
    <w:link w:val="a3"/>
    <w:rsid w:val="00FA2916"/>
    <w:rPr>
      <w:rFonts w:ascii="Times New Roman" w:eastAsia="Times New Roman" w:hAnsi="Times New Roman" w:cs="David"/>
      <w:sz w:val="24"/>
      <w:szCs w:val="24"/>
    </w:rPr>
  </w:style>
  <w:style w:type="paragraph" w:styleId="a5">
    <w:name w:val="footer"/>
    <w:basedOn w:val="a"/>
    <w:link w:val="a6"/>
    <w:rsid w:val="00FA2916"/>
    <w:pPr>
      <w:tabs>
        <w:tab w:val="center" w:pos="4153"/>
        <w:tab w:val="right" w:pos="8306"/>
      </w:tabs>
    </w:pPr>
  </w:style>
  <w:style w:type="character" w:customStyle="1" w:styleId="a6">
    <w:name w:val="כותרת תחתונה תו"/>
    <w:link w:val="a5"/>
    <w:rsid w:val="00FA2916"/>
    <w:rPr>
      <w:rFonts w:ascii="Times New Roman" w:eastAsia="Times New Roman" w:hAnsi="Times New Roman" w:cs="David"/>
      <w:sz w:val="24"/>
      <w:szCs w:val="24"/>
    </w:rPr>
  </w:style>
  <w:style w:type="table" w:styleId="a7">
    <w:name w:val="Table Grid"/>
    <w:basedOn w:val="a1"/>
    <w:rsid w:val="00FA291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A2916"/>
  </w:style>
  <w:style w:type="paragraph" w:styleId="a9">
    <w:name w:val="List Paragraph"/>
    <w:basedOn w:val="a"/>
    <w:qFormat/>
    <w:rsid w:val="00FA2916"/>
    <w:pPr>
      <w:ind w:left="720"/>
      <w:contextualSpacing/>
    </w:pPr>
  </w:style>
  <w:style w:type="character" w:styleId="Hyperlink">
    <w:name w:val="Hyperlink"/>
    <w:rsid w:val="002957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44" TargetMode="External"/><Relationship Id="rId18" Type="http://schemas.openxmlformats.org/officeDocument/2006/relationships/hyperlink" Target="http://www.nevo.co.il/case/27502726" TargetMode="External"/><Relationship Id="rId26" Type="http://schemas.openxmlformats.org/officeDocument/2006/relationships/hyperlink" Target="http://www.nevo.co.il/case/27648787" TargetMode="External"/><Relationship Id="rId21" Type="http://schemas.openxmlformats.org/officeDocument/2006/relationships/hyperlink" Target="http://www.nevo.co.il/case/26383419" TargetMode="External"/><Relationship Id="rId34" Type="http://schemas.openxmlformats.org/officeDocument/2006/relationships/header" Target="header2.xm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26931111" TargetMode="External"/><Relationship Id="rId25" Type="http://schemas.openxmlformats.org/officeDocument/2006/relationships/hyperlink" Target="http://www.nevo.co.il/case/24884205"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7791493" TargetMode="External"/><Relationship Id="rId20" Type="http://schemas.openxmlformats.org/officeDocument/2006/relationships/hyperlink" Target="http://www.nevo.co.il/case/26986974" TargetMode="External"/><Relationship Id="rId29" Type="http://schemas.openxmlformats.org/officeDocument/2006/relationships/hyperlink" Target="http://www.nevo.co.il/law/70301/14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a" TargetMode="External"/><Relationship Id="rId24" Type="http://schemas.openxmlformats.org/officeDocument/2006/relationships/hyperlink" Target="http://www.nevo.co.il/case/27296154"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20531134" TargetMode="External"/><Relationship Id="rId23" Type="http://schemas.openxmlformats.org/officeDocument/2006/relationships/hyperlink" Target="http://www.nevo.co.il/case/25063920" TargetMode="External"/><Relationship Id="rId28" Type="http://schemas.openxmlformats.org/officeDocument/2006/relationships/hyperlink" Target="http://www.nevo.co.il/case/27078636" TargetMode="External"/><Relationship Id="rId36" Type="http://schemas.openxmlformats.org/officeDocument/2006/relationships/footer" Target="footer2.xml"/><Relationship Id="rId10" Type="http://schemas.openxmlformats.org/officeDocument/2006/relationships/hyperlink" Target="http://www.nevo.co.il/law/70301/244" TargetMode="External"/><Relationship Id="rId19" Type="http://schemas.openxmlformats.org/officeDocument/2006/relationships/hyperlink" Target="http://www.nevo.co.il/case/6949290" TargetMode="External"/><Relationship Id="rId31" Type="http://schemas.openxmlformats.org/officeDocument/2006/relationships/hyperlink" Target="http://www.nevo.co.il/law/70301/244"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case/27013263" TargetMode="External"/><Relationship Id="rId22" Type="http://schemas.openxmlformats.org/officeDocument/2006/relationships/hyperlink" Target="http://www.nevo.co.il/case/26913995" TargetMode="External"/><Relationship Id="rId27" Type="http://schemas.openxmlformats.org/officeDocument/2006/relationships/hyperlink" Target="http://www.nevo.co.il/case/27502726" TargetMode="External"/><Relationship Id="rId30" Type="http://schemas.openxmlformats.org/officeDocument/2006/relationships/hyperlink" Target="http://www.nevo.co.il/law/70301" TargetMode="External"/><Relationship Id="rId35" Type="http://schemas.openxmlformats.org/officeDocument/2006/relationships/footer" Target="footer1.xml"/><Relationship Id="rId8" Type="http://schemas.openxmlformats.org/officeDocument/2006/relationships/hyperlink" Target="http://www.nevo.co.il/law/70301/144"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1769</Words>
  <Characters>8847</Characters>
  <Application>Microsoft Office Word</Application>
  <DocSecurity>0</DocSecurity>
  <Lines>73</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10595</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6357095</vt:i4>
      </vt:variant>
      <vt:variant>
        <vt:i4>72</vt:i4>
      </vt:variant>
      <vt:variant>
        <vt:i4>0</vt:i4>
      </vt:variant>
      <vt:variant>
        <vt:i4>5</vt:i4>
      </vt:variant>
      <vt:variant>
        <vt:lpwstr>http://www.nevo.co.il/law/70301/244</vt:lpwstr>
      </vt:variant>
      <vt:variant>
        <vt:lpwstr/>
      </vt:variant>
      <vt:variant>
        <vt:i4>7995492</vt:i4>
      </vt:variant>
      <vt:variant>
        <vt:i4>69</vt:i4>
      </vt:variant>
      <vt:variant>
        <vt:i4>0</vt:i4>
      </vt:variant>
      <vt:variant>
        <vt:i4>5</vt:i4>
      </vt:variant>
      <vt:variant>
        <vt:lpwstr>http://www.nevo.co.il/law/70301</vt:lpwstr>
      </vt:variant>
      <vt:variant>
        <vt:lpwstr/>
      </vt:variant>
      <vt:variant>
        <vt:i4>6357092</vt:i4>
      </vt:variant>
      <vt:variant>
        <vt:i4>66</vt:i4>
      </vt:variant>
      <vt:variant>
        <vt:i4>0</vt:i4>
      </vt:variant>
      <vt:variant>
        <vt:i4>5</vt:i4>
      </vt:variant>
      <vt:variant>
        <vt:lpwstr>http://www.nevo.co.il/law/70301/144</vt:lpwstr>
      </vt:variant>
      <vt:variant>
        <vt:lpwstr/>
      </vt:variant>
      <vt:variant>
        <vt:i4>3735666</vt:i4>
      </vt:variant>
      <vt:variant>
        <vt:i4>63</vt:i4>
      </vt:variant>
      <vt:variant>
        <vt:i4>0</vt:i4>
      </vt:variant>
      <vt:variant>
        <vt:i4>5</vt:i4>
      </vt:variant>
      <vt:variant>
        <vt:lpwstr>http://www.nevo.co.il/case/27078636</vt:lpwstr>
      </vt:variant>
      <vt:variant>
        <vt:lpwstr/>
      </vt:variant>
      <vt:variant>
        <vt:i4>3604596</vt:i4>
      </vt:variant>
      <vt:variant>
        <vt:i4>60</vt:i4>
      </vt:variant>
      <vt:variant>
        <vt:i4>0</vt:i4>
      </vt:variant>
      <vt:variant>
        <vt:i4>5</vt:i4>
      </vt:variant>
      <vt:variant>
        <vt:lpwstr>http://www.nevo.co.il/case/27502726</vt:lpwstr>
      </vt:variant>
      <vt:variant>
        <vt:lpwstr/>
      </vt:variant>
      <vt:variant>
        <vt:i4>3407984</vt:i4>
      </vt:variant>
      <vt:variant>
        <vt:i4>57</vt:i4>
      </vt:variant>
      <vt:variant>
        <vt:i4>0</vt:i4>
      </vt:variant>
      <vt:variant>
        <vt:i4>5</vt:i4>
      </vt:variant>
      <vt:variant>
        <vt:lpwstr>http://www.nevo.co.il/case/27648787</vt:lpwstr>
      </vt:variant>
      <vt:variant>
        <vt:lpwstr/>
      </vt:variant>
      <vt:variant>
        <vt:i4>4063354</vt:i4>
      </vt:variant>
      <vt:variant>
        <vt:i4>54</vt:i4>
      </vt:variant>
      <vt:variant>
        <vt:i4>0</vt:i4>
      </vt:variant>
      <vt:variant>
        <vt:i4>5</vt:i4>
      </vt:variant>
      <vt:variant>
        <vt:lpwstr>http://www.nevo.co.il/case/24884205</vt:lpwstr>
      </vt:variant>
      <vt:variant>
        <vt:lpwstr/>
      </vt:variant>
      <vt:variant>
        <vt:i4>3342459</vt:i4>
      </vt:variant>
      <vt:variant>
        <vt:i4>51</vt:i4>
      </vt:variant>
      <vt:variant>
        <vt:i4>0</vt:i4>
      </vt:variant>
      <vt:variant>
        <vt:i4>5</vt:i4>
      </vt:variant>
      <vt:variant>
        <vt:lpwstr>http://www.nevo.co.il/case/27296154</vt:lpwstr>
      </vt:variant>
      <vt:variant>
        <vt:lpwstr/>
      </vt:variant>
      <vt:variant>
        <vt:i4>3342462</vt:i4>
      </vt:variant>
      <vt:variant>
        <vt:i4>48</vt:i4>
      </vt:variant>
      <vt:variant>
        <vt:i4>0</vt:i4>
      </vt:variant>
      <vt:variant>
        <vt:i4>5</vt:i4>
      </vt:variant>
      <vt:variant>
        <vt:lpwstr>http://www.nevo.co.il/case/25063920</vt:lpwstr>
      </vt:variant>
      <vt:variant>
        <vt:lpwstr/>
      </vt:variant>
      <vt:variant>
        <vt:i4>3211386</vt:i4>
      </vt:variant>
      <vt:variant>
        <vt:i4>45</vt:i4>
      </vt:variant>
      <vt:variant>
        <vt:i4>0</vt:i4>
      </vt:variant>
      <vt:variant>
        <vt:i4>5</vt:i4>
      </vt:variant>
      <vt:variant>
        <vt:lpwstr>http://www.nevo.co.il/case/26913995</vt:lpwstr>
      </vt:variant>
      <vt:variant>
        <vt:lpwstr/>
      </vt:variant>
      <vt:variant>
        <vt:i4>3342462</vt:i4>
      </vt:variant>
      <vt:variant>
        <vt:i4>42</vt:i4>
      </vt:variant>
      <vt:variant>
        <vt:i4>0</vt:i4>
      </vt:variant>
      <vt:variant>
        <vt:i4>5</vt:i4>
      </vt:variant>
      <vt:variant>
        <vt:lpwstr>http://www.nevo.co.il/case/26383419</vt:lpwstr>
      </vt:variant>
      <vt:variant>
        <vt:lpwstr/>
      </vt:variant>
      <vt:variant>
        <vt:i4>3801203</vt:i4>
      </vt:variant>
      <vt:variant>
        <vt:i4>39</vt:i4>
      </vt:variant>
      <vt:variant>
        <vt:i4>0</vt:i4>
      </vt:variant>
      <vt:variant>
        <vt:i4>5</vt:i4>
      </vt:variant>
      <vt:variant>
        <vt:lpwstr>http://www.nevo.co.il/case/26986974</vt:lpwstr>
      </vt:variant>
      <vt:variant>
        <vt:lpwstr/>
      </vt:variant>
      <vt:variant>
        <vt:i4>3145853</vt:i4>
      </vt:variant>
      <vt:variant>
        <vt:i4>36</vt:i4>
      </vt:variant>
      <vt:variant>
        <vt:i4>0</vt:i4>
      </vt:variant>
      <vt:variant>
        <vt:i4>5</vt:i4>
      </vt:variant>
      <vt:variant>
        <vt:lpwstr>http://www.nevo.co.il/case/6949290</vt:lpwstr>
      </vt:variant>
      <vt:variant>
        <vt:lpwstr/>
      </vt:variant>
      <vt:variant>
        <vt:i4>3604596</vt:i4>
      </vt:variant>
      <vt:variant>
        <vt:i4>33</vt:i4>
      </vt:variant>
      <vt:variant>
        <vt:i4>0</vt:i4>
      </vt:variant>
      <vt:variant>
        <vt:i4>5</vt:i4>
      </vt:variant>
      <vt:variant>
        <vt:lpwstr>http://www.nevo.co.il/case/27502726</vt:lpwstr>
      </vt:variant>
      <vt:variant>
        <vt:lpwstr/>
      </vt:variant>
      <vt:variant>
        <vt:i4>3866736</vt:i4>
      </vt:variant>
      <vt:variant>
        <vt:i4>30</vt:i4>
      </vt:variant>
      <vt:variant>
        <vt:i4>0</vt:i4>
      </vt:variant>
      <vt:variant>
        <vt:i4>5</vt:i4>
      </vt:variant>
      <vt:variant>
        <vt:lpwstr>http://www.nevo.co.il/case/26931111</vt:lpwstr>
      </vt:variant>
      <vt:variant>
        <vt:lpwstr/>
      </vt:variant>
      <vt:variant>
        <vt:i4>3735675</vt:i4>
      </vt:variant>
      <vt:variant>
        <vt:i4>27</vt:i4>
      </vt:variant>
      <vt:variant>
        <vt:i4>0</vt:i4>
      </vt:variant>
      <vt:variant>
        <vt:i4>5</vt:i4>
      </vt:variant>
      <vt:variant>
        <vt:lpwstr>http://www.nevo.co.il/case/7791493</vt:lpwstr>
      </vt:variant>
      <vt:variant>
        <vt:lpwstr/>
      </vt:variant>
      <vt:variant>
        <vt:i4>3473526</vt:i4>
      </vt:variant>
      <vt:variant>
        <vt:i4>24</vt:i4>
      </vt:variant>
      <vt:variant>
        <vt:i4>0</vt:i4>
      </vt:variant>
      <vt:variant>
        <vt:i4>5</vt:i4>
      </vt:variant>
      <vt:variant>
        <vt:lpwstr>http://www.nevo.co.il/case/20531134</vt:lpwstr>
      </vt:variant>
      <vt:variant>
        <vt:lpwstr/>
      </vt:variant>
      <vt:variant>
        <vt:i4>3604592</vt:i4>
      </vt:variant>
      <vt:variant>
        <vt:i4>21</vt:i4>
      </vt:variant>
      <vt:variant>
        <vt:i4>0</vt:i4>
      </vt:variant>
      <vt:variant>
        <vt:i4>5</vt:i4>
      </vt:variant>
      <vt:variant>
        <vt:lpwstr>http://www.nevo.co.il/case/27013263</vt:lpwstr>
      </vt:variant>
      <vt:variant>
        <vt:lpwstr/>
      </vt:variant>
      <vt:variant>
        <vt:i4>6357095</vt:i4>
      </vt:variant>
      <vt:variant>
        <vt:i4>18</vt:i4>
      </vt:variant>
      <vt:variant>
        <vt:i4>0</vt:i4>
      </vt:variant>
      <vt:variant>
        <vt:i4>5</vt:i4>
      </vt:variant>
      <vt:variant>
        <vt:lpwstr>http://www.nevo.co.il/law/70301/244</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6357095</vt:i4>
      </vt:variant>
      <vt:variant>
        <vt:i4>9</vt:i4>
      </vt:variant>
      <vt:variant>
        <vt:i4>0</vt:i4>
      </vt:variant>
      <vt:variant>
        <vt:i4>5</vt:i4>
      </vt:variant>
      <vt:variant>
        <vt:lpwstr>http://www.nevo.co.il/law/70301/244</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2025-01-19T17:43:00Z</dcterms:created>
  <dcterms:modified xsi:type="dcterms:W3CDTF">2025-01-19T17:43:00Z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8254</vt:lpwstr>
  </property>
  <property fmtid="{D5CDD505-2E9C-101B-9397-08002B2CF9AE}" pid="6" name="NEWPARTB">
    <vt:lpwstr>02</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עלי שעבאן</vt:lpwstr>
  </property>
  <property fmtid="{D5CDD505-2E9C-101B-9397-08002B2CF9AE}" pid="10" name="LAWYER">
    <vt:lpwstr>אריאל סיני;גיל גבאי</vt:lpwstr>
  </property>
  <property fmtid="{D5CDD505-2E9C-101B-9397-08002B2CF9AE}" pid="11" name="JUDGE">
    <vt:lpwstr>הישאם אבו שחאדה</vt:lpwstr>
  </property>
  <property fmtid="{D5CDD505-2E9C-101B-9397-08002B2CF9AE}" pid="12" name="CITY">
    <vt:lpwstr>רמ'</vt:lpwstr>
  </property>
  <property fmtid="{D5CDD505-2E9C-101B-9397-08002B2CF9AE}" pid="13" name="DATE">
    <vt:lpwstr>20211123</vt:lpwstr>
  </property>
  <property fmtid="{D5CDD505-2E9C-101B-9397-08002B2CF9AE}" pid="14" name="TYPE_N_DATE">
    <vt:lpwstr>38020211123</vt:lpwstr>
  </property>
  <property fmtid="{D5CDD505-2E9C-101B-9397-08002B2CF9AE}" pid="15" name="WORDNUMPAGES">
    <vt:lpwstr>6</vt:lpwstr>
  </property>
  <property fmtid="{D5CDD505-2E9C-101B-9397-08002B2CF9AE}" pid="16" name="TYPE_ABS_DATE">
    <vt:lpwstr>380020211123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27013263;20531134;7791493;26931111;27502726:2;6949290;26986974;26383419;26913995;25063920;27296154;24884205;27648787;27078636</vt:lpwstr>
  </property>
  <property fmtid="{D5CDD505-2E9C-101B-9397-08002B2CF9AE}" pid="36" name="LAWLISTTMP1">
    <vt:lpwstr>70301/144.a;244:2;144</vt:lpwstr>
  </property>
</Properties>
</file>