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CF089F" w:rsidRPr="004D2437" w14:paraId="70C006A6" w14:textId="77777777" w:rsidTr="004C1839">
        <w:trPr>
          <w:trHeight w:hRule="exact" w:val="418"/>
          <w:jc w:val="center"/>
        </w:trPr>
        <w:tc>
          <w:tcPr>
            <w:tcW w:w="8721" w:type="dxa"/>
            <w:gridSpan w:val="2"/>
          </w:tcPr>
          <w:p w14:paraId="34CB27BB" w14:textId="77777777" w:rsidR="00CF089F" w:rsidRPr="004D2437" w:rsidRDefault="00CF089F" w:rsidP="009F1573">
            <w:pPr>
              <w:pStyle w:val="a3"/>
              <w:jc w:val="center"/>
              <w:rPr>
                <w:rFonts w:ascii="Tahoma" w:hAnsi="Tahoma" w:cs="Tahoma"/>
                <w:color w:val="000080"/>
                <w:rtl/>
              </w:rPr>
            </w:pPr>
            <w:bookmarkStart w:id="0" w:name="FirstLawyer"/>
            <w:bookmarkStart w:id="1" w:name="LastJudge"/>
            <w:r w:rsidRPr="004D2437">
              <w:rPr>
                <w:rFonts w:ascii="Tahoma" w:hAnsi="Tahoma" w:cs="Tahoma"/>
                <w:b/>
                <w:bCs/>
                <w:color w:val="000080"/>
                <w:rtl/>
              </w:rPr>
              <w:t>בית משפט השלום בירושלים</w:t>
            </w:r>
          </w:p>
        </w:tc>
      </w:tr>
      <w:tr w:rsidR="00CF089F" w:rsidRPr="004D2437" w14:paraId="3EEAE8F1" w14:textId="77777777" w:rsidTr="004C1839">
        <w:trPr>
          <w:trHeight w:val="337"/>
          <w:jc w:val="center"/>
        </w:trPr>
        <w:tc>
          <w:tcPr>
            <w:tcW w:w="5058" w:type="dxa"/>
          </w:tcPr>
          <w:p w14:paraId="11CC06B8" w14:textId="77777777" w:rsidR="00CF089F" w:rsidRPr="004D2437" w:rsidRDefault="00CF089F" w:rsidP="009F1573">
            <w:pPr>
              <w:rPr>
                <w:rFonts w:cs="FrankRuehl"/>
                <w:sz w:val="28"/>
                <w:szCs w:val="28"/>
                <w:rtl/>
              </w:rPr>
            </w:pPr>
            <w:r w:rsidRPr="004D2437">
              <w:rPr>
                <w:rFonts w:cs="FrankRuehl"/>
                <w:sz w:val="28"/>
                <w:szCs w:val="28"/>
                <w:rtl/>
              </w:rPr>
              <w:t>ת"פ</w:t>
            </w:r>
            <w:r w:rsidRPr="004D2437">
              <w:rPr>
                <w:rFonts w:cs="FrankRuehl" w:hint="cs"/>
                <w:sz w:val="28"/>
                <w:szCs w:val="28"/>
                <w:rtl/>
              </w:rPr>
              <w:t xml:space="preserve"> </w:t>
            </w:r>
            <w:hyperlink r:id="rId7" w:history="1">
              <w:r w:rsidR="00BA12C5" w:rsidRPr="00BA12C5">
                <w:rPr>
                  <w:rFonts w:cs="FrankRuehl"/>
                  <w:color w:val="0000FF"/>
                  <w:sz w:val="28"/>
                  <w:szCs w:val="28"/>
                  <w:u w:val="single"/>
                  <w:rtl/>
                </w:rPr>
                <w:t xml:space="preserve">40634-03-20 </w:t>
              </w:r>
            </w:hyperlink>
            <w:r w:rsidRPr="004D2437">
              <w:rPr>
                <w:rFonts w:cs="FrankRuehl" w:hint="cs"/>
                <w:sz w:val="28"/>
                <w:szCs w:val="28"/>
                <w:rtl/>
              </w:rPr>
              <w:t xml:space="preserve"> </w:t>
            </w:r>
            <w:r w:rsidRPr="004D2437">
              <w:rPr>
                <w:rFonts w:cs="FrankRuehl"/>
                <w:sz w:val="28"/>
                <w:szCs w:val="28"/>
                <w:rtl/>
              </w:rPr>
              <w:t>מדינת ישראל נ' מרעב(עציר)</w:t>
            </w:r>
          </w:p>
          <w:p w14:paraId="5B2A706C" w14:textId="77777777" w:rsidR="00CF089F" w:rsidRPr="004D2437" w:rsidRDefault="00CF089F" w:rsidP="009F1573">
            <w:pPr>
              <w:pStyle w:val="a3"/>
              <w:rPr>
                <w:rFonts w:cs="FrankRuehl"/>
                <w:sz w:val="28"/>
                <w:szCs w:val="28"/>
                <w:rtl/>
              </w:rPr>
            </w:pPr>
          </w:p>
        </w:tc>
        <w:tc>
          <w:tcPr>
            <w:tcW w:w="3663" w:type="dxa"/>
          </w:tcPr>
          <w:p w14:paraId="0627C631" w14:textId="77777777" w:rsidR="00CF089F" w:rsidRPr="004D2437" w:rsidRDefault="00CF089F" w:rsidP="009F1573">
            <w:pPr>
              <w:pStyle w:val="a3"/>
              <w:jc w:val="right"/>
              <w:rPr>
                <w:rFonts w:cs="FrankRuehl"/>
                <w:sz w:val="28"/>
                <w:szCs w:val="28"/>
                <w:rtl/>
              </w:rPr>
            </w:pPr>
          </w:p>
        </w:tc>
      </w:tr>
    </w:tbl>
    <w:p w14:paraId="54F746A8" w14:textId="77777777" w:rsidR="00CF089F" w:rsidRPr="004D2437" w:rsidRDefault="00CF089F" w:rsidP="00CF089F">
      <w:pPr>
        <w:pStyle w:val="a3"/>
        <w:rPr>
          <w:rtl/>
        </w:rPr>
      </w:pPr>
      <w:r w:rsidRPr="004D2437">
        <w:rPr>
          <w:rFonts w:hint="cs"/>
          <w:rtl/>
        </w:rPr>
        <w:t xml:space="preserve"> </w:t>
      </w:r>
    </w:p>
    <w:p w14:paraId="2D5E8475" w14:textId="77777777" w:rsidR="00CF089F" w:rsidRPr="004D2437" w:rsidRDefault="00CF089F" w:rsidP="00CF089F">
      <w:pPr>
        <w:rPr>
          <w:rtl/>
        </w:rPr>
      </w:pPr>
    </w:p>
    <w:p w14:paraId="1E0C45C9" w14:textId="77777777" w:rsidR="00CF089F" w:rsidRPr="004D2437" w:rsidRDefault="00CF089F" w:rsidP="00CF089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CF089F" w:rsidRPr="004D2437" w14:paraId="1D4A4812" w14:textId="77777777" w:rsidTr="00CF089F">
        <w:trPr>
          <w:trHeight w:val="295"/>
          <w:jc w:val="center"/>
        </w:trPr>
        <w:tc>
          <w:tcPr>
            <w:tcW w:w="923" w:type="dxa"/>
            <w:tcBorders>
              <w:top w:val="nil"/>
              <w:left w:val="nil"/>
              <w:bottom w:val="nil"/>
              <w:right w:val="nil"/>
            </w:tcBorders>
            <w:shd w:val="clear" w:color="auto" w:fill="auto"/>
          </w:tcPr>
          <w:p w14:paraId="57DDFC38" w14:textId="77777777" w:rsidR="00CF089F" w:rsidRPr="004D2437" w:rsidRDefault="00CF089F" w:rsidP="00CF089F">
            <w:pPr>
              <w:jc w:val="both"/>
              <w:rPr>
                <w:rFonts w:ascii="Arial" w:hAnsi="Arial" w:cs="FrankRuehl"/>
                <w:sz w:val="28"/>
                <w:szCs w:val="28"/>
              </w:rPr>
            </w:pPr>
            <w:r w:rsidRPr="004D2437">
              <w:rPr>
                <w:rFonts w:ascii="Arial" w:hAnsi="Arial" w:cs="FrankRuehl" w:hint="cs"/>
                <w:sz w:val="28"/>
                <w:szCs w:val="28"/>
                <w:rtl/>
              </w:rPr>
              <w:t>ב</w:t>
            </w:r>
            <w:r w:rsidRPr="004D2437">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7A21E621" w14:textId="77777777" w:rsidR="00CF089F" w:rsidRPr="004D2437" w:rsidRDefault="00CF089F" w:rsidP="00CF089F">
            <w:pPr>
              <w:jc w:val="both"/>
              <w:rPr>
                <w:rFonts w:ascii="Arial" w:hAnsi="Arial" w:cs="FrankRuehl"/>
                <w:sz w:val="28"/>
                <w:szCs w:val="28"/>
                <w:rtl/>
              </w:rPr>
            </w:pPr>
            <w:r w:rsidRPr="004D2437">
              <w:rPr>
                <w:rFonts w:ascii="Arial" w:hAnsi="Arial" w:cs="FrankRuehl" w:hint="cs"/>
                <w:sz w:val="28"/>
                <w:szCs w:val="28"/>
                <w:rtl/>
              </w:rPr>
              <w:t>כבוד סגן הנשיא ירון מינטקביץ</w:t>
            </w:r>
          </w:p>
          <w:p w14:paraId="01866E83" w14:textId="77777777" w:rsidR="00CF089F" w:rsidRPr="004D2437" w:rsidRDefault="00CF089F" w:rsidP="00CF089F">
            <w:pPr>
              <w:jc w:val="both"/>
              <w:rPr>
                <w:rFonts w:ascii="Arial" w:hAnsi="Arial" w:cs="FrankRuehl"/>
                <w:sz w:val="28"/>
                <w:szCs w:val="28"/>
              </w:rPr>
            </w:pPr>
          </w:p>
        </w:tc>
      </w:tr>
      <w:tr w:rsidR="00CF089F" w:rsidRPr="004D2437" w14:paraId="06E7B5F9" w14:textId="77777777" w:rsidTr="00CF089F">
        <w:trPr>
          <w:trHeight w:val="355"/>
          <w:jc w:val="center"/>
        </w:trPr>
        <w:tc>
          <w:tcPr>
            <w:tcW w:w="923" w:type="dxa"/>
            <w:tcBorders>
              <w:top w:val="nil"/>
              <w:left w:val="nil"/>
              <w:bottom w:val="nil"/>
              <w:right w:val="nil"/>
            </w:tcBorders>
            <w:shd w:val="clear" w:color="auto" w:fill="auto"/>
          </w:tcPr>
          <w:p w14:paraId="45BBA206" w14:textId="77777777" w:rsidR="00CF089F" w:rsidRPr="004D2437" w:rsidRDefault="00CF089F" w:rsidP="00CF089F">
            <w:pPr>
              <w:jc w:val="both"/>
              <w:rPr>
                <w:rFonts w:ascii="Arial" w:hAnsi="Arial" w:cs="FrankRuehl"/>
                <w:sz w:val="28"/>
                <w:szCs w:val="28"/>
              </w:rPr>
            </w:pPr>
            <w:bookmarkStart w:id="2" w:name="FirstAppellant"/>
            <w:r w:rsidRPr="004D2437">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4A438A19" w14:textId="77777777" w:rsidR="00CF089F" w:rsidRPr="004D2437" w:rsidRDefault="00CF089F" w:rsidP="009F1573">
            <w:r w:rsidRPr="004D2437">
              <w:rPr>
                <w:rFonts w:ascii="Arial" w:hAnsi="Arial" w:cs="FrankRuehl"/>
                <w:sz w:val="28"/>
                <w:szCs w:val="28"/>
                <w:rtl/>
              </w:rPr>
              <w:t>מדינת ישראל</w:t>
            </w:r>
            <w:r w:rsidRPr="004D2437">
              <w:rPr>
                <w:rFonts w:ascii="Arial" w:hAnsi="Arial" w:cs="FrankRuehl"/>
                <w:sz w:val="28"/>
                <w:szCs w:val="28"/>
                <w:rtl/>
              </w:rPr>
              <w:br/>
            </w:r>
            <w:r w:rsidRPr="004D2437">
              <w:rPr>
                <w:rFonts w:hint="cs"/>
                <w:rtl/>
              </w:rPr>
              <w:t>ע"י עו"ד בני ליבסקינד</w:t>
            </w:r>
          </w:p>
        </w:tc>
        <w:tc>
          <w:tcPr>
            <w:tcW w:w="3771" w:type="dxa"/>
            <w:tcBorders>
              <w:top w:val="nil"/>
              <w:left w:val="nil"/>
              <w:bottom w:val="nil"/>
              <w:right w:val="nil"/>
            </w:tcBorders>
            <w:shd w:val="clear" w:color="auto" w:fill="auto"/>
          </w:tcPr>
          <w:p w14:paraId="1C15AF03" w14:textId="77777777" w:rsidR="00CF089F" w:rsidRPr="004D2437" w:rsidRDefault="00CF089F" w:rsidP="00CF089F">
            <w:pPr>
              <w:jc w:val="both"/>
              <w:rPr>
                <w:rFonts w:ascii="Arial" w:hAnsi="Arial" w:cs="FrankRuehl"/>
                <w:sz w:val="28"/>
                <w:szCs w:val="28"/>
              </w:rPr>
            </w:pPr>
          </w:p>
        </w:tc>
      </w:tr>
      <w:bookmarkEnd w:id="2"/>
      <w:tr w:rsidR="00CF089F" w:rsidRPr="004D2437" w14:paraId="53A3DA71" w14:textId="77777777" w:rsidTr="00CF089F">
        <w:trPr>
          <w:trHeight w:val="355"/>
          <w:jc w:val="center"/>
        </w:trPr>
        <w:tc>
          <w:tcPr>
            <w:tcW w:w="923" w:type="dxa"/>
            <w:tcBorders>
              <w:top w:val="nil"/>
              <w:left w:val="nil"/>
              <w:bottom w:val="nil"/>
              <w:right w:val="nil"/>
            </w:tcBorders>
            <w:shd w:val="clear" w:color="auto" w:fill="auto"/>
          </w:tcPr>
          <w:p w14:paraId="023CC78F" w14:textId="77777777" w:rsidR="00CF089F" w:rsidRPr="004D2437" w:rsidRDefault="00CF089F" w:rsidP="00CF089F">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0C071F8" w14:textId="77777777" w:rsidR="00CF089F" w:rsidRPr="004D2437" w:rsidRDefault="00CF089F" w:rsidP="00CF089F">
            <w:pPr>
              <w:jc w:val="both"/>
              <w:rPr>
                <w:rtl/>
              </w:rPr>
            </w:pPr>
          </w:p>
        </w:tc>
        <w:tc>
          <w:tcPr>
            <w:tcW w:w="3771" w:type="dxa"/>
            <w:tcBorders>
              <w:top w:val="nil"/>
              <w:left w:val="nil"/>
              <w:bottom w:val="nil"/>
              <w:right w:val="nil"/>
            </w:tcBorders>
            <w:shd w:val="clear" w:color="auto" w:fill="auto"/>
          </w:tcPr>
          <w:p w14:paraId="21E119B4" w14:textId="77777777" w:rsidR="00CF089F" w:rsidRPr="004D2437" w:rsidRDefault="00CF089F" w:rsidP="00CF089F">
            <w:pPr>
              <w:jc w:val="right"/>
              <w:rPr>
                <w:rFonts w:ascii="Arial" w:hAnsi="Arial" w:cs="FrankRuehl"/>
                <w:sz w:val="28"/>
                <w:szCs w:val="28"/>
                <w:rtl/>
              </w:rPr>
            </w:pPr>
            <w:r w:rsidRPr="004D2437">
              <w:rPr>
                <w:rFonts w:ascii="Arial" w:hAnsi="Arial" w:cs="FrankRuehl" w:hint="cs"/>
                <w:sz w:val="28"/>
                <w:szCs w:val="28"/>
                <w:rtl/>
              </w:rPr>
              <w:t>ה</w:t>
            </w:r>
            <w:r w:rsidRPr="004D2437">
              <w:rPr>
                <w:rFonts w:ascii="Arial" w:hAnsi="Arial" w:cs="FrankRuehl"/>
                <w:sz w:val="28"/>
                <w:szCs w:val="28"/>
                <w:rtl/>
              </w:rPr>
              <w:t>מאשימה</w:t>
            </w:r>
          </w:p>
        </w:tc>
      </w:tr>
      <w:tr w:rsidR="00CF089F" w:rsidRPr="004D2437" w14:paraId="743F30D6" w14:textId="77777777" w:rsidTr="00CF089F">
        <w:trPr>
          <w:trHeight w:val="355"/>
          <w:jc w:val="center"/>
        </w:trPr>
        <w:tc>
          <w:tcPr>
            <w:tcW w:w="923" w:type="dxa"/>
            <w:tcBorders>
              <w:top w:val="nil"/>
              <w:left w:val="nil"/>
              <w:bottom w:val="nil"/>
              <w:right w:val="nil"/>
            </w:tcBorders>
            <w:shd w:val="clear" w:color="auto" w:fill="auto"/>
          </w:tcPr>
          <w:p w14:paraId="500008E7" w14:textId="77777777" w:rsidR="00CF089F" w:rsidRPr="004D2437" w:rsidRDefault="00CF089F" w:rsidP="00CF089F">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2C625651" w14:textId="77777777" w:rsidR="00CF089F" w:rsidRPr="004D2437" w:rsidRDefault="00CF089F" w:rsidP="00CF089F">
            <w:pPr>
              <w:jc w:val="center"/>
              <w:rPr>
                <w:rFonts w:ascii="Arial" w:hAnsi="Arial" w:cs="FrankRuehl"/>
                <w:b/>
                <w:bCs/>
                <w:sz w:val="28"/>
                <w:szCs w:val="28"/>
                <w:rtl/>
              </w:rPr>
            </w:pPr>
          </w:p>
          <w:p w14:paraId="53963771" w14:textId="77777777" w:rsidR="00CF089F" w:rsidRPr="004D2437" w:rsidRDefault="00CF089F" w:rsidP="00CF089F">
            <w:pPr>
              <w:jc w:val="center"/>
              <w:rPr>
                <w:rFonts w:ascii="Arial" w:hAnsi="Arial" w:cs="FrankRuehl"/>
                <w:b/>
                <w:bCs/>
                <w:sz w:val="28"/>
                <w:szCs w:val="28"/>
                <w:rtl/>
              </w:rPr>
            </w:pPr>
            <w:r w:rsidRPr="004D2437">
              <w:rPr>
                <w:rFonts w:ascii="Arial" w:hAnsi="Arial" w:cs="FrankRuehl"/>
                <w:b/>
                <w:bCs/>
                <w:sz w:val="28"/>
                <w:szCs w:val="28"/>
                <w:rtl/>
              </w:rPr>
              <w:t>נגד</w:t>
            </w:r>
          </w:p>
          <w:p w14:paraId="44D9D7F8" w14:textId="77777777" w:rsidR="00CF089F" w:rsidRPr="004D2437" w:rsidRDefault="00CF089F" w:rsidP="00CF089F">
            <w:pPr>
              <w:jc w:val="both"/>
              <w:rPr>
                <w:rFonts w:ascii="Arial" w:hAnsi="Arial" w:cs="FrankRuehl"/>
                <w:sz w:val="28"/>
                <w:szCs w:val="28"/>
              </w:rPr>
            </w:pPr>
          </w:p>
        </w:tc>
      </w:tr>
      <w:tr w:rsidR="00CF089F" w:rsidRPr="004D2437" w14:paraId="491E33E6" w14:textId="77777777" w:rsidTr="00CF089F">
        <w:trPr>
          <w:trHeight w:val="355"/>
          <w:jc w:val="center"/>
        </w:trPr>
        <w:tc>
          <w:tcPr>
            <w:tcW w:w="923" w:type="dxa"/>
            <w:tcBorders>
              <w:top w:val="nil"/>
              <w:left w:val="nil"/>
              <w:bottom w:val="nil"/>
              <w:right w:val="nil"/>
            </w:tcBorders>
            <w:shd w:val="clear" w:color="auto" w:fill="auto"/>
          </w:tcPr>
          <w:p w14:paraId="37418997" w14:textId="77777777" w:rsidR="00CF089F" w:rsidRPr="004D2437" w:rsidRDefault="00CF089F" w:rsidP="009F1573">
            <w:pPr>
              <w:rPr>
                <w:rFonts w:ascii="Arial" w:hAnsi="Arial" w:cs="FrankRuehl"/>
                <w:sz w:val="28"/>
                <w:szCs w:val="28"/>
                <w:rtl/>
              </w:rPr>
            </w:pPr>
          </w:p>
        </w:tc>
        <w:tc>
          <w:tcPr>
            <w:tcW w:w="4126" w:type="dxa"/>
            <w:tcBorders>
              <w:top w:val="nil"/>
              <w:left w:val="nil"/>
              <w:bottom w:val="nil"/>
              <w:right w:val="nil"/>
            </w:tcBorders>
            <w:shd w:val="clear" w:color="auto" w:fill="auto"/>
          </w:tcPr>
          <w:p w14:paraId="68482578" w14:textId="77777777" w:rsidR="00CF089F" w:rsidRPr="004D2437" w:rsidRDefault="00CF089F" w:rsidP="009F1573">
            <w:pPr>
              <w:rPr>
                <w:rtl/>
              </w:rPr>
            </w:pPr>
            <w:r w:rsidRPr="004D2437">
              <w:rPr>
                <w:rFonts w:ascii="Arial" w:hAnsi="Arial" w:cs="FrankRuehl"/>
                <w:sz w:val="28"/>
                <w:szCs w:val="28"/>
                <w:rtl/>
              </w:rPr>
              <w:t>מחמד מרעב</w:t>
            </w:r>
            <w:r w:rsidRPr="004D2437">
              <w:rPr>
                <w:rFonts w:ascii="Arial" w:hAnsi="Arial" w:cs="FrankRuehl"/>
                <w:sz w:val="28"/>
                <w:szCs w:val="28"/>
                <w:rtl/>
              </w:rPr>
              <w:br/>
            </w:r>
            <w:r w:rsidRPr="004D2437">
              <w:rPr>
                <w:rFonts w:hint="cs"/>
                <w:rtl/>
              </w:rPr>
              <w:t>ע"י עו"ד יהודה שושן</w:t>
            </w:r>
          </w:p>
        </w:tc>
        <w:tc>
          <w:tcPr>
            <w:tcW w:w="3771" w:type="dxa"/>
            <w:tcBorders>
              <w:top w:val="nil"/>
              <w:left w:val="nil"/>
              <w:bottom w:val="nil"/>
              <w:right w:val="nil"/>
            </w:tcBorders>
            <w:shd w:val="clear" w:color="auto" w:fill="auto"/>
          </w:tcPr>
          <w:p w14:paraId="32D24E9A" w14:textId="77777777" w:rsidR="00CF089F" w:rsidRPr="004D2437" w:rsidRDefault="00CF089F" w:rsidP="00CF089F">
            <w:pPr>
              <w:jc w:val="right"/>
              <w:rPr>
                <w:rFonts w:ascii="Arial" w:hAnsi="Arial" w:cs="FrankRuehl"/>
                <w:sz w:val="28"/>
                <w:szCs w:val="28"/>
              </w:rPr>
            </w:pPr>
          </w:p>
        </w:tc>
      </w:tr>
      <w:tr w:rsidR="00CF089F" w:rsidRPr="004D2437" w14:paraId="37BD2A92" w14:textId="77777777" w:rsidTr="00CF089F">
        <w:trPr>
          <w:trHeight w:val="355"/>
          <w:jc w:val="center"/>
        </w:trPr>
        <w:tc>
          <w:tcPr>
            <w:tcW w:w="923" w:type="dxa"/>
            <w:tcBorders>
              <w:top w:val="nil"/>
              <w:left w:val="nil"/>
              <w:bottom w:val="nil"/>
              <w:right w:val="nil"/>
            </w:tcBorders>
            <w:shd w:val="clear" w:color="auto" w:fill="auto"/>
          </w:tcPr>
          <w:p w14:paraId="26B9E31C" w14:textId="77777777" w:rsidR="00CF089F" w:rsidRPr="004D2437" w:rsidRDefault="00CF089F" w:rsidP="00CF089F">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44A79DF" w14:textId="77777777" w:rsidR="00CF089F" w:rsidRPr="004D2437" w:rsidRDefault="00CF089F" w:rsidP="00CF089F">
            <w:pPr>
              <w:jc w:val="both"/>
              <w:rPr>
                <w:rtl/>
              </w:rPr>
            </w:pPr>
          </w:p>
        </w:tc>
        <w:tc>
          <w:tcPr>
            <w:tcW w:w="3771" w:type="dxa"/>
            <w:tcBorders>
              <w:top w:val="nil"/>
              <w:left w:val="nil"/>
              <w:bottom w:val="nil"/>
              <w:right w:val="nil"/>
            </w:tcBorders>
            <w:shd w:val="clear" w:color="auto" w:fill="auto"/>
          </w:tcPr>
          <w:p w14:paraId="78322B89" w14:textId="77777777" w:rsidR="00CF089F" w:rsidRPr="004D2437" w:rsidRDefault="00CF089F" w:rsidP="00CF089F">
            <w:pPr>
              <w:jc w:val="right"/>
              <w:rPr>
                <w:rFonts w:ascii="Arial" w:hAnsi="Arial" w:cs="FrankRuehl"/>
                <w:sz w:val="28"/>
                <w:szCs w:val="28"/>
              </w:rPr>
            </w:pPr>
            <w:r w:rsidRPr="004D2437">
              <w:rPr>
                <w:rFonts w:ascii="Arial" w:hAnsi="Arial" w:cs="FrankRuehl" w:hint="cs"/>
                <w:sz w:val="28"/>
                <w:szCs w:val="28"/>
                <w:rtl/>
              </w:rPr>
              <w:t>ה</w:t>
            </w:r>
            <w:r w:rsidRPr="004D2437">
              <w:rPr>
                <w:rFonts w:ascii="Arial" w:hAnsi="Arial" w:cs="FrankRuehl"/>
                <w:sz w:val="28"/>
                <w:szCs w:val="28"/>
                <w:rtl/>
              </w:rPr>
              <w:t>נאשמים</w:t>
            </w:r>
          </w:p>
        </w:tc>
      </w:tr>
    </w:tbl>
    <w:p w14:paraId="6F16E9FE" w14:textId="77777777" w:rsidR="004C1839" w:rsidRPr="004C1839" w:rsidRDefault="004C1839" w:rsidP="004C1839">
      <w:pPr>
        <w:spacing w:before="120" w:after="120" w:line="240" w:lineRule="exact"/>
        <w:ind w:left="283" w:hanging="283"/>
        <w:jc w:val="both"/>
        <w:rPr>
          <w:rFonts w:ascii="FrankRuehl" w:hAnsi="FrankRuehl" w:cs="FrankRuehl"/>
          <w:rtl/>
        </w:rPr>
      </w:pPr>
    </w:p>
    <w:p w14:paraId="5D1BB600" w14:textId="77777777" w:rsidR="00BA12C5" w:rsidRPr="00BA12C5" w:rsidRDefault="00BA12C5" w:rsidP="00BA12C5">
      <w:pPr>
        <w:spacing w:before="120" w:after="120" w:line="240" w:lineRule="exact"/>
        <w:ind w:left="283" w:hanging="283"/>
        <w:jc w:val="both"/>
        <w:rPr>
          <w:rFonts w:ascii="FrankRuehl" w:hAnsi="FrankRuehl" w:cs="FrankRuehl"/>
          <w:rtl/>
        </w:rPr>
      </w:pPr>
    </w:p>
    <w:p w14:paraId="0B21FA3E" w14:textId="77777777" w:rsidR="00AB47C6" w:rsidRDefault="00AB47C6" w:rsidP="00AB47C6">
      <w:pPr>
        <w:spacing w:before="120" w:after="120" w:line="240" w:lineRule="exact"/>
        <w:ind w:left="283" w:hanging="283"/>
        <w:jc w:val="both"/>
        <w:rPr>
          <w:rFonts w:ascii="FrankRuehl" w:hAnsi="FrankRuehl" w:cs="FrankRuehl"/>
          <w:rtl/>
        </w:rPr>
      </w:pPr>
      <w:bookmarkStart w:id="3" w:name="LawTable"/>
      <w:bookmarkEnd w:id="3"/>
    </w:p>
    <w:p w14:paraId="3189C0A4" w14:textId="77777777" w:rsidR="00AB47C6" w:rsidRPr="00AB47C6" w:rsidRDefault="00AB47C6" w:rsidP="00AB47C6">
      <w:pPr>
        <w:spacing w:before="120" w:after="120" w:line="240" w:lineRule="exact"/>
        <w:ind w:left="283" w:hanging="283"/>
        <w:jc w:val="both"/>
        <w:rPr>
          <w:rFonts w:ascii="FrankRuehl" w:hAnsi="FrankRuehl" w:cs="FrankRuehl"/>
          <w:rtl/>
        </w:rPr>
      </w:pPr>
    </w:p>
    <w:p w14:paraId="0CB01C30" w14:textId="77777777" w:rsidR="00AB47C6" w:rsidRPr="00AB47C6" w:rsidRDefault="00AB47C6" w:rsidP="00AB47C6">
      <w:pPr>
        <w:spacing w:before="120" w:after="120" w:line="240" w:lineRule="exact"/>
        <w:ind w:left="283" w:hanging="283"/>
        <w:jc w:val="both"/>
        <w:rPr>
          <w:rFonts w:ascii="FrankRuehl" w:hAnsi="FrankRuehl" w:cs="FrankRuehl"/>
          <w:rtl/>
        </w:rPr>
      </w:pPr>
    </w:p>
    <w:p w14:paraId="5B361149" w14:textId="77777777" w:rsidR="00AB47C6" w:rsidRPr="00AB47C6" w:rsidRDefault="00AB47C6" w:rsidP="00AB47C6">
      <w:pPr>
        <w:spacing w:before="120" w:after="120" w:line="240" w:lineRule="exact"/>
        <w:ind w:left="283" w:hanging="283"/>
        <w:jc w:val="both"/>
        <w:rPr>
          <w:rFonts w:ascii="FrankRuehl" w:hAnsi="FrankRuehl" w:cs="FrankRuehl"/>
          <w:rtl/>
        </w:rPr>
      </w:pPr>
      <w:r w:rsidRPr="00AB47C6">
        <w:rPr>
          <w:rFonts w:ascii="FrankRuehl" w:hAnsi="FrankRuehl" w:cs="FrankRuehl"/>
          <w:rtl/>
        </w:rPr>
        <w:t xml:space="preserve">חקיקה שאוזכרה: </w:t>
      </w:r>
    </w:p>
    <w:p w14:paraId="44421208" w14:textId="77777777" w:rsidR="00AB47C6" w:rsidRPr="00AB47C6" w:rsidRDefault="00AB47C6" w:rsidP="00AB47C6">
      <w:pPr>
        <w:spacing w:before="120" w:after="120" w:line="240" w:lineRule="exact"/>
        <w:ind w:left="283" w:hanging="283"/>
        <w:jc w:val="both"/>
        <w:rPr>
          <w:rFonts w:ascii="FrankRuehl" w:hAnsi="FrankRuehl" w:cs="FrankRuehl"/>
          <w:rtl/>
        </w:rPr>
      </w:pPr>
      <w:hyperlink r:id="rId8" w:history="1">
        <w:r w:rsidRPr="00AB47C6">
          <w:rPr>
            <w:rFonts w:ascii="FrankRuehl" w:hAnsi="FrankRuehl" w:cs="FrankRuehl"/>
            <w:color w:val="0000FF"/>
            <w:rtl/>
          </w:rPr>
          <w:t>חוק העונשין, תשל"ז-1977</w:t>
        </w:r>
      </w:hyperlink>
      <w:r w:rsidRPr="00AB47C6">
        <w:rPr>
          <w:rFonts w:ascii="FrankRuehl" w:hAnsi="FrankRuehl" w:cs="FrankRuehl"/>
          <w:rtl/>
        </w:rPr>
        <w:t xml:space="preserve">: סע'  </w:t>
      </w:r>
      <w:hyperlink r:id="rId9" w:history="1">
        <w:r w:rsidRPr="00AB47C6">
          <w:rPr>
            <w:rFonts w:ascii="FrankRuehl" w:hAnsi="FrankRuehl" w:cs="FrankRuehl"/>
            <w:color w:val="0000FF"/>
            <w:rtl/>
          </w:rPr>
          <w:t>144</w:t>
        </w:r>
      </w:hyperlink>
      <w:r w:rsidRPr="00AB47C6">
        <w:rPr>
          <w:rFonts w:ascii="FrankRuehl" w:hAnsi="FrankRuehl" w:cs="FrankRuehl"/>
          <w:rtl/>
        </w:rPr>
        <w:t xml:space="preserve">, </w:t>
      </w:r>
      <w:hyperlink r:id="rId10" w:history="1">
        <w:r w:rsidRPr="00AB47C6">
          <w:rPr>
            <w:rFonts w:ascii="FrankRuehl" w:hAnsi="FrankRuehl" w:cs="FrankRuehl"/>
            <w:color w:val="0000FF"/>
            <w:rtl/>
          </w:rPr>
          <w:t>ח'</w:t>
        </w:r>
      </w:hyperlink>
    </w:p>
    <w:p w14:paraId="35BAA80E" w14:textId="77777777" w:rsidR="00AB47C6" w:rsidRPr="00AB47C6" w:rsidRDefault="00AB47C6" w:rsidP="00AB47C6">
      <w:pPr>
        <w:spacing w:before="120" w:after="120" w:line="240" w:lineRule="exact"/>
        <w:ind w:left="283" w:hanging="283"/>
        <w:jc w:val="both"/>
        <w:rPr>
          <w:rFonts w:ascii="FrankRuehl" w:hAnsi="FrankRuehl" w:cs="FrankRuehl"/>
          <w:rtl/>
        </w:rPr>
      </w:pPr>
      <w:bookmarkStart w:id="4" w:name="LawTable_End"/>
      <w:bookmarkEnd w:id="4"/>
    </w:p>
    <w:p w14:paraId="54CDF12F" w14:textId="77777777" w:rsidR="004D2437" w:rsidRPr="00BA12C5" w:rsidRDefault="004D2437" w:rsidP="00BA12C5">
      <w:pPr>
        <w:spacing w:before="120"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F089F" w14:paraId="2AD28FF2" w14:textId="77777777" w:rsidTr="00CF089F">
        <w:trPr>
          <w:trHeight w:val="355"/>
          <w:jc w:val="center"/>
        </w:trPr>
        <w:tc>
          <w:tcPr>
            <w:tcW w:w="8820" w:type="dxa"/>
            <w:tcBorders>
              <w:top w:val="nil"/>
              <w:left w:val="nil"/>
              <w:bottom w:val="nil"/>
              <w:right w:val="nil"/>
            </w:tcBorders>
            <w:shd w:val="clear" w:color="auto" w:fill="auto"/>
          </w:tcPr>
          <w:p w14:paraId="7BAA7894" w14:textId="77777777" w:rsidR="004D2437" w:rsidRPr="004D2437" w:rsidRDefault="004D2437" w:rsidP="004D2437">
            <w:pPr>
              <w:spacing w:after="120" w:line="360" w:lineRule="auto"/>
              <w:jc w:val="center"/>
              <w:rPr>
                <w:rFonts w:ascii="Arial" w:hAnsi="Arial" w:cs="FrankRuehl"/>
                <w:b/>
                <w:bCs/>
                <w:sz w:val="32"/>
                <w:szCs w:val="32"/>
                <w:u w:val="single"/>
                <w:rtl/>
              </w:rPr>
            </w:pPr>
            <w:bookmarkStart w:id="5" w:name="PsakDin" w:colFirst="0" w:colLast="0"/>
            <w:bookmarkEnd w:id="0"/>
            <w:bookmarkEnd w:id="1"/>
            <w:r w:rsidRPr="004D2437">
              <w:rPr>
                <w:rFonts w:ascii="Arial" w:hAnsi="Arial" w:cs="FrankRuehl"/>
                <w:b/>
                <w:bCs/>
                <w:sz w:val="32"/>
                <w:szCs w:val="32"/>
                <w:u w:val="single"/>
                <w:rtl/>
              </w:rPr>
              <w:t>גזר דין</w:t>
            </w:r>
          </w:p>
          <w:p w14:paraId="55E0C42B" w14:textId="77777777" w:rsidR="00CF089F" w:rsidRPr="004D2437" w:rsidRDefault="00CF089F" w:rsidP="004D2437">
            <w:pPr>
              <w:spacing w:after="120" w:line="360" w:lineRule="auto"/>
              <w:jc w:val="center"/>
              <w:rPr>
                <w:rFonts w:ascii="Arial" w:hAnsi="Arial" w:cs="FrankRuehl"/>
                <w:bCs/>
                <w:sz w:val="32"/>
                <w:szCs w:val="32"/>
                <w:u w:val="single"/>
                <w:rtl/>
              </w:rPr>
            </w:pPr>
          </w:p>
        </w:tc>
      </w:tr>
    </w:tbl>
    <w:bookmarkEnd w:id="5"/>
    <w:p w14:paraId="6AE90716" w14:textId="77777777" w:rsidR="00CF089F" w:rsidRPr="00E270C0" w:rsidRDefault="00CF089F" w:rsidP="00CF089F">
      <w:pPr>
        <w:spacing w:after="120" w:line="360" w:lineRule="auto"/>
        <w:jc w:val="both"/>
        <w:rPr>
          <w:rFonts w:ascii="Arial" w:hAnsi="Arial"/>
          <w:b/>
          <w:bCs/>
          <w:rtl/>
        </w:rPr>
      </w:pPr>
      <w:r w:rsidRPr="00E270C0">
        <w:rPr>
          <w:rFonts w:ascii="Arial" w:hAnsi="Arial" w:hint="cs"/>
          <w:b/>
          <w:bCs/>
          <w:rtl/>
        </w:rPr>
        <w:t>רקע</w:t>
      </w:r>
    </w:p>
    <w:p w14:paraId="08C1BE79" w14:textId="77777777" w:rsidR="00CF089F" w:rsidRDefault="00CF089F" w:rsidP="00CF089F">
      <w:pPr>
        <w:spacing w:after="120" w:line="360" w:lineRule="auto"/>
        <w:jc w:val="both"/>
        <w:rPr>
          <w:rFonts w:ascii="Arial" w:hAnsi="Arial"/>
          <w:rtl/>
        </w:rPr>
      </w:pPr>
      <w:r>
        <w:rPr>
          <w:rFonts w:ascii="Arial" w:hAnsi="Arial" w:hint="cs"/>
          <w:rtl/>
        </w:rPr>
        <w:t>ב</w:t>
      </w:r>
      <w:bookmarkStart w:id="6" w:name="ABSTRACT_START"/>
      <w:bookmarkEnd w:id="6"/>
      <w:r>
        <w:rPr>
          <w:rFonts w:ascii="Arial" w:hAnsi="Arial" w:hint="cs"/>
          <w:rtl/>
        </w:rPr>
        <w:t xml:space="preserve">יום 11.3.20 החזיק הנאשם במקום מסתור בביתו שני אקדחים, האחד מסוג </w:t>
      </w:r>
      <w:r>
        <w:rPr>
          <w:rFonts w:ascii="Arial" w:hAnsi="Arial" w:hint="cs"/>
        </w:rPr>
        <w:t>CZ</w:t>
      </w:r>
      <w:r>
        <w:rPr>
          <w:rFonts w:ascii="Arial" w:hAnsi="Arial" w:hint="cs"/>
          <w:rtl/>
        </w:rPr>
        <w:t xml:space="preserve"> והשני מסוג גלוק אשר בתוך כל אחד מהם מחסנית טעונה בכדורים, וכן החזיק מחסנית נוספת לאקדח הגלוק, שגם היתה טעונה בכדורים. בשל כך, הנאשם הורשע בעבירות של החזקת נשק ותחמושת.</w:t>
      </w:r>
    </w:p>
    <w:p w14:paraId="0BB4D598" w14:textId="77777777" w:rsidR="00CF089F" w:rsidRDefault="00CF089F" w:rsidP="00CF089F">
      <w:pPr>
        <w:spacing w:after="120" w:line="360" w:lineRule="auto"/>
        <w:jc w:val="both"/>
        <w:rPr>
          <w:rFonts w:ascii="Arial" w:hAnsi="Arial"/>
          <w:rtl/>
        </w:rPr>
      </w:pPr>
      <w:r>
        <w:rPr>
          <w:rFonts w:ascii="Arial" w:hAnsi="Arial" w:hint="cs"/>
          <w:rtl/>
        </w:rPr>
        <w:t>הרשעת הנאשם באה במסגרתו של הסדר דיוני, אשר כלל תיקונים בכתב האישום. כמו כן הוסכם בין הצדדים, כי החיפוש נערך ללא צו, על סמך מידע מודיעיני כי אחיו של הנאשם, המתגורר במרחק 2 ק"מ מביתו, החזיק נשק. המידע המודיעיני לא כלל מיקום מדויק של בית האח.</w:t>
      </w:r>
      <w:bookmarkStart w:id="7" w:name="ABSTRACT_END"/>
      <w:bookmarkEnd w:id="7"/>
    </w:p>
    <w:p w14:paraId="3372CD16" w14:textId="77777777" w:rsidR="00CF089F" w:rsidRPr="00393AC8" w:rsidRDefault="00CF089F" w:rsidP="00CF089F">
      <w:pPr>
        <w:spacing w:after="120" w:line="360" w:lineRule="auto"/>
        <w:jc w:val="both"/>
        <w:rPr>
          <w:rFonts w:ascii="Arial" w:hAnsi="Arial"/>
          <w:b/>
          <w:bCs/>
          <w:rtl/>
        </w:rPr>
      </w:pPr>
      <w:r w:rsidRPr="00393AC8">
        <w:rPr>
          <w:rFonts w:ascii="Arial" w:hAnsi="Arial" w:hint="cs"/>
          <w:b/>
          <w:bCs/>
          <w:rtl/>
        </w:rPr>
        <w:lastRenderedPageBreak/>
        <w:t>טענות הצדדים</w:t>
      </w:r>
    </w:p>
    <w:p w14:paraId="5632868E" w14:textId="77777777" w:rsidR="00CF089F" w:rsidRDefault="00CF089F" w:rsidP="00CF089F">
      <w:pPr>
        <w:spacing w:after="120" w:line="360" w:lineRule="auto"/>
        <w:jc w:val="both"/>
        <w:rPr>
          <w:rFonts w:ascii="Arial" w:hAnsi="Arial"/>
          <w:rtl/>
        </w:rPr>
      </w:pPr>
      <w:r>
        <w:rPr>
          <w:rFonts w:ascii="Arial" w:hAnsi="Arial" w:hint="cs"/>
          <w:rtl/>
        </w:rPr>
        <w:t>ב"כ המאשימה שם את הדגש על חומרתן של עבירות נשק, הסכנה הטמונה בהן לשלום הציבור ובטחונו, הצורך להרתיע מפני ביצוען ומגמת ההחמרה בפסיקת בית המשפט העליון ביחס לעבירות אלו. לאור אלה טען, כי מתחם העונש ההולם את מעשיו של הנאשם הוא מאסר לתקופה שבין שנתיים לשלוש שנים. בשל נסיבות המקרה, ובהן עברו הנקי של הנאשם והודאתו, ביקש להשית עליו עונש של 26 חודשי מאסר. לתמיכה בטיעונו הגיש ב"כ המאשימה פסקי דין שונים של בית המשפט העליון.</w:t>
      </w:r>
    </w:p>
    <w:p w14:paraId="6B60CCF3" w14:textId="77777777" w:rsidR="00CF089F" w:rsidRDefault="00CF089F" w:rsidP="00CF089F">
      <w:pPr>
        <w:spacing w:after="120" w:line="360" w:lineRule="auto"/>
        <w:jc w:val="both"/>
        <w:rPr>
          <w:rFonts w:ascii="Arial" w:hAnsi="Arial"/>
          <w:rtl/>
        </w:rPr>
      </w:pPr>
      <w:r>
        <w:rPr>
          <w:rFonts w:ascii="Arial" w:hAnsi="Arial" w:hint="cs"/>
          <w:rtl/>
        </w:rPr>
        <w:t>ב"כ הנאשם טען, כי החיפוש שנערך בביתו של הנאשם היה פגום, שכן המידע מודיעיני עליו התבססה המשטרה לא נגע כלל לנאשם, ועל כן לשיטתו הדבר מקים טענת הגנה מן הצדק שאמורה להתבטא בהפחתה בעונשו של הנאשם. בהקשר זה טען, כי הפגם בחיפוש אמור להתבטא בקביעת העונש בתוך המתחם, ולא בקביעת המתחם עצמו. עוד הפנה לנסיבותיו האישיות של הנאשם, ובהן העובדה כי אין לחובתו כל מעורבות קודמת בפלילים וכי הנאשם קיבל אחריות למעשיו חרף הפגם בחיפוש.</w:t>
      </w:r>
    </w:p>
    <w:p w14:paraId="7BA37E89" w14:textId="77777777" w:rsidR="00CF089F" w:rsidRDefault="00CF089F" w:rsidP="00CF089F">
      <w:pPr>
        <w:spacing w:after="120" w:line="360" w:lineRule="auto"/>
        <w:jc w:val="both"/>
        <w:rPr>
          <w:rFonts w:ascii="Arial" w:hAnsi="Arial"/>
          <w:rtl/>
        </w:rPr>
      </w:pPr>
      <w:r>
        <w:rPr>
          <w:rFonts w:ascii="Arial" w:hAnsi="Arial" w:hint="cs"/>
          <w:rtl/>
        </w:rPr>
        <w:t xml:space="preserve">לעניין המתחם טען ב"כ הנאשם, כי רמת הענישה הנוהגת נמוכה בהרבה מזו שהמאשימה טענה לה, וכי המתחם יכול להתחיל במאסר בעבודות שירות </w:t>
      </w:r>
      <w:r>
        <w:rPr>
          <w:rFonts w:ascii="Arial" w:hAnsi="Arial"/>
          <w:rtl/>
        </w:rPr>
        <w:t>–</w:t>
      </w:r>
      <w:r>
        <w:rPr>
          <w:rFonts w:ascii="Arial" w:hAnsi="Arial" w:hint="cs"/>
          <w:rtl/>
        </w:rPr>
        <w:t xml:space="preserve"> ולעניין זה הציג מספר פסקי דין וכן טבלה המפרטת עונשים שנגזרו במקרים דומים על ידי מותבים שונים.</w:t>
      </w:r>
    </w:p>
    <w:p w14:paraId="4A3A3C23" w14:textId="77777777" w:rsidR="00CF089F" w:rsidRDefault="00CF089F" w:rsidP="00CF089F">
      <w:pPr>
        <w:spacing w:after="120" w:line="360" w:lineRule="auto"/>
        <w:jc w:val="both"/>
        <w:rPr>
          <w:rFonts w:ascii="Arial" w:hAnsi="Arial"/>
          <w:rtl/>
        </w:rPr>
      </w:pPr>
      <w:r>
        <w:rPr>
          <w:rFonts w:ascii="Arial" w:hAnsi="Arial" w:hint="cs"/>
          <w:rtl/>
        </w:rPr>
        <w:t>במסגרת טיעוניו הגיש ב"כ הנאשם מסמך רפואי הנוגע לאשת הנאשם, ממנו עלה כי החיפוש שנעשה בבית המשפחה גרם לה לפגיעה ממשית. על מנת שלא לפגוע בפרטיותה של אשת הנאשם לא ארחיב מעבר לכך.</w:t>
      </w:r>
    </w:p>
    <w:p w14:paraId="3721F9FC" w14:textId="77777777" w:rsidR="00CF089F" w:rsidRDefault="00CF089F" w:rsidP="00CF089F">
      <w:pPr>
        <w:spacing w:after="120" w:line="360" w:lineRule="auto"/>
        <w:jc w:val="both"/>
        <w:rPr>
          <w:rFonts w:ascii="Arial" w:hAnsi="Arial"/>
          <w:rtl/>
        </w:rPr>
      </w:pPr>
      <w:r>
        <w:rPr>
          <w:rFonts w:ascii="Arial" w:hAnsi="Arial" w:hint="cs"/>
          <w:rtl/>
        </w:rPr>
        <w:t>לאור אלה, ביקש להשית על הנאשם עונש החופף את ימי מעצרו, או לכל היותר תשעה חודשי מאסר.</w:t>
      </w:r>
    </w:p>
    <w:p w14:paraId="2D800846" w14:textId="77777777" w:rsidR="00CF089F" w:rsidRDefault="00CF089F" w:rsidP="00CF089F">
      <w:pPr>
        <w:spacing w:after="120" w:line="360" w:lineRule="auto"/>
        <w:jc w:val="both"/>
        <w:rPr>
          <w:rtl/>
        </w:rPr>
      </w:pPr>
      <w:r>
        <w:rPr>
          <w:rFonts w:hint="cs"/>
          <w:rtl/>
        </w:rPr>
        <w:t>הנאשם אמר את המילה האחרונה. בדבריו הביע צער על מעשיו ועל כך שכיום הוא במעצר במקום להיות עם משפחתו, והבטיח לא לחזור על מעשיו.</w:t>
      </w:r>
    </w:p>
    <w:p w14:paraId="23CA2319" w14:textId="77777777" w:rsidR="00CF089F" w:rsidRPr="00946980" w:rsidRDefault="00CF089F" w:rsidP="00CF089F">
      <w:pPr>
        <w:spacing w:after="120" w:line="360" w:lineRule="auto"/>
        <w:jc w:val="both"/>
        <w:rPr>
          <w:b/>
          <w:bCs/>
          <w:rtl/>
        </w:rPr>
      </w:pPr>
      <w:r w:rsidRPr="00946980">
        <w:rPr>
          <w:rFonts w:hint="cs"/>
          <w:b/>
          <w:bCs/>
          <w:rtl/>
        </w:rPr>
        <w:t>מתחם העונש ההולם</w:t>
      </w:r>
    </w:p>
    <w:p w14:paraId="1CB13C5E" w14:textId="77777777" w:rsidR="00CF089F" w:rsidRPr="006C3B7E" w:rsidRDefault="00CF089F" w:rsidP="00CF089F">
      <w:pPr>
        <w:spacing w:after="120" w:line="360" w:lineRule="auto"/>
        <w:jc w:val="both"/>
      </w:pPr>
      <w:r>
        <w:rPr>
          <w:rFonts w:hint="cs"/>
          <w:rtl/>
        </w:rPr>
        <w:t>הנאשם הסתיר בביתו שני אקדחים טעונים כדורים ומחסנית טעונה נוספת ובכך פגע</w:t>
      </w:r>
      <w:r>
        <w:rPr>
          <w:rFonts w:ascii="Arial" w:hAnsi="Arial" w:hint="cs"/>
          <w:rtl/>
        </w:rPr>
        <w:t xml:space="preserve"> בערך המוגן החשוב מכל, של שמירה על חיי אדם. החזקת נשק מקפלת בתוכה סיכון ממשי, כי הנשק ישמש לביצוע עבירות פליליות או מעשי טרור, ובכך יביא לקיפוח נפש. באופן עקיף עבירה זו גם מהווה קריאת תיגר על שלטון החוק, שהרי המדינה היא הריבון והיא שרשאית לקבוע מי ישא נשק ולאיזו מטרה - כעולה ממיקום העבירה בפרק </w:t>
      </w:r>
      <w:hyperlink r:id="rId11" w:history="1">
        <w:r w:rsidR="004C1839" w:rsidRPr="004C1839">
          <w:rPr>
            <w:rStyle w:val="Hyperlink"/>
            <w:rFonts w:ascii="Arial" w:hAnsi="Arial" w:hint="eastAsia"/>
            <w:rtl/>
          </w:rPr>
          <w:t>ח</w:t>
        </w:r>
        <w:r w:rsidR="004C1839" w:rsidRPr="004C1839">
          <w:rPr>
            <w:rStyle w:val="Hyperlink"/>
            <w:rFonts w:ascii="Arial" w:hAnsi="Arial"/>
            <w:rtl/>
          </w:rPr>
          <w:t>'</w:t>
        </w:r>
      </w:hyperlink>
      <w:r>
        <w:rPr>
          <w:rFonts w:ascii="Arial" w:hAnsi="Arial" w:hint="cs"/>
          <w:rtl/>
        </w:rPr>
        <w:t xml:space="preserve"> ל</w:t>
      </w:r>
      <w:hyperlink r:id="rId12" w:history="1">
        <w:r w:rsidR="004D2437" w:rsidRPr="004D2437">
          <w:rPr>
            <w:rFonts w:ascii="Arial" w:hAnsi="Arial"/>
            <w:color w:val="0000FF"/>
            <w:u w:val="single"/>
            <w:rtl/>
          </w:rPr>
          <w:t>חוק העונשין</w:t>
        </w:r>
      </w:hyperlink>
      <w:r>
        <w:rPr>
          <w:rFonts w:ascii="Arial" w:hAnsi="Arial" w:hint="cs"/>
          <w:rtl/>
        </w:rPr>
        <w:t xml:space="preserve">, הדן בעבירות שעניינן  "פגיעה בסדרי </w:t>
      </w:r>
      <w:r w:rsidRPr="006C3B7E">
        <w:rPr>
          <w:rFonts w:hint="cs"/>
          <w:rtl/>
        </w:rPr>
        <w:t xml:space="preserve">המשטר והחברה". </w:t>
      </w:r>
    </w:p>
    <w:p w14:paraId="5665A429" w14:textId="77777777" w:rsidR="00CF089F" w:rsidRDefault="00CF089F" w:rsidP="00CF089F">
      <w:pPr>
        <w:spacing w:after="120" w:line="360" w:lineRule="auto"/>
        <w:jc w:val="both"/>
        <w:rPr>
          <w:rFonts w:ascii="David" w:hAnsi="David"/>
          <w:rtl/>
        </w:rPr>
      </w:pPr>
      <w:r w:rsidRPr="006C3B7E">
        <w:rPr>
          <w:rFonts w:hint="cs"/>
          <w:rtl/>
        </w:rPr>
        <w:t xml:space="preserve">בית המשפט העליון עמד בשורה ארוכה של פסקי דין על חומרתן הרבה של עבירות הנשק והסכנה לשלום הציבור וביטחונו </w:t>
      </w:r>
      <w:r>
        <w:rPr>
          <w:rFonts w:hint="cs"/>
          <w:rtl/>
        </w:rPr>
        <w:t>הטמונה בהן</w:t>
      </w:r>
      <w:r w:rsidRPr="006C3B7E">
        <w:rPr>
          <w:rFonts w:hint="cs"/>
          <w:rtl/>
        </w:rPr>
        <w:t xml:space="preserve">. ר' </w:t>
      </w:r>
      <w:r>
        <w:rPr>
          <w:rFonts w:hint="cs"/>
          <w:rtl/>
        </w:rPr>
        <w:t xml:space="preserve">לעניין זה </w:t>
      </w:r>
      <w:hyperlink r:id="rId13" w:history="1">
        <w:r w:rsidR="004D2437" w:rsidRPr="004D2437">
          <w:rPr>
            <w:color w:val="0000FF"/>
            <w:u w:val="single"/>
            <w:rtl/>
          </w:rPr>
          <w:t>ע"פ 3877/16</w:t>
        </w:r>
      </w:hyperlink>
      <w:r>
        <w:rPr>
          <w:rtl/>
        </w:rPr>
        <w:t xml:space="preserve"> </w:t>
      </w:r>
      <w:r w:rsidRPr="006C3B7E">
        <w:rPr>
          <w:rFonts w:hint="cs"/>
          <w:rtl/>
        </w:rPr>
        <w:t>ג'באלי</w:t>
      </w:r>
      <w:r>
        <w:rPr>
          <w:rFonts w:hint="cs"/>
          <w:b/>
          <w:bCs/>
          <w:rtl/>
        </w:rPr>
        <w:t xml:space="preserve"> נ' מדינת ישראל </w:t>
      </w:r>
      <w:r>
        <w:rPr>
          <w:rFonts w:hint="cs"/>
          <w:rtl/>
        </w:rPr>
        <w:t>(פסקה 6 לפסק דינו של כב' הש' חיות, כתוארה אז):</w:t>
      </w:r>
    </w:p>
    <w:p w14:paraId="145793B6" w14:textId="77777777" w:rsidR="00CF089F" w:rsidRDefault="00CF089F" w:rsidP="00CF089F">
      <w:pPr>
        <w:spacing w:after="120" w:line="360" w:lineRule="auto"/>
        <w:ind w:left="567" w:right="567"/>
        <w:jc w:val="both"/>
        <w:rPr>
          <w:rFonts w:ascii="Arial" w:hAnsi="Arial"/>
          <w:rtl/>
        </w:rPr>
      </w:pPr>
      <w:r>
        <w:rPr>
          <w:rFonts w:hint="cs"/>
          <w:b/>
          <w:bCs/>
          <w:rtl/>
        </w:rPr>
        <w:lastRenderedPageBreak/>
        <w:t>"בית משפט זה עמד פעמים רבות על החומרה היתרה הגלומה בביצוע עבירות בנשק ובכללן העבירה של החזקת נשק או נשיאתו שלא כדין. עבירות אלה מקימות סיכון חמור לשלום הציבור וביטחונו ומחייבות ליתן ביטוי עונשי הולם ומרתיע באמצעות הרחקת מבצע העבירה מן החברה לתקופת מאסר ממשית לריצוי בפועל... עוד נפסק כי חומרתן של העבירות בנשק אינה מסתכמת רק בנזק שאירע בפועל, כי אם בפוטנציאל הנזק הנובע מאותן עבירות"</w:t>
      </w:r>
      <w:r>
        <w:rPr>
          <w:rFonts w:ascii="Arial" w:hAnsi="Arial" w:hint="cs"/>
          <w:rtl/>
        </w:rPr>
        <w:t>.</w:t>
      </w:r>
    </w:p>
    <w:p w14:paraId="7ECA6649" w14:textId="77777777" w:rsidR="00CF089F" w:rsidRDefault="00CF089F" w:rsidP="00CF089F">
      <w:pPr>
        <w:spacing w:after="120" w:line="360" w:lineRule="auto"/>
        <w:jc w:val="both"/>
        <w:rPr>
          <w:rFonts w:ascii="Arial" w:hAnsi="Arial"/>
          <w:rtl/>
        </w:rPr>
      </w:pPr>
      <w:r>
        <w:rPr>
          <w:rFonts w:ascii="Arial" w:hAnsi="Arial" w:hint="cs"/>
          <w:rtl/>
        </w:rPr>
        <w:t>ב</w:t>
      </w:r>
      <w:hyperlink r:id="rId14" w:history="1">
        <w:r w:rsidR="004D2437" w:rsidRPr="004D2437">
          <w:rPr>
            <w:rFonts w:ascii="Arial" w:hAnsi="Arial"/>
            <w:color w:val="0000FF"/>
            <w:u w:val="single"/>
            <w:rtl/>
          </w:rPr>
          <w:t>ע"פ  2564/19</w:t>
        </w:r>
      </w:hyperlink>
      <w:r>
        <w:rPr>
          <w:rFonts w:ascii="Arial" w:hAnsi="Arial"/>
          <w:rtl/>
        </w:rPr>
        <w:t xml:space="preserve"> </w:t>
      </w:r>
      <w:r>
        <w:rPr>
          <w:rFonts w:ascii="Arial" w:hAnsi="Arial" w:hint="cs"/>
          <w:b/>
          <w:bCs/>
          <w:rtl/>
        </w:rPr>
        <w:t>איברהים אזברגה נ' מדינת ישראל</w:t>
      </w:r>
      <w:r>
        <w:rPr>
          <w:rFonts w:ascii="Arial" w:hAnsi="Arial" w:hint="cs"/>
          <w:rtl/>
        </w:rPr>
        <w:t xml:space="preserve"> (פסקה 10 לפסק דינו של כב' הש' ברון) נקבע כי עבירות הנשק מצדיקות עונש מאחורי סורג ובריח וזאת גם כאשר מדובר בנאשמים ללא עבר פלילי: </w:t>
      </w:r>
    </w:p>
    <w:p w14:paraId="35C2EF10" w14:textId="77777777" w:rsidR="00CF089F" w:rsidRDefault="00CF089F" w:rsidP="00CF089F">
      <w:pPr>
        <w:spacing w:after="120" w:line="360" w:lineRule="auto"/>
        <w:ind w:left="566" w:right="567"/>
        <w:jc w:val="both"/>
        <w:rPr>
          <w:rFonts w:ascii="Arial" w:hAnsi="Arial"/>
          <w:b/>
          <w:bCs/>
          <w:rtl/>
        </w:rPr>
      </w:pPr>
      <w:r>
        <w:rPr>
          <w:rFonts w:ascii="Arial" w:hAnsi="Arial" w:hint="cs"/>
          <w:b/>
          <w:bCs/>
          <w:rtl/>
        </w:rPr>
        <w:t>"</w:t>
      </w:r>
      <w:r>
        <w:rPr>
          <w:rFonts w:hint="cs"/>
          <w:b/>
          <w:bCs/>
          <w:sz w:val="20"/>
          <w:rtl/>
        </w:rPr>
        <w:t xml:space="preserve">קיימת בפסיקה מגמת החמרה ברמת הענישה של המעורבים בעבירות נשק תוך </w:t>
      </w:r>
      <w:r>
        <w:rPr>
          <w:rFonts w:hint="cs"/>
          <w:b/>
          <w:bCs/>
          <w:sz w:val="28"/>
          <w:rtl/>
        </w:rPr>
        <w:t xml:space="preserve">מתן ביטוי עונשי הולם לסכנה הנשקפת מהן; וזאת </w:t>
      </w:r>
      <w:r>
        <w:rPr>
          <w:rFonts w:hint="cs"/>
          <w:b/>
          <w:bCs/>
          <w:sz w:val="20"/>
          <w:rtl/>
        </w:rPr>
        <w:t>במטרה להרתיע את היחיד והרבים גם יחד מפני ביצוען. ברירת המחדל בעבירות נשק היא אפוא מאסר בפועל גם כאשר הנאשם נעדר עבר פלילי, כבענייננו</w:t>
      </w:r>
      <w:r>
        <w:rPr>
          <w:rFonts w:ascii="Arial" w:hAnsi="Arial" w:hint="cs"/>
          <w:b/>
          <w:bCs/>
          <w:rtl/>
        </w:rPr>
        <w:t>".</w:t>
      </w:r>
    </w:p>
    <w:p w14:paraId="125A0C10" w14:textId="77777777" w:rsidR="00CF089F" w:rsidRDefault="00CF089F" w:rsidP="00CF089F">
      <w:pPr>
        <w:spacing w:line="360" w:lineRule="auto"/>
        <w:jc w:val="both"/>
        <w:rPr>
          <w:rtl/>
        </w:rPr>
      </w:pPr>
    </w:p>
    <w:p w14:paraId="238D6DB9" w14:textId="77777777" w:rsidR="00CF089F" w:rsidRPr="00720EF1" w:rsidRDefault="00CF089F" w:rsidP="00CF089F">
      <w:pPr>
        <w:spacing w:after="120" w:line="360" w:lineRule="auto"/>
        <w:jc w:val="both"/>
        <w:rPr>
          <w:rFonts w:ascii="David" w:hAnsi="David"/>
          <w:u w:val="single"/>
          <w:rtl/>
        </w:rPr>
      </w:pPr>
      <w:r w:rsidRPr="00720EF1">
        <w:rPr>
          <w:rFonts w:ascii="Arial" w:hAnsi="Arial" w:hint="cs"/>
          <w:rtl/>
        </w:rPr>
        <w:t xml:space="preserve">אשר למדיניות הענישה הנוהגת, אפנה למספר החלטות מהשנים האחרונות, אשר עניינן עבירות דומות, כולן בתיקים של נאשמים </w:t>
      </w:r>
      <w:r>
        <w:rPr>
          <w:rFonts w:ascii="Arial" w:hAnsi="Arial" w:hint="cs"/>
          <w:rtl/>
        </w:rPr>
        <w:t>ללא</w:t>
      </w:r>
      <w:r w:rsidRPr="00720EF1">
        <w:rPr>
          <w:rFonts w:ascii="Arial" w:hAnsi="Arial" w:hint="cs"/>
          <w:rtl/>
        </w:rPr>
        <w:t xml:space="preserve"> עבר פלילי:</w:t>
      </w:r>
    </w:p>
    <w:p w14:paraId="03B7169F" w14:textId="77777777" w:rsidR="00CF089F" w:rsidRDefault="00CF089F" w:rsidP="00CF089F">
      <w:pPr>
        <w:spacing w:after="120" w:line="360" w:lineRule="auto"/>
        <w:contextualSpacing/>
        <w:jc w:val="both"/>
        <w:rPr>
          <w:rFonts w:ascii="David" w:hAnsi="David"/>
          <w:rtl/>
        </w:rPr>
      </w:pPr>
      <w:r w:rsidRPr="00720EF1">
        <w:rPr>
          <w:rFonts w:hint="cs"/>
          <w:u w:val="single"/>
          <w:rtl/>
        </w:rPr>
        <w:t>ב</w:t>
      </w:r>
      <w:hyperlink r:id="rId15" w:history="1">
        <w:r w:rsidR="004D2437" w:rsidRPr="004D2437">
          <w:rPr>
            <w:color w:val="0000FF"/>
            <w:u w:val="single"/>
            <w:rtl/>
          </w:rPr>
          <w:t>רע"פ 8730/18</w:t>
        </w:r>
      </w:hyperlink>
      <w:r w:rsidRPr="00720EF1">
        <w:rPr>
          <w:rFonts w:hint="cs"/>
          <w:u w:val="single"/>
          <w:rtl/>
        </w:rPr>
        <w:t xml:space="preserve"> אברה מרשה נ' מדינת ישראל (24.1.19</w:t>
      </w:r>
      <w:r w:rsidRPr="00720EF1">
        <w:rPr>
          <w:rFonts w:hint="cs"/>
          <w:rtl/>
        </w:rPr>
        <w:t xml:space="preserve">)- נדחתה בקשת רשות ערעור של נאשם צעיר שהחזיק בביתו אקדח עם מחסנית תואמת שנגנב בשנת 2007 מבעליו החוקיים. בית המשפט העליון </w:t>
      </w:r>
      <w:r>
        <w:rPr>
          <w:rFonts w:hint="cs"/>
          <w:rtl/>
        </w:rPr>
        <w:t>אישר החמרה בעונשו של אותו נאשם, מששה חודשי מאסר בעבודות שירות לשמונה חודשי מאסר ממש וקבע,</w:t>
      </w:r>
      <w:r w:rsidRPr="00720EF1">
        <w:rPr>
          <w:rFonts w:hint="cs"/>
          <w:rtl/>
        </w:rPr>
        <w:t xml:space="preserve"> כי בהחמרת עונשו של המערער למאסר בפועל </w:t>
      </w:r>
      <w:r>
        <w:rPr>
          <w:rFonts w:hint="cs"/>
          <w:rtl/>
        </w:rPr>
        <w:t>למרות</w:t>
      </w:r>
      <w:r w:rsidRPr="00720EF1">
        <w:rPr>
          <w:rFonts w:hint="cs"/>
          <w:rtl/>
        </w:rPr>
        <w:t xml:space="preserve"> שמדובר בתקופה שניתן </w:t>
      </w:r>
      <w:r>
        <w:rPr>
          <w:rFonts w:hint="cs"/>
          <w:rtl/>
        </w:rPr>
        <w:t>לשאת בה ב</w:t>
      </w:r>
      <w:r w:rsidRPr="00720EF1">
        <w:rPr>
          <w:rFonts w:hint="cs"/>
          <w:rtl/>
        </w:rPr>
        <w:t xml:space="preserve">עבודות שירות "... </w:t>
      </w:r>
      <w:r w:rsidRPr="00720EF1">
        <w:rPr>
          <w:rFonts w:hint="cs"/>
          <w:b/>
          <w:bCs/>
          <w:rtl/>
        </w:rPr>
        <w:t>מצויה אמירה ערכית נכונה, שדינו של מי ששלח ידו בהחזקת נשק, למאסר ממש ולא כזה שירוצה על דרך של עבודות שירות</w:t>
      </w:r>
      <w:r w:rsidRPr="00720EF1">
        <w:rPr>
          <w:rFonts w:hint="cs"/>
          <w:rtl/>
        </w:rPr>
        <w:t>" [פסקה 8 להחלטתו של כב' הש' קרא].</w:t>
      </w:r>
    </w:p>
    <w:p w14:paraId="21EB7F05" w14:textId="77777777" w:rsidR="00CF089F" w:rsidRDefault="00CF089F" w:rsidP="00CF089F">
      <w:pPr>
        <w:spacing w:before="100" w:beforeAutospacing="1" w:after="120" w:line="360" w:lineRule="auto"/>
        <w:contextualSpacing/>
        <w:jc w:val="both"/>
        <w:rPr>
          <w:rtl/>
        </w:rPr>
      </w:pPr>
      <w:r>
        <w:rPr>
          <w:rFonts w:hint="cs"/>
          <w:u w:val="single"/>
          <w:rtl/>
        </w:rPr>
        <w:t>ב</w:t>
      </w:r>
      <w:hyperlink r:id="rId16" w:history="1">
        <w:r w:rsidR="004D2437" w:rsidRPr="004D2437">
          <w:rPr>
            <w:color w:val="0000FF"/>
            <w:u w:val="single"/>
            <w:rtl/>
          </w:rPr>
          <w:t>רע"פ 1246/17</w:t>
        </w:r>
      </w:hyperlink>
      <w:r>
        <w:rPr>
          <w:rFonts w:hint="cs"/>
          <w:b/>
          <w:bCs/>
          <w:u w:val="single"/>
          <w:rtl/>
        </w:rPr>
        <w:t xml:space="preserve"> מוחמד מטר נ' מדינת ישראל</w:t>
      </w:r>
      <w:r>
        <w:rPr>
          <w:rFonts w:hint="cs"/>
          <w:u w:val="single"/>
          <w:rtl/>
        </w:rPr>
        <w:t xml:space="preserve"> (פורסם בנבו, 12.3.2017)</w:t>
      </w:r>
      <w:r>
        <w:rPr>
          <w:rFonts w:hint="cs"/>
          <w:rtl/>
        </w:rPr>
        <w:t xml:space="preserve">- נדחתה בקשת רשות ערעור של נאשם שהורשע בעבירות של החזקת אקדח כשלצדו תחמושת בביתו. בית המשפט המחוזי החמיר בענשו של אותו נאשם וגזר עליו תשעה חודשי מאסר ממש במקום ששה חודשים בדרך של עבודות שירות שהוטל על ידי בית המשפט השלום. </w:t>
      </w:r>
    </w:p>
    <w:p w14:paraId="6274B190" w14:textId="77777777" w:rsidR="00CF089F" w:rsidRDefault="00CF089F" w:rsidP="00CF089F">
      <w:pPr>
        <w:spacing w:before="100" w:beforeAutospacing="1" w:after="120" w:line="360" w:lineRule="auto"/>
        <w:contextualSpacing/>
        <w:jc w:val="both"/>
        <w:rPr>
          <w:rtl/>
        </w:rPr>
      </w:pPr>
      <w:r>
        <w:rPr>
          <w:rFonts w:hint="cs"/>
          <w:u w:val="single"/>
          <w:rtl/>
        </w:rPr>
        <w:t>ב</w:t>
      </w:r>
      <w:hyperlink r:id="rId17" w:history="1">
        <w:r w:rsidR="004D2437" w:rsidRPr="004D2437">
          <w:rPr>
            <w:color w:val="0000FF"/>
            <w:u w:val="single"/>
            <w:rtl/>
          </w:rPr>
          <w:t>ע"פ 8846/15</w:t>
        </w:r>
      </w:hyperlink>
      <w:r>
        <w:rPr>
          <w:rFonts w:hint="cs"/>
          <w:u w:val="single"/>
          <w:rtl/>
        </w:rPr>
        <w:t xml:space="preserve"> </w:t>
      </w:r>
      <w:r>
        <w:rPr>
          <w:rFonts w:hint="cs"/>
          <w:b/>
          <w:bCs/>
          <w:u w:val="single"/>
          <w:rtl/>
        </w:rPr>
        <w:t>איהבאב  דראז נ' מדינת ישראל</w:t>
      </w:r>
      <w:r>
        <w:rPr>
          <w:rFonts w:hint="cs"/>
          <w:u w:val="single"/>
          <w:rtl/>
        </w:rPr>
        <w:t xml:space="preserve"> (פורסם בנבו, 13.3.16</w:t>
      </w:r>
      <w:r>
        <w:rPr>
          <w:rFonts w:hint="cs"/>
          <w:rtl/>
        </w:rPr>
        <w:t>)-נדחה ערעורו של נאשם שנגזרו עליו שמונה חודשי מאסר בגין החזקה של אקדח ותחמושת והפרעה לשוטר.</w:t>
      </w:r>
    </w:p>
    <w:p w14:paraId="31CCDDD8" w14:textId="77777777" w:rsidR="00CF089F" w:rsidRPr="00822F6E" w:rsidRDefault="00CF089F" w:rsidP="00CF089F">
      <w:pPr>
        <w:spacing w:before="100" w:beforeAutospacing="1" w:after="120" w:line="360" w:lineRule="auto"/>
        <w:jc w:val="both"/>
        <w:rPr>
          <w:rFonts w:ascii="David" w:hAnsi="David"/>
          <w:rtl/>
        </w:rPr>
      </w:pPr>
      <w:r>
        <w:rPr>
          <w:rFonts w:hint="cs"/>
          <w:u w:val="single"/>
          <w:rtl/>
        </w:rPr>
        <w:t>ב</w:t>
      </w:r>
      <w:hyperlink r:id="rId18" w:history="1">
        <w:r w:rsidR="004D2437" w:rsidRPr="004D2437">
          <w:rPr>
            <w:color w:val="0000FF"/>
            <w:u w:val="single"/>
            <w:rtl/>
          </w:rPr>
          <w:t>עפ"ג (מחוזי ב"ש) 56010-03-18</w:t>
        </w:r>
      </w:hyperlink>
      <w:r>
        <w:rPr>
          <w:rFonts w:hint="cs"/>
          <w:u w:val="single"/>
          <w:rtl/>
        </w:rPr>
        <w:t xml:space="preserve"> </w:t>
      </w:r>
      <w:r>
        <w:rPr>
          <w:rFonts w:hint="cs"/>
          <w:b/>
          <w:bCs/>
          <w:u w:val="single"/>
          <w:rtl/>
        </w:rPr>
        <w:t>אלאסד נ' מדינת ישראל</w:t>
      </w:r>
      <w:r>
        <w:rPr>
          <w:rFonts w:hint="cs"/>
          <w:u w:val="single"/>
          <w:rtl/>
        </w:rPr>
        <w:t xml:space="preserve"> (פורסם באר"ש, 27.6.18)</w:t>
      </w:r>
      <w:r>
        <w:rPr>
          <w:rFonts w:hint="cs"/>
          <w:rtl/>
        </w:rPr>
        <w:t xml:space="preserve">- דחה בית המשפט המחוזי ערעורו של נאשם כבן 50, אשר החזיק בארון בביתו </w:t>
      </w:r>
      <w:r w:rsidRPr="00360F9C">
        <w:rPr>
          <w:rFonts w:hint="cs"/>
          <w:rtl/>
        </w:rPr>
        <w:t>אקדח</w:t>
      </w:r>
      <w:r>
        <w:rPr>
          <w:rFonts w:hint="cs"/>
          <w:rtl/>
        </w:rPr>
        <w:t xml:space="preserve">  מסוג ברטה ללא תחמושת ונדון לתשעה חודשי מאסר בפועל ועונשים נלווים.</w:t>
      </w:r>
    </w:p>
    <w:p w14:paraId="1B677CF7" w14:textId="77777777" w:rsidR="00CF089F" w:rsidRPr="00822F6E" w:rsidRDefault="00CF089F" w:rsidP="00CF089F">
      <w:pPr>
        <w:spacing w:after="120" w:line="360" w:lineRule="auto"/>
        <w:jc w:val="both"/>
        <w:rPr>
          <w:rFonts w:ascii="David" w:hAnsi="David"/>
          <w:sz w:val="22"/>
          <w:szCs w:val="22"/>
        </w:rPr>
      </w:pPr>
      <w:r>
        <w:rPr>
          <w:rFonts w:ascii="David" w:hAnsi="David" w:hint="cs"/>
          <w:rtl/>
        </w:rPr>
        <w:t>ב</w:t>
      </w:r>
      <w:hyperlink r:id="rId19" w:history="1">
        <w:r w:rsidRPr="00822F6E">
          <w:rPr>
            <w:rStyle w:val="Hyperlink"/>
            <w:rFonts w:ascii="David" w:hAnsi="David"/>
            <w:rtl/>
          </w:rPr>
          <w:t>עפג (ב"ש)</w:t>
        </w:r>
      </w:hyperlink>
      <w:r w:rsidRPr="00822F6E">
        <w:rPr>
          <w:rFonts w:ascii="David" w:hAnsi="David"/>
          <w:rtl/>
        </w:rPr>
        <w:t xml:space="preserve"> 56305-02-20‏ </w:t>
      </w:r>
      <w:r w:rsidR="004D2437">
        <w:rPr>
          <w:rFonts w:ascii="David" w:hAnsi="David"/>
          <w:rtl/>
        </w:rPr>
        <w:t xml:space="preserve"> </w:t>
      </w:r>
      <w:r w:rsidRPr="00822F6E">
        <w:rPr>
          <w:rFonts w:ascii="David" w:hAnsi="David"/>
          <w:rtl/>
        </w:rPr>
        <w:t xml:space="preserve">אלקריעאן (18.8.20) </w:t>
      </w:r>
      <w:r>
        <w:rPr>
          <w:rFonts w:ascii="David" w:hAnsi="David"/>
          <w:rtl/>
        </w:rPr>
        <w:t>–</w:t>
      </w:r>
      <w:r w:rsidRPr="00822F6E">
        <w:rPr>
          <w:rFonts w:ascii="David" w:hAnsi="David"/>
          <w:rtl/>
        </w:rPr>
        <w:t xml:space="preserve"> </w:t>
      </w:r>
      <w:r>
        <w:rPr>
          <w:rFonts w:ascii="David" w:hAnsi="David" w:hint="cs"/>
          <w:rtl/>
        </w:rPr>
        <w:t xml:space="preserve">נדון </w:t>
      </w:r>
      <w:r w:rsidRPr="00822F6E">
        <w:rPr>
          <w:rFonts w:ascii="David" w:hAnsi="David"/>
          <w:rtl/>
        </w:rPr>
        <w:t xml:space="preserve">נאשם ללא עבר פלילי שברכבו נמצא אקדח ומחסנית. </w:t>
      </w:r>
      <w:r w:rsidRPr="00360F9C">
        <w:rPr>
          <w:rFonts w:ascii="David" w:hAnsi="David" w:hint="cs"/>
          <w:rtl/>
        </w:rPr>
        <w:t>בית משפט</w:t>
      </w:r>
      <w:r>
        <w:rPr>
          <w:rFonts w:ascii="David" w:hAnsi="David" w:hint="cs"/>
          <w:u w:val="single"/>
          <w:rtl/>
        </w:rPr>
        <w:t xml:space="preserve"> </w:t>
      </w:r>
      <w:r>
        <w:rPr>
          <w:rFonts w:ascii="David" w:hAnsi="David" w:hint="cs"/>
          <w:rtl/>
        </w:rPr>
        <w:t>ה</w:t>
      </w:r>
      <w:r w:rsidRPr="00822F6E">
        <w:rPr>
          <w:rFonts w:ascii="David" w:hAnsi="David"/>
          <w:rtl/>
        </w:rPr>
        <w:t xml:space="preserve">שלום קבע מתחם של </w:t>
      </w:r>
      <w:r w:rsidRPr="00360F9C">
        <w:rPr>
          <w:rFonts w:ascii="David" w:hAnsi="David"/>
          <w:rtl/>
        </w:rPr>
        <w:t>15-30</w:t>
      </w:r>
      <w:r w:rsidRPr="00822F6E">
        <w:rPr>
          <w:rFonts w:ascii="David" w:hAnsi="David"/>
          <w:rtl/>
        </w:rPr>
        <w:t xml:space="preserve"> </w:t>
      </w:r>
      <w:r>
        <w:rPr>
          <w:rFonts w:ascii="David" w:hAnsi="David" w:hint="cs"/>
          <w:rtl/>
        </w:rPr>
        <w:t xml:space="preserve">חודשי מאסר וגזר על הנאשם </w:t>
      </w:r>
      <w:r>
        <w:rPr>
          <w:rFonts w:ascii="David" w:hAnsi="David"/>
          <w:rtl/>
        </w:rPr>
        <w:t>עונש של 15 חודשי מאסר ו</w:t>
      </w:r>
      <w:r>
        <w:rPr>
          <w:rFonts w:ascii="David" w:hAnsi="David" w:hint="cs"/>
          <w:rtl/>
        </w:rPr>
        <w:t>הורה על חילוט מכוניתו</w:t>
      </w:r>
      <w:r w:rsidRPr="00822F6E">
        <w:rPr>
          <w:rFonts w:ascii="David" w:hAnsi="David"/>
          <w:rtl/>
        </w:rPr>
        <w:t xml:space="preserve">. </w:t>
      </w:r>
      <w:r>
        <w:rPr>
          <w:rFonts w:ascii="David" w:hAnsi="David" w:hint="cs"/>
          <w:rtl/>
        </w:rPr>
        <w:t>בית המשפט ה</w:t>
      </w:r>
      <w:r w:rsidRPr="00822F6E">
        <w:rPr>
          <w:rFonts w:ascii="David" w:hAnsi="David"/>
          <w:rtl/>
        </w:rPr>
        <w:t xml:space="preserve">מחוזי </w:t>
      </w:r>
      <w:r w:rsidRPr="00360F9C">
        <w:rPr>
          <w:rFonts w:ascii="David" w:hAnsi="David"/>
          <w:rtl/>
        </w:rPr>
        <w:t xml:space="preserve">הפחית </w:t>
      </w:r>
      <w:r w:rsidRPr="00360F9C">
        <w:rPr>
          <w:rFonts w:ascii="David" w:hAnsi="David" w:hint="cs"/>
          <w:rtl/>
        </w:rPr>
        <w:t xml:space="preserve">את </w:t>
      </w:r>
      <w:r w:rsidRPr="00360F9C">
        <w:rPr>
          <w:rFonts w:ascii="David" w:hAnsi="David"/>
          <w:rtl/>
        </w:rPr>
        <w:t>העונש ל-12 חודשי מאסר</w:t>
      </w:r>
      <w:r>
        <w:rPr>
          <w:rFonts w:ascii="David" w:hAnsi="David" w:hint="cs"/>
          <w:sz w:val="22"/>
          <w:szCs w:val="22"/>
          <w:rtl/>
        </w:rPr>
        <w:t>.</w:t>
      </w:r>
    </w:p>
    <w:p w14:paraId="6C31CCDF" w14:textId="77777777" w:rsidR="00CF089F" w:rsidRPr="00822F6E" w:rsidRDefault="00CF089F" w:rsidP="00CF089F">
      <w:pPr>
        <w:spacing w:after="120" w:line="360" w:lineRule="auto"/>
        <w:jc w:val="both"/>
        <w:rPr>
          <w:rFonts w:ascii="David" w:hAnsi="David"/>
          <w:rtl/>
        </w:rPr>
      </w:pPr>
      <w:r>
        <w:rPr>
          <w:rFonts w:ascii="David" w:hAnsi="David" w:hint="cs"/>
          <w:rtl/>
        </w:rPr>
        <w:t>ב</w:t>
      </w:r>
      <w:hyperlink r:id="rId20" w:history="1">
        <w:r w:rsidRPr="00822F6E">
          <w:rPr>
            <w:rStyle w:val="Hyperlink"/>
            <w:rFonts w:ascii="David" w:hAnsi="David"/>
            <w:rtl/>
          </w:rPr>
          <w:t>עפג (חי') 23517-02-20</w:t>
        </w:r>
      </w:hyperlink>
      <w:r w:rsidRPr="00822F6E">
        <w:rPr>
          <w:rFonts w:ascii="David" w:hAnsi="David"/>
          <w:rtl/>
        </w:rPr>
        <w:t>‏ ‏ מדינת ישראל נ' ז</w:t>
      </w:r>
      <w:r>
        <w:rPr>
          <w:rFonts w:ascii="David" w:hAnsi="David"/>
          <w:rtl/>
        </w:rPr>
        <w:t>יד אחמד זיד אלכילאני (28.7.20) –</w:t>
      </w:r>
      <w:r>
        <w:rPr>
          <w:rFonts w:ascii="David" w:hAnsi="David" w:hint="cs"/>
          <w:rtl/>
        </w:rPr>
        <w:t xml:space="preserve"> נדון עניינו של נאשם </w:t>
      </w:r>
      <w:r w:rsidRPr="00822F6E">
        <w:rPr>
          <w:rFonts w:ascii="David" w:hAnsi="David"/>
          <w:rtl/>
        </w:rPr>
        <w:t xml:space="preserve">שהחזיק בביתו אקדח, מחסנית ו-40 כדורים. </w:t>
      </w:r>
      <w:r>
        <w:rPr>
          <w:rFonts w:ascii="David" w:hAnsi="David" w:hint="cs"/>
          <w:rtl/>
        </w:rPr>
        <w:t>בית משפט</w:t>
      </w:r>
      <w:r w:rsidRPr="00822F6E">
        <w:rPr>
          <w:rFonts w:ascii="David" w:hAnsi="David"/>
          <w:rtl/>
        </w:rPr>
        <w:t xml:space="preserve"> השלום קבע מתחם של </w:t>
      </w:r>
      <w:r w:rsidRPr="00360F9C">
        <w:rPr>
          <w:rFonts w:ascii="David" w:hAnsi="David"/>
          <w:rtl/>
        </w:rPr>
        <w:t>6-15</w:t>
      </w:r>
      <w:r w:rsidRPr="00822F6E">
        <w:rPr>
          <w:rFonts w:ascii="David" w:hAnsi="David"/>
          <w:rtl/>
        </w:rPr>
        <w:t xml:space="preserve"> חודשי מאסר וגזר </w:t>
      </w:r>
      <w:r>
        <w:rPr>
          <w:rFonts w:ascii="David" w:hAnsi="David" w:hint="cs"/>
          <w:rtl/>
        </w:rPr>
        <w:t xml:space="preserve">על הנאשם </w:t>
      </w:r>
      <w:r w:rsidRPr="00822F6E">
        <w:rPr>
          <w:rFonts w:ascii="David" w:hAnsi="David"/>
          <w:rtl/>
        </w:rPr>
        <w:t xml:space="preserve">עונש של 8 חודשי עבודות שירות. </w:t>
      </w:r>
      <w:r w:rsidR="004D2437">
        <w:rPr>
          <w:rFonts w:ascii="David" w:hAnsi="David"/>
          <w:rtl/>
        </w:rPr>
        <w:t xml:space="preserve"> </w:t>
      </w:r>
      <w:r>
        <w:rPr>
          <w:rFonts w:ascii="David" w:hAnsi="David" w:hint="cs"/>
          <w:rtl/>
        </w:rPr>
        <w:t xml:space="preserve">בית המשפט </w:t>
      </w:r>
      <w:r w:rsidRPr="00822F6E">
        <w:rPr>
          <w:rFonts w:ascii="David" w:hAnsi="David"/>
          <w:rtl/>
        </w:rPr>
        <w:t xml:space="preserve">המחוזי קבע כי תחילת המתחם בעבירות נשק עולה על </w:t>
      </w:r>
      <w:r>
        <w:rPr>
          <w:rFonts w:ascii="David" w:hAnsi="David" w:hint="cs"/>
          <w:rtl/>
        </w:rPr>
        <w:t xml:space="preserve">תשעה </w:t>
      </w:r>
      <w:r>
        <w:rPr>
          <w:rFonts w:ascii="David" w:hAnsi="David"/>
          <w:rtl/>
        </w:rPr>
        <w:t xml:space="preserve">חודשים </w:t>
      </w:r>
      <w:r>
        <w:rPr>
          <w:rFonts w:ascii="David" w:hAnsi="David" w:hint="cs"/>
          <w:rtl/>
        </w:rPr>
        <w:t>ופסק, כי:</w:t>
      </w:r>
      <w:r w:rsidR="004D2437">
        <w:rPr>
          <w:rFonts w:ascii="David" w:hAnsi="David"/>
          <w:rtl/>
        </w:rPr>
        <w:t xml:space="preserve"> </w:t>
      </w:r>
      <w:r w:rsidRPr="00822F6E">
        <w:rPr>
          <w:rFonts w:ascii="David" w:hAnsi="David"/>
          <w:rtl/>
        </w:rPr>
        <w:t>"</w:t>
      </w:r>
      <w:r w:rsidRPr="00822F6E">
        <w:rPr>
          <w:rFonts w:ascii="David" w:hAnsi="David"/>
          <w:b/>
          <w:bCs/>
          <w:rtl/>
        </w:rPr>
        <w:t>מגמת החמרה זו ניכרת במיוחד בפסיקה מן התקופה האחרונה, החמרה אשר באה לידי ביטוי, בין היתר, בכך שהסף התחתון של מתחם הענישה בעבירה של החזקת נשק שלא כדין, גם כאשר הנאשם נעדר עבר פלילי, עולה על תשעה חודשי מאסר, דהיינו, פרק זמן אשר אינו מאפשר ריצוי עונש המאסר על דרך של עבודות שירות.</w:t>
      </w:r>
      <w:r w:rsidRPr="00822F6E">
        <w:rPr>
          <w:rFonts w:ascii="David" w:hAnsi="David"/>
          <w:rtl/>
        </w:rPr>
        <w:t xml:space="preserve">" בסופו של יום נגזרו על </w:t>
      </w:r>
      <w:r w:rsidRPr="0041452D">
        <w:rPr>
          <w:rFonts w:ascii="David" w:hAnsi="David"/>
          <w:rtl/>
        </w:rPr>
        <w:t xml:space="preserve">הנאשם </w:t>
      </w:r>
      <w:r w:rsidRPr="0041452D">
        <w:rPr>
          <w:rFonts w:ascii="David" w:hAnsi="David" w:hint="cs"/>
          <w:rtl/>
        </w:rPr>
        <w:t xml:space="preserve">עשרה </w:t>
      </w:r>
      <w:r w:rsidRPr="0041452D">
        <w:rPr>
          <w:rFonts w:ascii="David" w:hAnsi="David"/>
          <w:rtl/>
        </w:rPr>
        <w:t>חודשי מאסר.</w:t>
      </w:r>
      <w:r w:rsidRPr="00822F6E">
        <w:rPr>
          <w:rFonts w:ascii="David" w:hAnsi="David"/>
          <w:rtl/>
        </w:rPr>
        <w:t xml:space="preserve"> </w:t>
      </w:r>
    </w:p>
    <w:p w14:paraId="4D8D693E" w14:textId="77777777" w:rsidR="00CF089F" w:rsidRDefault="00CF089F" w:rsidP="00CF089F">
      <w:pPr>
        <w:spacing w:after="120" w:line="360" w:lineRule="auto"/>
        <w:jc w:val="both"/>
        <w:rPr>
          <w:rFonts w:ascii="Arial" w:hAnsi="Arial"/>
        </w:rPr>
      </w:pPr>
      <w:r>
        <w:rPr>
          <w:rFonts w:ascii="Arial" w:hAnsi="Arial" w:hint="cs"/>
          <w:rtl/>
        </w:rPr>
        <w:t>אכן, ניתן למצוא גם פסיקה מחמירה או מקלה יותר, כפי שהפנו באי כח שני הצדדים, אך המקרים אותם סקרתי משקפים את הקו המרכזי הנוהג בפסיקה ועליהם אסתמך. אבהיר, כי מתחם העונש אינו מתחיל בגזרי הדין המקלים יותר ואינו מסתיים בגזרי הדין המחמירים יותר, שהרי מתחם העונש הוא קביעה ערכית של בית המשפט בדבר העונש ההולם מעשה, ולא רק שיקוף של רמת ענישה נוהגת. ונפסק בעניין זה(</w:t>
      </w:r>
      <w:hyperlink r:id="rId21" w:history="1">
        <w:r w:rsidR="004D2437" w:rsidRPr="004D2437">
          <w:rPr>
            <w:rFonts w:ascii="Arial" w:hAnsi="Arial"/>
            <w:color w:val="0000FF"/>
            <w:u w:val="single"/>
            <w:rtl/>
          </w:rPr>
          <w:t>ע"פ 1323/13</w:t>
        </w:r>
      </w:hyperlink>
      <w:r>
        <w:rPr>
          <w:rFonts w:ascii="Arial" w:hAnsi="Arial"/>
          <w:rtl/>
        </w:rPr>
        <w:t xml:space="preserve"> רך ואח' נ' מדינת ישראל</w:t>
      </w:r>
      <w:r>
        <w:rPr>
          <w:rFonts w:ascii="Arial" w:hAnsi="Arial" w:hint="cs"/>
          <w:rtl/>
        </w:rPr>
        <w:t>):</w:t>
      </w:r>
    </w:p>
    <w:p w14:paraId="450B4E75" w14:textId="77777777" w:rsidR="00CF089F" w:rsidRDefault="00CF089F" w:rsidP="00CF089F">
      <w:pPr>
        <w:spacing w:after="120" w:line="360" w:lineRule="auto"/>
        <w:ind w:left="567" w:right="567"/>
        <w:jc w:val="both"/>
        <w:rPr>
          <w:rFonts w:ascii="Arial" w:hAnsi="Arial"/>
          <w:b/>
          <w:bCs/>
          <w:rtl/>
        </w:rPr>
      </w:pPr>
      <w:r>
        <w:rPr>
          <w:rFonts w:ascii="Arial" w:hAnsi="Arial"/>
          <w:b/>
          <w:bCs/>
          <w:rtl/>
        </w:rPr>
        <w:t xml:space="preserve">"אין לטעות ולזהות בין מתחם העונש ההולם לבין טווח הענישה הנהוג. מדובר ב"יצורים" שונים. מתחם העונש ההולם מגלם, כאמור, הכרעה ערכית המבוססת על שיקולים שונים, כאשר מדיניות הענישה הנהוגה בעבירה הנדונה הוא רק אחד מהם. טווח הענישה הנהוג בפסיקה, לעומת זאת, הוא נתון אמפירי עובדתי המורכב מהעונשים המקובלים בגין עבירה מסוימת בדין הנוהג." </w:t>
      </w:r>
    </w:p>
    <w:p w14:paraId="5DCDBDA9" w14:textId="77777777" w:rsidR="00CF089F" w:rsidRDefault="00CF089F" w:rsidP="00CF089F">
      <w:pPr>
        <w:spacing w:after="120" w:line="360" w:lineRule="auto"/>
        <w:jc w:val="both"/>
        <w:rPr>
          <w:rFonts w:ascii="Arial" w:hAnsi="Arial"/>
          <w:rtl/>
        </w:rPr>
      </w:pPr>
      <w:r>
        <w:rPr>
          <w:rFonts w:ascii="Arial" w:hAnsi="Arial" w:hint="cs"/>
          <w:rtl/>
        </w:rPr>
        <w:t>בקביעת מתחם העונש אביא בחשבון, מלבד חומרת העבירה ורמת הענישה הנוהגת, גם את העובדה שהנאשם החזיק שני אקדחים, נתון אשר מהווה נסיבה מחמירה ביחס למקרים אותם סקרתי למטה. לאור אלה, מתחם העונש ההולם את המעשים בהם הורשע הנאשם הוא מאסר, לתקופה שבין אחד עשר חודשים ועד 30 חודשים.</w:t>
      </w:r>
    </w:p>
    <w:p w14:paraId="38F1F076" w14:textId="77777777" w:rsidR="00CF089F" w:rsidRPr="00510501" w:rsidRDefault="00CF089F" w:rsidP="00CF089F">
      <w:pPr>
        <w:spacing w:after="120" w:line="360" w:lineRule="auto"/>
        <w:jc w:val="both"/>
        <w:rPr>
          <w:rFonts w:ascii="Arial" w:hAnsi="Arial"/>
          <w:b/>
          <w:bCs/>
          <w:rtl/>
        </w:rPr>
      </w:pPr>
      <w:r w:rsidRPr="00510501">
        <w:rPr>
          <w:rFonts w:ascii="Arial" w:hAnsi="Arial" w:hint="cs"/>
          <w:b/>
          <w:bCs/>
          <w:rtl/>
        </w:rPr>
        <w:t>נתונים אשר אינם קשורים לעבירה</w:t>
      </w:r>
    </w:p>
    <w:p w14:paraId="34A2A035" w14:textId="77777777" w:rsidR="00CF089F" w:rsidRDefault="00CF089F" w:rsidP="00CF089F">
      <w:pPr>
        <w:spacing w:after="120" w:line="360" w:lineRule="auto"/>
        <w:jc w:val="both"/>
        <w:rPr>
          <w:rFonts w:ascii="Arial" w:hAnsi="Arial"/>
          <w:rtl/>
        </w:rPr>
      </w:pPr>
      <w:r>
        <w:rPr>
          <w:rFonts w:ascii="Arial" w:hAnsi="Arial" w:hint="cs"/>
          <w:rtl/>
        </w:rPr>
        <w:t>הנאשם יליד 1995. נשוי. אין לחובתו הרשעות קודמות. מטיעוני בא כוחו עולה, כי לא מתקיימים בעניינו נתונים אישיים יוצאי דופן, המחייבים התייחסות מיוחדת.</w:t>
      </w:r>
    </w:p>
    <w:p w14:paraId="5DE8D3B7" w14:textId="77777777" w:rsidR="00CF089F" w:rsidRPr="00510501" w:rsidRDefault="00CF089F" w:rsidP="00CF089F">
      <w:pPr>
        <w:spacing w:after="120" w:line="360" w:lineRule="auto"/>
        <w:jc w:val="both"/>
        <w:rPr>
          <w:rFonts w:ascii="Arial" w:hAnsi="Arial"/>
          <w:b/>
          <w:bCs/>
          <w:rtl/>
        </w:rPr>
      </w:pPr>
      <w:r w:rsidRPr="00510501">
        <w:rPr>
          <w:rFonts w:ascii="Arial" w:hAnsi="Arial" w:hint="cs"/>
          <w:b/>
          <w:bCs/>
          <w:rtl/>
        </w:rPr>
        <w:t>דיון והכרעה</w:t>
      </w:r>
    </w:p>
    <w:p w14:paraId="480EF1BD" w14:textId="77777777" w:rsidR="00CF089F" w:rsidRDefault="00CF089F" w:rsidP="00CF089F">
      <w:pPr>
        <w:spacing w:after="120" w:line="360" w:lineRule="auto"/>
        <w:jc w:val="both"/>
        <w:rPr>
          <w:rFonts w:ascii="Arial" w:hAnsi="Arial"/>
          <w:rtl/>
        </w:rPr>
      </w:pPr>
      <w:r>
        <w:rPr>
          <w:rFonts w:ascii="Arial" w:hAnsi="Arial" w:hint="cs"/>
          <w:rtl/>
        </w:rPr>
        <w:t>מכלול הנתונים פועל לזכותו של הנאשם: מדובר באדם יחסית, כבן 25, אשר קיבל אחריות למעשיו, הביע לפני חרטה אשר התרשמתי מכנותה ואין לחובתו מעורבות קודמת בפלילים. כמו כן הנאשם נעצר עד תום ההליכים, וכאשר מדובר במעורבות ראשונה בפלילים אין ספק כי מדובר בחוויה לא קלה, ומטלטלת.</w:t>
      </w:r>
    </w:p>
    <w:p w14:paraId="005CCCD6" w14:textId="77777777" w:rsidR="00CF089F" w:rsidRDefault="00CF089F" w:rsidP="00CF089F">
      <w:pPr>
        <w:spacing w:after="120" w:line="360" w:lineRule="auto"/>
        <w:jc w:val="both"/>
        <w:rPr>
          <w:rFonts w:ascii="Arial" w:hAnsi="Arial"/>
          <w:rtl/>
        </w:rPr>
      </w:pPr>
      <w:r>
        <w:rPr>
          <w:rFonts w:ascii="Arial" w:hAnsi="Arial" w:hint="cs"/>
          <w:rtl/>
        </w:rPr>
        <w:t>לאור אלה, ראיתי להשית על הנאשם עונש הנמצא בצידו התחתון של המתחם.</w:t>
      </w:r>
    </w:p>
    <w:p w14:paraId="032AD3CF" w14:textId="77777777" w:rsidR="00CF089F" w:rsidRDefault="00CF089F" w:rsidP="00CF089F">
      <w:pPr>
        <w:spacing w:after="120" w:line="360" w:lineRule="auto"/>
        <w:jc w:val="both"/>
        <w:rPr>
          <w:rFonts w:ascii="Arial" w:hAnsi="Arial"/>
          <w:rtl/>
        </w:rPr>
      </w:pPr>
      <w:r>
        <w:rPr>
          <w:rFonts w:ascii="Arial" w:hAnsi="Arial" w:hint="cs"/>
          <w:rtl/>
        </w:rPr>
        <w:t xml:space="preserve">נתתי דעתי לכך שהחיפוש שבוצע בביתו של הנאשם היה על פי מידע שנגע לאחיו. אין טענה כי הדבר מהווה פגם בחיפוש היורד לשורשו של עניין, ולטעמי גם לא מדובר בפגם המצדיק הפחתה בעונש. אכן, יש בפסיקה אחיזה לטענה שפגם בחיפוש אשר אינו מביא לפסילתה של ראיה, יכול להביא להפחתה בעונש (ר' למשל </w:t>
      </w:r>
      <w:hyperlink r:id="rId22" w:history="1">
        <w:r w:rsidR="004D2437" w:rsidRPr="004D2437">
          <w:rPr>
            <w:rFonts w:ascii="Arial" w:hAnsi="Arial"/>
            <w:color w:val="0000FF"/>
            <w:u w:val="single"/>
            <w:rtl/>
          </w:rPr>
          <w:t>ע"פ 482/20</w:t>
        </w:r>
      </w:hyperlink>
      <w:r>
        <w:rPr>
          <w:rFonts w:ascii="Arial" w:hAnsi="Arial" w:hint="cs"/>
          <w:rtl/>
        </w:rPr>
        <w:t>, מטר). עם זאת, לאור העובדה שגם לשיטת ב"כ אופן ביצוע החיפוש אמור להתבטא בקביעת העונש בתוך המתחם (וכך גם עלה מ</w:t>
      </w:r>
      <w:hyperlink r:id="rId23" w:history="1">
        <w:r w:rsidR="004D2437" w:rsidRPr="004D2437">
          <w:rPr>
            <w:rFonts w:ascii="Arial" w:hAnsi="Arial"/>
            <w:color w:val="0000FF"/>
            <w:u w:val="single"/>
            <w:rtl/>
          </w:rPr>
          <w:t>ע"פ 482/20</w:t>
        </w:r>
      </w:hyperlink>
      <w:r>
        <w:rPr>
          <w:rFonts w:ascii="Arial" w:hAnsi="Arial" w:hint="cs"/>
          <w:rtl/>
        </w:rPr>
        <w:t xml:space="preserve"> הנ"ל), וממילא בשל נסיבותיו האישיות של הנאשם בדעתי למקמו בתחתית המתחם, אין צורך להכריע בשאלת השפעת הפגם האמור על עונשו של הנאשם.</w:t>
      </w:r>
    </w:p>
    <w:p w14:paraId="1D0C6A2B" w14:textId="77777777" w:rsidR="00CF089F" w:rsidRDefault="00CF089F" w:rsidP="00CF089F">
      <w:pPr>
        <w:spacing w:after="120" w:line="360" w:lineRule="auto"/>
        <w:jc w:val="both"/>
        <w:rPr>
          <w:rFonts w:ascii="Arial" w:hAnsi="Arial"/>
          <w:rtl/>
        </w:rPr>
      </w:pPr>
      <w:r>
        <w:rPr>
          <w:rFonts w:ascii="Arial" w:hAnsi="Arial" w:hint="cs"/>
          <w:rtl/>
        </w:rPr>
        <w:t>לצד זאת אעיר, כי צרמה לי הטענה המשתמעת מהמסמך הרפואי של אשת הנאשם שהוגש, כאילו החיפוש גרם לאשת הנאשם לטראומה ולתוצאות לוואי שפורטו במסמך: אין לפני כל טענה, מקל וחומר אין ראיה, כי החיפוש בוצע באופן לא הולם או כוחני וגרם לפגיעה במי מבני משפחת הנאשם. ניתן היה להבין את הטרוניה, לו היה החיפוש מסתיים ללא כל ממצא, אך אין לה מקום כאשר בחיפוש נמצאו שני אקדחים טעונים מוסתרים בבית המשפחה. ככל שביקש הנאשם למנוע מבני משפחתו את חוסר הנעימות הכרוך בחיפוש, ניתן היה לצפות ממנו שלא יסתיר בחדר האמבטיה של ביתו שני אקדחים טעונים.</w:t>
      </w:r>
    </w:p>
    <w:p w14:paraId="0051BDCB" w14:textId="77777777" w:rsidR="00CF089F" w:rsidRPr="008E45B3" w:rsidRDefault="00CF089F" w:rsidP="00CF089F">
      <w:pPr>
        <w:spacing w:after="120" w:line="360" w:lineRule="auto"/>
        <w:jc w:val="both"/>
        <w:rPr>
          <w:b/>
          <w:bCs/>
        </w:rPr>
      </w:pPr>
      <w:r w:rsidRPr="008E45B3">
        <w:rPr>
          <w:b/>
          <w:bCs/>
          <w:rtl/>
        </w:rPr>
        <w:t>לפיכך גוזר על הנאשם את העונשים הבאים:</w:t>
      </w:r>
    </w:p>
    <w:p w14:paraId="5AEAC197" w14:textId="77777777" w:rsidR="00CF089F" w:rsidRPr="00637CCA" w:rsidRDefault="00CF089F" w:rsidP="00CF089F">
      <w:pPr>
        <w:numPr>
          <w:ilvl w:val="0"/>
          <w:numId w:val="1"/>
        </w:numPr>
        <w:spacing w:after="120" w:line="360" w:lineRule="auto"/>
        <w:jc w:val="both"/>
      </w:pPr>
      <w:r w:rsidRPr="00637CCA">
        <w:rPr>
          <w:rFonts w:hint="cs"/>
          <w:rtl/>
        </w:rPr>
        <w:t>אחד עשר</w:t>
      </w:r>
      <w:r w:rsidRPr="00637CCA">
        <w:rPr>
          <w:rtl/>
        </w:rPr>
        <w:t xml:space="preserve"> </w:t>
      </w:r>
      <w:r w:rsidRPr="00637CCA">
        <w:rPr>
          <w:rFonts w:hint="cs"/>
          <w:rtl/>
        </w:rPr>
        <w:t xml:space="preserve">חודשי מאסר </w:t>
      </w:r>
      <w:r w:rsidRPr="00637CCA">
        <w:rPr>
          <w:rtl/>
        </w:rPr>
        <w:t>בפועל</w:t>
      </w:r>
      <w:r w:rsidRPr="00637CCA">
        <w:rPr>
          <w:rFonts w:hint="cs"/>
          <w:rtl/>
        </w:rPr>
        <w:t xml:space="preserve"> שמניינם מיום</w:t>
      </w:r>
      <w:r w:rsidRPr="00637CCA">
        <w:rPr>
          <w:rtl/>
        </w:rPr>
        <w:t xml:space="preserve"> מעצרו של הנאשם</w:t>
      </w:r>
      <w:r w:rsidRPr="00637CCA">
        <w:rPr>
          <w:rFonts w:hint="cs"/>
          <w:rtl/>
        </w:rPr>
        <w:t>, 11.3.20</w:t>
      </w:r>
      <w:r>
        <w:rPr>
          <w:rFonts w:hint="cs"/>
          <w:rtl/>
        </w:rPr>
        <w:t>.</w:t>
      </w:r>
    </w:p>
    <w:p w14:paraId="7B119FD3" w14:textId="77777777" w:rsidR="00CF089F" w:rsidRDefault="00CF089F" w:rsidP="00CF089F">
      <w:pPr>
        <w:numPr>
          <w:ilvl w:val="0"/>
          <w:numId w:val="1"/>
        </w:numPr>
        <w:spacing w:after="120" w:line="360" w:lineRule="auto"/>
        <w:jc w:val="both"/>
      </w:pPr>
      <w:r>
        <w:rPr>
          <w:rtl/>
        </w:rPr>
        <w:t xml:space="preserve"> שחרורו מהמאסר</w:t>
      </w:r>
      <w:r>
        <w:rPr>
          <w:rFonts w:hint="cs"/>
          <w:rtl/>
        </w:rPr>
        <w:t xml:space="preserve"> עבירה על </w:t>
      </w:r>
      <w:hyperlink r:id="rId24" w:history="1">
        <w:r w:rsidR="004C1839" w:rsidRPr="004C1839">
          <w:rPr>
            <w:rStyle w:val="Hyperlink"/>
            <w:rFonts w:hint="eastAsia"/>
            <w:rtl/>
          </w:rPr>
          <w:t>סעיף</w:t>
        </w:r>
        <w:r w:rsidR="004C1839" w:rsidRPr="004C1839">
          <w:rPr>
            <w:rStyle w:val="Hyperlink"/>
            <w:rtl/>
          </w:rPr>
          <w:t xml:space="preserve"> 144</w:t>
        </w:r>
      </w:hyperlink>
      <w:r>
        <w:rPr>
          <w:rFonts w:hint="cs"/>
          <w:rtl/>
        </w:rPr>
        <w:t xml:space="preserve"> ל</w:t>
      </w:r>
      <w:hyperlink r:id="rId25" w:history="1">
        <w:r w:rsidR="004D2437" w:rsidRPr="004D2437">
          <w:rPr>
            <w:color w:val="0000FF"/>
            <w:u w:val="single"/>
            <w:rtl/>
          </w:rPr>
          <w:t>חוק העונשין</w:t>
        </w:r>
      </w:hyperlink>
      <w:r>
        <w:rPr>
          <w:rFonts w:hint="cs"/>
          <w:rtl/>
        </w:rPr>
        <w:t xml:space="preserve"> שהיא פשע, או כל עבירה אחרת הכרוכה בשימוש בנשק.</w:t>
      </w:r>
    </w:p>
    <w:p w14:paraId="6E2D49A6" w14:textId="77777777" w:rsidR="00CF089F" w:rsidRDefault="00CF089F" w:rsidP="00CF089F">
      <w:pPr>
        <w:numPr>
          <w:ilvl w:val="0"/>
          <w:numId w:val="1"/>
        </w:numPr>
        <w:spacing w:after="120" w:line="360" w:lineRule="auto"/>
        <w:jc w:val="both"/>
      </w:pPr>
      <w:r>
        <w:rPr>
          <w:rFonts w:hint="cs"/>
          <w:rtl/>
        </w:rPr>
        <w:t>שלושה חודשי</w:t>
      </w:r>
      <w:r>
        <w:rPr>
          <w:rtl/>
        </w:rPr>
        <w:t xml:space="preserve"> מאסר, </w:t>
      </w:r>
      <w:r>
        <w:rPr>
          <w:rFonts w:hint="cs"/>
          <w:rtl/>
        </w:rPr>
        <w:t>בו לא יישא</w:t>
      </w:r>
      <w:r>
        <w:rPr>
          <w:rtl/>
        </w:rPr>
        <w:t xml:space="preserve"> אלא אם יעבור תוך שלוש שנים מיום שחרורו מהמאסר</w:t>
      </w:r>
      <w:r>
        <w:rPr>
          <w:rFonts w:hint="cs"/>
          <w:rtl/>
        </w:rPr>
        <w:t xml:space="preserve"> עבירה על </w:t>
      </w:r>
      <w:hyperlink r:id="rId26" w:history="1">
        <w:r w:rsidR="004C1839" w:rsidRPr="004C1839">
          <w:rPr>
            <w:rStyle w:val="Hyperlink"/>
            <w:rFonts w:hint="eastAsia"/>
            <w:rtl/>
          </w:rPr>
          <w:t>סעיף</w:t>
        </w:r>
        <w:r w:rsidR="004C1839" w:rsidRPr="004C1839">
          <w:rPr>
            <w:rStyle w:val="Hyperlink"/>
            <w:rtl/>
          </w:rPr>
          <w:t xml:space="preserve"> 144</w:t>
        </w:r>
      </w:hyperlink>
      <w:r>
        <w:rPr>
          <w:rFonts w:hint="cs"/>
          <w:rtl/>
        </w:rPr>
        <w:t xml:space="preserve"> ל</w:t>
      </w:r>
      <w:hyperlink r:id="rId27" w:history="1">
        <w:r w:rsidR="004D2437" w:rsidRPr="004D2437">
          <w:rPr>
            <w:color w:val="0000FF"/>
            <w:u w:val="single"/>
            <w:rtl/>
          </w:rPr>
          <w:t>חוק העונשין</w:t>
        </w:r>
      </w:hyperlink>
      <w:r>
        <w:rPr>
          <w:rFonts w:hint="cs"/>
          <w:rtl/>
        </w:rPr>
        <w:t xml:space="preserve"> שהיא עוון</w:t>
      </w:r>
      <w:r>
        <w:rPr>
          <w:rtl/>
        </w:rPr>
        <w:t>.</w:t>
      </w:r>
    </w:p>
    <w:p w14:paraId="5A6F6A00" w14:textId="77777777" w:rsidR="00CF089F" w:rsidRDefault="00CF089F" w:rsidP="00CF089F">
      <w:pPr>
        <w:spacing w:after="120" w:line="360" w:lineRule="auto"/>
        <w:jc w:val="both"/>
        <w:rPr>
          <w:rtl/>
        </w:rPr>
      </w:pPr>
    </w:p>
    <w:p w14:paraId="7F427636" w14:textId="77777777" w:rsidR="00CF089F" w:rsidRDefault="00CF089F" w:rsidP="00CF089F">
      <w:pPr>
        <w:spacing w:after="120" w:line="360" w:lineRule="auto"/>
        <w:ind w:left="720" w:hanging="720"/>
        <w:jc w:val="both"/>
        <w:rPr>
          <w:b/>
          <w:bCs/>
          <w:rtl/>
        </w:rPr>
      </w:pPr>
      <w:r>
        <w:rPr>
          <w:b/>
          <w:bCs/>
          <w:rtl/>
        </w:rPr>
        <w:t>זכות ערעור לבית המשפט המחוזי בירושלים תוך 45 יום.</w:t>
      </w:r>
    </w:p>
    <w:p w14:paraId="33BDEB41" w14:textId="77777777" w:rsidR="00CF089F" w:rsidRPr="00B70616" w:rsidRDefault="00CF089F" w:rsidP="00CF089F">
      <w:pPr>
        <w:spacing w:after="120" w:line="360" w:lineRule="auto"/>
        <w:jc w:val="both"/>
        <w:rPr>
          <w:rFonts w:ascii="Arial" w:hAnsi="Arial"/>
          <w:rtl/>
        </w:rPr>
      </w:pPr>
    </w:p>
    <w:p w14:paraId="17F6FD59" w14:textId="77777777" w:rsidR="00CF089F" w:rsidRPr="004D2437" w:rsidRDefault="004D2437" w:rsidP="00CF089F">
      <w:pPr>
        <w:spacing w:after="120" w:line="360" w:lineRule="auto"/>
        <w:jc w:val="both"/>
        <w:rPr>
          <w:color w:val="FFFFFF"/>
          <w:sz w:val="2"/>
          <w:szCs w:val="2"/>
          <w:rtl/>
        </w:rPr>
      </w:pPr>
      <w:r w:rsidRPr="004D2437">
        <w:rPr>
          <w:color w:val="FFFFFF"/>
          <w:sz w:val="2"/>
          <w:szCs w:val="2"/>
          <w:rtl/>
        </w:rPr>
        <w:t>5129371</w:t>
      </w:r>
    </w:p>
    <w:p w14:paraId="796205E9" w14:textId="77777777" w:rsidR="00CF089F" w:rsidRDefault="004D2437" w:rsidP="00CF089F">
      <w:pPr>
        <w:rPr>
          <w:rFonts w:cs="FrankRuehl"/>
          <w:sz w:val="28"/>
          <w:szCs w:val="28"/>
          <w:rtl/>
        </w:rPr>
      </w:pPr>
      <w:bookmarkStart w:id="8" w:name="Nitan"/>
      <w:r w:rsidRPr="004D2437">
        <w:rPr>
          <w:rFonts w:ascii="Arial" w:hAnsi="Arial"/>
          <w:color w:val="FFFFFF"/>
          <w:sz w:val="2"/>
          <w:szCs w:val="2"/>
          <w:rtl/>
        </w:rPr>
        <w:t>54678313</w:t>
      </w:r>
      <w:r>
        <w:rPr>
          <w:rFonts w:ascii="Arial" w:hAnsi="Arial"/>
          <w:rtl/>
        </w:rPr>
        <w:t xml:space="preserve">ניתן היום,  כ"ו אלול תש"פ, 15 ספטמבר 2020, במעמד הצדדים. </w:t>
      </w:r>
      <w:bookmarkEnd w:id="8"/>
    </w:p>
    <w:p w14:paraId="4089BFE5" w14:textId="77777777" w:rsidR="00CF089F" w:rsidRDefault="00CF089F" w:rsidP="004D243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F937E97" w14:textId="77777777" w:rsidR="00CF089F" w:rsidRDefault="00CF089F" w:rsidP="00CF089F">
      <w:pPr>
        <w:jc w:val="center"/>
        <w:rPr>
          <w:rFonts w:ascii="Arial" w:hAnsi="Arial" w:cs="FrankRuehl"/>
          <w:sz w:val="28"/>
          <w:szCs w:val="28"/>
          <w:rtl/>
        </w:rPr>
      </w:pPr>
    </w:p>
    <w:p w14:paraId="586C7538" w14:textId="77777777" w:rsidR="00CF089F" w:rsidRDefault="00CF089F" w:rsidP="00CF089F">
      <w:pPr>
        <w:rPr>
          <w:rFonts w:cs="FrankRuehl"/>
          <w:sz w:val="28"/>
          <w:szCs w:val="28"/>
          <w:rtl/>
        </w:rPr>
      </w:pPr>
    </w:p>
    <w:p w14:paraId="53D9C3AD" w14:textId="77777777" w:rsidR="00CF089F" w:rsidRDefault="00CF089F" w:rsidP="00CF089F">
      <w:pPr>
        <w:pStyle w:val="a3"/>
        <w:jc w:val="center"/>
        <w:rPr>
          <w:rtl/>
        </w:rPr>
      </w:pPr>
    </w:p>
    <w:p w14:paraId="6434B7FC" w14:textId="77777777" w:rsidR="001831BC" w:rsidRPr="004D2437" w:rsidRDefault="001831BC" w:rsidP="004D2437">
      <w:pPr>
        <w:keepNext/>
        <w:rPr>
          <w:rFonts w:ascii="David" w:hAnsi="David"/>
          <w:color w:val="000000"/>
          <w:sz w:val="22"/>
          <w:szCs w:val="22"/>
          <w:rtl/>
        </w:rPr>
      </w:pPr>
    </w:p>
    <w:p w14:paraId="55832D37" w14:textId="77777777" w:rsidR="004D2437" w:rsidRPr="004D2437" w:rsidRDefault="004D2437" w:rsidP="004D2437">
      <w:pPr>
        <w:keepNext/>
        <w:rPr>
          <w:rFonts w:ascii="David" w:hAnsi="David"/>
          <w:color w:val="000000"/>
          <w:sz w:val="22"/>
          <w:szCs w:val="22"/>
          <w:rtl/>
        </w:rPr>
      </w:pPr>
      <w:r w:rsidRPr="004D2437">
        <w:rPr>
          <w:rFonts w:ascii="David" w:hAnsi="David"/>
          <w:color w:val="000000"/>
          <w:sz w:val="22"/>
          <w:szCs w:val="22"/>
          <w:rtl/>
        </w:rPr>
        <w:t>ירון מינטקביץ 54678313</w:t>
      </w:r>
    </w:p>
    <w:p w14:paraId="246A7BB0" w14:textId="77777777" w:rsidR="004D2437" w:rsidRDefault="004D2437" w:rsidP="004D2437">
      <w:r w:rsidRPr="004D2437">
        <w:rPr>
          <w:color w:val="000000"/>
          <w:rtl/>
        </w:rPr>
        <w:t>נוסח מסמך זה כפוף לשינויי ניסוח ועריכה</w:t>
      </w:r>
    </w:p>
    <w:p w14:paraId="2417C736" w14:textId="77777777" w:rsidR="004D2437" w:rsidRDefault="004D2437" w:rsidP="004D2437">
      <w:pPr>
        <w:rPr>
          <w:rtl/>
        </w:rPr>
      </w:pPr>
    </w:p>
    <w:p w14:paraId="3F4225E7" w14:textId="77777777" w:rsidR="004D2437" w:rsidRDefault="004D2437" w:rsidP="004D2437">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67B4ED1A" w14:textId="77777777" w:rsidR="004D2437" w:rsidRPr="004D2437" w:rsidRDefault="004D2437" w:rsidP="004D2437">
      <w:pPr>
        <w:jc w:val="center"/>
        <w:rPr>
          <w:color w:val="0000FF"/>
          <w:u w:val="single"/>
        </w:rPr>
      </w:pPr>
    </w:p>
    <w:sectPr w:rsidR="004D2437" w:rsidRPr="004D2437" w:rsidSect="004D2437">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18EC27" w14:textId="77777777" w:rsidR="00293141" w:rsidRDefault="00293141" w:rsidP="006F5AF1">
      <w:r>
        <w:separator/>
      </w:r>
    </w:p>
  </w:endnote>
  <w:endnote w:type="continuationSeparator" w:id="0">
    <w:p w14:paraId="39B2E6B5" w14:textId="77777777" w:rsidR="00293141" w:rsidRDefault="00293141" w:rsidP="006F5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620E7C" w14:textId="77777777" w:rsidR="004D2437" w:rsidRDefault="004D2437" w:rsidP="004D243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FD27454" w14:textId="77777777" w:rsidR="009F1573" w:rsidRPr="004D2437" w:rsidRDefault="004D2437" w:rsidP="004D243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CE1045" w14:textId="77777777" w:rsidR="004D2437" w:rsidRDefault="004D2437" w:rsidP="004D243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75A72">
      <w:rPr>
        <w:rFonts w:ascii="FrankRuehl" w:hAnsi="FrankRuehl" w:cs="FrankRuehl"/>
        <w:noProof/>
        <w:rtl/>
      </w:rPr>
      <w:t>1</w:t>
    </w:r>
    <w:r>
      <w:rPr>
        <w:rFonts w:ascii="FrankRuehl" w:hAnsi="FrankRuehl" w:cs="FrankRuehl"/>
        <w:rtl/>
      </w:rPr>
      <w:fldChar w:fldCharType="end"/>
    </w:r>
  </w:p>
  <w:p w14:paraId="5F52EF39" w14:textId="77777777" w:rsidR="009F1573" w:rsidRPr="004D2437" w:rsidRDefault="004D2437" w:rsidP="004D243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05F90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6884DA" w14:textId="77777777" w:rsidR="00293141" w:rsidRDefault="00293141" w:rsidP="006F5AF1">
      <w:r>
        <w:separator/>
      </w:r>
    </w:p>
  </w:footnote>
  <w:footnote w:type="continuationSeparator" w:id="0">
    <w:p w14:paraId="3E5D2E7C" w14:textId="77777777" w:rsidR="00293141" w:rsidRDefault="00293141" w:rsidP="006F5A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9912C3" w14:textId="77777777" w:rsidR="004D2437" w:rsidRPr="004D2437" w:rsidRDefault="004D2437" w:rsidP="004D243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40634-03-20</w:t>
    </w:r>
    <w:r>
      <w:rPr>
        <w:rFonts w:ascii="David" w:hAnsi="David"/>
        <w:color w:val="000000"/>
        <w:sz w:val="22"/>
        <w:szCs w:val="22"/>
        <w:rtl/>
      </w:rPr>
      <w:tab/>
      <w:t xml:space="preserve"> מדינת ישראל נ' מחמד מרעב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B9A40" w14:textId="77777777" w:rsidR="004D2437" w:rsidRPr="004D2437" w:rsidRDefault="004D2437" w:rsidP="004D243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40634-03-20</w:t>
    </w:r>
    <w:r>
      <w:rPr>
        <w:rFonts w:ascii="David" w:hAnsi="David"/>
        <w:color w:val="000000"/>
        <w:sz w:val="22"/>
        <w:szCs w:val="22"/>
        <w:rtl/>
      </w:rPr>
      <w:tab/>
      <w:t xml:space="preserve"> מדינת ישראל נ' מחמד מרעב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821E0"/>
    <w:multiLevelType w:val="hybridMultilevel"/>
    <w:tmpl w:val="7B40DBD0"/>
    <w:lvl w:ilvl="0" w:tplc="04090013">
      <w:start w:val="1"/>
      <w:numFmt w:val="hebrew1"/>
      <w:lvlText w:val="%1."/>
      <w:lvlJc w:val="center"/>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4870910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F089F"/>
    <w:rsid w:val="001831BC"/>
    <w:rsid w:val="00293141"/>
    <w:rsid w:val="003700ED"/>
    <w:rsid w:val="00475A72"/>
    <w:rsid w:val="004C1839"/>
    <w:rsid w:val="004D2437"/>
    <w:rsid w:val="00563771"/>
    <w:rsid w:val="006F5AF1"/>
    <w:rsid w:val="007E3346"/>
    <w:rsid w:val="009F1573"/>
    <w:rsid w:val="00A35243"/>
    <w:rsid w:val="00AB47C6"/>
    <w:rsid w:val="00BA12C5"/>
    <w:rsid w:val="00BE68C8"/>
    <w:rsid w:val="00C501AB"/>
    <w:rsid w:val="00CF089F"/>
    <w:rsid w:val="00D606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94894DE"/>
  <w15:chartTrackingRefBased/>
  <w15:docId w15:val="{083A02B2-3C5F-4420-9F50-9187B6679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F089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F089F"/>
    <w:pPr>
      <w:tabs>
        <w:tab w:val="center" w:pos="4153"/>
        <w:tab w:val="right" w:pos="8306"/>
      </w:tabs>
    </w:pPr>
  </w:style>
  <w:style w:type="character" w:customStyle="1" w:styleId="a4">
    <w:name w:val="כותרת עליונה תו"/>
    <w:link w:val="a3"/>
    <w:rsid w:val="00CF089F"/>
    <w:rPr>
      <w:rFonts w:ascii="Times New Roman" w:eastAsia="Times New Roman" w:hAnsi="Times New Roman" w:cs="David"/>
      <w:sz w:val="24"/>
      <w:szCs w:val="24"/>
    </w:rPr>
  </w:style>
  <w:style w:type="paragraph" w:styleId="a5">
    <w:name w:val="footer"/>
    <w:basedOn w:val="a"/>
    <w:link w:val="a6"/>
    <w:rsid w:val="00CF089F"/>
    <w:pPr>
      <w:tabs>
        <w:tab w:val="center" w:pos="4153"/>
        <w:tab w:val="right" w:pos="8306"/>
      </w:tabs>
    </w:pPr>
  </w:style>
  <w:style w:type="character" w:customStyle="1" w:styleId="a6">
    <w:name w:val="כותרת תחתונה תו"/>
    <w:link w:val="a5"/>
    <w:rsid w:val="00CF089F"/>
    <w:rPr>
      <w:rFonts w:ascii="Times New Roman" w:eastAsia="Times New Roman" w:hAnsi="Times New Roman" w:cs="David"/>
      <w:sz w:val="24"/>
      <w:szCs w:val="24"/>
    </w:rPr>
  </w:style>
  <w:style w:type="table" w:styleId="a7">
    <w:name w:val="Table Grid"/>
    <w:basedOn w:val="a1"/>
    <w:rsid w:val="00CF089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F089F"/>
  </w:style>
  <w:style w:type="character" w:styleId="Hyperlink">
    <w:name w:val="Hyperlink"/>
    <w:rsid w:val="00CF08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1474168" TargetMode="External"/><Relationship Id="rId18" Type="http://schemas.openxmlformats.org/officeDocument/2006/relationships/hyperlink" Target="http://www.nevo.co.il/case/23817589" TargetMode="External"/><Relationship Id="rId26" Type="http://schemas.openxmlformats.org/officeDocument/2006/relationships/hyperlink" Target="http://www.nevo.co.il/law/70301/144" TargetMode="External"/><Relationship Id="rId3" Type="http://schemas.openxmlformats.org/officeDocument/2006/relationships/settings" Target="settings.xml"/><Relationship Id="rId21" Type="http://schemas.openxmlformats.org/officeDocument/2006/relationships/hyperlink" Target="http://www.nevo.co.il/case/6473037" TargetMode="External"/><Relationship Id="rId34" Type="http://schemas.openxmlformats.org/officeDocument/2006/relationships/theme" Target="theme/theme1.xml"/><Relationship Id="rId7" Type="http://schemas.openxmlformats.org/officeDocument/2006/relationships/hyperlink" Target="http://www.nevo.co.il/case/26553228"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20817891" TargetMode="External"/><Relationship Id="rId25" Type="http://schemas.openxmlformats.org/officeDocument/2006/relationships/hyperlink" Target="http://www.nevo.co.il/law/70301"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2228298" TargetMode="External"/><Relationship Id="rId20" Type="http://schemas.openxmlformats.org/officeDocument/2006/relationships/hyperlink" Target="https://www.nevo.co.il/psika_html/mechozi/ME-20-02-23517-773.htm"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hC" TargetMode="External"/><Relationship Id="rId24" Type="http://schemas.openxmlformats.org/officeDocument/2006/relationships/hyperlink" Target="http://www.nevo.co.il/law/70301/144"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5217995" TargetMode="External"/><Relationship Id="rId23" Type="http://schemas.openxmlformats.org/officeDocument/2006/relationships/hyperlink" Target="http://www.nevo.co.il/case/26375569"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hC" TargetMode="External"/><Relationship Id="rId19" Type="http://schemas.openxmlformats.org/officeDocument/2006/relationships/hyperlink" Target="https://www.nevo.co.il/psika_html/mechozi/ME-20-02-56305-208.htm"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44" TargetMode="External"/><Relationship Id="rId14" Type="http://schemas.openxmlformats.org/officeDocument/2006/relationships/hyperlink" Target="http://www.nevo.co.il/case/25612982" TargetMode="External"/><Relationship Id="rId22" Type="http://schemas.openxmlformats.org/officeDocument/2006/relationships/hyperlink" Target="http://www.nevo.co.il/case/26375569" TargetMode="External"/><Relationship Id="rId27" Type="http://schemas.openxmlformats.org/officeDocument/2006/relationships/hyperlink" Target="http://www.nevo.co.il/law/70301" TargetMode="External"/><Relationship Id="rId30" Type="http://schemas.openxmlformats.org/officeDocument/2006/relationships/header" Target="header2.xml"/><Relationship Id="rId8"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1696</Words>
  <Characters>8480</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10156</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7995492</vt:i4>
      </vt:variant>
      <vt:variant>
        <vt:i4>60</vt:i4>
      </vt:variant>
      <vt:variant>
        <vt:i4>0</vt:i4>
      </vt:variant>
      <vt:variant>
        <vt:i4>5</vt:i4>
      </vt:variant>
      <vt:variant>
        <vt:lpwstr>http://www.nevo.co.il/law/70301</vt:lpwstr>
      </vt:variant>
      <vt:variant>
        <vt:lpwstr/>
      </vt:variant>
      <vt:variant>
        <vt:i4>6357092</vt:i4>
      </vt:variant>
      <vt:variant>
        <vt:i4>57</vt:i4>
      </vt:variant>
      <vt:variant>
        <vt:i4>0</vt:i4>
      </vt:variant>
      <vt:variant>
        <vt:i4>5</vt:i4>
      </vt:variant>
      <vt:variant>
        <vt:lpwstr>http://www.nevo.co.il/law/70301/144</vt:lpwstr>
      </vt:variant>
      <vt:variant>
        <vt:lpwstr/>
      </vt:variant>
      <vt:variant>
        <vt:i4>7995492</vt:i4>
      </vt:variant>
      <vt:variant>
        <vt:i4>54</vt:i4>
      </vt:variant>
      <vt:variant>
        <vt:i4>0</vt:i4>
      </vt:variant>
      <vt:variant>
        <vt:i4>5</vt:i4>
      </vt:variant>
      <vt:variant>
        <vt:lpwstr>http://www.nevo.co.il/law/70301</vt:lpwstr>
      </vt:variant>
      <vt:variant>
        <vt:lpwstr/>
      </vt:variant>
      <vt:variant>
        <vt:i4>6357092</vt:i4>
      </vt:variant>
      <vt:variant>
        <vt:i4>51</vt:i4>
      </vt:variant>
      <vt:variant>
        <vt:i4>0</vt:i4>
      </vt:variant>
      <vt:variant>
        <vt:i4>5</vt:i4>
      </vt:variant>
      <vt:variant>
        <vt:lpwstr>http://www.nevo.co.il/law/70301/144</vt:lpwstr>
      </vt:variant>
      <vt:variant>
        <vt:lpwstr/>
      </vt:variant>
      <vt:variant>
        <vt:i4>3276912</vt:i4>
      </vt:variant>
      <vt:variant>
        <vt:i4>48</vt:i4>
      </vt:variant>
      <vt:variant>
        <vt:i4>0</vt:i4>
      </vt:variant>
      <vt:variant>
        <vt:i4>5</vt:i4>
      </vt:variant>
      <vt:variant>
        <vt:lpwstr>http://www.nevo.co.il/case/26375569</vt:lpwstr>
      </vt:variant>
      <vt:variant>
        <vt:lpwstr/>
      </vt:variant>
      <vt:variant>
        <vt:i4>3276912</vt:i4>
      </vt:variant>
      <vt:variant>
        <vt:i4>45</vt:i4>
      </vt:variant>
      <vt:variant>
        <vt:i4>0</vt:i4>
      </vt:variant>
      <vt:variant>
        <vt:i4>5</vt:i4>
      </vt:variant>
      <vt:variant>
        <vt:lpwstr>http://www.nevo.co.il/case/26375569</vt:lpwstr>
      </vt:variant>
      <vt:variant>
        <vt:lpwstr/>
      </vt:variant>
      <vt:variant>
        <vt:i4>3539056</vt:i4>
      </vt:variant>
      <vt:variant>
        <vt:i4>42</vt:i4>
      </vt:variant>
      <vt:variant>
        <vt:i4>0</vt:i4>
      </vt:variant>
      <vt:variant>
        <vt:i4>5</vt:i4>
      </vt:variant>
      <vt:variant>
        <vt:lpwstr>http://www.nevo.co.il/case/6473037</vt:lpwstr>
      </vt:variant>
      <vt:variant>
        <vt:lpwstr/>
      </vt:variant>
      <vt:variant>
        <vt:i4>1048615</vt:i4>
      </vt:variant>
      <vt:variant>
        <vt:i4>39</vt:i4>
      </vt:variant>
      <vt:variant>
        <vt:i4>0</vt:i4>
      </vt:variant>
      <vt:variant>
        <vt:i4>5</vt:i4>
      </vt:variant>
      <vt:variant>
        <vt:lpwstr>https://www.nevo.co.il/psika_html/mechozi/ME-20-02-23517-773.htm</vt:lpwstr>
      </vt:variant>
      <vt:variant>
        <vt:lpwstr/>
      </vt:variant>
      <vt:variant>
        <vt:i4>1900580</vt:i4>
      </vt:variant>
      <vt:variant>
        <vt:i4>36</vt:i4>
      </vt:variant>
      <vt:variant>
        <vt:i4>0</vt:i4>
      </vt:variant>
      <vt:variant>
        <vt:i4>5</vt:i4>
      </vt:variant>
      <vt:variant>
        <vt:lpwstr>https://www.nevo.co.il/psika_html/mechozi/ME-20-02-56305-208.htm</vt:lpwstr>
      </vt:variant>
      <vt:variant>
        <vt:lpwstr/>
      </vt:variant>
      <vt:variant>
        <vt:i4>3473523</vt:i4>
      </vt:variant>
      <vt:variant>
        <vt:i4>33</vt:i4>
      </vt:variant>
      <vt:variant>
        <vt:i4>0</vt:i4>
      </vt:variant>
      <vt:variant>
        <vt:i4>5</vt:i4>
      </vt:variant>
      <vt:variant>
        <vt:lpwstr>http://www.nevo.co.il/case/23817589</vt:lpwstr>
      </vt:variant>
      <vt:variant>
        <vt:lpwstr/>
      </vt:variant>
      <vt:variant>
        <vt:i4>3407997</vt:i4>
      </vt:variant>
      <vt:variant>
        <vt:i4>30</vt:i4>
      </vt:variant>
      <vt:variant>
        <vt:i4>0</vt:i4>
      </vt:variant>
      <vt:variant>
        <vt:i4>5</vt:i4>
      </vt:variant>
      <vt:variant>
        <vt:lpwstr>http://www.nevo.co.il/case/20817891</vt:lpwstr>
      </vt:variant>
      <vt:variant>
        <vt:lpwstr/>
      </vt:variant>
      <vt:variant>
        <vt:i4>3211382</vt:i4>
      </vt:variant>
      <vt:variant>
        <vt:i4>27</vt:i4>
      </vt:variant>
      <vt:variant>
        <vt:i4>0</vt:i4>
      </vt:variant>
      <vt:variant>
        <vt:i4>5</vt:i4>
      </vt:variant>
      <vt:variant>
        <vt:lpwstr>http://www.nevo.co.il/case/22228298</vt:lpwstr>
      </vt:variant>
      <vt:variant>
        <vt:lpwstr/>
      </vt:variant>
      <vt:variant>
        <vt:i4>4063353</vt:i4>
      </vt:variant>
      <vt:variant>
        <vt:i4>24</vt:i4>
      </vt:variant>
      <vt:variant>
        <vt:i4>0</vt:i4>
      </vt:variant>
      <vt:variant>
        <vt:i4>5</vt:i4>
      </vt:variant>
      <vt:variant>
        <vt:lpwstr>http://www.nevo.co.il/case/25217995</vt:lpwstr>
      </vt:variant>
      <vt:variant>
        <vt:lpwstr/>
      </vt:variant>
      <vt:variant>
        <vt:i4>4063353</vt:i4>
      </vt:variant>
      <vt:variant>
        <vt:i4>21</vt:i4>
      </vt:variant>
      <vt:variant>
        <vt:i4>0</vt:i4>
      </vt:variant>
      <vt:variant>
        <vt:i4>5</vt:i4>
      </vt:variant>
      <vt:variant>
        <vt:lpwstr>http://www.nevo.co.il/case/25612982</vt:lpwstr>
      </vt:variant>
      <vt:variant>
        <vt:lpwstr/>
      </vt:variant>
      <vt:variant>
        <vt:i4>3407987</vt:i4>
      </vt:variant>
      <vt:variant>
        <vt:i4>18</vt:i4>
      </vt:variant>
      <vt:variant>
        <vt:i4>0</vt:i4>
      </vt:variant>
      <vt:variant>
        <vt:i4>5</vt:i4>
      </vt:variant>
      <vt:variant>
        <vt:lpwstr>http://www.nevo.co.il/case/21474168</vt:lpwstr>
      </vt:variant>
      <vt:variant>
        <vt:lpwstr/>
      </vt:variant>
      <vt:variant>
        <vt:i4>7995492</vt:i4>
      </vt:variant>
      <vt:variant>
        <vt:i4>15</vt:i4>
      </vt:variant>
      <vt:variant>
        <vt:i4>0</vt:i4>
      </vt:variant>
      <vt:variant>
        <vt:i4>5</vt:i4>
      </vt:variant>
      <vt:variant>
        <vt:lpwstr>http://www.nevo.co.il/law/70301</vt:lpwstr>
      </vt:variant>
      <vt:variant>
        <vt:lpwstr/>
      </vt:variant>
      <vt:variant>
        <vt:i4>3539005</vt:i4>
      </vt:variant>
      <vt:variant>
        <vt:i4>12</vt:i4>
      </vt:variant>
      <vt:variant>
        <vt:i4>0</vt:i4>
      </vt:variant>
      <vt:variant>
        <vt:i4>5</vt:i4>
      </vt:variant>
      <vt:variant>
        <vt:lpwstr>http://www.nevo.co.il/law/70301/hC</vt:lpwstr>
      </vt:variant>
      <vt:variant>
        <vt:lpwstr/>
      </vt:variant>
      <vt:variant>
        <vt:i4>3539005</vt:i4>
      </vt:variant>
      <vt:variant>
        <vt:i4>9</vt:i4>
      </vt:variant>
      <vt:variant>
        <vt:i4>0</vt:i4>
      </vt:variant>
      <vt:variant>
        <vt:i4>5</vt:i4>
      </vt:variant>
      <vt:variant>
        <vt:lpwstr>http://www.nevo.co.il/law/70301/hC</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7995492</vt:i4>
      </vt:variant>
      <vt:variant>
        <vt:i4>3</vt:i4>
      </vt:variant>
      <vt:variant>
        <vt:i4>0</vt:i4>
      </vt:variant>
      <vt:variant>
        <vt:i4>5</vt:i4>
      </vt:variant>
      <vt:variant>
        <vt:lpwstr>http://www.nevo.co.il/law/70301</vt:lpwstr>
      </vt:variant>
      <vt:variant>
        <vt:lpwstr/>
      </vt:variant>
      <vt:variant>
        <vt:i4>3539061</vt:i4>
      </vt:variant>
      <vt:variant>
        <vt:i4>0</vt:i4>
      </vt:variant>
      <vt:variant>
        <vt:i4>0</vt:i4>
      </vt:variant>
      <vt:variant>
        <vt:i4>5</vt:i4>
      </vt:variant>
      <vt:variant>
        <vt:lpwstr>http://www.nevo.co.il/case/26553228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2025-01-19T17:43:00Z</dcterms:created>
  <dcterms:modified xsi:type="dcterms:W3CDTF">2025-01-19T17:43:00Z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40634</vt:lpwstr>
  </property>
  <property fmtid="{D5CDD505-2E9C-101B-9397-08002B2CF9AE}" pid="6" name="NEWPARTB">
    <vt:lpwstr>03</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מחמד מרעב</vt:lpwstr>
  </property>
  <property fmtid="{D5CDD505-2E9C-101B-9397-08002B2CF9AE}" pid="10" name="LAWYER">
    <vt:lpwstr>בני ליבסקינד;יהודה שושן</vt:lpwstr>
  </property>
  <property fmtid="{D5CDD505-2E9C-101B-9397-08002B2CF9AE}" pid="11" name="JUDGE">
    <vt:lpwstr>ירון מינטקביץ</vt:lpwstr>
  </property>
  <property fmtid="{D5CDD505-2E9C-101B-9397-08002B2CF9AE}" pid="12" name="CITY">
    <vt:lpwstr>י-ם</vt:lpwstr>
  </property>
  <property fmtid="{D5CDD505-2E9C-101B-9397-08002B2CF9AE}" pid="13" name="DATE">
    <vt:lpwstr>20200915</vt:lpwstr>
  </property>
  <property fmtid="{D5CDD505-2E9C-101B-9397-08002B2CF9AE}" pid="14" name="TYPE_N_DATE">
    <vt:lpwstr>38020200915</vt:lpwstr>
  </property>
  <property fmtid="{D5CDD505-2E9C-101B-9397-08002B2CF9AE}" pid="15" name="WORDNUMPAGES">
    <vt:lpwstr>5</vt:lpwstr>
  </property>
  <property fmtid="{D5CDD505-2E9C-101B-9397-08002B2CF9AE}" pid="16" name="TYPE_ABS_DATE">
    <vt:lpwstr>380020200915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26553228;21474168;25612982;25217995;22228298;20817891;23817589;6473037;26375569:2</vt:lpwstr>
  </property>
  <property fmtid="{D5CDD505-2E9C-101B-9397-08002B2CF9AE}" pid="36" name="LAWLISTTMP1">
    <vt:lpwstr>70301/hC;144:2</vt:lpwstr>
  </property>
</Properties>
</file>