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9093" w:type="dxa"/>
        <w:jc w:val="center"/>
        <w:tblLook w:val="0000" w:firstRow="0" w:lastRow="0" w:firstColumn="0" w:lastColumn="0" w:noHBand="0" w:noVBand="0"/>
      </w:tblPr>
      <w:tblGrid>
        <w:gridCol w:w="176"/>
        <w:gridCol w:w="4998"/>
        <w:gridCol w:w="3741"/>
        <w:gridCol w:w="178"/>
      </w:tblGrid>
      <w:tr w:rsidR="008B33D6" w:rsidRPr="0051365E" w14:paraId="025AF9CB" w14:textId="77777777" w:rsidTr="003C19B1">
        <w:trPr>
          <w:gridBefore w:val="1"/>
          <w:wBefore w:w="176" w:type="dxa"/>
          <w:trHeight w:hRule="exact" w:val="527"/>
          <w:jc w:val="center"/>
        </w:trPr>
        <w:tc>
          <w:tcPr>
            <w:tcW w:w="8917" w:type="dxa"/>
            <w:gridSpan w:val="3"/>
          </w:tcPr>
          <w:p w14:paraId="28954A95" w14:textId="77777777" w:rsidR="008B33D6" w:rsidRPr="0051365E" w:rsidRDefault="008B33D6" w:rsidP="003C19B1">
            <w:pPr>
              <w:pStyle w:val="a3"/>
              <w:jc w:val="center"/>
              <w:rPr>
                <w:rFonts w:ascii="Tahoma" w:hAnsi="Tahoma" w:cs="Tahoma"/>
                <w:color w:val="000080"/>
                <w:rtl/>
              </w:rPr>
            </w:pPr>
            <w:bookmarkStart w:id="0" w:name="LastJudge"/>
            <w:r w:rsidRPr="0051365E">
              <w:rPr>
                <w:rFonts w:ascii="Tahoma" w:hAnsi="Tahoma" w:cs="Tahoma"/>
                <w:b/>
                <w:bCs/>
                <w:color w:val="000080"/>
                <w:rtl/>
              </w:rPr>
              <w:t>בית משפט השלום ברמלה</w:t>
            </w:r>
          </w:p>
        </w:tc>
      </w:tr>
      <w:tr w:rsidR="008B33D6" w:rsidRPr="0051365E" w14:paraId="7F99A66D" w14:textId="77777777" w:rsidTr="003C19B1">
        <w:trPr>
          <w:gridAfter w:val="1"/>
          <w:wAfter w:w="178" w:type="dxa"/>
          <w:trHeight w:val="426"/>
          <w:jc w:val="center"/>
        </w:trPr>
        <w:tc>
          <w:tcPr>
            <w:tcW w:w="5174" w:type="dxa"/>
            <w:gridSpan w:val="2"/>
          </w:tcPr>
          <w:p w14:paraId="772D950B" w14:textId="77777777" w:rsidR="008B33D6" w:rsidRPr="0051365E" w:rsidRDefault="008B33D6" w:rsidP="003C19B1">
            <w:pPr>
              <w:rPr>
                <w:rFonts w:ascii="David" w:hAnsi="David"/>
                <w:b/>
                <w:bCs/>
                <w:sz w:val="28"/>
                <w:szCs w:val="28"/>
                <w:rtl/>
              </w:rPr>
            </w:pPr>
            <w:r w:rsidRPr="0051365E">
              <w:rPr>
                <w:rFonts w:ascii="David" w:hAnsi="David"/>
                <w:b/>
                <w:bCs/>
                <w:sz w:val="28"/>
                <w:szCs w:val="28"/>
                <w:rtl/>
              </w:rPr>
              <w:t xml:space="preserve">ת"פ 1158-05-20 מדינת ישראל נ' עבד אל חי </w:t>
            </w:r>
          </w:p>
        </w:tc>
        <w:tc>
          <w:tcPr>
            <w:tcW w:w="3741" w:type="dxa"/>
          </w:tcPr>
          <w:p w14:paraId="2ABBBEF6" w14:textId="77777777" w:rsidR="008B33D6" w:rsidRPr="0051365E" w:rsidRDefault="008B33D6" w:rsidP="003C19B1">
            <w:pPr>
              <w:pStyle w:val="a3"/>
              <w:jc w:val="right"/>
              <w:rPr>
                <w:rFonts w:ascii="David" w:hAnsi="David"/>
                <w:b/>
                <w:bCs/>
                <w:sz w:val="28"/>
                <w:szCs w:val="28"/>
                <w:rtl/>
              </w:rPr>
            </w:pPr>
            <w:r w:rsidRPr="0051365E">
              <w:rPr>
                <w:rFonts w:ascii="David" w:hAnsi="David"/>
                <w:b/>
                <w:bCs/>
                <w:sz w:val="28"/>
                <w:szCs w:val="28"/>
                <w:rtl/>
              </w:rPr>
              <w:t>5 יוני 2024</w:t>
            </w:r>
          </w:p>
        </w:tc>
      </w:tr>
    </w:tbl>
    <w:p w14:paraId="4492933E" w14:textId="77777777" w:rsidR="008B33D6" w:rsidRPr="0051365E" w:rsidRDefault="008B33D6" w:rsidP="008B33D6">
      <w:pPr>
        <w:pStyle w:val="a3"/>
        <w:rPr>
          <w:rtl/>
        </w:rPr>
      </w:pPr>
    </w:p>
    <w:p w14:paraId="46277DE0" w14:textId="77777777" w:rsidR="008B33D6" w:rsidRPr="0051365E" w:rsidRDefault="008B33D6" w:rsidP="008B33D6">
      <w:pPr>
        <w:rPr>
          <w:rFonts w:ascii="Arial" w:hAnsi="Arial"/>
          <w:b/>
          <w:bCs/>
          <w:sz w:val="26"/>
          <w:szCs w:val="26"/>
          <w:rtl/>
        </w:rPr>
      </w:pPr>
    </w:p>
    <w:p w14:paraId="7414D7BC" w14:textId="77777777" w:rsidR="008B33D6" w:rsidRPr="0051365E" w:rsidRDefault="008B33D6" w:rsidP="008B33D6">
      <w:pPr>
        <w:rPr>
          <w:rFonts w:ascii="Arial" w:hAnsi="Arial"/>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2656"/>
        <w:gridCol w:w="5241"/>
      </w:tblGrid>
      <w:tr w:rsidR="008B33D6" w:rsidRPr="0051365E" w14:paraId="22F17FBC" w14:textId="77777777" w:rsidTr="008B33D6">
        <w:trPr>
          <w:trHeight w:val="295"/>
          <w:jc w:val="center"/>
        </w:trPr>
        <w:tc>
          <w:tcPr>
            <w:tcW w:w="923" w:type="dxa"/>
            <w:tcBorders>
              <w:top w:val="nil"/>
              <w:left w:val="nil"/>
              <w:bottom w:val="nil"/>
              <w:right w:val="nil"/>
            </w:tcBorders>
            <w:shd w:val="clear" w:color="auto" w:fill="auto"/>
          </w:tcPr>
          <w:p w14:paraId="5EA52D93" w14:textId="77777777" w:rsidR="008B33D6" w:rsidRPr="0051365E" w:rsidRDefault="008B33D6" w:rsidP="008B33D6">
            <w:pPr>
              <w:jc w:val="both"/>
              <w:rPr>
                <w:rFonts w:ascii="David" w:hAnsi="David"/>
                <w:b/>
                <w:bCs/>
                <w:sz w:val="26"/>
                <w:szCs w:val="26"/>
              </w:rPr>
            </w:pPr>
            <w:r w:rsidRPr="0051365E">
              <w:rPr>
                <w:rFonts w:ascii="David" w:hAnsi="David" w:hint="cs"/>
                <w:b/>
                <w:bCs/>
                <w:sz w:val="26"/>
                <w:szCs w:val="26"/>
                <w:rtl/>
              </w:rPr>
              <w:t>ל</w:t>
            </w:r>
            <w:r w:rsidRPr="0051365E">
              <w:rPr>
                <w:rFonts w:ascii="David" w:hAnsi="David"/>
                <w:b/>
                <w:bCs/>
                <w:sz w:val="26"/>
                <w:szCs w:val="26"/>
                <w:rtl/>
              </w:rPr>
              <w:t xml:space="preserve">פני </w:t>
            </w:r>
          </w:p>
        </w:tc>
        <w:tc>
          <w:tcPr>
            <w:tcW w:w="7897" w:type="dxa"/>
            <w:gridSpan w:val="2"/>
            <w:tcBorders>
              <w:top w:val="nil"/>
              <w:left w:val="nil"/>
              <w:bottom w:val="nil"/>
              <w:right w:val="nil"/>
            </w:tcBorders>
            <w:shd w:val="clear" w:color="auto" w:fill="auto"/>
          </w:tcPr>
          <w:p w14:paraId="01D237FF" w14:textId="77777777" w:rsidR="008B33D6" w:rsidRPr="0051365E" w:rsidRDefault="008B33D6" w:rsidP="003C19B1">
            <w:pPr>
              <w:rPr>
                <w:rFonts w:ascii="David" w:hAnsi="David"/>
                <w:b/>
                <w:bCs/>
                <w:sz w:val="26"/>
                <w:szCs w:val="26"/>
                <w:rtl/>
              </w:rPr>
            </w:pPr>
            <w:r w:rsidRPr="0051365E">
              <w:rPr>
                <w:rFonts w:ascii="David" w:hAnsi="David"/>
                <w:b/>
                <w:bCs/>
                <w:sz w:val="26"/>
                <w:szCs w:val="26"/>
                <w:rtl/>
              </w:rPr>
              <w:t>כבוד השופטת  אילה אורן</w:t>
            </w:r>
          </w:p>
          <w:p w14:paraId="78BAF212" w14:textId="77777777" w:rsidR="008B33D6" w:rsidRPr="0051365E" w:rsidRDefault="008B33D6" w:rsidP="008B33D6">
            <w:pPr>
              <w:jc w:val="both"/>
              <w:rPr>
                <w:rFonts w:ascii="David" w:hAnsi="David"/>
                <w:sz w:val="26"/>
                <w:szCs w:val="26"/>
                <w:rtl/>
              </w:rPr>
            </w:pPr>
          </w:p>
          <w:p w14:paraId="36E5A4D6" w14:textId="77777777" w:rsidR="008B33D6" w:rsidRPr="0051365E" w:rsidRDefault="008B33D6" w:rsidP="008B33D6">
            <w:pPr>
              <w:jc w:val="both"/>
              <w:rPr>
                <w:rFonts w:ascii="David" w:hAnsi="David"/>
                <w:sz w:val="26"/>
                <w:szCs w:val="26"/>
              </w:rPr>
            </w:pPr>
          </w:p>
        </w:tc>
      </w:tr>
      <w:tr w:rsidR="008B33D6" w:rsidRPr="0051365E" w14:paraId="421884BA" w14:textId="77777777" w:rsidTr="008B33D6">
        <w:trPr>
          <w:trHeight w:val="355"/>
          <w:jc w:val="center"/>
        </w:trPr>
        <w:tc>
          <w:tcPr>
            <w:tcW w:w="923" w:type="dxa"/>
            <w:tcBorders>
              <w:top w:val="nil"/>
              <w:left w:val="nil"/>
              <w:bottom w:val="nil"/>
              <w:right w:val="nil"/>
            </w:tcBorders>
            <w:shd w:val="clear" w:color="auto" w:fill="auto"/>
          </w:tcPr>
          <w:p w14:paraId="25BE088B" w14:textId="77777777" w:rsidR="008B33D6" w:rsidRPr="0051365E" w:rsidRDefault="008B33D6" w:rsidP="008B33D6">
            <w:pPr>
              <w:jc w:val="both"/>
              <w:rPr>
                <w:rFonts w:ascii="David" w:hAnsi="David"/>
                <w:sz w:val="26"/>
                <w:szCs w:val="26"/>
              </w:rPr>
            </w:pPr>
            <w:bookmarkStart w:id="1" w:name="FirstAppellant"/>
            <w:bookmarkStart w:id="2" w:name="FirstLawyer"/>
          </w:p>
        </w:tc>
        <w:tc>
          <w:tcPr>
            <w:tcW w:w="2656" w:type="dxa"/>
            <w:tcBorders>
              <w:top w:val="nil"/>
              <w:left w:val="nil"/>
              <w:bottom w:val="nil"/>
              <w:right w:val="nil"/>
            </w:tcBorders>
            <w:shd w:val="clear" w:color="auto" w:fill="auto"/>
          </w:tcPr>
          <w:p w14:paraId="065A8DA6" w14:textId="77777777" w:rsidR="008B33D6" w:rsidRPr="0051365E" w:rsidRDefault="008B33D6" w:rsidP="008B33D6">
            <w:pPr>
              <w:suppressLineNumbers/>
              <w:rPr>
                <w:b/>
                <w:bCs/>
                <w:sz w:val="26"/>
                <w:szCs w:val="26"/>
              </w:rPr>
            </w:pPr>
            <w:r w:rsidRPr="0051365E">
              <w:rPr>
                <w:rFonts w:ascii="Arial" w:hAnsi="Arial" w:hint="cs"/>
                <w:b/>
                <w:bCs/>
                <w:sz w:val="26"/>
                <w:szCs w:val="26"/>
                <w:rtl/>
              </w:rPr>
              <w:t>ה</w:t>
            </w:r>
            <w:r w:rsidRPr="0051365E">
              <w:rPr>
                <w:rFonts w:ascii="Arial" w:hAnsi="Arial"/>
                <w:b/>
                <w:bCs/>
                <w:sz w:val="26"/>
                <w:szCs w:val="26"/>
                <w:rtl/>
              </w:rPr>
              <w:t>מאשימה</w:t>
            </w:r>
          </w:p>
          <w:p w14:paraId="5AF8C1EA" w14:textId="77777777" w:rsidR="008B33D6" w:rsidRPr="0051365E" w:rsidRDefault="008B33D6" w:rsidP="003C19B1">
            <w:pPr>
              <w:rPr>
                <w:rFonts w:ascii="David" w:hAnsi="David"/>
                <w:b/>
                <w:bCs/>
                <w:sz w:val="26"/>
                <w:szCs w:val="26"/>
              </w:rPr>
            </w:pPr>
          </w:p>
        </w:tc>
        <w:tc>
          <w:tcPr>
            <w:tcW w:w="5241" w:type="dxa"/>
            <w:tcBorders>
              <w:top w:val="nil"/>
              <w:left w:val="nil"/>
              <w:bottom w:val="nil"/>
              <w:right w:val="nil"/>
            </w:tcBorders>
            <w:shd w:val="clear" w:color="auto" w:fill="auto"/>
            <w:vAlign w:val="center"/>
          </w:tcPr>
          <w:p w14:paraId="14341915" w14:textId="77777777" w:rsidR="008B33D6" w:rsidRPr="0051365E" w:rsidRDefault="008B33D6" w:rsidP="008B33D6">
            <w:pPr>
              <w:suppressLineNumbers/>
              <w:rPr>
                <w:b/>
                <w:bCs/>
                <w:sz w:val="26"/>
                <w:szCs w:val="26"/>
                <w:rtl/>
              </w:rPr>
            </w:pPr>
            <w:r w:rsidRPr="0051365E">
              <w:rPr>
                <w:rFonts w:ascii="Arial" w:hAnsi="Arial"/>
                <w:b/>
                <w:bCs/>
                <w:sz w:val="26"/>
                <w:szCs w:val="26"/>
                <w:rtl/>
              </w:rPr>
              <w:t>מדינת ישראל</w:t>
            </w:r>
            <w:r w:rsidRPr="0051365E">
              <w:rPr>
                <w:rFonts w:ascii="Arial" w:hAnsi="Arial" w:hint="cs"/>
                <w:b/>
                <w:bCs/>
                <w:sz w:val="26"/>
                <w:szCs w:val="26"/>
                <w:rtl/>
              </w:rPr>
              <w:t xml:space="preserve"> </w:t>
            </w:r>
          </w:p>
          <w:p w14:paraId="2DB303C3" w14:textId="77777777" w:rsidR="008B33D6" w:rsidRPr="0051365E" w:rsidRDefault="008B33D6" w:rsidP="008B33D6">
            <w:pPr>
              <w:suppressLineNumbers/>
              <w:rPr>
                <w:b/>
                <w:bCs/>
                <w:sz w:val="26"/>
                <w:szCs w:val="26"/>
                <w:rtl/>
              </w:rPr>
            </w:pPr>
            <w:r w:rsidRPr="0051365E">
              <w:rPr>
                <w:rFonts w:hint="cs"/>
                <w:b/>
                <w:bCs/>
                <w:sz w:val="26"/>
                <w:szCs w:val="26"/>
                <w:rtl/>
              </w:rPr>
              <w:t>פרקליטות מחוז מרכז (פלילי)</w:t>
            </w:r>
          </w:p>
          <w:p w14:paraId="47A40E1B" w14:textId="77777777" w:rsidR="008B33D6" w:rsidRPr="0051365E" w:rsidRDefault="008B33D6" w:rsidP="008B33D6">
            <w:pPr>
              <w:suppressLineNumbers/>
              <w:rPr>
                <w:b/>
                <w:bCs/>
                <w:sz w:val="26"/>
                <w:szCs w:val="26"/>
              </w:rPr>
            </w:pPr>
            <w:r w:rsidRPr="0051365E">
              <w:rPr>
                <w:rFonts w:hint="cs"/>
                <w:b/>
                <w:bCs/>
                <w:sz w:val="26"/>
                <w:szCs w:val="26"/>
                <w:rtl/>
              </w:rPr>
              <w:t>ע"י ב"כ עוה"ד מירי ביטון-הראל</w:t>
            </w:r>
          </w:p>
          <w:p w14:paraId="7BBDF979" w14:textId="77777777" w:rsidR="008B33D6" w:rsidRPr="0051365E" w:rsidRDefault="008B33D6" w:rsidP="003C19B1">
            <w:pPr>
              <w:rPr>
                <w:rFonts w:ascii="David" w:hAnsi="David"/>
                <w:b/>
                <w:bCs/>
                <w:sz w:val="26"/>
                <w:szCs w:val="26"/>
              </w:rPr>
            </w:pPr>
          </w:p>
        </w:tc>
      </w:tr>
      <w:bookmarkEnd w:id="1"/>
      <w:bookmarkEnd w:id="2"/>
      <w:tr w:rsidR="008B33D6" w:rsidRPr="0051365E" w14:paraId="719691AC" w14:textId="77777777" w:rsidTr="008B33D6">
        <w:trPr>
          <w:trHeight w:val="355"/>
          <w:jc w:val="center"/>
        </w:trPr>
        <w:tc>
          <w:tcPr>
            <w:tcW w:w="923" w:type="dxa"/>
            <w:tcBorders>
              <w:top w:val="nil"/>
              <w:left w:val="nil"/>
              <w:bottom w:val="nil"/>
              <w:right w:val="nil"/>
            </w:tcBorders>
            <w:shd w:val="clear" w:color="auto" w:fill="auto"/>
          </w:tcPr>
          <w:p w14:paraId="41A8B175" w14:textId="77777777" w:rsidR="008B33D6" w:rsidRPr="0051365E" w:rsidRDefault="008B33D6" w:rsidP="008B33D6">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7FAC9FD4" w14:textId="77777777" w:rsidR="008B33D6" w:rsidRPr="0051365E" w:rsidRDefault="008B33D6" w:rsidP="008B33D6">
            <w:pPr>
              <w:jc w:val="center"/>
              <w:rPr>
                <w:rFonts w:ascii="David" w:hAnsi="David"/>
                <w:b/>
                <w:bCs/>
                <w:sz w:val="26"/>
                <w:szCs w:val="26"/>
                <w:rtl/>
              </w:rPr>
            </w:pPr>
            <w:r w:rsidRPr="0051365E">
              <w:rPr>
                <w:rFonts w:ascii="David" w:hAnsi="David"/>
                <w:b/>
                <w:bCs/>
                <w:sz w:val="26"/>
                <w:szCs w:val="26"/>
                <w:rtl/>
              </w:rPr>
              <w:t>נגד</w:t>
            </w:r>
          </w:p>
          <w:p w14:paraId="1C7C8F6A" w14:textId="77777777" w:rsidR="008B33D6" w:rsidRPr="0051365E" w:rsidRDefault="008B33D6" w:rsidP="008B33D6">
            <w:pPr>
              <w:jc w:val="both"/>
              <w:rPr>
                <w:rFonts w:ascii="David" w:hAnsi="David"/>
                <w:b/>
                <w:bCs/>
                <w:sz w:val="26"/>
                <w:szCs w:val="26"/>
              </w:rPr>
            </w:pPr>
          </w:p>
        </w:tc>
      </w:tr>
      <w:tr w:rsidR="008B33D6" w:rsidRPr="0051365E" w14:paraId="0D760F0D" w14:textId="77777777" w:rsidTr="008B33D6">
        <w:trPr>
          <w:trHeight w:val="355"/>
          <w:jc w:val="center"/>
        </w:trPr>
        <w:tc>
          <w:tcPr>
            <w:tcW w:w="923" w:type="dxa"/>
            <w:tcBorders>
              <w:top w:val="nil"/>
              <w:left w:val="nil"/>
              <w:bottom w:val="nil"/>
              <w:right w:val="nil"/>
            </w:tcBorders>
            <w:shd w:val="clear" w:color="auto" w:fill="auto"/>
          </w:tcPr>
          <w:p w14:paraId="385F6E38" w14:textId="77777777" w:rsidR="008B33D6" w:rsidRPr="0051365E" w:rsidRDefault="008B33D6" w:rsidP="003C19B1">
            <w:pPr>
              <w:rPr>
                <w:rFonts w:ascii="David" w:hAnsi="David"/>
                <w:sz w:val="26"/>
                <w:szCs w:val="26"/>
                <w:rtl/>
              </w:rPr>
            </w:pPr>
          </w:p>
        </w:tc>
        <w:tc>
          <w:tcPr>
            <w:tcW w:w="2656" w:type="dxa"/>
            <w:tcBorders>
              <w:top w:val="nil"/>
              <w:left w:val="nil"/>
              <w:bottom w:val="nil"/>
              <w:right w:val="nil"/>
            </w:tcBorders>
            <w:shd w:val="clear" w:color="auto" w:fill="auto"/>
          </w:tcPr>
          <w:p w14:paraId="40142233" w14:textId="77777777" w:rsidR="008B33D6" w:rsidRPr="0051365E" w:rsidRDefault="008B33D6" w:rsidP="003C19B1">
            <w:pPr>
              <w:rPr>
                <w:rFonts w:ascii="Arial" w:hAnsi="Arial"/>
                <w:b/>
                <w:bCs/>
                <w:sz w:val="26"/>
                <w:szCs w:val="26"/>
                <w:rtl/>
              </w:rPr>
            </w:pPr>
            <w:r w:rsidRPr="0051365E">
              <w:rPr>
                <w:rFonts w:ascii="Arial" w:hAnsi="Arial"/>
                <w:b/>
                <w:bCs/>
                <w:sz w:val="26"/>
                <w:szCs w:val="26"/>
                <w:rtl/>
              </w:rPr>
              <w:t>הנאש</w:t>
            </w:r>
            <w:r w:rsidRPr="0051365E">
              <w:rPr>
                <w:rFonts w:ascii="Arial" w:hAnsi="Arial" w:hint="cs"/>
                <w:b/>
                <w:bCs/>
                <w:sz w:val="26"/>
                <w:szCs w:val="26"/>
                <w:rtl/>
              </w:rPr>
              <w:t>מי</w:t>
            </w:r>
            <w:r w:rsidRPr="0051365E">
              <w:rPr>
                <w:rFonts w:ascii="Arial" w:hAnsi="Arial"/>
                <w:b/>
                <w:bCs/>
                <w:sz w:val="26"/>
                <w:szCs w:val="26"/>
                <w:rtl/>
              </w:rPr>
              <w:t>ם</w:t>
            </w:r>
          </w:p>
        </w:tc>
        <w:tc>
          <w:tcPr>
            <w:tcW w:w="5241" w:type="dxa"/>
            <w:tcBorders>
              <w:top w:val="nil"/>
              <w:left w:val="nil"/>
              <w:bottom w:val="nil"/>
              <w:right w:val="nil"/>
            </w:tcBorders>
            <w:shd w:val="clear" w:color="auto" w:fill="auto"/>
            <w:vAlign w:val="center"/>
          </w:tcPr>
          <w:p w14:paraId="5F70DFC8" w14:textId="77777777" w:rsidR="008B33D6" w:rsidRPr="0051365E" w:rsidRDefault="008B33D6" w:rsidP="008B33D6">
            <w:pPr>
              <w:suppressLineNumbers/>
              <w:spacing w:line="276" w:lineRule="auto"/>
              <w:rPr>
                <w:rFonts w:ascii="Arial" w:hAnsi="Arial"/>
                <w:b/>
                <w:bCs/>
                <w:sz w:val="26"/>
                <w:szCs w:val="26"/>
                <w:rtl/>
              </w:rPr>
            </w:pPr>
            <w:r w:rsidRPr="0051365E">
              <w:rPr>
                <w:rFonts w:ascii="Arial" w:hAnsi="Arial" w:hint="cs"/>
                <w:b/>
                <w:bCs/>
                <w:sz w:val="26"/>
                <w:szCs w:val="26"/>
                <w:rtl/>
              </w:rPr>
              <w:t>1</w:t>
            </w:r>
            <w:r w:rsidRPr="0051365E">
              <w:rPr>
                <w:rFonts w:ascii="Arial" w:hAnsi="Arial"/>
                <w:b/>
                <w:bCs/>
                <w:sz w:val="26"/>
                <w:szCs w:val="26"/>
                <w:rtl/>
              </w:rPr>
              <w:t xml:space="preserve">. ראני עד אל חי </w:t>
            </w:r>
            <w:r w:rsidRPr="0051365E">
              <w:rPr>
                <w:rFonts w:ascii="Arial" w:hAnsi="Arial"/>
                <w:b/>
                <w:bCs/>
                <w:sz w:val="26"/>
                <w:szCs w:val="26"/>
                <w:rtl/>
              </w:rPr>
              <w:br/>
              <w:t>ע"י בא</w:t>
            </w:r>
            <w:r w:rsidRPr="0051365E">
              <w:rPr>
                <w:rFonts w:ascii="Arial" w:hAnsi="Arial" w:hint="cs"/>
                <w:b/>
                <w:bCs/>
                <w:sz w:val="26"/>
                <w:szCs w:val="26"/>
                <w:rtl/>
              </w:rPr>
              <w:t>י</w:t>
            </w:r>
            <w:r w:rsidRPr="0051365E">
              <w:rPr>
                <w:rFonts w:ascii="Arial" w:hAnsi="Arial"/>
                <w:b/>
                <w:bCs/>
                <w:sz w:val="26"/>
                <w:szCs w:val="26"/>
                <w:rtl/>
              </w:rPr>
              <w:t xml:space="preserve"> כוחו עוה"ד </w:t>
            </w:r>
            <w:r w:rsidRPr="0051365E">
              <w:rPr>
                <w:rFonts w:ascii="Arial" w:hAnsi="Arial" w:hint="cs"/>
                <w:b/>
                <w:bCs/>
                <w:sz w:val="26"/>
                <w:szCs w:val="26"/>
                <w:rtl/>
              </w:rPr>
              <w:t>אחמד עיראקי</w:t>
            </w:r>
          </w:p>
          <w:p w14:paraId="0845F305" w14:textId="77777777" w:rsidR="008B33D6" w:rsidRPr="0051365E" w:rsidRDefault="008B33D6" w:rsidP="008B33D6">
            <w:pPr>
              <w:suppressLineNumbers/>
              <w:rPr>
                <w:rFonts w:ascii="Arial" w:hAnsi="Arial"/>
                <w:b/>
                <w:bCs/>
                <w:sz w:val="26"/>
                <w:szCs w:val="26"/>
                <w:rtl/>
              </w:rPr>
            </w:pPr>
            <w:r w:rsidRPr="0051365E">
              <w:rPr>
                <w:rFonts w:ascii="Arial" w:hAnsi="Arial" w:hint="cs"/>
                <w:b/>
                <w:bCs/>
                <w:sz w:val="26"/>
                <w:szCs w:val="26"/>
                <w:rtl/>
              </w:rPr>
              <w:t>ועוה"ד וג'די מצארווה</w:t>
            </w:r>
          </w:p>
          <w:p w14:paraId="7E88C7DA" w14:textId="77777777" w:rsidR="008B33D6" w:rsidRPr="0051365E" w:rsidRDefault="008B33D6" w:rsidP="008B33D6">
            <w:pPr>
              <w:suppressLineNumbers/>
              <w:rPr>
                <w:rFonts w:ascii="Arial" w:hAnsi="Arial"/>
                <w:b/>
                <w:bCs/>
                <w:sz w:val="26"/>
                <w:szCs w:val="26"/>
                <w:rtl/>
              </w:rPr>
            </w:pPr>
            <w:r w:rsidRPr="0051365E">
              <w:rPr>
                <w:rFonts w:ascii="Arial" w:hAnsi="Arial"/>
                <w:b/>
                <w:bCs/>
                <w:sz w:val="26"/>
                <w:szCs w:val="26"/>
                <w:rtl/>
              </w:rPr>
              <w:br/>
              <w:t>2. גאני עבד אל חי</w:t>
            </w:r>
            <w:r w:rsidRPr="0051365E">
              <w:rPr>
                <w:rFonts w:ascii="Arial" w:hAnsi="Arial" w:hint="cs"/>
                <w:b/>
                <w:bCs/>
                <w:sz w:val="26"/>
                <w:szCs w:val="26"/>
                <w:rtl/>
              </w:rPr>
              <w:t xml:space="preserve"> </w:t>
            </w:r>
            <w:r w:rsidRPr="0051365E">
              <w:rPr>
                <w:rFonts w:ascii="Arial" w:hAnsi="Arial"/>
                <w:b/>
                <w:bCs/>
                <w:sz w:val="26"/>
                <w:szCs w:val="26"/>
                <w:rtl/>
              </w:rPr>
              <w:t>–</w:t>
            </w:r>
            <w:r w:rsidRPr="0051365E">
              <w:rPr>
                <w:rFonts w:ascii="Arial" w:hAnsi="Arial" w:hint="cs"/>
                <w:b/>
                <w:bCs/>
                <w:sz w:val="26"/>
                <w:szCs w:val="26"/>
                <w:rtl/>
              </w:rPr>
              <w:t xml:space="preserve"> לא בעניינו </w:t>
            </w:r>
          </w:p>
          <w:p w14:paraId="6067E982" w14:textId="77777777" w:rsidR="008B33D6" w:rsidRPr="0051365E" w:rsidRDefault="008B33D6" w:rsidP="008B33D6">
            <w:pPr>
              <w:suppressLineNumbers/>
              <w:rPr>
                <w:b/>
                <w:bCs/>
                <w:sz w:val="26"/>
                <w:szCs w:val="26"/>
              </w:rPr>
            </w:pPr>
          </w:p>
        </w:tc>
      </w:tr>
    </w:tbl>
    <w:p w14:paraId="052C0BA4" w14:textId="77777777" w:rsidR="000F19DD" w:rsidRPr="000F19DD" w:rsidRDefault="000F19DD" w:rsidP="000F19DD">
      <w:pPr>
        <w:spacing w:before="120" w:after="120" w:line="240" w:lineRule="exact"/>
        <w:ind w:left="283" w:hanging="283"/>
        <w:jc w:val="both"/>
        <w:rPr>
          <w:rFonts w:ascii="FrankRuehl" w:hAnsi="FrankRuehl" w:cs="FrankRuehl"/>
          <w:rtl/>
        </w:rPr>
      </w:pPr>
      <w:bookmarkStart w:id="3" w:name="LawTable"/>
      <w:bookmarkEnd w:id="0"/>
      <w:bookmarkEnd w:id="3"/>
    </w:p>
    <w:p w14:paraId="05C7429C" w14:textId="77777777" w:rsidR="000F19DD" w:rsidRPr="000F19DD" w:rsidRDefault="000F19DD" w:rsidP="000F19DD">
      <w:pPr>
        <w:spacing w:before="120" w:after="120" w:line="240" w:lineRule="exact"/>
        <w:ind w:left="283" w:hanging="283"/>
        <w:jc w:val="both"/>
        <w:rPr>
          <w:rFonts w:ascii="FrankRuehl" w:hAnsi="FrankRuehl" w:cs="FrankRuehl"/>
          <w:rtl/>
        </w:rPr>
      </w:pPr>
      <w:r w:rsidRPr="000F19DD">
        <w:rPr>
          <w:rFonts w:ascii="FrankRuehl" w:hAnsi="FrankRuehl" w:cs="FrankRuehl"/>
          <w:rtl/>
        </w:rPr>
        <w:t xml:space="preserve">חקיקה שאוזכרה: </w:t>
      </w:r>
    </w:p>
    <w:p w14:paraId="48531EB5" w14:textId="77777777" w:rsidR="000F19DD" w:rsidRPr="000F19DD" w:rsidRDefault="000F19DD" w:rsidP="000F19DD">
      <w:pPr>
        <w:spacing w:before="120" w:after="120" w:line="240" w:lineRule="exact"/>
        <w:ind w:left="283" w:hanging="283"/>
        <w:jc w:val="both"/>
        <w:rPr>
          <w:rFonts w:ascii="FrankRuehl" w:hAnsi="FrankRuehl" w:cs="FrankRuehl"/>
          <w:color w:val="0000FF"/>
          <w:rtl/>
        </w:rPr>
      </w:pPr>
      <w:hyperlink r:id="rId7" w:history="1">
        <w:r w:rsidRPr="000F19DD">
          <w:rPr>
            <w:rStyle w:val="Hyperlink"/>
            <w:rFonts w:ascii="FrankRuehl" w:hAnsi="FrankRuehl" w:cs="FrankRuehl"/>
            <w:u w:val="none"/>
            <w:rtl/>
          </w:rPr>
          <w:t>חוק העונשין, תשל"ז-1977</w:t>
        </w:r>
      </w:hyperlink>
      <w:r w:rsidRPr="000F19DD">
        <w:rPr>
          <w:rFonts w:ascii="FrankRuehl" w:hAnsi="FrankRuehl" w:cs="FrankRuehl"/>
          <w:color w:val="0000FF"/>
          <w:rtl/>
        </w:rPr>
        <w:t xml:space="preserve">: סע'  </w:t>
      </w:r>
      <w:hyperlink r:id="rId8" w:history="1">
        <w:r w:rsidRPr="000F19DD">
          <w:rPr>
            <w:rStyle w:val="Hyperlink"/>
            <w:rFonts w:ascii="FrankRuehl" w:hAnsi="FrankRuehl" w:cs="FrankRuehl"/>
            <w:u w:val="none"/>
          </w:rPr>
          <w:t>29</w:t>
        </w:r>
      </w:hyperlink>
      <w:r w:rsidRPr="000F19DD">
        <w:rPr>
          <w:rFonts w:ascii="FrankRuehl" w:hAnsi="FrankRuehl" w:cs="FrankRuehl"/>
          <w:color w:val="0000FF"/>
          <w:rtl/>
        </w:rPr>
        <w:t xml:space="preserve">, </w:t>
      </w:r>
      <w:hyperlink r:id="rId9" w:history="1">
        <w:r w:rsidRPr="000F19DD">
          <w:rPr>
            <w:rStyle w:val="Hyperlink"/>
            <w:rFonts w:ascii="FrankRuehl" w:hAnsi="FrankRuehl" w:cs="FrankRuehl"/>
            <w:u w:val="none"/>
          </w:rPr>
          <w:t>144</w:t>
        </w:r>
      </w:hyperlink>
      <w:r w:rsidRPr="000F19DD">
        <w:rPr>
          <w:rFonts w:ascii="FrankRuehl" w:hAnsi="FrankRuehl" w:cs="FrankRuehl"/>
          <w:color w:val="0000FF"/>
          <w:rtl/>
        </w:rPr>
        <w:t>(א)</w:t>
      </w:r>
    </w:p>
    <w:p w14:paraId="37CDDCE5" w14:textId="77777777" w:rsidR="000F19DD" w:rsidRPr="000F19DD" w:rsidRDefault="000F19DD" w:rsidP="000F19DD">
      <w:pPr>
        <w:spacing w:before="120" w:after="120" w:line="240" w:lineRule="exact"/>
        <w:ind w:left="283" w:hanging="283"/>
        <w:jc w:val="both"/>
        <w:rPr>
          <w:rFonts w:ascii="FrankRuehl" w:hAnsi="FrankRuehl" w:cs="FrankRuehl"/>
          <w:rtl/>
        </w:rPr>
      </w:pPr>
      <w:bookmarkStart w:id="4" w:name="LawTable_End"/>
      <w:bookmarkEnd w:id="4"/>
    </w:p>
    <w:p w14:paraId="6FA0208B" w14:textId="77777777" w:rsidR="000F19DD" w:rsidRPr="0051365E" w:rsidRDefault="000F19DD" w:rsidP="000F19DD">
      <w:pPr>
        <w:jc w:val="center"/>
        <w:rPr>
          <w:rFonts w:ascii="David" w:hAnsi="David"/>
          <w:b/>
          <w:bCs/>
          <w:sz w:val="32"/>
          <w:szCs w:val="32"/>
          <w:rtl/>
        </w:rPr>
      </w:pPr>
      <w:bookmarkStart w:id="5" w:name="PsakDin"/>
      <w:r w:rsidRPr="0051365E">
        <w:rPr>
          <w:rFonts w:ascii="David" w:hAnsi="David"/>
          <w:b/>
          <w:bCs/>
          <w:sz w:val="32"/>
          <w:szCs w:val="32"/>
          <w:rtl/>
        </w:rPr>
        <w:t>גזר דין (נאשם 1)</w:t>
      </w:r>
    </w:p>
    <w:bookmarkEnd w:id="5"/>
    <w:p w14:paraId="6D0D6F27" w14:textId="77777777" w:rsidR="008B33D6" w:rsidRPr="000F2247" w:rsidRDefault="008B33D6" w:rsidP="008B33D6">
      <w:pPr>
        <w:rPr>
          <w:rFonts w:ascii="Arial" w:hAnsi="Arial"/>
          <w:b/>
          <w:bCs/>
          <w:sz w:val="26"/>
          <w:szCs w:val="26"/>
          <w:rtl/>
        </w:rPr>
      </w:pPr>
    </w:p>
    <w:p w14:paraId="376E1258" w14:textId="77777777" w:rsidR="008B33D6" w:rsidRDefault="008B33D6" w:rsidP="008B33D6">
      <w:pPr>
        <w:pStyle w:val="ac"/>
        <w:spacing w:after="0" w:line="360" w:lineRule="auto"/>
        <w:ind w:left="0"/>
        <w:jc w:val="both"/>
        <w:rPr>
          <w:rFonts w:ascii="David" w:hAnsi="David" w:cs="David"/>
          <w:b/>
          <w:bCs/>
          <w:sz w:val="24"/>
          <w:szCs w:val="24"/>
          <w:u w:val="single"/>
          <w:rtl/>
        </w:rPr>
      </w:pPr>
      <w:r>
        <w:rPr>
          <w:rFonts w:ascii="David" w:hAnsi="David" w:cs="David"/>
          <w:b/>
          <w:bCs/>
          <w:sz w:val="24"/>
          <w:szCs w:val="24"/>
          <w:u w:val="single"/>
          <w:rtl/>
        </w:rPr>
        <w:t>הרקע</w:t>
      </w:r>
    </w:p>
    <w:p w14:paraId="14C29875" w14:textId="77777777" w:rsidR="008B33D6" w:rsidRDefault="008B33D6" w:rsidP="008B33D6">
      <w:pPr>
        <w:pStyle w:val="ac"/>
        <w:numPr>
          <w:ilvl w:val="0"/>
          <w:numId w:val="1"/>
        </w:numPr>
        <w:spacing w:after="0" w:line="360" w:lineRule="auto"/>
        <w:ind w:left="360"/>
        <w:jc w:val="both"/>
        <w:rPr>
          <w:rFonts w:ascii="David" w:hAnsi="David" w:cs="David"/>
          <w:sz w:val="24"/>
          <w:szCs w:val="24"/>
          <w:u w:val="single"/>
          <w:rtl/>
        </w:rPr>
      </w:pPr>
      <w:bookmarkStart w:id="6" w:name="ABSTRACT_START"/>
      <w:bookmarkEnd w:id="6"/>
      <w:r>
        <w:rPr>
          <w:rFonts w:ascii="David" w:hAnsi="David" w:cs="David"/>
          <w:sz w:val="24"/>
          <w:szCs w:val="24"/>
          <w:rtl/>
        </w:rPr>
        <w:t xml:space="preserve">נגד הנאשמים הוגש כתב אישום שייחס להם ביצוע בצוותא של עבירות החזקת נשק, אביזרי נשק ותחמושת, לפי </w:t>
      </w:r>
      <w:hyperlink r:id="rId10" w:history="1">
        <w:r w:rsidR="000F19DD" w:rsidRPr="000F19DD">
          <w:rPr>
            <w:rStyle w:val="Hyperlink"/>
            <w:rFonts w:ascii="David" w:hAnsi="David" w:cs="David"/>
            <w:color w:val="0000FF"/>
            <w:sz w:val="24"/>
            <w:szCs w:val="24"/>
            <w:rtl/>
          </w:rPr>
          <w:t>סעיפים 144(א)</w:t>
        </w:r>
      </w:hyperlink>
      <w:r>
        <w:rPr>
          <w:rFonts w:ascii="David" w:hAnsi="David" w:cs="David"/>
          <w:sz w:val="24"/>
          <w:szCs w:val="24"/>
          <w:rtl/>
        </w:rPr>
        <w:t xml:space="preserve"> ריש</w:t>
      </w:r>
      <w:r>
        <w:rPr>
          <w:rFonts w:ascii="David" w:hAnsi="David" w:cs="David" w:hint="cs"/>
          <w:sz w:val="24"/>
          <w:szCs w:val="24"/>
          <w:rtl/>
        </w:rPr>
        <w:t>ה</w:t>
      </w:r>
      <w:r>
        <w:rPr>
          <w:rFonts w:ascii="David" w:hAnsi="David" w:cs="David"/>
          <w:sz w:val="24"/>
          <w:szCs w:val="24"/>
          <w:rtl/>
        </w:rPr>
        <w:t xml:space="preserve"> וסיפ</w:t>
      </w:r>
      <w:r>
        <w:rPr>
          <w:rFonts w:ascii="David" w:hAnsi="David" w:cs="David" w:hint="cs"/>
          <w:sz w:val="24"/>
          <w:szCs w:val="24"/>
          <w:rtl/>
        </w:rPr>
        <w:t>ה</w:t>
      </w:r>
      <w:r>
        <w:rPr>
          <w:rFonts w:ascii="David" w:hAnsi="David" w:cs="David"/>
          <w:sz w:val="24"/>
          <w:szCs w:val="24"/>
          <w:rtl/>
        </w:rPr>
        <w:t xml:space="preserve"> </w:t>
      </w:r>
      <w:r>
        <w:rPr>
          <w:rFonts w:ascii="David" w:hAnsi="David" w:cs="David" w:hint="cs"/>
          <w:sz w:val="24"/>
          <w:szCs w:val="24"/>
          <w:rtl/>
        </w:rPr>
        <w:t xml:space="preserve">יחד עם </w:t>
      </w:r>
      <w:hyperlink r:id="rId11" w:history="1">
        <w:r w:rsidR="000F19DD" w:rsidRPr="000F19DD">
          <w:rPr>
            <w:rStyle w:val="Hyperlink"/>
            <w:rFonts w:ascii="David" w:hAnsi="David" w:cs="David"/>
            <w:color w:val="0000FF"/>
            <w:sz w:val="24"/>
            <w:szCs w:val="24"/>
            <w:rtl/>
          </w:rPr>
          <w:t>סעיף 29</w:t>
        </w:r>
      </w:hyperlink>
      <w:r>
        <w:rPr>
          <w:rFonts w:ascii="David" w:hAnsi="David" w:cs="David"/>
          <w:sz w:val="24"/>
          <w:szCs w:val="24"/>
          <w:rtl/>
        </w:rPr>
        <w:t xml:space="preserve"> ל</w:t>
      </w:r>
      <w:hyperlink r:id="rId12" w:history="1">
        <w:r w:rsidR="0051365E" w:rsidRPr="0051365E">
          <w:rPr>
            <w:rFonts w:ascii="David" w:hAnsi="David" w:cs="David"/>
            <w:color w:val="0000FF"/>
            <w:sz w:val="24"/>
            <w:szCs w:val="24"/>
            <w:u w:val="single"/>
            <w:rtl/>
          </w:rPr>
          <w:t>חוק העונשין</w:t>
        </w:r>
      </w:hyperlink>
      <w:r>
        <w:rPr>
          <w:rFonts w:ascii="David" w:hAnsi="David" w:cs="David"/>
          <w:sz w:val="24"/>
          <w:szCs w:val="24"/>
          <w:rtl/>
        </w:rPr>
        <w:t xml:space="preserve">, התשל"ז-1977 </w:t>
      </w:r>
      <w:bookmarkStart w:id="7" w:name="ABSTRACT_END"/>
      <w:bookmarkEnd w:id="7"/>
      <w:r>
        <w:rPr>
          <w:rFonts w:ascii="David" w:hAnsi="David" w:cs="David"/>
          <w:sz w:val="24"/>
          <w:szCs w:val="24"/>
          <w:rtl/>
        </w:rPr>
        <w:t>(להלן: "חוק העונשין").</w:t>
      </w:r>
    </w:p>
    <w:p w14:paraId="085F75DB" w14:textId="77777777" w:rsidR="008B33D6" w:rsidRDefault="008B33D6" w:rsidP="008B33D6">
      <w:pPr>
        <w:pStyle w:val="ac"/>
        <w:spacing w:after="0" w:line="240" w:lineRule="auto"/>
        <w:ind w:left="360"/>
        <w:jc w:val="both"/>
        <w:rPr>
          <w:rFonts w:ascii="David" w:hAnsi="David" w:cs="David"/>
          <w:sz w:val="24"/>
          <w:szCs w:val="24"/>
          <w:u w:val="single"/>
        </w:rPr>
      </w:pPr>
    </w:p>
    <w:p w14:paraId="5139129F" w14:textId="77777777" w:rsidR="008B33D6" w:rsidRDefault="008B33D6" w:rsidP="008B33D6">
      <w:pPr>
        <w:pStyle w:val="ac"/>
        <w:numPr>
          <w:ilvl w:val="0"/>
          <w:numId w:val="1"/>
        </w:numPr>
        <w:spacing w:after="0" w:line="360" w:lineRule="auto"/>
        <w:ind w:left="360"/>
        <w:jc w:val="both"/>
        <w:rPr>
          <w:rFonts w:ascii="David" w:hAnsi="David" w:cs="David"/>
          <w:sz w:val="24"/>
          <w:szCs w:val="24"/>
          <w:u w:val="single"/>
        </w:rPr>
      </w:pPr>
      <w:r>
        <w:rPr>
          <w:rFonts w:ascii="David" w:hAnsi="David" w:cs="David"/>
          <w:sz w:val="24"/>
          <w:szCs w:val="24"/>
          <w:rtl/>
        </w:rPr>
        <w:t>ביום 29.9.2021 כפרו הנאשמים בעובדות כתב האישום, ובהמשך החלה שמיעת הראיות. בתאריך 6.3.2023 בעיצומה של פרשת התביעה, הודיעו באי כוח הצדדים על להסדר טיעון דיוני שבמסגרתו הוגש כתב אישום מתוקן בנוגע לנאשם 1, והוא הודה בעובדותיו והורשע בעבירות הנשק (אך לא בצוותא). מעובדות כתב האישום המתוקן עולה כי עובר ליום 21.4.2020 החזיק נאשם 1 בבית דודו נאשם 2 בעיר טירה, כלי הנשק, תחמושת ואביזרי נשק כדלקמן:</w:t>
      </w:r>
    </w:p>
    <w:p w14:paraId="158C4338" w14:textId="77777777" w:rsidR="008B33D6" w:rsidRDefault="008B33D6" w:rsidP="008B33D6">
      <w:pPr>
        <w:pStyle w:val="ac"/>
        <w:spacing w:after="0" w:line="240" w:lineRule="auto"/>
        <w:ind w:left="360"/>
        <w:jc w:val="both"/>
        <w:rPr>
          <w:rFonts w:ascii="David" w:hAnsi="David" w:cs="David"/>
          <w:sz w:val="24"/>
          <w:szCs w:val="24"/>
          <w:u w:val="single"/>
        </w:rPr>
      </w:pPr>
    </w:p>
    <w:p w14:paraId="40FB6C92" w14:textId="77777777" w:rsidR="008B33D6" w:rsidRDefault="008B33D6" w:rsidP="008B33D6">
      <w:pPr>
        <w:pStyle w:val="ac"/>
        <w:numPr>
          <w:ilvl w:val="1"/>
          <w:numId w:val="1"/>
        </w:numPr>
        <w:spacing w:after="0" w:line="360" w:lineRule="auto"/>
        <w:ind w:left="1434" w:hanging="357"/>
        <w:jc w:val="both"/>
        <w:rPr>
          <w:rFonts w:ascii="David" w:hAnsi="David" w:cs="David"/>
          <w:sz w:val="24"/>
          <w:szCs w:val="24"/>
        </w:rPr>
      </w:pPr>
      <w:r>
        <w:rPr>
          <w:rFonts w:ascii="David" w:hAnsi="David" w:cs="David"/>
          <w:sz w:val="24"/>
          <w:szCs w:val="24"/>
          <w:rtl/>
        </w:rPr>
        <w:t xml:space="preserve">אקדח מסוג </w:t>
      </w:r>
      <w:r>
        <w:rPr>
          <w:rFonts w:ascii="David" w:hAnsi="David" w:cs="David"/>
          <w:sz w:val="24"/>
          <w:szCs w:val="24"/>
        </w:rPr>
        <w:t>FN</w:t>
      </w:r>
      <w:r>
        <w:rPr>
          <w:rFonts w:ascii="David" w:hAnsi="David" w:cs="David"/>
          <w:sz w:val="24"/>
          <w:szCs w:val="24"/>
          <w:rtl/>
        </w:rPr>
        <w:t xml:space="preserve"> עם מחסנית ריקה.</w:t>
      </w:r>
    </w:p>
    <w:p w14:paraId="088103D8" w14:textId="77777777" w:rsidR="008B33D6" w:rsidRDefault="008B33D6" w:rsidP="008B33D6">
      <w:pPr>
        <w:pStyle w:val="ac"/>
        <w:numPr>
          <w:ilvl w:val="1"/>
          <w:numId w:val="1"/>
        </w:numPr>
        <w:spacing w:after="0" w:line="360" w:lineRule="auto"/>
        <w:ind w:left="1434" w:hanging="357"/>
        <w:jc w:val="both"/>
        <w:rPr>
          <w:rFonts w:ascii="David" w:hAnsi="David" w:cs="David"/>
          <w:sz w:val="24"/>
          <w:szCs w:val="24"/>
        </w:rPr>
      </w:pPr>
      <w:r>
        <w:rPr>
          <w:rFonts w:ascii="David" w:hAnsi="David" w:cs="David"/>
          <w:sz w:val="24"/>
          <w:szCs w:val="24"/>
          <w:rtl/>
        </w:rPr>
        <w:t xml:space="preserve">אקדח מסוג </w:t>
      </w:r>
      <w:r>
        <w:rPr>
          <w:rFonts w:ascii="David" w:hAnsi="David" w:cs="David"/>
          <w:sz w:val="24"/>
          <w:szCs w:val="24"/>
        </w:rPr>
        <w:t>STAR</w:t>
      </w:r>
      <w:r>
        <w:rPr>
          <w:rFonts w:ascii="David" w:hAnsi="David" w:cs="David"/>
          <w:sz w:val="24"/>
          <w:szCs w:val="24"/>
          <w:rtl/>
        </w:rPr>
        <w:t xml:space="preserve"> </w:t>
      </w:r>
      <w:r>
        <w:rPr>
          <w:rFonts w:ascii="David" w:hAnsi="David" w:cs="David" w:hint="cs"/>
          <w:sz w:val="24"/>
          <w:szCs w:val="24"/>
          <w:rtl/>
        </w:rPr>
        <w:t>ושתי מחסניות ריקות.</w:t>
      </w:r>
    </w:p>
    <w:p w14:paraId="587D3109" w14:textId="77777777" w:rsidR="008B33D6" w:rsidRDefault="008B33D6" w:rsidP="008B33D6">
      <w:pPr>
        <w:pStyle w:val="ac"/>
        <w:numPr>
          <w:ilvl w:val="1"/>
          <w:numId w:val="1"/>
        </w:numPr>
        <w:spacing w:after="0" w:line="360" w:lineRule="auto"/>
        <w:ind w:left="1434" w:hanging="357"/>
        <w:jc w:val="both"/>
        <w:rPr>
          <w:rFonts w:ascii="David" w:hAnsi="David" w:cs="David"/>
          <w:sz w:val="24"/>
          <w:szCs w:val="24"/>
        </w:rPr>
      </w:pPr>
      <w:r>
        <w:rPr>
          <w:rFonts w:ascii="David" w:hAnsi="David" w:cs="David"/>
          <w:sz w:val="24"/>
          <w:szCs w:val="24"/>
          <w:rtl/>
        </w:rPr>
        <w:t>נשק מאולתר מסוג "קרלו".</w:t>
      </w:r>
    </w:p>
    <w:p w14:paraId="55CF0F9E" w14:textId="77777777" w:rsidR="008B33D6" w:rsidRDefault="008B33D6" w:rsidP="008B33D6">
      <w:pPr>
        <w:pStyle w:val="ac"/>
        <w:numPr>
          <w:ilvl w:val="1"/>
          <w:numId w:val="1"/>
        </w:numPr>
        <w:spacing w:after="0" w:line="360" w:lineRule="auto"/>
        <w:ind w:left="1434" w:hanging="357"/>
        <w:jc w:val="both"/>
        <w:rPr>
          <w:rFonts w:ascii="David" w:hAnsi="David" w:cs="David"/>
          <w:sz w:val="24"/>
          <w:szCs w:val="24"/>
        </w:rPr>
      </w:pPr>
      <w:r>
        <w:rPr>
          <w:rFonts w:ascii="David" w:hAnsi="David" w:cs="David"/>
          <w:sz w:val="24"/>
          <w:szCs w:val="24"/>
          <w:rtl/>
        </w:rPr>
        <w:lastRenderedPageBreak/>
        <w:t>מחסנית שהכילה 11 כדורים לנשק בקוטר 0.22 אינץ', מחסנית ובה 2 כדורים בקוטר 9 מ"מ, ושתי מחסניות ריקות.</w:t>
      </w:r>
    </w:p>
    <w:p w14:paraId="03970914" w14:textId="77777777" w:rsidR="008B33D6" w:rsidRDefault="008B33D6" w:rsidP="008B33D6">
      <w:pPr>
        <w:pStyle w:val="ac"/>
        <w:numPr>
          <w:ilvl w:val="1"/>
          <w:numId w:val="1"/>
        </w:numPr>
        <w:spacing w:after="0" w:line="360" w:lineRule="auto"/>
        <w:ind w:left="1434" w:hanging="357"/>
        <w:jc w:val="both"/>
        <w:rPr>
          <w:rFonts w:ascii="David" w:hAnsi="David" w:cs="David"/>
          <w:sz w:val="24"/>
          <w:szCs w:val="24"/>
        </w:rPr>
      </w:pPr>
      <w:r>
        <w:rPr>
          <w:rFonts w:ascii="David" w:hAnsi="David" w:cs="David"/>
          <w:sz w:val="24"/>
          <w:szCs w:val="24"/>
          <w:rtl/>
        </w:rPr>
        <w:t>כוורת פלסטיק שהכילה 28 כדורי תחמושת לנשק בקוטר 9 מ"מ; 8 כדורים לנשק בקוטר 9 מ"מ; 22 כדורי תחמושת לנשק בקוטר 9 מ"מ; 8 כדורי תחמושת לנשק בקוטר 5.56 מ"מ; כדור תחמושת לנשק בקוטר 0.45 אינץ'; 3 כדורי תחמושת לנשק בקוטר 9 מ"מ; כדור תחמושת לנשק בקוטר 0.22 אינץ', ו-9 כדורי תחמושת לנשק בקוטר 9 מ"מ.</w:t>
      </w:r>
      <w:r>
        <w:rPr>
          <w:rFonts w:ascii="David" w:hAnsi="David" w:cs="David"/>
          <w:sz w:val="24"/>
          <w:szCs w:val="24"/>
        </w:rPr>
        <w:t xml:space="preserve"> </w:t>
      </w:r>
    </w:p>
    <w:p w14:paraId="5443EE39" w14:textId="77777777" w:rsidR="008B33D6" w:rsidRDefault="008B33D6" w:rsidP="008B33D6">
      <w:pPr>
        <w:pStyle w:val="ac"/>
        <w:spacing w:after="0" w:line="240" w:lineRule="auto"/>
        <w:ind w:left="360"/>
        <w:jc w:val="both"/>
        <w:rPr>
          <w:rFonts w:ascii="David" w:hAnsi="David" w:cs="David"/>
          <w:sz w:val="24"/>
          <w:szCs w:val="24"/>
          <w:u w:val="single"/>
        </w:rPr>
      </w:pPr>
    </w:p>
    <w:p w14:paraId="4D16F61F" w14:textId="77777777" w:rsidR="008B33D6" w:rsidRPr="00784F52" w:rsidRDefault="008B33D6" w:rsidP="008B33D6">
      <w:pPr>
        <w:pStyle w:val="ac"/>
        <w:numPr>
          <w:ilvl w:val="0"/>
          <w:numId w:val="1"/>
        </w:numPr>
        <w:spacing w:after="0" w:line="360" w:lineRule="auto"/>
        <w:ind w:left="360"/>
        <w:jc w:val="both"/>
        <w:rPr>
          <w:rFonts w:ascii="David" w:hAnsi="David" w:cs="David"/>
          <w:sz w:val="24"/>
          <w:szCs w:val="24"/>
          <w:u w:val="single"/>
        </w:rPr>
      </w:pPr>
      <w:r w:rsidRPr="00784F52">
        <w:rPr>
          <w:rFonts w:ascii="David" w:hAnsi="David" w:cs="David"/>
          <w:sz w:val="24"/>
          <w:szCs w:val="24"/>
          <w:rtl/>
        </w:rPr>
        <w:t>ביום 21.4.2020 העביר נאשם 1 את כלי הנשק והתחמושת לעיל, לרכב שחנה בבית הוריו הצמוד לביתו של נאשם 2, וסמוך לאחר מכן נתפסו כלי הנשק והתחמושת על ידי שוטרים במקום.</w:t>
      </w:r>
    </w:p>
    <w:p w14:paraId="04ECCEF1" w14:textId="77777777" w:rsidR="008B33D6" w:rsidRPr="00784F52" w:rsidRDefault="008B33D6" w:rsidP="008B33D6">
      <w:pPr>
        <w:jc w:val="both"/>
        <w:rPr>
          <w:rFonts w:ascii="David" w:hAnsi="David"/>
          <w:u w:val="single"/>
        </w:rPr>
      </w:pPr>
    </w:p>
    <w:p w14:paraId="0BCBB890" w14:textId="77777777" w:rsidR="008B33D6" w:rsidRPr="00B947C0" w:rsidRDefault="008B33D6" w:rsidP="008B33D6">
      <w:pPr>
        <w:pStyle w:val="ac"/>
        <w:numPr>
          <w:ilvl w:val="0"/>
          <w:numId w:val="1"/>
        </w:numPr>
        <w:spacing w:after="0" w:line="360" w:lineRule="auto"/>
        <w:ind w:left="360"/>
        <w:jc w:val="both"/>
        <w:rPr>
          <w:rFonts w:ascii="David" w:hAnsi="David" w:cs="David"/>
          <w:sz w:val="24"/>
          <w:szCs w:val="24"/>
          <w:u w:val="single"/>
        </w:rPr>
      </w:pPr>
      <w:r>
        <w:rPr>
          <w:rFonts w:ascii="David" w:hAnsi="David" w:cs="David"/>
          <w:sz w:val="24"/>
          <w:szCs w:val="24"/>
          <w:rtl/>
        </w:rPr>
        <w:t xml:space="preserve">בהתאם להסדר הטיעון ומפאת גילו של נאשם 1 בעת ביצוע העבירות, </w:t>
      </w:r>
      <w:r>
        <w:rPr>
          <w:rFonts w:ascii="David" w:hAnsi="David" w:cs="David" w:hint="cs"/>
          <w:sz w:val="24"/>
          <w:szCs w:val="24"/>
          <w:rtl/>
        </w:rPr>
        <w:t>נדחה הדיון</w:t>
      </w:r>
      <w:r>
        <w:rPr>
          <w:rFonts w:ascii="David" w:hAnsi="David" w:cs="David"/>
          <w:sz w:val="24"/>
          <w:szCs w:val="24"/>
          <w:rtl/>
        </w:rPr>
        <w:t xml:space="preserve"> ל</w:t>
      </w:r>
      <w:r>
        <w:rPr>
          <w:rFonts w:ascii="David" w:hAnsi="David" w:cs="David" w:hint="cs"/>
          <w:sz w:val="24"/>
          <w:szCs w:val="24"/>
          <w:rtl/>
        </w:rPr>
        <w:t>קבלת ת</w:t>
      </w:r>
      <w:r>
        <w:rPr>
          <w:rFonts w:ascii="David" w:hAnsi="David" w:cs="David"/>
          <w:sz w:val="24"/>
          <w:szCs w:val="24"/>
          <w:rtl/>
        </w:rPr>
        <w:t xml:space="preserve">סקיר מאת שירות המבחן. תוך כך נמשכה שמיעת הראיות בעניינו של נאשם 2, ובכלל זה נשמעו עדויות מומחי </w:t>
      </w:r>
      <w:r>
        <w:rPr>
          <w:rFonts w:ascii="David" w:hAnsi="David" w:cs="David"/>
          <w:sz w:val="24"/>
          <w:szCs w:val="24"/>
        </w:rPr>
        <w:t>DNA</w:t>
      </w:r>
      <w:r>
        <w:rPr>
          <w:rFonts w:ascii="David" w:hAnsi="David" w:cs="David"/>
          <w:sz w:val="24"/>
          <w:szCs w:val="24"/>
          <w:rtl/>
        </w:rPr>
        <w:t>. ביום 21.6.2023 הורשע נאשם 2 בכל המיוחס לו, בהכרעת דין מפורטת</w:t>
      </w:r>
      <w:r>
        <w:rPr>
          <w:rFonts w:ascii="David" w:hAnsi="David" w:cs="David" w:hint="cs"/>
          <w:sz w:val="24"/>
          <w:szCs w:val="24"/>
          <w:rtl/>
        </w:rPr>
        <w:t>, ודיון הטיעונים לעונש נדחה מעת לעת, לבקשתו, לרבות בשל החלפת ייצוג. בסופו של דבר נגזר</w:t>
      </w:r>
      <w:r>
        <w:rPr>
          <w:rFonts w:ascii="David" w:hAnsi="David" w:cs="David"/>
          <w:sz w:val="24"/>
          <w:szCs w:val="24"/>
          <w:rtl/>
        </w:rPr>
        <w:t xml:space="preserve"> </w:t>
      </w:r>
      <w:r w:rsidRPr="00B947C0">
        <w:rPr>
          <w:rFonts w:ascii="David" w:hAnsi="David" w:cs="David"/>
          <w:sz w:val="24"/>
          <w:szCs w:val="24"/>
          <w:rtl/>
        </w:rPr>
        <w:t>עונשו של נאשם 2, שהוא בן</w:t>
      </w:r>
      <w:r>
        <w:rPr>
          <w:rFonts w:ascii="David" w:hAnsi="David" w:cs="David"/>
          <w:sz w:val="24"/>
          <w:szCs w:val="24"/>
          <w:rtl/>
        </w:rPr>
        <w:t xml:space="preserve"> 52 ונעדר עבר פלילי, </w:t>
      </w:r>
      <w:r w:rsidRPr="00B947C0">
        <w:rPr>
          <w:rFonts w:ascii="David" w:hAnsi="David" w:cs="David"/>
          <w:sz w:val="24"/>
          <w:szCs w:val="24"/>
          <w:rtl/>
        </w:rPr>
        <w:t xml:space="preserve">לעונש מאסר בפועל למשך </w:t>
      </w:r>
      <w:r w:rsidRPr="00B947C0">
        <w:rPr>
          <w:rFonts w:ascii="David" w:hAnsi="David" w:cs="David" w:hint="cs"/>
          <w:sz w:val="24"/>
          <w:szCs w:val="24"/>
          <w:rtl/>
        </w:rPr>
        <w:t>34</w:t>
      </w:r>
      <w:r w:rsidRPr="00B947C0">
        <w:rPr>
          <w:rFonts w:ascii="David" w:hAnsi="David" w:cs="David"/>
          <w:sz w:val="24"/>
          <w:szCs w:val="24"/>
          <w:rtl/>
        </w:rPr>
        <w:t xml:space="preserve"> חודשים וענישה נלווית. </w:t>
      </w:r>
    </w:p>
    <w:p w14:paraId="21742AF4" w14:textId="77777777" w:rsidR="008B33D6" w:rsidRDefault="008B33D6" w:rsidP="008B33D6">
      <w:pPr>
        <w:pStyle w:val="ac"/>
        <w:spacing w:after="0" w:line="360" w:lineRule="auto"/>
        <w:ind w:left="0"/>
        <w:jc w:val="both"/>
        <w:rPr>
          <w:rFonts w:ascii="David" w:hAnsi="David" w:cs="David"/>
          <w:sz w:val="24"/>
          <w:szCs w:val="24"/>
        </w:rPr>
      </w:pPr>
    </w:p>
    <w:p w14:paraId="00A0A6CA" w14:textId="77777777" w:rsidR="008B33D6" w:rsidRDefault="008B33D6" w:rsidP="008B33D6">
      <w:pPr>
        <w:spacing w:line="480" w:lineRule="auto"/>
        <w:jc w:val="both"/>
        <w:rPr>
          <w:rFonts w:ascii="David" w:hAnsi="David"/>
          <w:b/>
          <w:bCs/>
          <w:u w:val="single"/>
        </w:rPr>
      </w:pPr>
      <w:r>
        <w:rPr>
          <w:rFonts w:ascii="David" w:hAnsi="David"/>
          <w:b/>
          <w:bCs/>
          <w:u w:val="single"/>
          <w:rtl/>
        </w:rPr>
        <w:t xml:space="preserve">תסקירי שירות המבחן </w:t>
      </w:r>
    </w:p>
    <w:p w14:paraId="2E2B4630" w14:textId="77777777" w:rsidR="008B33D6" w:rsidRDefault="008B33D6" w:rsidP="008B33D6">
      <w:pPr>
        <w:pStyle w:val="ac"/>
        <w:numPr>
          <w:ilvl w:val="0"/>
          <w:numId w:val="1"/>
        </w:numPr>
        <w:spacing w:after="0" w:line="360" w:lineRule="auto"/>
        <w:ind w:left="360"/>
        <w:jc w:val="both"/>
        <w:rPr>
          <w:rFonts w:ascii="David" w:hAnsi="David" w:cs="David"/>
          <w:sz w:val="24"/>
          <w:szCs w:val="24"/>
          <w:rtl/>
        </w:rPr>
      </w:pPr>
      <w:r>
        <w:rPr>
          <w:rFonts w:ascii="David" w:hAnsi="David" w:cs="David"/>
          <w:sz w:val="24"/>
          <w:szCs w:val="24"/>
          <w:rtl/>
        </w:rPr>
        <w:t>בתסקירו הראשון מיום 11.9.2023 פירט שירות המבחן את נסיבות חייו של הנאשם 1: הוא רווק כבן 24, בוגר 12 שנות לימוד ובגרות מלאה, התחיל לימודי ניהול מערכות מידע, אך לימודיו נקטעו בשל הסתבכותו בעבירות הנשק דנן. מזה כש</w:t>
      </w:r>
      <w:r>
        <w:rPr>
          <w:rFonts w:ascii="David" w:hAnsi="David" w:cs="David" w:hint="cs"/>
          <w:sz w:val="24"/>
          <w:szCs w:val="24"/>
          <w:rtl/>
        </w:rPr>
        <w:t>נתיים</w:t>
      </w:r>
      <w:r>
        <w:rPr>
          <w:rFonts w:ascii="David" w:hAnsi="David" w:cs="David"/>
          <w:sz w:val="24"/>
          <w:szCs w:val="24"/>
          <w:rtl/>
        </w:rPr>
        <w:t xml:space="preserve"> הוא עובד כמנהל מחלקת ייצוא בחברת אופנה, והממונים עליו מודעים להרשעתו ותומכים בו.</w:t>
      </w:r>
    </w:p>
    <w:p w14:paraId="4D3058C2" w14:textId="77777777" w:rsidR="008B33D6" w:rsidRDefault="008B33D6" w:rsidP="008B33D6">
      <w:pPr>
        <w:pStyle w:val="ac"/>
        <w:spacing w:after="0" w:line="240" w:lineRule="auto"/>
        <w:ind w:left="360"/>
        <w:jc w:val="both"/>
        <w:rPr>
          <w:rFonts w:ascii="David" w:hAnsi="David" w:cs="David"/>
          <w:sz w:val="24"/>
          <w:szCs w:val="24"/>
        </w:rPr>
      </w:pPr>
    </w:p>
    <w:p w14:paraId="52C9EE18" w14:textId="77777777" w:rsidR="008B33D6" w:rsidRDefault="008B33D6" w:rsidP="008B33D6">
      <w:pPr>
        <w:pStyle w:val="ac"/>
        <w:numPr>
          <w:ilvl w:val="0"/>
          <w:numId w:val="1"/>
        </w:numPr>
        <w:spacing w:after="0" w:line="360" w:lineRule="auto"/>
        <w:ind w:left="360"/>
        <w:jc w:val="both"/>
        <w:rPr>
          <w:rFonts w:ascii="David" w:hAnsi="David" w:cs="David"/>
          <w:sz w:val="24"/>
          <w:szCs w:val="24"/>
        </w:rPr>
      </w:pPr>
      <w:r>
        <w:rPr>
          <w:rFonts w:ascii="David" w:hAnsi="David" w:cs="David"/>
          <w:sz w:val="24"/>
          <w:szCs w:val="24"/>
          <w:rtl/>
        </w:rPr>
        <w:t xml:space="preserve">נאשם 1 שהה במצער במשך כ-40 ימים ותקופה זו הייתה עבורו משברית. חלה הידרדרות במצבו הנפשי של הנאשם 1, הוא אובחן כסובל מהפרעת חרדה, קיבל טיפול תרופתי ומצוי במעקב פסיכיאטרי במרכז "לין" במקום מגוריו. מצבו של אביו הורע לאחר ביצוע העבירה, וכך גם המצב הכלכלי של המשפחה שנפגע משנתפס הרכב של אמו של נאשם 1, בשל העלויות הכרוכות בניהול ההליך הפלילי. </w:t>
      </w:r>
    </w:p>
    <w:p w14:paraId="27BFE82F" w14:textId="77777777" w:rsidR="008B33D6" w:rsidRDefault="008B33D6" w:rsidP="008B33D6">
      <w:pPr>
        <w:pStyle w:val="ac"/>
        <w:spacing w:after="0" w:line="240" w:lineRule="auto"/>
        <w:rPr>
          <w:rFonts w:ascii="David" w:hAnsi="David" w:cs="David"/>
          <w:sz w:val="24"/>
          <w:szCs w:val="24"/>
        </w:rPr>
      </w:pPr>
    </w:p>
    <w:p w14:paraId="083B2845" w14:textId="77777777" w:rsidR="008B33D6" w:rsidRDefault="008B33D6" w:rsidP="008B33D6">
      <w:pPr>
        <w:pStyle w:val="ac"/>
        <w:numPr>
          <w:ilvl w:val="0"/>
          <w:numId w:val="1"/>
        </w:numPr>
        <w:spacing w:after="0" w:line="360" w:lineRule="auto"/>
        <w:ind w:left="360"/>
        <w:jc w:val="both"/>
        <w:rPr>
          <w:rFonts w:ascii="David" w:hAnsi="David" w:cs="David"/>
          <w:sz w:val="24"/>
          <w:szCs w:val="24"/>
          <w:rtl/>
        </w:rPr>
      </w:pPr>
      <w:r>
        <w:rPr>
          <w:rFonts w:ascii="David" w:hAnsi="David" w:cs="David"/>
          <w:sz w:val="24"/>
          <w:szCs w:val="24"/>
          <w:rtl/>
        </w:rPr>
        <w:t>נאשם 1 הביע צער וחרטה על ביצוע העבירות, לקח אחריות על המעשים והוא מודע לחומרתם. כמו כן הסביר שהמקרה חריג לאורחות חייו, והוא הפיק את לקחיו. הרקע לביצוע העבירה, לדברי נאשם 1 הייתה בקשתו של דודו נאשם 2 להעביר את התיק עם כלי הנשקים, והוא נקרע בין הבנתו כי מדובר בעבירה ומעשה פסול לבין ההשלכות לסירוב לבקשת דודו, בשים לב לקשר קרוב שהיה ביניהם ובהיות דודו מבוגר ממנו. נאשם 1 טען כי הוא פעל מתוך חרדה, ועל מנת שלא להיכנס עם התיק לבית הוריו הכניסו לרכב של אמו.</w:t>
      </w:r>
    </w:p>
    <w:p w14:paraId="6084A6B2" w14:textId="77777777" w:rsidR="008B33D6" w:rsidRDefault="008B33D6" w:rsidP="008B33D6">
      <w:pPr>
        <w:pStyle w:val="ac"/>
        <w:spacing w:after="0" w:line="240" w:lineRule="auto"/>
        <w:rPr>
          <w:rFonts w:ascii="David" w:hAnsi="David" w:cs="David"/>
          <w:sz w:val="24"/>
          <w:szCs w:val="24"/>
        </w:rPr>
      </w:pPr>
    </w:p>
    <w:p w14:paraId="5BFBED61" w14:textId="77777777" w:rsidR="008B33D6" w:rsidRDefault="008B33D6" w:rsidP="008B33D6">
      <w:pPr>
        <w:pStyle w:val="ac"/>
        <w:numPr>
          <w:ilvl w:val="0"/>
          <w:numId w:val="1"/>
        </w:numPr>
        <w:spacing w:after="0" w:line="360" w:lineRule="auto"/>
        <w:ind w:left="360"/>
        <w:jc w:val="both"/>
        <w:rPr>
          <w:rFonts w:ascii="David" w:hAnsi="David" w:cs="David"/>
          <w:sz w:val="24"/>
          <w:szCs w:val="24"/>
          <w:rtl/>
        </w:rPr>
      </w:pPr>
      <w:r>
        <w:rPr>
          <w:rFonts w:ascii="David" w:hAnsi="David" w:cs="David"/>
          <w:sz w:val="24"/>
          <w:szCs w:val="24"/>
          <w:rtl/>
        </w:rPr>
        <w:t xml:space="preserve">באבחון שערך שירות המבחן לנאשם 1 הוא הוערך כחסר כלים להתמודדות עם מצבי דחק, ובעל נטייה לריצוי חברתי. שירות המבחן התרשם כי נאשם 1 גדל במשפחה נורמטיבית, הוא צעיר העושה מאמצים לקדם את עצמו, הוא נעדר הרשעות קודמות ונכון להליך טיפולי במסגרת השירות ובכלל, ולפיכך הומלץ להשית עליו צו מבחן לשנה לשם שילובו בטיפול בתחום האלימות, במקביל לטיפוליו בתחום בריאות הנפש במרכז "לין", ומאסר מותנה לתקופה משמעותית. </w:t>
      </w:r>
    </w:p>
    <w:p w14:paraId="6ACE7F99" w14:textId="77777777" w:rsidR="008B33D6" w:rsidRDefault="008B33D6" w:rsidP="008B33D6">
      <w:pPr>
        <w:pStyle w:val="ac"/>
        <w:spacing w:after="0" w:line="240" w:lineRule="auto"/>
        <w:rPr>
          <w:rFonts w:ascii="David" w:hAnsi="David" w:cs="David"/>
          <w:sz w:val="24"/>
          <w:szCs w:val="24"/>
          <w:rtl/>
        </w:rPr>
      </w:pPr>
    </w:p>
    <w:p w14:paraId="0F01F6DD" w14:textId="77777777" w:rsidR="008B33D6" w:rsidRDefault="008B33D6" w:rsidP="008B33D6">
      <w:pPr>
        <w:pStyle w:val="ac"/>
        <w:spacing w:after="0" w:line="240" w:lineRule="auto"/>
        <w:rPr>
          <w:rFonts w:ascii="David" w:hAnsi="David" w:cs="David"/>
          <w:sz w:val="24"/>
          <w:szCs w:val="24"/>
          <w:rtl/>
        </w:rPr>
      </w:pPr>
    </w:p>
    <w:p w14:paraId="59682D83" w14:textId="77777777" w:rsidR="008B33D6" w:rsidRDefault="008B33D6" w:rsidP="008B33D6">
      <w:pPr>
        <w:pStyle w:val="ac"/>
        <w:spacing w:after="0" w:line="240" w:lineRule="auto"/>
        <w:ind w:left="360"/>
        <w:jc w:val="both"/>
        <w:rPr>
          <w:rFonts w:ascii="David" w:hAnsi="David" w:cs="David"/>
          <w:sz w:val="24"/>
          <w:szCs w:val="24"/>
        </w:rPr>
      </w:pPr>
    </w:p>
    <w:p w14:paraId="0CA6E165" w14:textId="77777777" w:rsidR="008B33D6" w:rsidRDefault="008B33D6" w:rsidP="008B33D6">
      <w:pPr>
        <w:pStyle w:val="ac"/>
        <w:numPr>
          <w:ilvl w:val="0"/>
          <w:numId w:val="1"/>
        </w:numPr>
        <w:spacing w:after="0" w:line="360" w:lineRule="auto"/>
        <w:ind w:left="360"/>
        <w:jc w:val="both"/>
        <w:rPr>
          <w:rFonts w:ascii="David" w:hAnsi="David" w:cs="David"/>
          <w:sz w:val="24"/>
          <w:szCs w:val="24"/>
          <w:rtl/>
        </w:rPr>
      </w:pPr>
      <w:r>
        <w:rPr>
          <w:rFonts w:ascii="David" w:hAnsi="David" w:cs="David"/>
          <w:sz w:val="24"/>
          <w:szCs w:val="24"/>
          <w:rtl/>
        </w:rPr>
        <w:t xml:space="preserve">בתסקירים מיום 2.12.2023 ו-22.1.2024 תיאר שירות המבחן את השתתפותו של הנאשם בקבוצה טיפולית לצעירים בתחום האלימות, העוסקת בתכנים המסייעים לעבד אירועי אלימות שביצעו, תוך זיהוי מצבי דחק וסיכון להתנהגות אלימה ואימפולסיבית ורכישת כלים להפסקתם. שירות המבחן התרשם כי נאשם 1 נתרם מהטיפול ועושה מאמצים לשמור על אורח חיים נורמטיבי, כי הוא בעל מוטיבציה לשיתוף פעולה, ולחזק את קשריו עם משפחתו. כמו כן ביום 21.11.2023 החל הנאשם להשתלב בקבוצה נוספת בתחום האלימות, אך שירות המבחן ציין כי הוא זקוק לבחינה מעמיקה יותר להתנהלותו עוברת החוק. </w:t>
      </w:r>
    </w:p>
    <w:p w14:paraId="79219B42" w14:textId="77777777" w:rsidR="008B33D6" w:rsidRDefault="008B33D6" w:rsidP="008B33D6">
      <w:pPr>
        <w:pStyle w:val="ac"/>
        <w:spacing w:after="0" w:line="240" w:lineRule="auto"/>
        <w:ind w:left="360"/>
        <w:jc w:val="both"/>
        <w:rPr>
          <w:rFonts w:ascii="David" w:hAnsi="David" w:cs="David"/>
          <w:sz w:val="24"/>
          <w:szCs w:val="24"/>
        </w:rPr>
      </w:pPr>
    </w:p>
    <w:p w14:paraId="194E1C54" w14:textId="77777777" w:rsidR="008B33D6" w:rsidRDefault="008B33D6" w:rsidP="008B33D6">
      <w:pPr>
        <w:pStyle w:val="ac"/>
        <w:numPr>
          <w:ilvl w:val="0"/>
          <w:numId w:val="1"/>
        </w:numPr>
        <w:spacing w:after="0" w:line="360" w:lineRule="auto"/>
        <w:ind w:left="360"/>
        <w:jc w:val="both"/>
        <w:rPr>
          <w:rFonts w:ascii="David" w:hAnsi="David" w:cs="David"/>
          <w:sz w:val="24"/>
          <w:szCs w:val="24"/>
        </w:rPr>
      </w:pPr>
      <w:r>
        <w:rPr>
          <w:rFonts w:ascii="David" w:hAnsi="David" w:cs="David"/>
          <w:sz w:val="24"/>
          <w:szCs w:val="24"/>
          <w:rtl/>
        </w:rPr>
        <w:t xml:space="preserve">בתסקיר האחרון מיום 5.5.2024 הביא שירות המבחן הסבר מפי נאשם 1 מדוע הוא לא התייצב לדיון ביום 21.3.2024, וזאת עקב הידרדרות במצבו הנפשי שהובילה לאשפוזו בבית החולים, בשל החשש מהעונש הצפוי לו. עוד נמסר כי נאשם 1 הגביר את השתתפותו בקבוצה הטיפולית, הוא משתתף פעיל בקבוצה, נוטל אחריות מלאה על מעשיו, מצליח לבחון את התנהלותו ובחירותיו באופן ביקורתי, מקבל כלים להתמודדות ובולטת מוטיבציה לנהל אורח חיים תקין, כשהוא מתמקד בעבודתו ובתחום הספורט. המפגשים הקבוצתיים הסתיימו ועם זאת שירות המבחן חיווה את דעתו כי נאשם 1 זקוק להמשך טיפול מעקבי, במיוחד בתחום בריאות הנפש, וחזר על המלצתו להעמידו בצו מבחן למשך שנה ומאסר מותנה לתקופה משמעותית. </w:t>
      </w:r>
    </w:p>
    <w:p w14:paraId="64A184FA" w14:textId="77777777" w:rsidR="008B33D6" w:rsidRDefault="008B33D6" w:rsidP="008B33D6">
      <w:pPr>
        <w:pStyle w:val="ac"/>
        <w:spacing w:after="0" w:line="480" w:lineRule="auto"/>
        <w:rPr>
          <w:rFonts w:ascii="David" w:hAnsi="David" w:cs="David"/>
          <w:sz w:val="24"/>
          <w:szCs w:val="24"/>
        </w:rPr>
      </w:pPr>
    </w:p>
    <w:p w14:paraId="23774915" w14:textId="77777777" w:rsidR="008B33D6" w:rsidRDefault="008B33D6" w:rsidP="008B33D6">
      <w:pPr>
        <w:spacing w:line="480" w:lineRule="auto"/>
        <w:jc w:val="both"/>
        <w:rPr>
          <w:rFonts w:ascii="David" w:hAnsi="David"/>
          <w:b/>
          <w:bCs/>
          <w:rtl/>
        </w:rPr>
      </w:pPr>
      <w:r>
        <w:rPr>
          <w:rFonts w:ascii="David" w:hAnsi="David"/>
          <w:b/>
          <w:bCs/>
          <w:u w:val="single"/>
          <w:rtl/>
        </w:rPr>
        <w:t>תמצית טיעוני באי כוח הצדדים לעונש</w:t>
      </w:r>
    </w:p>
    <w:p w14:paraId="323B7170" w14:textId="77777777" w:rsidR="008B33D6" w:rsidRDefault="008B33D6" w:rsidP="008B33D6">
      <w:pPr>
        <w:pStyle w:val="ac"/>
        <w:numPr>
          <w:ilvl w:val="0"/>
          <w:numId w:val="1"/>
        </w:numPr>
        <w:spacing w:after="0" w:line="360" w:lineRule="auto"/>
        <w:ind w:left="360"/>
        <w:jc w:val="both"/>
        <w:rPr>
          <w:rFonts w:ascii="David" w:hAnsi="David" w:cs="David"/>
          <w:sz w:val="24"/>
          <w:szCs w:val="24"/>
          <w:rtl/>
        </w:rPr>
      </w:pPr>
      <w:r>
        <w:rPr>
          <w:rFonts w:ascii="David" w:hAnsi="David" w:cs="David"/>
          <w:sz w:val="24"/>
          <w:szCs w:val="24"/>
          <w:rtl/>
        </w:rPr>
        <w:t>ב"כ המאשימה עו"ד שחר לדובסקי עמד על עובדות כתב האישום המתוקן, הפנה לערכים המוגנים ולפסיקה וטען כי מתחם העונש ההולם נע בין 36 ל-60 חודשי מאסר בפועל. עוד נטען כי תסקירי שירות המבחן לא מצדיקים חריגה ממתחם העונש ההולם משנאשם 1 השליך אחריות על נאשם 2, הפסיק על דעת עצמו את טיפולו הנפשי, ועבר טיפול קבוצתי יחיד. עם זאת, לאור הודאתו במיוחס לו בעובדות כתב האישום המתוקן, היותו נעדר עבר פלילי ואופיו החיובי של תסקירי שירות המבחן עתר ב"כ המאשימה להשית על הנאשם עונש בתחתית מתחם הענישה ולגזור עליו 36 חודשי מאסר בפועל, מאסר על תנאי וקנס.</w:t>
      </w:r>
    </w:p>
    <w:p w14:paraId="2D7BA21E" w14:textId="77777777" w:rsidR="008B33D6" w:rsidRDefault="008B33D6" w:rsidP="008B33D6">
      <w:pPr>
        <w:pStyle w:val="ac"/>
        <w:spacing w:after="0" w:line="240" w:lineRule="auto"/>
        <w:ind w:left="360"/>
        <w:jc w:val="both"/>
        <w:rPr>
          <w:rFonts w:ascii="David" w:hAnsi="David" w:cs="David"/>
          <w:sz w:val="24"/>
          <w:szCs w:val="24"/>
        </w:rPr>
      </w:pPr>
    </w:p>
    <w:p w14:paraId="7B0716DC" w14:textId="77777777" w:rsidR="008B33D6" w:rsidRDefault="008B33D6" w:rsidP="008B33D6">
      <w:pPr>
        <w:pStyle w:val="ac"/>
        <w:numPr>
          <w:ilvl w:val="0"/>
          <w:numId w:val="1"/>
        </w:numPr>
        <w:spacing w:after="0" w:line="360" w:lineRule="auto"/>
        <w:ind w:left="360"/>
        <w:jc w:val="both"/>
        <w:rPr>
          <w:rFonts w:ascii="David" w:hAnsi="David" w:cs="David"/>
          <w:sz w:val="24"/>
          <w:szCs w:val="24"/>
        </w:rPr>
      </w:pPr>
      <w:r>
        <w:rPr>
          <w:rFonts w:ascii="David" w:hAnsi="David" w:cs="David"/>
          <w:sz w:val="24"/>
          <w:szCs w:val="24"/>
          <w:rtl/>
        </w:rPr>
        <w:t>ב"כ הנאשם עו"ד אחמד עיראקי הפנה לגילו הצעיר של הנאשם 1, בהיותו כבן 20 בעת ביצוע העבירות, להודאתו במיוחס לו בהתאם לתמונה הראייתית שהתבררה במהלך שמיעת ההוכחות ולכך שהוא החזיק את כלי הנשק לזמן קצר ביותר, בין הבית של נאשם 2 להכנסתם לרכב.</w:t>
      </w:r>
      <w:r>
        <w:rPr>
          <w:rFonts w:ascii="David" w:hAnsi="David" w:cs="David"/>
          <w:sz w:val="24"/>
          <w:szCs w:val="24"/>
        </w:rPr>
        <w:t xml:space="preserve"> </w:t>
      </w:r>
      <w:r w:rsidRPr="00784F52">
        <w:rPr>
          <w:rFonts w:ascii="David" w:hAnsi="David" w:cs="David"/>
          <w:sz w:val="24"/>
          <w:szCs w:val="24"/>
          <w:rtl/>
        </w:rPr>
        <w:t xml:space="preserve">עוד נטען כי מצבו של נאשם 1 ומשפחתו הידרדר רבות מבחינה כלכלית בשל החרמת הרכב, והיות שקיים מתח בין משפחת נאשם 1 לבין נאשם 2. </w:t>
      </w:r>
    </w:p>
    <w:p w14:paraId="5A04FE71" w14:textId="77777777" w:rsidR="008B33D6" w:rsidRDefault="008B33D6" w:rsidP="008B33D6">
      <w:pPr>
        <w:pStyle w:val="ac"/>
        <w:spacing w:after="0" w:line="360" w:lineRule="auto"/>
        <w:ind w:left="360"/>
        <w:jc w:val="both"/>
        <w:rPr>
          <w:rFonts w:ascii="David" w:hAnsi="David" w:cs="David"/>
          <w:sz w:val="24"/>
          <w:szCs w:val="24"/>
          <w:rtl/>
        </w:rPr>
      </w:pPr>
    </w:p>
    <w:p w14:paraId="0CA20D18" w14:textId="77777777" w:rsidR="008B33D6" w:rsidRDefault="008B33D6" w:rsidP="008B33D6">
      <w:pPr>
        <w:pStyle w:val="ac"/>
        <w:spacing w:after="0" w:line="360" w:lineRule="auto"/>
        <w:ind w:left="360"/>
        <w:jc w:val="both"/>
        <w:rPr>
          <w:rFonts w:ascii="David" w:hAnsi="David" w:cs="David"/>
          <w:sz w:val="24"/>
          <w:szCs w:val="24"/>
          <w:rtl/>
        </w:rPr>
      </w:pPr>
    </w:p>
    <w:p w14:paraId="3FDD159B" w14:textId="77777777" w:rsidR="008B33D6" w:rsidRDefault="008B33D6" w:rsidP="008B33D6">
      <w:pPr>
        <w:pStyle w:val="ac"/>
        <w:spacing w:after="0" w:line="360" w:lineRule="auto"/>
        <w:ind w:left="360"/>
        <w:jc w:val="both"/>
        <w:rPr>
          <w:rFonts w:ascii="David" w:hAnsi="David" w:cs="David"/>
          <w:sz w:val="24"/>
          <w:szCs w:val="24"/>
        </w:rPr>
      </w:pPr>
    </w:p>
    <w:p w14:paraId="1F92A484" w14:textId="77777777" w:rsidR="008B33D6" w:rsidRPr="00784F52" w:rsidRDefault="008B33D6" w:rsidP="008B33D6">
      <w:pPr>
        <w:pStyle w:val="ac"/>
        <w:numPr>
          <w:ilvl w:val="0"/>
          <w:numId w:val="1"/>
        </w:numPr>
        <w:spacing w:after="0" w:line="360" w:lineRule="auto"/>
        <w:ind w:left="360"/>
        <w:jc w:val="both"/>
        <w:rPr>
          <w:rFonts w:ascii="David" w:hAnsi="David" w:cs="David"/>
          <w:sz w:val="24"/>
          <w:szCs w:val="24"/>
        </w:rPr>
      </w:pPr>
      <w:r w:rsidRPr="00784F52">
        <w:rPr>
          <w:rFonts w:ascii="David" w:hAnsi="David" w:cs="David"/>
          <w:sz w:val="24"/>
          <w:szCs w:val="24"/>
          <w:rtl/>
        </w:rPr>
        <w:t>כמו כן טען הסנגור כי עתידו של נאשם 1 נפגע, משנאלץ להפסיק את לימודיו בשל המקרה. נאשם 1 חווה פגיעה קשה מבחינת בריאותו הנפשית, ובהקשר זה הפנה ב"כ נאשם 1 לפרוטוקול מהליך מעצר הימים (טל/2) ומכתב ממרכז "לין",</w:t>
      </w:r>
      <w:r>
        <w:rPr>
          <w:rFonts w:ascii="David" w:hAnsi="David" w:cs="David" w:hint="cs"/>
          <w:sz w:val="24"/>
          <w:szCs w:val="24"/>
          <w:rtl/>
        </w:rPr>
        <w:t xml:space="preserve"> </w:t>
      </w:r>
      <w:r w:rsidRPr="00784F52">
        <w:rPr>
          <w:rFonts w:ascii="David" w:hAnsi="David" w:cs="David"/>
          <w:sz w:val="24"/>
          <w:szCs w:val="24"/>
          <w:rtl/>
        </w:rPr>
        <w:t>מטופל נאשם 1 (טל/3). הוסיף וטען כי מאז ביצוע העבירה חלפו 4 שנים ולא נפתחו נגד הנאשם תיקים, וכי הוא עובד מוערך בחברת אופנה (טל/4).</w:t>
      </w:r>
    </w:p>
    <w:p w14:paraId="57BE2130" w14:textId="77777777" w:rsidR="008B33D6" w:rsidRDefault="008B33D6" w:rsidP="008B33D6">
      <w:pPr>
        <w:pStyle w:val="ac"/>
        <w:spacing w:after="0" w:line="240" w:lineRule="auto"/>
        <w:ind w:left="360"/>
        <w:jc w:val="both"/>
        <w:rPr>
          <w:rFonts w:ascii="David" w:hAnsi="David" w:cs="David"/>
          <w:sz w:val="24"/>
          <w:szCs w:val="24"/>
        </w:rPr>
      </w:pPr>
    </w:p>
    <w:p w14:paraId="340C01FC" w14:textId="77777777" w:rsidR="008B33D6" w:rsidRDefault="008B33D6" w:rsidP="008B33D6">
      <w:pPr>
        <w:pStyle w:val="ac"/>
        <w:numPr>
          <w:ilvl w:val="0"/>
          <w:numId w:val="1"/>
        </w:numPr>
        <w:spacing w:after="0" w:line="360" w:lineRule="auto"/>
        <w:ind w:left="360"/>
        <w:jc w:val="both"/>
        <w:rPr>
          <w:rFonts w:ascii="David" w:hAnsi="David" w:cs="David"/>
          <w:sz w:val="24"/>
          <w:szCs w:val="24"/>
        </w:rPr>
      </w:pPr>
      <w:r>
        <w:rPr>
          <w:rFonts w:ascii="David" w:hAnsi="David" w:cs="David"/>
          <w:sz w:val="24"/>
          <w:szCs w:val="24"/>
          <w:rtl/>
        </w:rPr>
        <w:t>ההגנה טענה כי המלצת שירות המבחן מנומקת ומבוססת על מספר תסקירים מפורטים המלמדים על אופיו של נאשם 1, שיתוף הפעולה שלו עם הטיפול, העובדה שהיווה גורם חיובי בקבוצה הטיפולית, והיותו נורמטיבי בעוד העבירות בהן הורשע חריגות לאורחות חייו ומשפחתו. ב"כ הנאשם 1 הגיש פסיקה וביקש לחרוג ממתחם העונש ההולם ולהשית על הנאשם מאסר בעבודות שירות למשך 9 חודשים.</w:t>
      </w:r>
    </w:p>
    <w:p w14:paraId="4BB4E854" w14:textId="77777777" w:rsidR="008B33D6" w:rsidRDefault="008B33D6" w:rsidP="008B33D6">
      <w:pPr>
        <w:pStyle w:val="ac"/>
        <w:spacing w:after="0" w:line="240" w:lineRule="auto"/>
        <w:ind w:left="360"/>
        <w:jc w:val="both"/>
        <w:rPr>
          <w:rFonts w:ascii="David" w:hAnsi="David" w:cs="David"/>
          <w:sz w:val="24"/>
          <w:szCs w:val="24"/>
        </w:rPr>
      </w:pPr>
    </w:p>
    <w:p w14:paraId="7641B8CD" w14:textId="77777777" w:rsidR="008B33D6" w:rsidRDefault="008B33D6" w:rsidP="008B33D6">
      <w:pPr>
        <w:pStyle w:val="ac"/>
        <w:numPr>
          <w:ilvl w:val="0"/>
          <w:numId w:val="1"/>
        </w:numPr>
        <w:spacing w:after="0" w:line="360" w:lineRule="auto"/>
        <w:ind w:left="360"/>
        <w:jc w:val="both"/>
        <w:rPr>
          <w:rFonts w:ascii="David" w:hAnsi="David" w:cs="David"/>
          <w:sz w:val="24"/>
          <w:szCs w:val="24"/>
        </w:rPr>
      </w:pPr>
      <w:r>
        <w:rPr>
          <w:rFonts w:ascii="David" w:hAnsi="David" w:cs="David"/>
          <w:sz w:val="24"/>
          <w:szCs w:val="24"/>
          <w:rtl/>
        </w:rPr>
        <w:t xml:space="preserve">בדברו לעונש התנצל נאשם 1 בפני משפחתו, ואמר שהוא מודע לכך שבמעשיו הוא גרם נזק גדול מאוד לעצמו, החלטותיו היו גרועות וחמורות, וכי הוא פגע במשפחתו כלכלית ונפשית וביכולתו להמשיך בלימודים. עוד אמר כי מאז ביצוע העבירה הוא עבר טיפול בשירות מבחן ובמרכז "לין", וסיפר שהוא מתעורר בחשש מפני חזרה לכלא וכי הוא לא יוכל להמשיך לחיות את חייו ולהגשים את חלומותיו, וחזר והתנצל בפני משפחתו שליוותה אותו לדיון. </w:t>
      </w:r>
    </w:p>
    <w:p w14:paraId="525B8BF4" w14:textId="77777777" w:rsidR="008B33D6" w:rsidRDefault="008B33D6" w:rsidP="008B33D6">
      <w:pPr>
        <w:spacing w:line="480" w:lineRule="auto"/>
        <w:contextualSpacing/>
        <w:jc w:val="both"/>
        <w:rPr>
          <w:rFonts w:ascii="David" w:hAnsi="David"/>
          <w:b/>
          <w:bCs/>
          <w:u w:val="single"/>
        </w:rPr>
      </w:pPr>
    </w:p>
    <w:p w14:paraId="1D14F6AB" w14:textId="77777777" w:rsidR="008B33D6" w:rsidRDefault="008B33D6" w:rsidP="008B33D6">
      <w:pPr>
        <w:spacing w:line="360" w:lineRule="auto"/>
        <w:contextualSpacing/>
        <w:jc w:val="both"/>
        <w:rPr>
          <w:rFonts w:ascii="David" w:hAnsi="David"/>
          <w:b/>
          <w:bCs/>
          <w:u w:val="single"/>
          <w:rtl/>
        </w:rPr>
      </w:pPr>
      <w:r>
        <w:rPr>
          <w:rFonts w:ascii="David" w:hAnsi="David"/>
          <w:b/>
          <w:bCs/>
          <w:u w:val="single"/>
          <w:rtl/>
        </w:rPr>
        <w:t xml:space="preserve">דיון והכרעה </w:t>
      </w:r>
    </w:p>
    <w:p w14:paraId="4847CE98" w14:textId="77777777" w:rsidR="008B33D6" w:rsidRDefault="008B33D6" w:rsidP="008B33D6">
      <w:pPr>
        <w:spacing w:line="480" w:lineRule="auto"/>
        <w:contextualSpacing/>
        <w:jc w:val="both"/>
        <w:rPr>
          <w:rFonts w:ascii="David" w:hAnsi="David"/>
          <w:u w:val="single"/>
        </w:rPr>
      </w:pPr>
      <w:r>
        <w:rPr>
          <w:rFonts w:ascii="David" w:hAnsi="David"/>
          <w:u w:val="single"/>
          <w:rtl/>
        </w:rPr>
        <w:t>קביעת מתחם העונש ההולם</w:t>
      </w:r>
    </w:p>
    <w:p w14:paraId="05CD7A35" w14:textId="77777777" w:rsidR="008B33D6" w:rsidRPr="008B33D6" w:rsidRDefault="008B33D6" w:rsidP="008B33D6">
      <w:pPr>
        <w:pStyle w:val="ac"/>
        <w:numPr>
          <w:ilvl w:val="0"/>
          <w:numId w:val="1"/>
        </w:numPr>
        <w:spacing w:after="0" w:line="360" w:lineRule="auto"/>
        <w:ind w:left="360"/>
        <w:jc w:val="both"/>
        <w:rPr>
          <w:rFonts w:ascii="David" w:hAnsi="David" w:cs="David"/>
          <w:sz w:val="24"/>
          <w:szCs w:val="24"/>
          <w:rtl/>
        </w:rPr>
      </w:pPr>
      <w:r>
        <w:rPr>
          <w:rFonts w:ascii="David" w:hAnsi="David" w:cs="David"/>
          <w:sz w:val="24"/>
          <w:szCs w:val="24"/>
          <w:rtl/>
        </w:rPr>
        <w:t>עבירות הנשק פוגעות במכלול ערכים חברתיים שמהותם היא שמירה על חיי אדם, שלמות הגוף והנפש, לצד הסדר הציבורי. למרבה הצער, מעשי אלימות הכרוכים בשימוש בנשק מתרחשים באופן תדיר, והם מובילים לא פעם לאובדן חיי אדם ופציעות קשות, לפגיעה בתחושת הביטחון האישית של הפרט והציבור הרחב. עבירות נשק נחשבות מזה שנים כ"מכת מדינה", בלתי נסבלת ומעוררת דאגה. בשורה ארוכה של פסקי דין, חדשות לבקרים, קיימת התייחסות לחומרת העבירות ולחובה החלה על בית המשפט להשית ענישה מכבידה. כך למשל ב</w:t>
      </w:r>
      <w:hyperlink r:id="rId13" w:history="1">
        <w:r w:rsidR="0051365E" w:rsidRPr="0051365E">
          <w:rPr>
            <w:rFonts w:ascii="David" w:hAnsi="David" w:cs="David"/>
            <w:color w:val="0000FF"/>
            <w:sz w:val="24"/>
            <w:szCs w:val="24"/>
            <w:u w:val="single"/>
            <w:rtl/>
          </w:rPr>
          <w:t>ע"פ 4439/19</w:t>
        </w:r>
      </w:hyperlink>
      <w:r>
        <w:rPr>
          <w:rFonts w:ascii="David" w:hAnsi="David" w:cs="David"/>
          <w:sz w:val="24"/>
          <w:szCs w:val="24"/>
          <w:rtl/>
        </w:rPr>
        <w:t xml:space="preserve"> </w:t>
      </w:r>
      <w:r>
        <w:rPr>
          <w:rFonts w:ascii="David" w:hAnsi="David" w:cs="David"/>
          <w:b/>
          <w:bCs/>
          <w:sz w:val="24"/>
          <w:szCs w:val="24"/>
          <w:rtl/>
        </w:rPr>
        <w:t>מדינת ישראל נ' סובח ואח'</w:t>
      </w:r>
      <w:r>
        <w:rPr>
          <w:rFonts w:ascii="David" w:hAnsi="David" w:cs="David"/>
          <w:sz w:val="24"/>
          <w:szCs w:val="24"/>
          <w:rtl/>
        </w:rPr>
        <w:t xml:space="preserve"> (5.11.2019), כדלקמן:</w:t>
      </w:r>
    </w:p>
    <w:p w14:paraId="36D606B1" w14:textId="77777777" w:rsidR="008B33D6" w:rsidRDefault="008B33D6" w:rsidP="008B33D6">
      <w:pPr>
        <w:pStyle w:val="ac"/>
        <w:spacing w:after="0" w:line="240" w:lineRule="auto"/>
        <w:ind w:left="360"/>
        <w:jc w:val="both"/>
        <w:rPr>
          <w:rFonts w:ascii="David" w:hAnsi="David" w:cs="David"/>
          <w:sz w:val="24"/>
          <w:szCs w:val="24"/>
        </w:rPr>
      </w:pPr>
    </w:p>
    <w:p w14:paraId="4BCB7A0F" w14:textId="77777777" w:rsidR="008B33D6" w:rsidRDefault="008B33D6" w:rsidP="008B33D6">
      <w:pPr>
        <w:pStyle w:val="ac"/>
        <w:spacing w:after="0" w:line="360" w:lineRule="auto"/>
        <w:ind w:left="1020" w:right="737"/>
        <w:jc w:val="both"/>
        <w:rPr>
          <w:rFonts w:ascii="David" w:hAnsi="David" w:cs="David"/>
          <w:b/>
          <w:bCs/>
          <w:spacing w:val="10"/>
          <w:sz w:val="24"/>
          <w:szCs w:val="24"/>
        </w:rPr>
      </w:pPr>
      <w:r>
        <w:rPr>
          <w:rFonts w:ascii="David" w:hAnsi="David" w:cs="David"/>
          <w:b/>
          <w:bCs/>
          <w:spacing w:val="10"/>
          <w:sz w:val="24"/>
          <w:szCs w:val="24"/>
          <w:rtl/>
        </w:rPr>
        <w:t>"</w:t>
      </w:r>
      <w:r>
        <w:rPr>
          <w:rFonts w:ascii="David" w:hAnsi="David" w:cs="David"/>
          <w:b/>
          <w:bCs/>
          <w:sz w:val="24"/>
          <w:szCs w:val="24"/>
          <w:rtl/>
        </w:rPr>
        <w:t>התופעה של החזקת נשק שלא כדין על ידי אזרחים מהווה איום על שלום הציבור ועל הסדר הציבורי. היא התשתית ו"הגורם בלעדו איין" (</w:t>
      </w:r>
      <w:r>
        <w:rPr>
          <w:rFonts w:ascii="David" w:hAnsi="David" w:cs="David"/>
          <w:b/>
          <w:bCs/>
          <w:sz w:val="24"/>
          <w:szCs w:val="24"/>
        </w:rPr>
        <w:t>causa sine qua non</w:t>
      </w:r>
      <w:r>
        <w:rPr>
          <w:rFonts w:ascii="David" w:hAnsi="David" w:cs="David"/>
          <w:b/>
          <w:bCs/>
          <w:sz w:val="24"/>
          <w:szCs w:val="24"/>
          <w:rtl/>
        </w:rPr>
        <w:t>) למגוון רחב של עבירות, החל בעבירות איומים ושוד מזוין, המשך בעבירות גרימת חבלה חמורה וכלה בעבירות המתה. [...] 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w:t>
      </w:r>
    </w:p>
    <w:p w14:paraId="58166F68" w14:textId="77777777" w:rsidR="008B33D6" w:rsidRDefault="008B33D6" w:rsidP="008B33D6">
      <w:pPr>
        <w:ind w:right="737"/>
        <w:jc w:val="both"/>
        <w:rPr>
          <w:rFonts w:ascii="David" w:hAnsi="David"/>
          <w:b/>
          <w:bCs/>
          <w:spacing w:val="10"/>
          <w:rtl/>
        </w:rPr>
      </w:pPr>
    </w:p>
    <w:p w14:paraId="6FBCE070" w14:textId="77777777" w:rsidR="008B33D6" w:rsidRDefault="008B33D6" w:rsidP="008B33D6">
      <w:pPr>
        <w:pStyle w:val="ac"/>
        <w:numPr>
          <w:ilvl w:val="0"/>
          <w:numId w:val="1"/>
        </w:numPr>
        <w:spacing w:after="0" w:line="360" w:lineRule="auto"/>
        <w:ind w:left="360"/>
        <w:jc w:val="both"/>
        <w:rPr>
          <w:rFonts w:ascii="David" w:hAnsi="David" w:cs="David"/>
          <w:sz w:val="24"/>
          <w:szCs w:val="24"/>
          <w:rtl/>
        </w:rPr>
      </w:pPr>
      <w:r>
        <w:rPr>
          <w:rFonts w:ascii="David" w:hAnsi="David" w:cs="David"/>
          <w:sz w:val="24"/>
          <w:szCs w:val="24"/>
          <w:rtl/>
        </w:rPr>
        <w:t xml:space="preserve">בשל פוטנציאל הסיכון הגבוה הכרוך בעבירות נשק קבע המחוקק, </w:t>
      </w:r>
      <w:hyperlink r:id="rId14" w:history="1">
        <w:r w:rsidR="000F19DD" w:rsidRPr="000F19DD">
          <w:rPr>
            <w:rStyle w:val="Hyperlink"/>
            <w:rFonts w:ascii="David" w:hAnsi="David" w:cs="David"/>
            <w:color w:val="0000FF"/>
            <w:sz w:val="24"/>
            <w:szCs w:val="24"/>
            <w:rtl/>
          </w:rPr>
          <w:t>בסעיף 144(א)</w:t>
        </w:r>
      </w:hyperlink>
      <w:r>
        <w:rPr>
          <w:rFonts w:ascii="David" w:hAnsi="David" w:cs="David"/>
          <w:sz w:val="24"/>
          <w:szCs w:val="24"/>
          <w:rtl/>
        </w:rPr>
        <w:t xml:space="preserve"> רישה ל</w:t>
      </w:r>
      <w:hyperlink r:id="rId15" w:history="1">
        <w:r w:rsidR="0051365E" w:rsidRPr="0051365E">
          <w:rPr>
            <w:rFonts w:ascii="David" w:hAnsi="David" w:cs="David"/>
            <w:color w:val="0000FF"/>
            <w:sz w:val="24"/>
            <w:szCs w:val="24"/>
            <w:u w:val="single"/>
            <w:rtl/>
          </w:rPr>
          <w:t>חוק העונשין</w:t>
        </w:r>
      </w:hyperlink>
      <w:r>
        <w:rPr>
          <w:rFonts w:ascii="David" w:hAnsi="David" w:cs="David"/>
          <w:sz w:val="24"/>
          <w:szCs w:val="24"/>
          <w:rtl/>
        </w:rPr>
        <w:t>, עונש מקסימלי בגין החזקת נשק של 7 שנות מאסר. זאת ועוד, בעטיו של הצורך האקוטי להילחם בפשיעה הגואה בשימוש נשק חם נקבעה הוראת שעה, בתיקון 140 ל</w:t>
      </w:r>
      <w:hyperlink r:id="rId16" w:history="1">
        <w:r w:rsidR="0051365E" w:rsidRPr="0051365E">
          <w:rPr>
            <w:rFonts w:ascii="David" w:hAnsi="David" w:cs="David"/>
            <w:color w:val="0000FF"/>
            <w:sz w:val="24"/>
            <w:szCs w:val="24"/>
            <w:u w:val="single"/>
            <w:rtl/>
          </w:rPr>
          <w:t>חוק העונשין</w:t>
        </w:r>
      </w:hyperlink>
      <w:r>
        <w:rPr>
          <w:rStyle w:val="ad"/>
          <w:rFonts w:ascii="David" w:hAnsi="David" w:cs="David"/>
          <w:sz w:val="24"/>
          <w:szCs w:val="24"/>
          <w:rtl/>
        </w:rPr>
        <w:footnoteReference w:id="1"/>
      </w:r>
      <w:r>
        <w:rPr>
          <w:rFonts w:ascii="David" w:hAnsi="David" w:cs="David"/>
          <w:sz w:val="24"/>
          <w:szCs w:val="24"/>
          <w:rtl/>
        </w:rPr>
        <w:t xml:space="preserve"> שנכנסה לתוקף ביום 8.12.2021, המחייבת הטלת עונש מינימום של רבע מהעונש המרבי, אלא בקיומם של טעמים מיוחדים (</w:t>
      </w:r>
      <w:hyperlink r:id="rId17" w:history="1">
        <w:r w:rsidR="0051365E" w:rsidRPr="0051365E">
          <w:rPr>
            <w:rFonts w:ascii="David" w:hAnsi="David" w:cs="David"/>
            <w:color w:val="0000FF"/>
            <w:sz w:val="24"/>
            <w:szCs w:val="24"/>
            <w:u w:val="single"/>
            <w:rtl/>
          </w:rPr>
          <w:t>ע"פ 4456/21</w:t>
        </w:r>
      </w:hyperlink>
      <w:r>
        <w:rPr>
          <w:rFonts w:ascii="David" w:hAnsi="David" w:cs="David"/>
          <w:sz w:val="24"/>
          <w:szCs w:val="24"/>
          <w:rtl/>
        </w:rPr>
        <w:t xml:space="preserve"> </w:t>
      </w:r>
      <w:r>
        <w:rPr>
          <w:rFonts w:ascii="David" w:hAnsi="David" w:cs="David"/>
          <w:b/>
          <w:bCs/>
          <w:sz w:val="24"/>
          <w:szCs w:val="24"/>
          <w:rtl/>
        </w:rPr>
        <w:t>מדינת ישראל נ' אבו עבסה</w:t>
      </w:r>
      <w:r>
        <w:rPr>
          <w:rFonts w:ascii="David" w:hAnsi="David" w:cs="David"/>
          <w:sz w:val="24"/>
          <w:szCs w:val="24"/>
          <w:rtl/>
        </w:rPr>
        <w:t xml:space="preserve"> (23.1.2022)). וכך נאמר בדברי ההסבר לתיקון 140 ל</w:t>
      </w:r>
      <w:hyperlink r:id="rId18" w:history="1">
        <w:r w:rsidR="0051365E" w:rsidRPr="0051365E">
          <w:rPr>
            <w:rFonts w:ascii="David" w:hAnsi="David" w:cs="David"/>
            <w:color w:val="0000FF"/>
            <w:sz w:val="24"/>
            <w:szCs w:val="24"/>
            <w:u w:val="single"/>
            <w:rtl/>
          </w:rPr>
          <w:t>חוק העונשין</w:t>
        </w:r>
      </w:hyperlink>
      <w:r>
        <w:rPr>
          <w:rStyle w:val="ad"/>
          <w:rFonts w:ascii="David" w:hAnsi="David" w:cs="David"/>
          <w:sz w:val="24"/>
          <w:szCs w:val="24"/>
          <w:rtl/>
        </w:rPr>
        <w:footnoteReference w:id="2"/>
      </w:r>
      <w:r>
        <w:rPr>
          <w:rFonts w:ascii="David" w:hAnsi="David" w:cs="David"/>
          <w:sz w:val="24"/>
          <w:szCs w:val="24"/>
          <w:rtl/>
        </w:rPr>
        <w:t>:</w:t>
      </w:r>
    </w:p>
    <w:p w14:paraId="3BFB2BF6" w14:textId="77777777" w:rsidR="008B33D6" w:rsidRDefault="008B33D6" w:rsidP="008B33D6">
      <w:pPr>
        <w:pStyle w:val="ac"/>
        <w:spacing w:after="0" w:line="240" w:lineRule="auto"/>
        <w:ind w:left="360"/>
        <w:jc w:val="both"/>
        <w:rPr>
          <w:rFonts w:ascii="David" w:hAnsi="David" w:cs="David"/>
          <w:sz w:val="24"/>
          <w:szCs w:val="24"/>
        </w:rPr>
      </w:pPr>
    </w:p>
    <w:p w14:paraId="2DD25F33" w14:textId="77777777" w:rsidR="008B33D6" w:rsidRDefault="008B33D6" w:rsidP="008B33D6">
      <w:pPr>
        <w:pStyle w:val="ac"/>
        <w:spacing w:after="0" w:line="360" w:lineRule="auto"/>
        <w:ind w:left="1020" w:right="737"/>
        <w:jc w:val="both"/>
        <w:rPr>
          <w:rFonts w:ascii="David" w:hAnsi="David" w:cs="David"/>
          <w:b/>
          <w:bCs/>
          <w:sz w:val="24"/>
          <w:szCs w:val="24"/>
        </w:rPr>
      </w:pPr>
      <w:r>
        <w:rPr>
          <w:rFonts w:ascii="David" w:hAnsi="David" w:cs="David"/>
          <w:b/>
          <w:bCs/>
          <w:sz w:val="24"/>
          <w:szCs w:val="24"/>
          <w:rtl/>
        </w:rPr>
        <w:t xml:space="preserve">"החזקתו של נשק בלתי חוקי הוא היום בגדר "מכת מדינה" ומהווה את אחד הגורמים העיקריים לעלייה בשיעור מקרי הרצח והאלימות. בנוסף, היקף האלימות והשימוש בנשק ובאמצעי לחימה בלתי חוקיים פוגעים בתחושת הביטחון של האזרחים. האלימות הגוברת גורמת לעליית הביקוש לנשק בלתי חוקי בקרב עבריינים. נשק זה מגיע לגורמים פליליים וארגוני פשע שמחזיקים וסוחרים בו למטרות פליליות. כמו כן, הזמינות הגבוהה של נשק בלתי חוקי, מגבירה את הסיכון שיעשה בו שימוש לצורך ביצוע עבירות פליליות ואף למטרות פיגועי טרור. לכן, מוצע לקבוע עונש מינימום בעבירה זאת על מנת להיחלם מלחמת חורמה ב"מכת מדינה" זו". </w:t>
      </w:r>
    </w:p>
    <w:p w14:paraId="7A9AF167" w14:textId="77777777" w:rsidR="008B33D6" w:rsidRDefault="008B33D6" w:rsidP="008B33D6">
      <w:pPr>
        <w:ind w:right="737"/>
        <w:jc w:val="both"/>
        <w:rPr>
          <w:rFonts w:ascii="David" w:hAnsi="David"/>
          <w:b/>
          <w:bCs/>
          <w:rtl/>
        </w:rPr>
      </w:pPr>
    </w:p>
    <w:p w14:paraId="252C005E" w14:textId="77777777" w:rsidR="008B33D6" w:rsidRDefault="008B33D6" w:rsidP="008B33D6">
      <w:pPr>
        <w:pStyle w:val="ac"/>
        <w:numPr>
          <w:ilvl w:val="0"/>
          <w:numId w:val="1"/>
        </w:numPr>
        <w:spacing w:after="0" w:line="360" w:lineRule="auto"/>
        <w:ind w:left="360"/>
        <w:jc w:val="both"/>
        <w:rPr>
          <w:rFonts w:ascii="David" w:hAnsi="David" w:cs="David"/>
          <w:sz w:val="24"/>
          <w:szCs w:val="24"/>
        </w:rPr>
      </w:pPr>
      <w:r>
        <w:rPr>
          <w:rFonts w:ascii="David" w:hAnsi="David" w:cs="David"/>
          <w:sz w:val="24"/>
          <w:szCs w:val="24"/>
          <w:rtl/>
        </w:rPr>
        <w:t>נוסף על כך, ביום 30.3.2023 נחקקה הוראת שעה נוספת, בתיקון 145 ל</w:t>
      </w:r>
      <w:hyperlink r:id="rId19" w:history="1">
        <w:r w:rsidR="0051365E" w:rsidRPr="0051365E">
          <w:rPr>
            <w:rFonts w:ascii="David" w:hAnsi="David" w:cs="David"/>
            <w:color w:val="0000FF"/>
            <w:sz w:val="24"/>
            <w:szCs w:val="24"/>
            <w:u w:val="single"/>
            <w:rtl/>
          </w:rPr>
          <w:t>חוק העונשין</w:t>
        </w:r>
      </w:hyperlink>
      <w:r>
        <w:rPr>
          <w:rFonts w:ascii="David" w:hAnsi="David" w:cs="David"/>
          <w:sz w:val="24"/>
          <w:szCs w:val="24"/>
          <w:rtl/>
        </w:rPr>
        <w:t>, בגדרה הורחבו סמכויות המשטרה במאבק בכלי הנשק הבלתי חוקיים, הוחמרה הענישה בעבירות נשק שונות ונקבעו הוראות חילוט בעבירות אלה</w:t>
      </w:r>
      <w:r>
        <w:rPr>
          <w:rStyle w:val="ad"/>
          <w:rFonts w:ascii="David" w:hAnsi="David" w:cs="David"/>
          <w:sz w:val="24"/>
          <w:szCs w:val="24"/>
          <w:rtl/>
        </w:rPr>
        <w:footnoteReference w:id="3"/>
      </w:r>
      <w:r>
        <w:rPr>
          <w:rFonts w:ascii="David" w:hAnsi="David" w:cs="David"/>
          <w:sz w:val="24"/>
          <w:szCs w:val="24"/>
          <w:rtl/>
        </w:rPr>
        <w:t xml:space="preserve">. </w:t>
      </w:r>
    </w:p>
    <w:p w14:paraId="2416EB0B" w14:textId="77777777" w:rsidR="008B33D6" w:rsidRDefault="008B33D6" w:rsidP="008B33D6">
      <w:pPr>
        <w:pStyle w:val="ac"/>
        <w:spacing w:after="0" w:line="240" w:lineRule="auto"/>
        <w:ind w:left="360"/>
        <w:jc w:val="both"/>
        <w:rPr>
          <w:rFonts w:ascii="David" w:hAnsi="David" w:cs="David"/>
          <w:sz w:val="24"/>
          <w:szCs w:val="24"/>
        </w:rPr>
      </w:pPr>
    </w:p>
    <w:p w14:paraId="1E43D71F" w14:textId="77777777" w:rsidR="008B33D6" w:rsidRDefault="008B33D6" w:rsidP="008B33D6">
      <w:pPr>
        <w:pStyle w:val="ac"/>
        <w:numPr>
          <w:ilvl w:val="0"/>
          <w:numId w:val="1"/>
        </w:numPr>
        <w:spacing w:after="0" w:line="360" w:lineRule="auto"/>
        <w:ind w:left="360"/>
        <w:jc w:val="both"/>
        <w:rPr>
          <w:rFonts w:ascii="David" w:hAnsi="David" w:cs="David"/>
          <w:sz w:val="24"/>
          <w:szCs w:val="24"/>
        </w:rPr>
      </w:pPr>
      <w:r>
        <w:rPr>
          <w:rFonts w:ascii="David" w:hAnsi="David" w:cs="David"/>
          <w:sz w:val="24"/>
          <w:szCs w:val="24"/>
          <w:rtl/>
        </w:rPr>
        <w:t xml:space="preserve">כאמור, נאשם 2 הורשע בהחזקת כלי נשק ותחמושת ביום 21.4.2020, כלומר לפני כניסתם לתוקף של הוראות השעה שהביאו להחמרה בענישה וקביעת עונש חובה בעבירות נשק ולכן אין לכך תחולה לעניינו, אך ודאי שלא ניתן להתעלם מרוח הדברים, והכלל בדבר חשיבות הטלת ענישה מכבידה בעבירות אלה תוך מתן בכורה לאינטרס הציבורי, בהלימה לפוטנציאל הסיכון הגבוה הכרוך בהן. </w:t>
      </w:r>
    </w:p>
    <w:p w14:paraId="2BA076BC" w14:textId="77777777" w:rsidR="008B33D6" w:rsidRDefault="008B33D6" w:rsidP="008B33D6">
      <w:pPr>
        <w:pStyle w:val="ac"/>
        <w:spacing w:after="0" w:line="240" w:lineRule="auto"/>
        <w:jc w:val="both"/>
        <w:rPr>
          <w:rFonts w:ascii="David" w:hAnsi="David" w:cs="David"/>
          <w:sz w:val="24"/>
          <w:szCs w:val="24"/>
        </w:rPr>
      </w:pPr>
    </w:p>
    <w:p w14:paraId="45F7E629" w14:textId="77777777" w:rsidR="008B33D6" w:rsidRDefault="008B33D6" w:rsidP="008B33D6">
      <w:pPr>
        <w:pStyle w:val="ac"/>
        <w:numPr>
          <w:ilvl w:val="0"/>
          <w:numId w:val="1"/>
        </w:numPr>
        <w:spacing w:after="0" w:line="360" w:lineRule="auto"/>
        <w:ind w:left="360"/>
        <w:jc w:val="both"/>
        <w:rPr>
          <w:rFonts w:ascii="David" w:hAnsi="David" w:cs="David"/>
          <w:sz w:val="24"/>
          <w:szCs w:val="24"/>
        </w:rPr>
      </w:pPr>
      <w:r>
        <w:rPr>
          <w:rFonts w:ascii="David" w:hAnsi="David" w:cs="David"/>
          <w:sz w:val="24"/>
          <w:szCs w:val="24"/>
          <w:rtl/>
        </w:rPr>
        <w:t>ודוק, סמוך לאחר פרסום תיקון 140 ל</w:t>
      </w:r>
      <w:hyperlink r:id="rId20" w:history="1">
        <w:r w:rsidR="0051365E" w:rsidRPr="0051365E">
          <w:rPr>
            <w:rFonts w:ascii="David" w:hAnsi="David" w:cs="David"/>
            <w:color w:val="0000FF"/>
            <w:sz w:val="24"/>
            <w:szCs w:val="24"/>
            <w:u w:val="single"/>
            <w:rtl/>
          </w:rPr>
          <w:t>חוק העונשין</w:t>
        </w:r>
      </w:hyperlink>
      <w:r>
        <w:rPr>
          <w:rFonts w:ascii="David" w:hAnsi="David" w:cs="David"/>
          <w:sz w:val="24"/>
          <w:szCs w:val="24"/>
          <w:rtl/>
        </w:rPr>
        <w:t>, נקבע בפסיקה שיש להכביד בענישה ב"רוח התיקון", כך למשל ב</w:t>
      </w:r>
      <w:hyperlink r:id="rId21" w:history="1">
        <w:r w:rsidR="0051365E" w:rsidRPr="0051365E">
          <w:rPr>
            <w:rFonts w:ascii="David" w:hAnsi="David" w:cs="David"/>
            <w:color w:val="0000FF"/>
            <w:sz w:val="24"/>
            <w:szCs w:val="24"/>
            <w:u w:val="single"/>
            <w:rtl/>
          </w:rPr>
          <w:t>ע"פ 8869/21</w:t>
        </w:r>
      </w:hyperlink>
      <w:r>
        <w:rPr>
          <w:rFonts w:ascii="David" w:hAnsi="David" w:cs="David"/>
          <w:sz w:val="24"/>
          <w:szCs w:val="24"/>
          <w:rtl/>
        </w:rPr>
        <w:t xml:space="preserve"> </w:t>
      </w:r>
      <w:r>
        <w:rPr>
          <w:rFonts w:ascii="David" w:hAnsi="David" w:cs="David"/>
          <w:b/>
          <w:bCs/>
          <w:sz w:val="24"/>
          <w:szCs w:val="24"/>
          <w:rtl/>
        </w:rPr>
        <w:t>מדינת ישראל נ' קואסמה</w:t>
      </w:r>
      <w:r>
        <w:rPr>
          <w:rFonts w:ascii="David" w:hAnsi="David" w:cs="David"/>
          <w:sz w:val="24"/>
          <w:szCs w:val="24"/>
          <w:rtl/>
        </w:rPr>
        <w:t xml:space="preserve"> (13.3.2022), וראו גם את דברי כב' השופט י' עמית ב</w:t>
      </w:r>
      <w:hyperlink r:id="rId22" w:history="1">
        <w:r w:rsidR="0051365E" w:rsidRPr="0051365E">
          <w:rPr>
            <w:rFonts w:ascii="David" w:hAnsi="David" w:cs="David"/>
            <w:color w:val="0000FF"/>
            <w:sz w:val="24"/>
            <w:szCs w:val="24"/>
            <w:u w:val="single"/>
            <w:rtl/>
          </w:rPr>
          <w:t>ע"פ 2482/22</w:t>
        </w:r>
      </w:hyperlink>
      <w:r>
        <w:rPr>
          <w:rFonts w:ascii="David" w:hAnsi="David" w:cs="David"/>
          <w:b/>
          <w:bCs/>
          <w:sz w:val="24"/>
          <w:szCs w:val="24"/>
          <w:rtl/>
        </w:rPr>
        <w:t xml:space="preserve"> מדינת ישראל נ' קדורה </w:t>
      </w:r>
      <w:r>
        <w:rPr>
          <w:rFonts w:ascii="David" w:hAnsi="David" w:cs="David"/>
          <w:sz w:val="24"/>
          <w:szCs w:val="24"/>
          <w:rtl/>
        </w:rPr>
        <w:t>(14.4.2022), כדלקמן:</w:t>
      </w:r>
    </w:p>
    <w:p w14:paraId="524580E5" w14:textId="77777777" w:rsidR="008B33D6" w:rsidRDefault="008B33D6" w:rsidP="008B33D6">
      <w:pPr>
        <w:pStyle w:val="ac"/>
        <w:spacing w:after="0" w:line="240" w:lineRule="auto"/>
        <w:ind w:left="360"/>
        <w:jc w:val="both"/>
        <w:rPr>
          <w:rFonts w:ascii="David" w:hAnsi="David" w:cs="David"/>
          <w:sz w:val="24"/>
          <w:szCs w:val="24"/>
        </w:rPr>
      </w:pPr>
    </w:p>
    <w:p w14:paraId="4F6EAE67" w14:textId="77777777" w:rsidR="008B33D6" w:rsidRDefault="008B33D6" w:rsidP="008B33D6">
      <w:pPr>
        <w:pStyle w:val="ac"/>
        <w:spacing w:after="0" w:line="360" w:lineRule="auto"/>
        <w:ind w:left="1020" w:right="737"/>
        <w:jc w:val="both"/>
        <w:rPr>
          <w:rFonts w:ascii="David" w:hAnsi="David" w:cs="David"/>
          <w:b/>
          <w:bCs/>
          <w:spacing w:val="10"/>
          <w:sz w:val="24"/>
          <w:szCs w:val="24"/>
          <w:rtl/>
        </w:rPr>
      </w:pPr>
      <w:r>
        <w:rPr>
          <w:rFonts w:ascii="David" w:hAnsi="David" w:cs="David"/>
          <w:b/>
          <w:bCs/>
          <w:spacing w:val="10"/>
          <w:sz w:val="24"/>
          <w:szCs w:val="24"/>
          <w:rtl/>
        </w:rPr>
        <w:t xml:space="preserve">"לא למותר להזכיר כי המחוקק מצא לעגן בהוראת שעה עונשי מינימום לעבירות נשק, כך שהעונש שיושת על מבצעיהן יתחיל מרבע העונש המרבי שנקבע לעבירה, אלא אם החליט בית המשפט מטעמים מיוחדים להקל בעונש [...]. אכן, התיקון לחוק לא חל בענייננו, מאחר שהמעשים בהם הורשע המשיב נעשו עוד קודם לתיקון, אך יש בו כדי לשקף את רצון המחוקק להחמיר בענישה בעבירות נשק". </w:t>
      </w:r>
    </w:p>
    <w:p w14:paraId="64257DC2" w14:textId="77777777" w:rsidR="008B33D6" w:rsidRDefault="008B33D6" w:rsidP="008B33D6">
      <w:pPr>
        <w:ind w:right="737"/>
        <w:jc w:val="both"/>
        <w:rPr>
          <w:rFonts w:ascii="David" w:hAnsi="David"/>
          <w:b/>
          <w:bCs/>
          <w:spacing w:val="10"/>
          <w:rtl/>
        </w:rPr>
      </w:pPr>
    </w:p>
    <w:p w14:paraId="0D565B3D" w14:textId="77777777" w:rsidR="008B33D6" w:rsidRDefault="008B33D6" w:rsidP="008B33D6">
      <w:pPr>
        <w:pStyle w:val="ac"/>
        <w:numPr>
          <w:ilvl w:val="0"/>
          <w:numId w:val="1"/>
        </w:numPr>
        <w:spacing w:after="0" w:line="360" w:lineRule="auto"/>
        <w:ind w:left="360"/>
        <w:jc w:val="both"/>
        <w:rPr>
          <w:rFonts w:ascii="David" w:hAnsi="David" w:cs="David"/>
          <w:sz w:val="24"/>
          <w:szCs w:val="24"/>
        </w:rPr>
      </w:pPr>
      <w:r>
        <w:rPr>
          <w:rFonts w:ascii="David" w:hAnsi="David" w:cs="David"/>
          <w:sz w:val="24"/>
          <w:szCs w:val="24"/>
          <w:rtl/>
        </w:rPr>
        <w:t>לצורך קביעת מתחם הענישה ההולם הכולל אפנה לפסיקה שחלקה הוגשה על ידי הצדדים, וברובה דנה בעונשים שנגזרו על נאשמים שביצעו עבירות נשק לפני תיקון 140 ל</w:t>
      </w:r>
      <w:hyperlink r:id="rId23" w:history="1">
        <w:r w:rsidR="0051365E" w:rsidRPr="0051365E">
          <w:rPr>
            <w:rFonts w:ascii="David" w:hAnsi="David" w:cs="David"/>
            <w:color w:val="0000FF"/>
            <w:sz w:val="24"/>
            <w:szCs w:val="24"/>
            <w:u w:val="single"/>
            <w:rtl/>
          </w:rPr>
          <w:t>חוק העונשין</w:t>
        </w:r>
      </w:hyperlink>
      <w:r>
        <w:rPr>
          <w:rFonts w:ascii="David" w:hAnsi="David" w:cs="David"/>
          <w:sz w:val="24"/>
          <w:szCs w:val="24"/>
          <w:rtl/>
        </w:rPr>
        <w:t xml:space="preserve">, כדלקמן: </w:t>
      </w:r>
    </w:p>
    <w:p w14:paraId="44F6EBE2" w14:textId="77777777" w:rsidR="008B33D6" w:rsidRDefault="008B33D6" w:rsidP="008B33D6">
      <w:pPr>
        <w:pStyle w:val="ac"/>
        <w:spacing w:after="0" w:line="240" w:lineRule="auto"/>
        <w:ind w:left="360"/>
        <w:jc w:val="both"/>
        <w:rPr>
          <w:rFonts w:ascii="David" w:hAnsi="David" w:cs="David"/>
          <w:sz w:val="24"/>
          <w:szCs w:val="24"/>
        </w:rPr>
      </w:pPr>
    </w:p>
    <w:p w14:paraId="4FC403D5" w14:textId="77777777" w:rsidR="008B33D6" w:rsidRDefault="008B33D6" w:rsidP="008B33D6">
      <w:pPr>
        <w:pStyle w:val="ac"/>
        <w:numPr>
          <w:ilvl w:val="0"/>
          <w:numId w:val="2"/>
        </w:numPr>
        <w:spacing w:after="0" w:line="360" w:lineRule="auto"/>
        <w:ind w:left="714" w:hanging="357"/>
        <w:jc w:val="both"/>
        <w:rPr>
          <w:rFonts w:ascii="David" w:hAnsi="David" w:cs="David"/>
          <w:sz w:val="24"/>
          <w:szCs w:val="24"/>
        </w:rPr>
      </w:pPr>
      <w:r>
        <w:rPr>
          <w:rFonts w:ascii="David" w:hAnsi="David" w:cs="David"/>
          <w:sz w:val="24"/>
          <w:szCs w:val="24"/>
          <w:rtl/>
        </w:rPr>
        <w:t>ב</w:t>
      </w:r>
      <w:hyperlink r:id="rId24" w:history="1">
        <w:r w:rsidR="0051365E" w:rsidRPr="0051365E">
          <w:rPr>
            <w:rFonts w:ascii="David" w:hAnsi="David" w:cs="David"/>
            <w:color w:val="0000FF"/>
            <w:sz w:val="24"/>
            <w:szCs w:val="24"/>
            <w:u w:val="single"/>
            <w:rtl/>
          </w:rPr>
          <w:t>רע"פ 3636/23</w:t>
        </w:r>
      </w:hyperlink>
      <w:r>
        <w:rPr>
          <w:rFonts w:ascii="David" w:hAnsi="David" w:cs="David"/>
          <w:sz w:val="24"/>
          <w:szCs w:val="24"/>
          <w:rtl/>
        </w:rPr>
        <w:t xml:space="preserve"> </w:t>
      </w:r>
      <w:r>
        <w:rPr>
          <w:rFonts w:ascii="David" w:hAnsi="David" w:cs="David"/>
          <w:b/>
          <w:bCs/>
          <w:sz w:val="24"/>
          <w:szCs w:val="24"/>
          <w:rtl/>
        </w:rPr>
        <w:t>אבו אלקיעאן נ' מדינת ישראל</w:t>
      </w:r>
      <w:r>
        <w:rPr>
          <w:rFonts w:ascii="David" w:hAnsi="David" w:cs="David"/>
          <w:sz w:val="24"/>
          <w:szCs w:val="24"/>
          <w:rtl/>
        </w:rPr>
        <w:t xml:space="preserve"> (16.5.2023), נדחתה בקשת רשות ערעור שהגיש מבקש שהורשע לפי הודאתו בהחזקת אקדח עם מחסנית וכדורים בתא המטען, בשנת 2019 (לפני תיקון 140). נקבע מתחם ענישה הולם הנע בין 11 ל-33 חודשי מאסר בפועל, ובהתחשב בגילו הצעיר ועבר פלילי נקי, נגזר דינו ל-13 חודשי מאסר בפועל. </w:t>
      </w:r>
    </w:p>
    <w:p w14:paraId="2DD3EE34" w14:textId="77777777" w:rsidR="008B33D6" w:rsidRDefault="008B33D6" w:rsidP="008B33D6">
      <w:pPr>
        <w:pStyle w:val="ac"/>
        <w:spacing w:after="0" w:line="240" w:lineRule="auto"/>
        <w:ind w:left="714"/>
        <w:jc w:val="both"/>
        <w:rPr>
          <w:rFonts w:ascii="David" w:hAnsi="David" w:cs="David"/>
          <w:sz w:val="24"/>
          <w:szCs w:val="24"/>
        </w:rPr>
      </w:pPr>
    </w:p>
    <w:p w14:paraId="366602FA" w14:textId="77777777" w:rsidR="008B33D6" w:rsidRDefault="008B33D6" w:rsidP="008B33D6">
      <w:pPr>
        <w:pStyle w:val="ac"/>
        <w:numPr>
          <w:ilvl w:val="0"/>
          <w:numId w:val="2"/>
        </w:numPr>
        <w:spacing w:after="0" w:line="360" w:lineRule="auto"/>
        <w:ind w:left="714" w:hanging="357"/>
        <w:jc w:val="both"/>
        <w:rPr>
          <w:rFonts w:ascii="David" w:hAnsi="David" w:cs="David"/>
          <w:sz w:val="24"/>
          <w:szCs w:val="24"/>
        </w:rPr>
      </w:pPr>
      <w:r>
        <w:rPr>
          <w:rFonts w:ascii="David" w:hAnsi="David" w:cs="David"/>
          <w:sz w:val="24"/>
          <w:szCs w:val="24"/>
          <w:rtl/>
        </w:rPr>
        <w:t>ב</w:t>
      </w:r>
      <w:hyperlink r:id="rId25" w:history="1">
        <w:r w:rsidR="0051365E" w:rsidRPr="0051365E">
          <w:rPr>
            <w:rFonts w:ascii="David" w:hAnsi="David" w:cs="David"/>
            <w:color w:val="0000FF"/>
            <w:sz w:val="24"/>
            <w:szCs w:val="24"/>
            <w:u w:val="single"/>
            <w:rtl/>
          </w:rPr>
          <w:t>ע"פ 2482/22</w:t>
        </w:r>
      </w:hyperlink>
      <w:r>
        <w:rPr>
          <w:rFonts w:ascii="David" w:hAnsi="David" w:cs="David"/>
          <w:sz w:val="24"/>
          <w:szCs w:val="24"/>
          <w:rtl/>
        </w:rPr>
        <w:t xml:space="preserve"> </w:t>
      </w:r>
      <w:r>
        <w:rPr>
          <w:rFonts w:ascii="David" w:hAnsi="David" w:cs="David"/>
          <w:b/>
          <w:bCs/>
          <w:sz w:val="24"/>
          <w:szCs w:val="24"/>
          <w:rtl/>
        </w:rPr>
        <w:t>מדינת ישראל נ' קדורה</w:t>
      </w:r>
      <w:r>
        <w:rPr>
          <w:rFonts w:ascii="David" w:hAnsi="David" w:cs="David"/>
          <w:sz w:val="24"/>
          <w:szCs w:val="24"/>
          <w:rtl/>
        </w:rPr>
        <w:t xml:space="preserve"> (14.4.2022), הורשע המשיב לפי הודאתו בהחזקה קצרה (למשך ימים) של אקדח, מחסנית, כדורים ורימון הלם, עבור אדם אחר (לפני תיקון 140), את האקדח הוא מסר לאחר, והוא לא נתפס. נקבע מתחם הנע בין 10 ל-36 חודשי מאסר בפועל, ובהתחשב בגילו הצעיר והעדר עבר פלילי נגזרו על המשיב 10 חודשי מאסר. בית המשפט העליון קיבל את ערעור המדינה והעמיד את העונש על 18 חודשי מאסר.</w:t>
      </w:r>
    </w:p>
    <w:p w14:paraId="028D129B" w14:textId="77777777" w:rsidR="008B33D6" w:rsidRDefault="008B33D6" w:rsidP="008B33D6">
      <w:pPr>
        <w:pStyle w:val="ac"/>
        <w:spacing w:after="0" w:line="240" w:lineRule="auto"/>
        <w:ind w:left="714"/>
        <w:jc w:val="both"/>
        <w:rPr>
          <w:rFonts w:ascii="David" w:hAnsi="David" w:cs="David"/>
          <w:sz w:val="24"/>
          <w:szCs w:val="24"/>
        </w:rPr>
      </w:pPr>
    </w:p>
    <w:p w14:paraId="790F795B" w14:textId="77777777" w:rsidR="008B33D6" w:rsidRDefault="008B33D6" w:rsidP="008B33D6">
      <w:pPr>
        <w:pStyle w:val="ac"/>
        <w:numPr>
          <w:ilvl w:val="0"/>
          <w:numId w:val="2"/>
        </w:numPr>
        <w:spacing w:after="0" w:line="360" w:lineRule="auto"/>
        <w:ind w:left="714" w:hanging="357"/>
        <w:jc w:val="both"/>
        <w:rPr>
          <w:rFonts w:ascii="David" w:hAnsi="David" w:cs="David"/>
          <w:sz w:val="24"/>
          <w:szCs w:val="24"/>
        </w:rPr>
      </w:pPr>
      <w:r>
        <w:rPr>
          <w:rFonts w:ascii="David" w:hAnsi="David" w:cs="David"/>
          <w:sz w:val="24"/>
          <w:szCs w:val="24"/>
          <w:rtl/>
        </w:rPr>
        <w:t>ב</w:t>
      </w:r>
      <w:hyperlink r:id="rId26" w:history="1">
        <w:r w:rsidR="0051365E" w:rsidRPr="0051365E">
          <w:rPr>
            <w:rFonts w:ascii="David" w:hAnsi="David" w:cs="David"/>
            <w:color w:val="0000FF"/>
            <w:sz w:val="24"/>
            <w:szCs w:val="24"/>
            <w:u w:val="single"/>
            <w:rtl/>
          </w:rPr>
          <w:t>רע"פ 2919/22</w:t>
        </w:r>
      </w:hyperlink>
      <w:r>
        <w:rPr>
          <w:rFonts w:ascii="David" w:hAnsi="David" w:cs="David"/>
          <w:sz w:val="24"/>
          <w:szCs w:val="24"/>
          <w:rtl/>
        </w:rPr>
        <w:t xml:space="preserve"> </w:t>
      </w:r>
      <w:r>
        <w:rPr>
          <w:rFonts w:ascii="David" w:hAnsi="David" w:cs="David"/>
          <w:b/>
          <w:bCs/>
          <w:sz w:val="24"/>
          <w:szCs w:val="24"/>
          <w:rtl/>
        </w:rPr>
        <w:t>שעבאן נ' מדינת ישראל</w:t>
      </w:r>
      <w:r>
        <w:rPr>
          <w:rFonts w:ascii="David" w:hAnsi="David" w:cs="David"/>
          <w:sz w:val="24"/>
          <w:szCs w:val="24"/>
          <w:rtl/>
        </w:rPr>
        <w:t xml:space="preserve"> (1.8.2022), התקבל ערעור המדינה על זיכויו של המבקש מהחזקת אקדח אותו השליך עם הגעת שוטרים לחיפוש במקום (לפני תיקון 140). כשהוחזר התיק לאחר קבלת הערעור על הכרעת הדין קבע בית משפט השלום מתחם עונש הנע בין 12 ל-36 חודשים, וגזר על הנאשם 20 חודשי מאסר בפועל. ערעור שהגיש הנאשם על חומרת העונש התקבל, ועונשו הופחת ל-15 חודשי מאסר בפועל, חרף עברו הפלילי הכבד, וזאת בהתחשב בנסיבותיו האישיות הקשות, ובהתנהלות השוטרים באירוע. בקשת רשות ערעור שהגיש המבקש נדחתה. </w:t>
      </w:r>
    </w:p>
    <w:p w14:paraId="61AF88FA" w14:textId="77777777" w:rsidR="008B33D6" w:rsidRDefault="008B33D6" w:rsidP="008B33D6">
      <w:pPr>
        <w:pStyle w:val="ac"/>
        <w:spacing w:after="0" w:line="240" w:lineRule="auto"/>
        <w:ind w:left="714"/>
        <w:jc w:val="both"/>
        <w:rPr>
          <w:rFonts w:ascii="David" w:hAnsi="David" w:cs="David"/>
          <w:sz w:val="24"/>
          <w:szCs w:val="24"/>
        </w:rPr>
      </w:pPr>
    </w:p>
    <w:p w14:paraId="2626C566" w14:textId="77777777" w:rsidR="008B33D6" w:rsidRDefault="008B33D6" w:rsidP="008B33D6">
      <w:pPr>
        <w:pStyle w:val="ac"/>
        <w:numPr>
          <w:ilvl w:val="0"/>
          <w:numId w:val="2"/>
        </w:numPr>
        <w:spacing w:after="0" w:line="360" w:lineRule="auto"/>
        <w:ind w:left="714" w:hanging="357"/>
        <w:jc w:val="both"/>
        <w:rPr>
          <w:rFonts w:ascii="David" w:hAnsi="David" w:cs="David"/>
          <w:sz w:val="24"/>
          <w:szCs w:val="24"/>
          <w:u w:val="single"/>
        </w:rPr>
      </w:pPr>
      <w:r>
        <w:rPr>
          <w:rFonts w:ascii="David" w:hAnsi="David" w:cs="David"/>
          <w:sz w:val="24"/>
          <w:szCs w:val="24"/>
          <w:rtl/>
        </w:rPr>
        <w:t>ב</w:t>
      </w:r>
      <w:hyperlink r:id="rId27" w:history="1">
        <w:r w:rsidR="0051365E" w:rsidRPr="0051365E">
          <w:rPr>
            <w:rFonts w:ascii="David" w:hAnsi="David" w:cs="David"/>
            <w:color w:val="0000FF"/>
            <w:sz w:val="24"/>
            <w:szCs w:val="24"/>
            <w:u w:val="single"/>
            <w:rtl/>
          </w:rPr>
          <w:t>ע"פ 1806/22</w:t>
        </w:r>
      </w:hyperlink>
      <w:r>
        <w:rPr>
          <w:rFonts w:ascii="David" w:hAnsi="David" w:cs="David"/>
          <w:sz w:val="24"/>
          <w:szCs w:val="24"/>
          <w:rtl/>
        </w:rPr>
        <w:t xml:space="preserve"> </w:t>
      </w:r>
      <w:r>
        <w:rPr>
          <w:rFonts w:ascii="David" w:hAnsi="David" w:cs="David"/>
          <w:b/>
          <w:bCs/>
          <w:sz w:val="24"/>
          <w:szCs w:val="24"/>
          <w:rtl/>
        </w:rPr>
        <w:t xml:space="preserve">נבארי נ' מדינת ישראל </w:t>
      </w:r>
      <w:r>
        <w:rPr>
          <w:rFonts w:ascii="David" w:hAnsi="David" w:cs="David"/>
          <w:sz w:val="24"/>
          <w:szCs w:val="24"/>
          <w:rtl/>
        </w:rPr>
        <w:t xml:space="preserve">(15.6.2022) (הוגש ע"י המאשימה), נדון עניינו של נאשם שהורשע על פי הודאתו בכך שהחזיק ברכבו אקדח חצי אוטומטי טעון עם 12 כדורים. בית המשפט קבע מתחם עונש הולם הנע בין 15 ל-36 חודשי מאסר, וגזר על הנאשם מאסר בפועל למשך 20 חודשים בהתחשב בגילו, בלקיחת אחריותו ותסקיר בעייתי. ערעור שהגיש הנאשם לבית המשפט העליון התקבל ועונשו הופחת ל-16 חודשי מאסר, משנקבע כי הוא הצטייד בנשק מלכתחילה בשל צורך להגן על עצמו. </w:t>
      </w:r>
    </w:p>
    <w:p w14:paraId="386FA715" w14:textId="77777777" w:rsidR="008B33D6" w:rsidRDefault="008B33D6" w:rsidP="008B33D6">
      <w:pPr>
        <w:pStyle w:val="ac"/>
        <w:spacing w:after="0" w:line="240" w:lineRule="auto"/>
        <w:ind w:left="714"/>
        <w:jc w:val="both"/>
        <w:rPr>
          <w:rFonts w:ascii="David" w:hAnsi="David" w:cs="David"/>
          <w:sz w:val="24"/>
          <w:szCs w:val="24"/>
          <w:u w:val="single"/>
        </w:rPr>
      </w:pPr>
    </w:p>
    <w:p w14:paraId="2E699FFB" w14:textId="77777777" w:rsidR="008B33D6" w:rsidRDefault="008B33D6" w:rsidP="008B33D6">
      <w:pPr>
        <w:pStyle w:val="ac"/>
        <w:numPr>
          <w:ilvl w:val="0"/>
          <w:numId w:val="2"/>
        </w:numPr>
        <w:spacing w:after="0" w:line="360" w:lineRule="auto"/>
        <w:ind w:left="714" w:hanging="357"/>
        <w:jc w:val="both"/>
        <w:rPr>
          <w:rFonts w:ascii="David" w:hAnsi="David" w:cs="David"/>
          <w:sz w:val="24"/>
          <w:szCs w:val="24"/>
        </w:rPr>
      </w:pPr>
      <w:r>
        <w:rPr>
          <w:rFonts w:ascii="David" w:hAnsi="David" w:cs="David"/>
          <w:sz w:val="24"/>
          <w:szCs w:val="24"/>
          <w:rtl/>
        </w:rPr>
        <w:t>ב</w:t>
      </w:r>
      <w:hyperlink r:id="rId28" w:history="1">
        <w:r w:rsidR="0051365E" w:rsidRPr="0051365E">
          <w:rPr>
            <w:rFonts w:ascii="David" w:hAnsi="David" w:cs="David"/>
            <w:color w:val="0000FF"/>
            <w:sz w:val="24"/>
            <w:szCs w:val="24"/>
            <w:u w:val="single"/>
            <w:rtl/>
          </w:rPr>
          <w:t>ע"פ 8320/21</w:t>
        </w:r>
      </w:hyperlink>
      <w:r>
        <w:rPr>
          <w:rFonts w:ascii="David" w:hAnsi="David" w:cs="David"/>
          <w:sz w:val="24"/>
          <w:szCs w:val="24"/>
          <w:rtl/>
        </w:rPr>
        <w:t xml:space="preserve"> </w:t>
      </w:r>
      <w:r>
        <w:rPr>
          <w:rFonts w:ascii="David" w:hAnsi="David" w:cs="David"/>
          <w:b/>
          <w:bCs/>
          <w:sz w:val="24"/>
          <w:szCs w:val="24"/>
          <w:rtl/>
        </w:rPr>
        <w:t>מדינת ישראל נ' בסילה</w:t>
      </w:r>
      <w:r>
        <w:rPr>
          <w:rFonts w:ascii="David" w:hAnsi="David" w:cs="David"/>
          <w:sz w:val="24"/>
          <w:szCs w:val="24"/>
          <w:rtl/>
        </w:rPr>
        <w:t xml:space="preserve"> (28.12.2021), הורשע הנאשם לפי הודאתו בעבירה של החזקת רובה דמוי </w:t>
      </w:r>
      <w:r>
        <w:rPr>
          <w:rFonts w:ascii="David" w:hAnsi="David" w:cs="David"/>
          <w:sz w:val="24"/>
          <w:szCs w:val="24"/>
        </w:rPr>
        <w:t>M16</w:t>
      </w:r>
      <w:r>
        <w:rPr>
          <w:rFonts w:ascii="David" w:hAnsi="David" w:cs="David"/>
          <w:sz w:val="24"/>
          <w:szCs w:val="24"/>
          <w:rtl/>
        </w:rPr>
        <w:t xml:space="preserve"> בחדר השינה שלו עם תחמושת (לפני תיקון 140), ונדון לעונש מאסר למשך 7 חודשים, בהיותו נורמטיבי ואב לשלושה ילדים. ערעור המדינה על קולת העונש התקבל, והעונש הוחמר והועמד על 14 חודשי מאסר בפועל. </w:t>
      </w:r>
    </w:p>
    <w:p w14:paraId="252B2160" w14:textId="77777777" w:rsidR="008B33D6" w:rsidRDefault="008B33D6" w:rsidP="008B33D6">
      <w:pPr>
        <w:pStyle w:val="ac"/>
        <w:spacing w:after="0" w:line="240" w:lineRule="auto"/>
        <w:ind w:left="714"/>
        <w:jc w:val="both"/>
        <w:rPr>
          <w:rFonts w:ascii="David" w:hAnsi="David" w:cs="David"/>
          <w:sz w:val="24"/>
          <w:szCs w:val="24"/>
          <w:u w:val="single"/>
        </w:rPr>
      </w:pPr>
    </w:p>
    <w:p w14:paraId="02AC1467" w14:textId="77777777" w:rsidR="008B33D6" w:rsidRDefault="008B33D6" w:rsidP="008B33D6">
      <w:pPr>
        <w:pStyle w:val="ac"/>
        <w:numPr>
          <w:ilvl w:val="0"/>
          <w:numId w:val="2"/>
        </w:numPr>
        <w:spacing w:after="0" w:line="360" w:lineRule="auto"/>
        <w:jc w:val="both"/>
        <w:rPr>
          <w:rFonts w:ascii="David" w:hAnsi="David" w:cs="David"/>
          <w:sz w:val="24"/>
          <w:szCs w:val="24"/>
        </w:rPr>
      </w:pPr>
      <w:r>
        <w:rPr>
          <w:rFonts w:ascii="David" w:hAnsi="David" w:cs="David"/>
          <w:sz w:val="24"/>
          <w:szCs w:val="24"/>
          <w:rtl/>
        </w:rPr>
        <w:t>ב</w:t>
      </w:r>
      <w:hyperlink r:id="rId29" w:history="1">
        <w:r w:rsidR="0051365E" w:rsidRPr="0051365E">
          <w:rPr>
            <w:rFonts w:ascii="David" w:hAnsi="David" w:cs="David"/>
            <w:color w:val="0000FF"/>
            <w:sz w:val="24"/>
            <w:szCs w:val="24"/>
            <w:u w:val="single"/>
            <w:rtl/>
          </w:rPr>
          <w:t>ע"פ 4332/21</w:t>
        </w:r>
      </w:hyperlink>
      <w:r>
        <w:rPr>
          <w:rFonts w:ascii="David" w:hAnsi="David" w:cs="David"/>
          <w:sz w:val="24"/>
          <w:szCs w:val="24"/>
          <w:rtl/>
        </w:rPr>
        <w:t xml:space="preserve"> </w:t>
      </w:r>
      <w:r>
        <w:rPr>
          <w:rFonts w:ascii="David" w:hAnsi="David" w:cs="David"/>
          <w:b/>
          <w:bCs/>
          <w:sz w:val="24"/>
          <w:szCs w:val="24"/>
          <w:rtl/>
        </w:rPr>
        <w:t xml:space="preserve">עאסלה נ' מדינת ישראל </w:t>
      </w:r>
      <w:r>
        <w:rPr>
          <w:rFonts w:ascii="David" w:hAnsi="David" w:cs="David"/>
          <w:sz w:val="24"/>
          <w:szCs w:val="24"/>
          <w:rtl/>
        </w:rPr>
        <w:t xml:space="preserve">(20.2.2022), נדון עניינו של מערער שהורשע על פי הודאתו בהחזקת תת מקלע מאולתר מסוג "קרלו" ומחסנית, בשדה מרוחק מביתו במשך חודשים (לפני תיקון 140). בית המשפט המחוזי קבע מתחם עונש הולם הנע בין 22 ל-48 חודשי מאסר בפועל, חרג מהמתחם והשית על המערער 15 חודשי מאסר, לנוכח הודאתו בהזדמנות הראשונה, גילו הצעיר, העדר עבר פלילי ותסקיר שהמליץ על אי הרשעה לנוכח הליך טיפולי שעבר. ערעור שהגיש המערער התקבל חלקית ובית המשפט העליון הקל בעונשו והעמידו על 9 חודשי מאסר בעבודות שירות. </w:t>
      </w:r>
    </w:p>
    <w:p w14:paraId="1E97738F" w14:textId="77777777" w:rsidR="008B33D6" w:rsidRDefault="008B33D6" w:rsidP="008B33D6">
      <w:pPr>
        <w:pStyle w:val="ac"/>
        <w:spacing w:after="0" w:line="240" w:lineRule="auto"/>
        <w:jc w:val="both"/>
        <w:rPr>
          <w:rFonts w:ascii="David" w:hAnsi="David" w:cs="David"/>
          <w:sz w:val="24"/>
          <w:szCs w:val="24"/>
        </w:rPr>
      </w:pPr>
    </w:p>
    <w:p w14:paraId="3338FB03" w14:textId="77777777" w:rsidR="008B33D6" w:rsidRDefault="008B33D6" w:rsidP="008B33D6">
      <w:pPr>
        <w:pStyle w:val="ac"/>
        <w:numPr>
          <w:ilvl w:val="0"/>
          <w:numId w:val="2"/>
        </w:numPr>
        <w:spacing w:after="0" w:line="360" w:lineRule="auto"/>
        <w:jc w:val="both"/>
        <w:rPr>
          <w:rFonts w:ascii="David" w:hAnsi="David" w:cs="David"/>
          <w:sz w:val="24"/>
          <w:szCs w:val="24"/>
        </w:rPr>
      </w:pPr>
      <w:r>
        <w:rPr>
          <w:rFonts w:ascii="David" w:hAnsi="David" w:cs="David"/>
          <w:sz w:val="24"/>
          <w:szCs w:val="24"/>
          <w:rtl/>
        </w:rPr>
        <w:t>ב</w:t>
      </w:r>
      <w:hyperlink r:id="rId30" w:history="1">
        <w:r w:rsidR="0051365E" w:rsidRPr="0051365E">
          <w:rPr>
            <w:rFonts w:ascii="David" w:hAnsi="David" w:cs="David"/>
            <w:color w:val="0000FF"/>
            <w:sz w:val="24"/>
            <w:szCs w:val="24"/>
            <w:u w:val="single"/>
            <w:rtl/>
          </w:rPr>
          <w:t>רע"פ 6265/20</w:t>
        </w:r>
      </w:hyperlink>
      <w:r>
        <w:rPr>
          <w:rFonts w:ascii="David" w:hAnsi="David" w:cs="David"/>
          <w:b/>
          <w:bCs/>
          <w:sz w:val="24"/>
          <w:szCs w:val="24"/>
          <w:rtl/>
        </w:rPr>
        <w:t xml:space="preserve"> מדינת ישראל נ' אבו אלקיעאן </w:t>
      </w:r>
      <w:r>
        <w:rPr>
          <w:rFonts w:ascii="David" w:hAnsi="David" w:cs="David"/>
          <w:sz w:val="24"/>
          <w:szCs w:val="24"/>
          <w:rtl/>
        </w:rPr>
        <w:t>(15.9.2020), נדחתה בקשת רשות ערעור שהגיש מבקש שהורשע לאחר ניהול הוכחות בעבירה של החזקת אקדח, עם מחסנית וכדורים ברכבו (לפני תיקון 140). בית משפט השלום קבע מתחם עונש הולם הנע בין 15 ל-30 חודשי מאסר</w:t>
      </w:r>
      <w:r>
        <w:rPr>
          <w:rFonts w:ascii="David" w:hAnsi="David" w:cs="David"/>
          <w:b/>
          <w:bCs/>
          <w:sz w:val="24"/>
          <w:szCs w:val="24"/>
          <w:rtl/>
        </w:rPr>
        <w:t xml:space="preserve"> </w:t>
      </w:r>
      <w:r>
        <w:rPr>
          <w:rFonts w:ascii="David" w:hAnsi="David" w:cs="David"/>
          <w:sz w:val="24"/>
          <w:szCs w:val="24"/>
          <w:rtl/>
        </w:rPr>
        <w:t xml:space="preserve">בפועל, והשית על המבקש בהתחשב בהעדר עבר פלילי 15 חודשי מאסר. ערכאת הערעור הקלה בעונשו ל-12 חודשי מאסר בפועל, בשל נסיבות אישיות משפחתיות. </w:t>
      </w:r>
    </w:p>
    <w:p w14:paraId="2C026634" w14:textId="77777777" w:rsidR="008B33D6" w:rsidRDefault="008B33D6" w:rsidP="008B33D6">
      <w:pPr>
        <w:pStyle w:val="ac"/>
        <w:spacing w:after="0" w:line="240" w:lineRule="auto"/>
        <w:jc w:val="both"/>
        <w:rPr>
          <w:rFonts w:ascii="David" w:hAnsi="David" w:cs="David"/>
          <w:sz w:val="24"/>
          <w:szCs w:val="24"/>
        </w:rPr>
      </w:pPr>
    </w:p>
    <w:p w14:paraId="731790A2" w14:textId="77777777" w:rsidR="008B33D6" w:rsidRDefault="008B33D6" w:rsidP="008B33D6">
      <w:pPr>
        <w:pStyle w:val="ac"/>
        <w:numPr>
          <w:ilvl w:val="0"/>
          <w:numId w:val="2"/>
        </w:numPr>
        <w:spacing w:after="0" w:line="360" w:lineRule="auto"/>
        <w:jc w:val="both"/>
        <w:rPr>
          <w:rFonts w:ascii="David" w:hAnsi="David" w:cs="David"/>
          <w:sz w:val="24"/>
          <w:szCs w:val="24"/>
        </w:rPr>
      </w:pPr>
      <w:r>
        <w:rPr>
          <w:rFonts w:ascii="David" w:hAnsi="David" w:cs="David"/>
          <w:sz w:val="24"/>
          <w:szCs w:val="24"/>
          <w:rtl/>
        </w:rPr>
        <w:t>ב</w:t>
      </w:r>
      <w:hyperlink r:id="rId31" w:history="1">
        <w:r w:rsidR="0051365E" w:rsidRPr="0051365E">
          <w:rPr>
            <w:rFonts w:ascii="David" w:hAnsi="David" w:cs="David"/>
            <w:color w:val="0000FF"/>
            <w:sz w:val="24"/>
            <w:szCs w:val="24"/>
            <w:u w:val="single"/>
            <w:rtl/>
          </w:rPr>
          <w:t>רע"פ 5613/20</w:t>
        </w:r>
      </w:hyperlink>
      <w:r>
        <w:rPr>
          <w:rFonts w:ascii="David" w:hAnsi="David" w:cs="David"/>
          <w:sz w:val="24"/>
          <w:szCs w:val="24"/>
          <w:rtl/>
        </w:rPr>
        <w:t xml:space="preserve"> </w:t>
      </w:r>
      <w:r>
        <w:rPr>
          <w:rFonts w:ascii="David" w:hAnsi="David" w:cs="David"/>
          <w:b/>
          <w:bCs/>
          <w:sz w:val="24"/>
          <w:szCs w:val="24"/>
          <w:rtl/>
        </w:rPr>
        <w:t>אלהוזייל נ' מדינת ישראל</w:t>
      </w:r>
      <w:r>
        <w:rPr>
          <w:rFonts w:ascii="David" w:hAnsi="David" w:cs="David"/>
          <w:sz w:val="24"/>
          <w:szCs w:val="24"/>
          <w:rtl/>
        </w:rPr>
        <w:t xml:space="preserve"> (25.8.2020), נדחתה בקשת רשות ערעור שהגיש המבקש שהחזיק בביתו אקדח </w:t>
      </w:r>
      <w:r>
        <w:rPr>
          <w:rFonts w:ascii="David" w:hAnsi="David" w:cs="David"/>
          <w:sz w:val="24"/>
          <w:szCs w:val="24"/>
        </w:rPr>
        <w:t>FN</w:t>
      </w:r>
      <w:r>
        <w:rPr>
          <w:rFonts w:ascii="David" w:hAnsi="David" w:cs="David"/>
          <w:sz w:val="24"/>
          <w:szCs w:val="24"/>
          <w:rtl/>
        </w:rPr>
        <w:t xml:space="preserve"> עם 20 כדורים (לפני תיקון 140). נקבע מתחם עונש הולם הנע בין 11 ל-33 חודשים, ולאור תסקיר חיובי שהמליץ על ענישה בעבודות שירות, ועבר פלילי ישן, הושתו על הנאשם 12 חודשים מאסר בפועל. </w:t>
      </w:r>
    </w:p>
    <w:p w14:paraId="6A149C72" w14:textId="77777777" w:rsidR="008B33D6" w:rsidRDefault="008B33D6" w:rsidP="008B33D6">
      <w:pPr>
        <w:pStyle w:val="ac"/>
        <w:spacing w:after="0" w:line="240" w:lineRule="auto"/>
        <w:jc w:val="both"/>
        <w:rPr>
          <w:rFonts w:ascii="David" w:hAnsi="David" w:cs="David"/>
          <w:sz w:val="24"/>
          <w:szCs w:val="24"/>
        </w:rPr>
      </w:pPr>
    </w:p>
    <w:p w14:paraId="33C2BC86" w14:textId="77777777" w:rsidR="008B33D6" w:rsidRDefault="008B33D6" w:rsidP="008B33D6">
      <w:pPr>
        <w:pStyle w:val="ac"/>
        <w:numPr>
          <w:ilvl w:val="0"/>
          <w:numId w:val="2"/>
        </w:numPr>
        <w:spacing w:after="0" w:line="360" w:lineRule="auto"/>
        <w:jc w:val="both"/>
        <w:rPr>
          <w:rFonts w:ascii="David" w:hAnsi="David" w:cs="David"/>
          <w:sz w:val="24"/>
          <w:szCs w:val="24"/>
        </w:rPr>
      </w:pPr>
      <w:r>
        <w:rPr>
          <w:rFonts w:ascii="David" w:hAnsi="David" w:cs="David"/>
          <w:sz w:val="24"/>
          <w:szCs w:val="24"/>
          <w:rtl/>
        </w:rPr>
        <w:t>ב</w:t>
      </w:r>
      <w:hyperlink r:id="rId32" w:history="1">
        <w:r w:rsidR="0051365E" w:rsidRPr="0051365E">
          <w:rPr>
            <w:rFonts w:ascii="David" w:hAnsi="David" w:cs="David"/>
            <w:color w:val="0000FF"/>
            <w:sz w:val="24"/>
            <w:szCs w:val="24"/>
            <w:u w:val="single"/>
            <w:rtl/>
          </w:rPr>
          <w:t>ע"פ 545/20</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(3.5.2021), הורשע המערער לפי הודאתו בהחזקת אקדח (שהיה תקול) למשך זמן קצר, טעון במחסנית ריקה, ו-50 כדורים שהוחזקו על גופו (לפני תיקון 140). נקבע מתחם שנע בין 10 ל-24 חודשים. בהתחשב בהעדר הרשעות, ותסקיר חיובי נגזרו על המערער 12 חודשי מאסר בפועל. ערעור חומרת העונש נדחה, ונקבע </w:t>
      </w:r>
      <w:r>
        <w:rPr>
          <w:rFonts w:ascii="David" w:hAnsi="David" w:cs="David" w:hint="cs"/>
          <w:sz w:val="24"/>
          <w:szCs w:val="24"/>
          <w:rtl/>
        </w:rPr>
        <w:t>ש</w:t>
      </w:r>
      <w:r>
        <w:rPr>
          <w:rFonts w:ascii="David" w:hAnsi="David" w:cs="David"/>
          <w:sz w:val="24"/>
          <w:szCs w:val="24"/>
          <w:rtl/>
        </w:rPr>
        <w:t>העונש קל.</w:t>
      </w:r>
    </w:p>
    <w:p w14:paraId="50C724DD" w14:textId="77777777" w:rsidR="008B33D6" w:rsidRDefault="008B33D6" w:rsidP="008B33D6">
      <w:pPr>
        <w:pStyle w:val="ac"/>
        <w:spacing w:after="0" w:line="240" w:lineRule="auto"/>
        <w:jc w:val="both"/>
        <w:rPr>
          <w:rFonts w:ascii="David" w:hAnsi="David" w:cs="David"/>
          <w:sz w:val="24"/>
          <w:szCs w:val="24"/>
        </w:rPr>
      </w:pPr>
    </w:p>
    <w:p w14:paraId="02DE175E" w14:textId="77777777" w:rsidR="008B33D6" w:rsidRDefault="008B33D6" w:rsidP="008B33D6">
      <w:pPr>
        <w:pStyle w:val="ac"/>
        <w:numPr>
          <w:ilvl w:val="0"/>
          <w:numId w:val="2"/>
        </w:numPr>
        <w:spacing w:after="0" w:line="360" w:lineRule="auto"/>
        <w:jc w:val="both"/>
        <w:rPr>
          <w:rFonts w:ascii="David" w:hAnsi="David" w:cs="David"/>
          <w:sz w:val="24"/>
          <w:szCs w:val="24"/>
        </w:rPr>
      </w:pPr>
      <w:r>
        <w:rPr>
          <w:rFonts w:ascii="David" w:hAnsi="David" w:cs="David"/>
          <w:sz w:val="24"/>
          <w:szCs w:val="24"/>
          <w:rtl/>
        </w:rPr>
        <w:t xml:space="preserve">בעפ"ג (ב"ש) 14070-01-23 </w:t>
      </w:r>
      <w:r>
        <w:rPr>
          <w:rFonts w:ascii="David" w:hAnsi="David" w:cs="David"/>
          <w:b/>
          <w:bCs/>
          <w:sz w:val="24"/>
          <w:szCs w:val="24"/>
          <w:rtl/>
        </w:rPr>
        <w:t xml:space="preserve">אלהוזייל נ' מדינת ישראל </w:t>
      </w:r>
      <w:r>
        <w:rPr>
          <w:rFonts w:ascii="David" w:hAnsi="David" w:cs="David"/>
          <w:sz w:val="24"/>
          <w:szCs w:val="24"/>
          <w:rtl/>
        </w:rPr>
        <w:t>(22.3.2023) (טרם פורסם) נדחה ערעור על חומרת העונש שהגיש מערער שהורשע לפי הודאתו בהחזקת נשק ותחמושת ובהתנגדות למעצר בכך שברח משוטרים (</w:t>
      </w:r>
      <w:r>
        <w:rPr>
          <w:rFonts w:ascii="David" w:hAnsi="David" w:cs="David"/>
          <w:sz w:val="24"/>
          <w:szCs w:val="24"/>
          <w:u w:val="single"/>
          <w:rtl/>
        </w:rPr>
        <w:t>אחרי תיקון 140</w:t>
      </w:r>
      <w:r>
        <w:rPr>
          <w:rFonts w:ascii="David" w:hAnsi="David" w:cs="David"/>
          <w:sz w:val="24"/>
          <w:szCs w:val="24"/>
          <w:rtl/>
        </w:rPr>
        <w:t>), החזיק אקדח חצי אוטומטי ובמחסנית עם 6 כדורים והתנגד למעצרו. בית משפט השלום קבע מתחם עונש הולם הנע בין 20 ל-40 חודשי מאסר, ובהעדר עבר פלילי, גזר על המערער 24 חודשי מאסר.</w:t>
      </w:r>
    </w:p>
    <w:p w14:paraId="1D3325E7" w14:textId="77777777" w:rsidR="008B33D6" w:rsidRDefault="008B33D6" w:rsidP="008B33D6">
      <w:pPr>
        <w:pStyle w:val="ac"/>
        <w:spacing w:after="0" w:line="240" w:lineRule="auto"/>
        <w:jc w:val="both"/>
        <w:rPr>
          <w:rFonts w:ascii="David" w:hAnsi="David" w:cs="David"/>
          <w:sz w:val="24"/>
          <w:szCs w:val="24"/>
        </w:rPr>
      </w:pPr>
      <w:r>
        <w:rPr>
          <w:rFonts w:ascii="David" w:hAnsi="David" w:cs="David"/>
          <w:sz w:val="24"/>
          <w:szCs w:val="24"/>
          <w:rtl/>
        </w:rPr>
        <w:t xml:space="preserve"> </w:t>
      </w:r>
    </w:p>
    <w:p w14:paraId="4E41BD9A" w14:textId="77777777" w:rsidR="008B33D6" w:rsidRDefault="008B33D6" w:rsidP="008B33D6">
      <w:pPr>
        <w:pStyle w:val="ac"/>
        <w:spacing w:after="0" w:line="360" w:lineRule="auto"/>
        <w:jc w:val="both"/>
        <w:rPr>
          <w:rFonts w:ascii="David" w:hAnsi="David" w:cs="David"/>
          <w:sz w:val="24"/>
          <w:szCs w:val="24"/>
          <w:rtl/>
        </w:rPr>
      </w:pPr>
    </w:p>
    <w:p w14:paraId="4B138DA5" w14:textId="77777777" w:rsidR="008B33D6" w:rsidRDefault="008B33D6" w:rsidP="008B33D6">
      <w:pPr>
        <w:pStyle w:val="ac"/>
        <w:spacing w:after="0" w:line="360" w:lineRule="auto"/>
        <w:jc w:val="both"/>
        <w:rPr>
          <w:rFonts w:ascii="David" w:hAnsi="David" w:cs="David"/>
          <w:sz w:val="24"/>
          <w:szCs w:val="24"/>
        </w:rPr>
      </w:pPr>
    </w:p>
    <w:p w14:paraId="482DBE78" w14:textId="77777777" w:rsidR="008B33D6" w:rsidRDefault="008B33D6" w:rsidP="008B33D6">
      <w:pPr>
        <w:pStyle w:val="ac"/>
        <w:numPr>
          <w:ilvl w:val="0"/>
          <w:numId w:val="2"/>
        </w:numPr>
        <w:spacing w:after="0" w:line="360" w:lineRule="auto"/>
        <w:jc w:val="both"/>
        <w:rPr>
          <w:rFonts w:ascii="David" w:hAnsi="David" w:cs="David"/>
          <w:sz w:val="24"/>
          <w:szCs w:val="24"/>
        </w:rPr>
      </w:pPr>
      <w:r>
        <w:rPr>
          <w:rFonts w:ascii="David" w:hAnsi="David" w:cs="David"/>
          <w:sz w:val="24"/>
          <w:szCs w:val="24"/>
          <w:rtl/>
        </w:rPr>
        <w:t>ב</w:t>
      </w:r>
      <w:hyperlink r:id="rId33" w:history="1">
        <w:r w:rsidR="0051365E" w:rsidRPr="0051365E">
          <w:rPr>
            <w:rFonts w:ascii="David" w:hAnsi="David" w:cs="David"/>
            <w:color w:val="0000FF"/>
            <w:sz w:val="24"/>
            <w:szCs w:val="24"/>
            <w:u w:val="single"/>
            <w:rtl/>
          </w:rPr>
          <w:t>עפ"ג (ב"ש) 65494-03-22</w:t>
        </w:r>
      </w:hyperlink>
      <w:r>
        <w:rPr>
          <w:rFonts w:ascii="David" w:hAnsi="David" w:cs="David"/>
          <w:sz w:val="24"/>
          <w:szCs w:val="24"/>
          <w:rtl/>
        </w:rPr>
        <w:t xml:space="preserve"> </w:t>
      </w:r>
      <w:r>
        <w:rPr>
          <w:rFonts w:ascii="David" w:hAnsi="David" w:cs="David"/>
          <w:b/>
          <w:bCs/>
          <w:sz w:val="24"/>
          <w:szCs w:val="24"/>
          <w:rtl/>
        </w:rPr>
        <w:t xml:space="preserve">אבו בדר נ' מדינת ישראל </w:t>
      </w:r>
      <w:r>
        <w:rPr>
          <w:rFonts w:ascii="David" w:hAnsi="David" w:cs="David"/>
          <w:sz w:val="24"/>
          <w:szCs w:val="24"/>
          <w:rtl/>
        </w:rPr>
        <w:t xml:space="preserve">(1.6.2022) (הוגש ע"י המאשימה) נדחה ערעורו של מערער שהורשע על פי הודאתו בהחזקת תת מקלע מאולתר עטוף בניילון נצמד, יחד עם אחרים (לפני תיקון 140). בית משפט השלום קבע מתחם עונש הולם הנע בין 20 ל-40 חודשי מאסר בפועל. בהתחשב בגילו הצעיר, מצבו הבריאותי והיותו נעדר עבר פלילי, נגזר דינו ל-22 חודשי מאסר בפועל. </w:t>
      </w:r>
    </w:p>
    <w:p w14:paraId="1DF0DF08" w14:textId="77777777" w:rsidR="008B33D6" w:rsidRDefault="008B33D6" w:rsidP="008B33D6">
      <w:pPr>
        <w:pStyle w:val="ac"/>
        <w:spacing w:after="0" w:line="240" w:lineRule="auto"/>
        <w:jc w:val="both"/>
        <w:rPr>
          <w:rFonts w:ascii="David" w:hAnsi="David" w:cs="David"/>
          <w:sz w:val="24"/>
          <w:szCs w:val="24"/>
        </w:rPr>
      </w:pPr>
    </w:p>
    <w:p w14:paraId="3CA8FCCA" w14:textId="77777777" w:rsidR="008B33D6" w:rsidRDefault="008B33D6" w:rsidP="008B33D6">
      <w:pPr>
        <w:pStyle w:val="ac"/>
        <w:numPr>
          <w:ilvl w:val="0"/>
          <w:numId w:val="2"/>
        </w:numPr>
        <w:spacing w:after="0" w:line="360" w:lineRule="auto"/>
        <w:jc w:val="both"/>
        <w:rPr>
          <w:rFonts w:ascii="David" w:hAnsi="David" w:cs="David"/>
          <w:sz w:val="24"/>
          <w:szCs w:val="24"/>
        </w:rPr>
      </w:pPr>
      <w:r>
        <w:rPr>
          <w:rFonts w:ascii="David" w:hAnsi="David" w:cs="David"/>
          <w:sz w:val="24"/>
          <w:szCs w:val="24"/>
          <w:rtl/>
        </w:rPr>
        <w:t>ב</w:t>
      </w:r>
      <w:hyperlink r:id="rId34" w:history="1">
        <w:r w:rsidR="0051365E" w:rsidRPr="0051365E">
          <w:rPr>
            <w:rFonts w:ascii="David" w:hAnsi="David" w:cs="David"/>
            <w:color w:val="0000FF"/>
            <w:sz w:val="24"/>
            <w:szCs w:val="24"/>
            <w:u w:val="single"/>
            <w:rtl/>
          </w:rPr>
          <w:t>עפ"ג (מרכז-לוד) 23553-06-21</w:t>
        </w:r>
      </w:hyperlink>
      <w:r>
        <w:rPr>
          <w:rFonts w:ascii="David" w:hAnsi="David" w:cs="David"/>
          <w:sz w:val="24"/>
          <w:szCs w:val="24"/>
          <w:rtl/>
        </w:rPr>
        <w:t xml:space="preserve"> </w:t>
      </w:r>
      <w:r>
        <w:rPr>
          <w:rFonts w:ascii="David" w:hAnsi="David" w:cs="David"/>
          <w:b/>
          <w:bCs/>
          <w:sz w:val="24"/>
          <w:szCs w:val="24"/>
          <w:rtl/>
        </w:rPr>
        <w:t xml:space="preserve">שחאדה נ' מדינת ישראל </w:t>
      </w:r>
      <w:r>
        <w:rPr>
          <w:rFonts w:ascii="David" w:hAnsi="David" w:cs="David"/>
          <w:sz w:val="24"/>
          <w:szCs w:val="24"/>
          <w:rtl/>
        </w:rPr>
        <w:t xml:space="preserve">(24.10.2021) (הוגש ע"י ב"כ הנאשם 1) נדון עניינו של מערער שהורשע על פי הודאתו בהחזקה לזמן קצר של רובה מסוג "קלצניקוב" עם מחסנית תואמת ורובה מסוג "קרל גוסטב" (לפני תיקון 140). בית משפט השלום קבע כי מתחם עונש הולם הנע בין 18 ל-24 חודשי מאסר בפועל וגזר על המערער, 18 חודשי מאסר בפועל, הפעיל בחופף ובמצטבר עונש מאסר מותנה כך שסה"כ נגזרו על הנאשם 20 חודשי מאסר. ערעור שהגיש המערער על חומרת העונש התקבל חלקית, עונש המאסר המותנה כך שעונש המאסר המותנה הופעל בחופף במלואו, וסה"כ נגזר על הנאשם לרצות 18 חודשי מאסר בפועל. </w:t>
      </w:r>
    </w:p>
    <w:p w14:paraId="39F6A4C7" w14:textId="77777777" w:rsidR="008B33D6" w:rsidRDefault="008B33D6" w:rsidP="008B33D6">
      <w:pPr>
        <w:pStyle w:val="ac"/>
        <w:spacing w:after="0" w:line="240" w:lineRule="auto"/>
        <w:jc w:val="both"/>
        <w:rPr>
          <w:rFonts w:ascii="David" w:hAnsi="David" w:cs="David"/>
          <w:sz w:val="24"/>
          <w:szCs w:val="24"/>
        </w:rPr>
      </w:pPr>
    </w:p>
    <w:p w14:paraId="461C4680" w14:textId="77777777" w:rsidR="008B33D6" w:rsidRDefault="008B33D6" w:rsidP="008B33D6">
      <w:pPr>
        <w:pStyle w:val="ac"/>
        <w:numPr>
          <w:ilvl w:val="0"/>
          <w:numId w:val="2"/>
        </w:numPr>
        <w:spacing w:after="0" w:line="360" w:lineRule="auto"/>
        <w:jc w:val="both"/>
        <w:rPr>
          <w:rFonts w:ascii="David" w:hAnsi="David" w:cs="David"/>
          <w:sz w:val="24"/>
          <w:szCs w:val="24"/>
        </w:rPr>
      </w:pPr>
      <w:r>
        <w:rPr>
          <w:rFonts w:ascii="David" w:hAnsi="David" w:cs="David"/>
          <w:sz w:val="24"/>
          <w:szCs w:val="24"/>
          <w:rtl/>
        </w:rPr>
        <w:t>ב</w:t>
      </w:r>
      <w:hyperlink r:id="rId35" w:history="1">
        <w:r w:rsidR="0051365E" w:rsidRPr="0051365E">
          <w:rPr>
            <w:rFonts w:ascii="David" w:hAnsi="David" w:cs="David"/>
            <w:color w:val="0000FF"/>
            <w:sz w:val="24"/>
            <w:szCs w:val="24"/>
            <w:u w:val="single"/>
            <w:rtl/>
          </w:rPr>
          <w:t>ע"פ (חי') 52639-03-11</w:t>
        </w:r>
      </w:hyperlink>
      <w:r>
        <w:rPr>
          <w:rFonts w:ascii="David" w:hAnsi="David" w:cs="David"/>
          <w:sz w:val="24"/>
          <w:szCs w:val="24"/>
          <w:rtl/>
        </w:rPr>
        <w:t xml:space="preserve"> </w:t>
      </w:r>
      <w:r>
        <w:rPr>
          <w:rFonts w:ascii="David" w:hAnsi="David" w:cs="David"/>
          <w:b/>
          <w:bCs/>
          <w:sz w:val="24"/>
          <w:szCs w:val="24"/>
          <w:rtl/>
        </w:rPr>
        <w:t xml:space="preserve">מדינת ישראל נ' אבו רומי </w:t>
      </w:r>
      <w:r>
        <w:rPr>
          <w:rFonts w:ascii="David" w:hAnsi="David" w:cs="David"/>
          <w:sz w:val="24"/>
          <w:szCs w:val="24"/>
          <w:rtl/>
        </w:rPr>
        <w:t xml:space="preserve">(16.6.2011) (הוגש ע"י ב"כ הנאשם 2), נדחה ערעור המאשימה על קולת העונש שנגזר על משיב שהורשע על פי הודאתו בהחזקת אקדח, מחסנית תואמת ומעל 100 כדורים. בהתחשב בתסקירו החיובי, העדר עבר פלילי, היותו נורמטיבי, נגזר דינו ל-6 חודשי מאסר בעבודות שירות. </w:t>
      </w:r>
    </w:p>
    <w:p w14:paraId="45C97F08" w14:textId="77777777" w:rsidR="008B33D6" w:rsidRDefault="008B33D6" w:rsidP="008B33D6">
      <w:pPr>
        <w:pStyle w:val="ac"/>
        <w:spacing w:after="0" w:line="240" w:lineRule="auto"/>
        <w:jc w:val="both"/>
        <w:rPr>
          <w:rFonts w:ascii="David" w:hAnsi="David" w:cs="David"/>
          <w:sz w:val="24"/>
          <w:szCs w:val="24"/>
        </w:rPr>
      </w:pPr>
    </w:p>
    <w:p w14:paraId="5E1B2A46" w14:textId="77777777" w:rsidR="008B33D6" w:rsidRDefault="008B33D6" w:rsidP="008B33D6">
      <w:pPr>
        <w:pStyle w:val="ac"/>
        <w:numPr>
          <w:ilvl w:val="0"/>
          <w:numId w:val="2"/>
        </w:numPr>
        <w:spacing w:after="0" w:line="360" w:lineRule="auto"/>
        <w:jc w:val="both"/>
        <w:rPr>
          <w:rFonts w:ascii="David" w:hAnsi="David" w:cs="David"/>
          <w:sz w:val="24"/>
          <w:szCs w:val="24"/>
        </w:rPr>
      </w:pPr>
      <w:r>
        <w:rPr>
          <w:rFonts w:ascii="David" w:hAnsi="David" w:cs="David"/>
          <w:sz w:val="24"/>
          <w:szCs w:val="24"/>
          <w:rtl/>
        </w:rPr>
        <w:t>ב</w:t>
      </w:r>
      <w:hyperlink r:id="rId36" w:history="1">
        <w:r w:rsidR="0051365E" w:rsidRPr="0051365E">
          <w:rPr>
            <w:rFonts w:ascii="David" w:hAnsi="David" w:cs="David"/>
            <w:color w:val="0000FF"/>
            <w:sz w:val="24"/>
            <w:szCs w:val="24"/>
            <w:u w:val="single"/>
            <w:rtl/>
          </w:rPr>
          <w:t>ת"פ (רמלה) 9211-05-21</w:t>
        </w:r>
      </w:hyperlink>
      <w:r>
        <w:rPr>
          <w:rFonts w:ascii="David" w:hAnsi="David" w:cs="David"/>
          <w:sz w:val="24"/>
          <w:szCs w:val="24"/>
          <w:rtl/>
        </w:rPr>
        <w:t xml:space="preserve"> </w:t>
      </w:r>
      <w:r>
        <w:rPr>
          <w:rFonts w:ascii="David" w:hAnsi="David" w:cs="David"/>
          <w:b/>
          <w:bCs/>
          <w:sz w:val="24"/>
          <w:szCs w:val="24"/>
          <w:rtl/>
        </w:rPr>
        <w:t xml:space="preserve">מדינת ישראל נ' אזברגה </w:t>
      </w:r>
      <w:r>
        <w:rPr>
          <w:rFonts w:ascii="David" w:hAnsi="David" w:cs="David"/>
          <w:sz w:val="24"/>
          <w:szCs w:val="24"/>
          <w:rtl/>
        </w:rPr>
        <w:t>(12.1.2023), דנתי בעניינו של נאשם שהורשע על פי הודאתו בהחזקת אקדח שהוסלק במקרר בחצר ביתו ללא מחסנית או תחמושת, עבור אחר (לפני תיקון 140). היות שהנשק לא היה זמין ולא כלל מחסנית וכדורים, נקבע מתחם עונש הולם הנע בין 12 ל-24 חודשי מאסר. בהיות הנאשם צעיר, נעדר עבר פלילי ובעל סיכויי שיקום, נגזר דינו ל-12 חודשי מאסר בפועל.</w:t>
      </w:r>
    </w:p>
    <w:p w14:paraId="5331AD80" w14:textId="77777777" w:rsidR="008B33D6" w:rsidRDefault="008B33D6" w:rsidP="008B33D6">
      <w:pPr>
        <w:rPr>
          <w:rFonts w:ascii="David" w:hAnsi="David"/>
        </w:rPr>
      </w:pPr>
    </w:p>
    <w:p w14:paraId="33D9DAD2" w14:textId="77777777" w:rsidR="008B33D6" w:rsidRDefault="008B33D6" w:rsidP="008B33D6">
      <w:pPr>
        <w:pStyle w:val="ac"/>
        <w:numPr>
          <w:ilvl w:val="0"/>
          <w:numId w:val="1"/>
        </w:numPr>
        <w:spacing w:after="0" w:line="360" w:lineRule="auto"/>
        <w:ind w:left="360"/>
        <w:jc w:val="both"/>
        <w:rPr>
          <w:rFonts w:ascii="David" w:hAnsi="David" w:cs="David"/>
          <w:sz w:val="24"/>
          <w:szCs w:val="24"/>
          <w:rtl/>
        </w:rPr>
      </w:pPr>
      <w:r>
        <w:rPr>
          <w:rFonts w:ascii="David" w:hAnsi="David" w:cs="David"/>
          <w:sz w:val="24"/>
          <w:szCs w:val="24"/>
          <w:rtl/>
        </w:rPr>
        <w:t>בחזרה לענייננו, הנאשם הורשע בהחזקת תת מקלע דמוי "קרלו", שני אקדחים, 130 כדורי תחמושת שונים, ומחסניות ששתיים מהן הכילו כדורים. את כלי הנשק נטל נאשם 1 מביתו של נאשם 2, והכניס לתא המטען של רכב אמו. במעשים אלה פגע נאשם 1 בערכים המוגנים במידה גבוהה, ופוטנציאל הסיכון שהיה כרוך בהחזקת כלי הנשק בשים לב לסוגם ולתחמושת בהיקף זה, גדול מאוד. לפיכך ובהתחשב בענישה הנוהגת הרלוונטית לפני תיקון 140 ל</w:t>
      </w:r>
      <w:hyperlink r:id="rId37" w:history="1">
        <w:r w:rsidR="0051365E" w:rsidRPr="0051365E">
          <w:rPr>
            <w:rFonts w:ascii="David" w:hAnsi="David" w:cs="David"/>
            <w:color w:val="0000FF"/>
            <w:sz w:val="24"/>
            <w:szCs w:val="24"/>
            <w:u w:val="single"/>
            <w:rtl/>
          </w:rPr>
          <w:t>חוק העונשין</w:t>
        </w:r>
      </w:hyperlink>
      <w:r>
        <w:rPr>
          <w:rFonts w:ascii="David" w:hAnsi="David" w:cs="David" w:hint="cs"/>
          <w:sz w:val="24"/>
          <w:szCs w:val="24"/>
          <w:rtl/>
        </w:rPr>
        <w:t xml:space="preserve"> </w:t>
      </w:r>
      <w:r>
        <w:rPr>
          <w:rFonts w:ascii="David" w:hAnsi="David" w:cs="David"/>
          <w:b/>
          <w:bCs/>
          <w:sz w:val="24"/>
          <w:szCs w:val="24"/>
          <w:rtl/>
        </w:rPr>
        <w:t>אני קובעת כי מתחם העונש ההולם הכולל נע בין 28 ל-48 חודשי מאסר בפועל</w:t>
      </w:r>
      <w:r>
        <w:rPr>
          <w:rFonts w:ascii="David" w:hAnsi="David" w:cs="David"/>
          <w:sz w:val="24"/>
          <w:szCs w:val="24"/>
          <w:rtl/>
        </w:rPr>
        <w:t xml:space="preserve">. </w:t>
      </w:r>
    </w:p>
    <w:p w14:paraId="47AC8387" w14:textId="77777777" w:rsidR="008B33D6" w:rsidRPr="008B33D6" w:rsidRDefault="008B33D6" w:rsidP="008B33D6">
      <w:pPr>
        <w:spacing w:line="480" w:lineRule="auto"/>
        <w:jc w:val="both"/>
        <w:rPr>
          <w:rFonts w:ascii="Calibri" w:hAnsi="Calibri"/>
          <w:u w:val="single"/>
          <w:rtl/>
        </w:rPr>
      </w:pPr>
    </w:p>
    <w:p w14:paraId="403EB8B2" w14:textId="77777777" w:rsidR="008B33D6" w:rsidRPr="008B33D6" w:rsidRDefault="008B33D6" w:rsidP="008B33D6">
      <w:pPr>
        <w:spacing w:line="480" w:lineRule="auto"/>
        <w:jc w:val="both"/>
        <w:rPr>
          <w:rFonts w:ascii="Calibri" w:hAnsi="Calibri"/>
          <w:u w:val="single"/>
        </w:rPr>
      </w:pPr>
    </w:p>
    <w:p w14:paraId="414058A9" w14:textId="77777777" w:rsidR="008B33D6" w:rsidRDefault="008B33D6" w:rsidP="008B33D6">
      <w:pPr>
        <w:spacing w:line="480" w:lineRule="auto"/>
        <w:jc w:val="both"/>
        <w:rPr>
          <w:rFonts w:ascii="David" w:hAnsi="David"/>
          <w:rtl/>
        </w:rPr>
      </w:pPr>
      <w:r>
        <w:rPr>
          <w:u w:val="single"/>
          <w:rtl/>
        </w:rPr>
        <w:t>גזירת העונש בתוך המתחם</w:t>
      </w:r>
    </w:p>
    <w:p w14:paraId="5C96169F" w14:textId="77777777" w:rsidR="008B33D6" w:rsidRDefault="008B33D6" w:rsidP="008B33D6">
      <w:pPr>
        <w:pStyle w:val="ac"/>
        <w:numPr>
          <w:ilvl w:val="0"/>
          <w:numId w:val="1"/>
        </w:numPr>
        <w:spacing w:after="0" w:line="360" w:lineRule="auto"/>
        <w:ind w:left="360"/>
        <w:jc w:val="both"/>
        <w:rPr>
          <w:rFonts w:ascii="David" w:hAnsi="David" w:cs="David"/>
          <w:sz w:val="24"/>
          <w:szCs w:val="24"/>
          <w:rtl/>
        </w:rPr>
      </w:pPr>
      <w:r>
        <w:rPr>
          <w:rFonts w:ascii="David" w:hAnsi="David" w:cs="David"/>
          <w:sz w:val="24"/>
          <w:szCs w:val="24"/>
          <w:rtl/>
        </w:rPr>
        <w:t>הנאשם 1 היה כבן 20 בעת ביצוע העבירה</w:t>
      </w:r>
      <w:r>
        <w:rPr>
          <w:rFonts w:ascii="David" w:hAnsi="David" w:cs="David" w:hint="cs"/>
          <w:sz w:val="24"/>
          <w:szCs w:val="24"/>
          <w:rtl/>
        </w:rPr>
        <w:t xml:space="preserve"> </w:t>
      </w:r>
      <w:r>
        <w:rPr>
          <w:rFonts w:ascii="David" w:hAnsi="David" w:cs="David"/>
          <w:sz w:val="24"/>
          <w:szCs w:val="24"/>
          <w:rtl/>
        </w:rPr>
        <w:t xml:space="preserve">וכיום הוא בן 24, רווק, נעדר עבר פלילי, שהודה במיוחס לו בעיצומה של פרשת התביעה, ולכן חסך מזמנו של בית המשפט. מזה </w:t>
      </w:r>
      <w:r>
        <w:rPr>
          <w:rFonts w:ascii="David" w:hAnsi="David" w:cs="David" w:hint="cs"/>
          <w:sz w:val="24"/>
          <w:szCs w:val="24"/>
          <w:rtl/>
        </w:rPr>
        <w:t>כשנתיים</w:t>
      </w:r>
      <w:r>
        <w:rPr>
          <w:rFonts w:ascii="David" w:hAnsi="David" w:cs="David"/>
          <w:sz w:val="24"/>
          <w:szCs w:val="24"/>
          <w:rtl/>
        </w:rPr>
        <w:t xml:space="preserve"> עובד כמנהל מחלקת ייצוא בחברת אופנה, התרחק מחברה שולית ושאיפותיו נורמטיביות. </w:t>
      </w:r>
    </w:p>
    <w:p w14:paraId="04EEB9B1" w14:textId="77777777" w:rsidR="008B33D6" w:rsidRDefault="008B33D6" w:rsidP="008B33D6">
      <w:pPr>
        <w:pStyle w:val="ac"/>
        <w:spacing w:after="0" w:line="240" w:lineRule="auto"/>
        <w:ind w:left="360"/>
        <w:jc w:val="both"/>
        <w:rPr>
          <w:rFonts w:ascii="David" w:hAnsi="David" w:cs="David"/>
          <w:sz w:val="24"/>
          <w:szCs w:val="24"/>
        </w:rPr>
      </w:pPr>
    </w:p>
    <w:p w14:paraId="55566C4E" w14:textId="77777777" w:rsidR="008B33D6" w:rsidRDefault="008B33D6" w:rsidP="008B33D6">
      <w:pPr>
        <w:numPr>
          <w:ilvl w:val="0"/>
          <w:numId w:val="1"/>
        </w:numPr>
        <w:spacing w:line="360" w:lineRule="auto"/>
        <w:ind w:left="360"/>
        <w:jc w:val="both"/>
        <w:rPr>
          <w:rFonts w:ascii="David" w:hAnsi="David"/>
        </w:rPr>
      </w:pPr>
      <w:r>
        <w:rPr>
          <w:rFonts w:ascii="David" w:hAnsi="David"/>
          <w:rtl/>
        </w:rPr>
        <w:t xml:space="preserve">הנאשם נטל אחריות מלאה והביע חרטה כנה על מעשיו. מתסקירי שירות המבחן עולה כי הוא מבין היטב את חומרת המעשים, וההליך הפלילי לרבות שהותו במעצר תקופה בת כ-40 ימים, היוו עבורו גורם מרתיע ומציב גבולות ברורים. הנאשם חרד מאוד מהעונש לו הוא צפוי, דבר שהתבטא לאחרונה במצבו הנפשי עד כדי אשפוז. </w:t>
      </w:r>
    </w:p>
    <w:p w14:paraId="6F85BE3B" w14:textId="77777777" w:rsidR="008B33D6" w:rsidRDefault="008B33D6" w:rsidP="008B33D6">
      <w:pPr>
        <w:ind w:left="360"/>
        <w:jc w:val="both"/>
        <w:rPr>
          <w:rFonts w:ascii="David" w:hAnsi="David"/>
        </w:rPr>
      </w:pPr>
    </w:p>
    <w:p w14:paraId="78DFCBBA" w14:textId="77777777" w:rsidR="008B33D6" w:rsidRDefault="008B33D6" w:rsidP="008B33D6">
      <w:pPr>
        <w:numPr>
          <w:ilvl w:val="0"/>
          <w:numId w:val="1"/>
        </w:numPr>
        <w:spacing w:line="360" w:lineRule="auto"/>
        <w:ind w:left="360"/>
        <w:jc w:val="both"/>
        <w:rPr>
          <w:rFonts w:ascii="David" w:hAnsi="David"/>
        </w:rPr>
      </w:pPr>
      <w:r>
        <w:rPr>
          <w:rFonts w:ascii="David" w:hAnsi="David"/>
          <w:rtl/>
        </w:rPr>
        <w:t xml:space="preserve">כאמור, ההגנה עתרה להשית על הנאשם עונש בחריגה מהמתחם משיקולי שיקום </w:t>
      </w:r>
      <w:r>
        <w:rPr>
          <w:rFonts w:ascii="David" w:hAnsi="David" w:hint="cs"/>
          <w:rtl/>
        </w:rPr>
        <w:t>ו</w:t>
      </w:r>
      <w:r>
        <w:rPr>
          <w:rFonts w:ascii="David" w:hAnsi="David"/>
          <w:rtl/>
        </w:rPr>
        <w:t xml:space="preserve">לאור המלצת שירות המבחן, והמאשימה עתרה לגזירת העונש בחלקו התחתון של המתחם.  </w:t>
      </w:r>
    </w:p>
    <w:p w14:paraId="3C9786CC" w14:textId="77777777" w:rsidR="008B33D6" w:rsidRDefault="008B33D6" w:rsidP="008B33D6">
      <w:pPr>
        <w:ind w:left="360"/>
        <w:jc w:val="both"/>
        <w:rPr>
          <w:rFonts w:ascii="David" w:hAnsi="David"/>
        </w:rPr>
      </w:pPr>
    </w:p>
    <w:p w14:paraId="1C1B0D10" w14:textId="77777777" w:rsidR="008B33D6" w:rsidRDefault="008B33D6" w:rsidP="008B33D6">
      <w:pPr>
        <w:numPr>
          <w:ilvl w:val="0"/>
          <w:numId w:val="1"/>
        </w:numPr>
        <w:spacing w:line="360" w:lineRule="auto"/>
        <w:ind w:left="360"/>
        <w:jc w:val="both"/>
        <w:rPr>
          <w:rFonts w:ascii="David" w:hAnsi="David"/>
        </w:rPr>
      </w:pPr>
      <w:r>
        <w:rPr>
          <w:rFonts w:ascii="David" w:hAnsi="David"/>
          <w:rtl/>
        </w:rPr>
        <w:t>הפסיקה קבעה שחריגה משיקולי שיקום תעשה בזהירות ובמשורה, וכחריג לכלל שיש לגזור על נאשם עונש בהתאם לעקרון ההלימה, וזאת רק לאחר הוכחת סיכויי השיקום מובהקים (</w:t>
      </w:r>
      <w:hyperlink r:id="rId38" w:history="1">
        <w:r w:rsidR="0051365E" w:rsidRPr="0051365E">
          <w:rPr>
            <w:rFonts w:ascii="David" w:hAnsi="David"/>
            <w:color w:val="0000FF"/>
            <w:u w:val="single"/>
            <w:rtl/>
          </w:rPr>
          <w:t>ע"פ 126/22</w:t>
        </w:r>
      </w:hyperlink>
      <w:r>
        <w:rPr>
          <w:rFonts w:ascii="David" w:hAnsi="David"/>
          <w:rtl/>
        </w:rPr>
        <w:t xml:space="preserve"> </w:t>
      </w:r>
      <w:r>
        <w:rPr>
          <w:rFonts w:ascii="David" w:hAnsi="David"/>
          <w:b/>
          <w:bCs/>
          <w:rtl/>
        </w:rPr>
        <w:t>מדינת ישראל נ' פלוני</w:t>
      </w:r>
      <w:r>
        <w:rPr>
          <w:rFonts w:ascii="David" w:hAnsi="David"/>
          <w:rtl/>
        </w:rPr>
        <w:t xml:space="preserve">, פסקה 16 (27.4.2022); </w:t>
      </w:r>
      <w:hyperlink r:id="rId39" w:history="1">
        <w:r w:rsidR="0051365E" w:rsidRPr="0051365E">
          <w:rPr>
            <w:rFonts w:ascii="David" w:hAnsi="David"/>
            <w:color w:val="0000FF"/>
            <w:u w:val="single"/>
            <w:rtl/>
          </w:rPr>
          <w:t>ע"פ 1229/19</w:t>
        </w:r>
      </w:hyperlink>
      <w:r w:rsidR="0051365E">
        <w:rPr>
          <w:rFonts w:ascii="David" w:hAnsi="David"/>
          <w:b/>
          <w:bCs/>
          <w:rtl/>
        </w:rPr>
        <w:t xml:space="preserve"> </w:t>
      </w:r>
      <w:r>
        <w:rPr>
          <w:rFonts w:ascii="David" w:hAnsi="David"/>
          <w:b/>
          <w:bCs/>
          <w:rtl/>
        </w:rPr>
        <w:t xml:space="preserve">סלומינסקי נ' מדינת ישראל, </w:t>
      </w:r>
      <w:r>
        <w:rPr>
          <w:rFonts w:ascii="David" w:hAnsi="David"/>
          <w:rtl/>
        </w:rPr>
        <w:t>פסקה 13</w:t>
      </w:r>
      <w:r w:rsidR="0051365E">
        <w:rPr>
          <w:rFonts w:ascii="David" w:hAnsi="David"/>
          <w:rtl/>
        </w:rPr>
        <w:t xml:space="preserve"> </w:t>
      </w:r>
      <w:r>
        <w:rPr>
          <w:rFonts w:ascii="David" w:hAnsi="David"/>
          <w:rtl/>
        </w:rPr>
        <w:t>(1.7.2019)). לשם בחינת סיכויי השיקום נקבעו אמות מידה ובהן מוטיבציה שמביע נאשם לשיקומו; הצלחת הליכי הטיפול בהם השתלב; הליכי גמילה מהתמכרויות; שינוי בדפוסי התנהגות וחשיבה, והבעת חרטה כנה. קביעת סיכויי השיקום נעשית על סמך תשתית ראייתית אובייקטיבית ובראשם תסקיר שירות המבחן והמלצותיו (</w:t>
      </w:r>
      <w:hyperlink r:id="rId40" w:history="1">
        <w:r w:rsidR="0051365E" w:rsidRPr="0051365E">
          <w:rPr>
            <w:rFonts w:ascii="David" w:hAnsi="David"/>
            <w:color w:val="0000FF"/>
            <w:u w:val="single"/>
            <w:rtl/>
          </w:rPr>
          <w:t>ע"פ 6637/17</w:t>
        </w:r>
      </w:hyperlink>
      <w:r>
        <w:rPr>
          <w:rFonts w:ascii="David" w:hAnsi="David"/>
          <w:rtl/>
        </w:rPr>
        <w:t xml:space="preserve"> </w:t>
      </w:r>
      <w:r>
        <w:rPr>
          <w:rFonts w:ascii="David" w:hAnsi="David"/>
          <w:b/>
          <w:bCs/>
          <w:rtl/>
        </w:rPr>
        <w:t>קרנדל נ' מדינת ישראל</w:t>
      </w:r>
      <w:r>
        <w:rPr>
          <w:rFonts w:ascii="David" w:hAnsi="David"/>
          <w:rtl/>
        </w:rPr>
        <w:t xml:space="preserve"> (18.4.2018)). </w:t>
      </w:r>
    </w:p>
    <w:p w14:paraId="54D0E731" w14:textId="77777777" w:rsidR="008B33D6" w:rsidRDefault="008B33D6" w:rsidP="008B33D6">
      <w:pPr>
        <w:ind w:left="360"/>
        <w:jc w:val="both"/>
        <w:rPr>
          <w:rFonts w:ascii="David" w:hAnsi="David"/>
        </w:rPr>
      </w:pPr>
    </w:p>
    <w:p w14:paraId="6D422E78" w14:textId="77777777" w:rsidR="008B33D6" w:rsidRDefault="008B33D6" w:rsidP="008B33D6">
      <w:pPr>
        <w:numPr>
          <w:ilvl w:val="0"/>
          <w:numId w:val="1"/>
        </w:numPr>
        <w:spacing w:line="360" w:lineRule="auto"/>
        <w:ind w:left="360"/>
        <w:jc w:val="both"/>
        <w:rPr>
          <w:rFonts w:ascii="David" w:hAnsi="David"/>
        </w:rPr>
      </w:pPr>
      <w:r>
        <w:rPr>
          <w:rFonts w:ascii="David" w:hAnsi="David"/>
          <w:rtl/>
        </w:rPr>
        <w:t xml:space="preserve">עיון בתסקירי שירות המבחן, מצביע על ההליך הטיפולי-שיקומי החיובי שעבר הנאשם. עסקינן בבחור צעיר, שביצע את המיוחס לו בהיותו כבן 20, ומאז חלפו 4 שנים. הוא סיים 12 שנות לימוד, בעל בגרות מלאה, בן למשפחה נורמטיבית, שהיו לו שאיפות להמשך לימודים שנגדעו עם מעצרו במקרה דנן. הנאשם השתתף בהצלחה בשתי קבוצות טיפוליות בתחום האלימות בשירות המבחן, רכש כלים להתמודדות עם מצבי לחץ וקונפליקט, שומר על יציבות תעסוקתית כמנהל מחלקת לוגיסטיקה (טל/4), ומביע מוטיבציה גבוהה להמשך בניית עתיד חיובי. מתסקירי שירות המבחן, ואסופת אסמכתאות רפואיות שהגיש (מחודשים אוגוסט עד נובמבר 2020, טל/3), עולה כי הנאשם התמודד עם התקפי חרדה, וטופל במרכז לין. ניתן להתרשם, כי הנאשם עושה מאמצים להמשך ניהול אורח חיים תקין ונורמטיבי. </w:t>
      </w:r>
    </w:p>
    <w:p w14:paraId="1EFDB279" w14:textId="77777777" w:rsidR="008B33D6" w:rsidRDefault="008B33D6" w:rsidP="008B33D6">
      <w:pPr>
        <w:ind w:left="360"/>
        <w:jc w:val="both"/>
        <w:rPr>
          <w:rFonts w:ascii="David" w:hAnsi="David"/>
        </w:rPr>
      </w:pPr>
      <w:r>
        <w:rPr>
          <w:rFonts w:ascii="David" w:hAnsi="David"/>
          <w:rtl/>
        </w:rPr>
        <w:t xml:space="preserve"> </w:t>
      </w:r>
    </w:p>
    <w:p w14:paraId="05B48F9F" w14:textId="77777777" w:rsidR="008B33D6" w:rsidRDefault="008B33D6" w:rsidP="008B33D6">
      <w:pPr>
        <w:numPr>
          <w:ilvl w:val="0"/>
          <w:numId w:val="1"/>
        </w:numPr>
        <w:spacing w:line="360" w:lineRule="auto"/>
        <w:ind w:left="360"/>
        <w:jc w:val="both"/>
        <w:rPr>
          <w:rFonts w:ascii="David" w:hAnsi="David"/>
        </w:rPr>
      </w:pPr>
      <w:r>
        <w:rPr>
          <w:rFonts w:ascii="David" w:hAnsi="David"/>
          <w:rtl/>
        </w:rPr>
        <w:t>אל מול החרטה וניטלת האחריות שהביע הנאשם, אני סבורה כי הוא ניסה לצמצם מאחריותו ויתרה מכך, הרקע לביצוע העבירות לוט בערפל ומעורר סימני שאלה. כלומר, בניגוד לדברי נאשם 1 בפני שירות המבחן ובא כוחו בטיעוניו לעונש, כתב האישום המתוקן לא מבטא את הטענה לפיה נאשם 2 ביקש שנאשם 1 יאסוף את כלי הנשק מביתו</w:t>
      </w:r>
      <w:r>
        <w:rPr>
          <w:rFonts w:ascii="David" w:hAnsi="David" w:hint="cs"/>
          <w:rtl/>
        </w:rPr>
        <w:t>, אלא כי כלי הנשק הוחזקו "עובר ליום 21.4.2020"</w:t>
      </w:r>
      <w:r>
        <w:rPr>
          <w:rFonts w:ascii="David" w:hAnsi="David"/>
          <w:rtl/>
        </w:rPr>
        <w:t>, ולפיכך אין בסיס לטענה כבדת המשקל</w:t>
      </w:r>
      <w:r>
        <w:rPr>
          <w:rFonts w:ascii="David" w:hAnsi="David" w:hint="cs"/>
          <w:rtl/>
        </w:rPr>
        <w:t>,</w:t>
      </w:r>
      <w:r>
        <w:rPr>
          <w:rFonts w:ascii="David" w:hAnsi="David"/>
          <w:rtl/>
        </w:rPr>
        <w:t xml:space="preserve"> כי נאשם 1 החזיק בכלי הנשק "החזקה רגעית" שנסיבותיה מקלות. מאליו מובן כי הנאשם לא יכול לטעון בחריגה מעובדות כתב האישום המתוקן (</w:t>
      </w:r>
      <w:hyperlink r:id="rId41" w:history="1">
        <w:r w:rsidR="0051365E" w:rsidRPr="0051365E">
          <w:rPr>
            <w:rFonts w:ascii="David" w:hAnsi="David"/>
            <w:color w:val="0000FF"/>
            <w:u w:val="single"/>
            <w:rtl/>
          </w:rPr>
          <w:t>ע"פ 5841/14</w:t>
        </w:r>
      </w:hyperlink>
      <w:r>
        <w:rPr>
          <w:rFonts w:ascii="David" w:hAnsi="David"/>
          <w:rtl/>
        </w:rPr>
        <w:t xml:space="preserve"> </w:t>
      </w:r>
      <w:r>
        <w:rPr>
          <w:rFonts w:ascii="David" w:hAnsi="David"/>
          <w:b/>
          <w:bCs/>
          <w:rtl/>
        </w:rPr>
        <w:t>מדינת ישראל נ' ארקאן</w:t>
      </w:r>
      <w:r>
        <w:rPr>
          <w:rFonts w:ascii="David" w:hAnsi="David"/>
          <w:rtl/>
        </w:rPr>
        <w:t xml:space="preserve"> (8.7.2015); </w:t>
      </w:r>
      <w:hyperlink r:id="rId42" w:history="1">
        <w:r w:rsidR="0051365E" w:rsidRPr="0051365E">
          <w:rPr>
            <w:rFonts w:ascii="David" w:hAnsi="David"/>
            <w:color w:val="0000FF"/>
            <w:u w:val="single"/>
            <w:rtl/>
          </w:rPr>
          <w:t>ע"פ 8807/22</w:t>
        </w:r>
      </w:hyperlink>
      <w:r>
        <w:rPr>
          <w:rFonts w:ascii="David" w:hAnsi="David"/>
          <w:rtl/>
        </w:rPr>
        <w:t xml:space="preserve"> </w:t>
      </w:r>
      <w:r>
        <w:rPr>
          <w:rFonts w:ascii="David" w:hAnsi="David"/>
          <w:b/>
          <w:bCs/>
          <w:rtl/>
        </w:rPr>
        <w:t>פלוני נ' מדינת ישראל</w:t>
      </w:r>
      <w:r>
        <w:rPr>
          <w:rFonts w:ascii="David" w:hAnsi="David"/>
          <w:rtl/>
        </w:rPr>
        <w:t xml:space="preserve"> (16.7.2023)).</w:t>
      </w:r>
      <w:r>
        <w:rPr>
          <w:rFonts w:ascii="David" w:hAnsi="David"/>
        </w:rPr>
        <w:t xml:space="preserve"> </w:t>
      </w:r>
    </w:p>
    <w:p w14:paraId="7AF67B0F" w14:textId="77777777" w:rsidR="008B33D6" w:rsidRDefault="008B33D6" w:rsidP="008B33D6">
      <w:pPr>
        <w:ind w:left="360"/>
        <w:jc w:val="both"/>
        <w:rPr>
          <w:rFonts w:ascii="David" w:hAnsi="David"/>
        </w:rPr>
      </w:pPr>
    </w:p>
    <w:p w14:paraId="5CDBE668" w14:textId="77777777" w:rsidR="008B33D6" w:rsidRDefault="008B33D6" w:rsidP="008B33D6">
      <w:pPr>
        <w:numPr>
          <w:ilvl w:val="0"/>
          <w:numId w:val="1"/>
        </w:numPr>
        <w:spacing w:line="360" w:lineRule="auto"/>
        <w:ind w:left="360"/>
        <w:jc w:val="both"/>
        <w:rPr>
          <w:rFonts w:ascii="David" w:hAnsi="David"/>
        </w:rPr>
      </w:pPr>
      <w:r>
        <w:rPr>
          <w:rFonts w:ascii="David" w:hAnsi="David"/>
          <w:rtl/>
        </w:rPr>
        <w:t xml:space="preserve">במכלול השיקולים הללו אני סבורה כי </w:t>
      </w:r>
      <w:r>
        <w:rPr>
          <w:rFonts w:ascii="David" w:hAnsi="David" w:hint="cs"/>
          <w:rtl/>
        </w:rPr>
        <w:t>הנאשם הוכיח שנכון להקל עמו משיקולי שיקום ולכן</w:t>
      </w:r>
      <w:r>
        <w:rPr>
          <w:rFonts w:ascii="David" w:hAnsi="David"/>
          <w:rtl/>
        </w:rPr>
        <w:t xml:space="preserve"> </w:t>
      </w:r>
      <w:r>
        <w:rPr>
          <w:rFonts w:ascii="David" w:hAnsi="David" w:hint="cs"/>
          <w:rtl/>
        </w:rPr>
        <w:t>א</w:t>
      </w:r>
      <w:r>
        <w:rPr>
          <w:rFonts w:ascii="David" w:hAnsi="David"/>
          <w:rtl/>
        </w:rPr>
        <w:t xml:space="preserve">חרוג ממתחם העונש לקולה, אך במידה מתונה. </w:t>
      </w:r>
    </w:p>
    <w:p w14:paraId="7B231CA3" w14:textId="77777777" w:rsidR="008B33D6" w:rsidRDefault="008B33D6" w:rsidP="008B33D6">
      <w:pPr>
        <w:spacing w:line="480" w:lineRule="auto"/>
        <w:jc w:val="both"/>
        <w:rPr>
          <w:rFonts w:ascii="David" w:hAnsi="David"/>
        </w:rPr>
      </w:pPr>
    </w:p>
    <w:p w14:paraId="0D0E98E5" w14:textId="77777777" w:rsidR="008B33D6" w:rsidRDefault="008B33D6" w:rsidP="008B33D6">
      <w:pPr>
        <w:spacing w:line="480" w:lineRule="auto"/>
        <w:jc w:val="both"/>
        <w:rPr>
          <w:rFonts w:ascii="David" w:hAnsi="David"/>
          <w:b/>
          <w:bCs/>
          <w:u w:val="single"/>
          <w:rtl/>
        </w:rPr>
      </w:pPr>
      <w:r>
        <w:rPr>
          <w:rFonts w:ascii="David" w:hAnsi="David"/>
          <w:b/>
          <w:bCs/>
          <w:u w:val="single"/>
          <w:rtl/>
        </w:rPr>
        <w:t>אשר על כן אני גוזרת על הנאשם את העונשים שלהלן</w:t>
      </w:r>
      <w:r>
        <w:rPr>
          <w:rFonts w:ascii="David" w:hAnsi="David"/>
          <w:rtl/>
        </w:rPr>
        <w:t>:</w:t>
      </w:r>
    </w:p>
    <w:p w14:paraId="040C5074" w14:textId="77777777" w:rsidR="008B33D6" w:rsidRDefault="008B33D6" w:rsidP="008B33D6">
      <w:pPr>
        <w:pStyle w:val="ac"/>
        <w:numPr>
          <w:ilvl w:val="0"/>
          <w:numId w:val="3"/>
        </w:numPr>
        <w:spacing w:after="0" w:line="360" w:lineRule="auto"/>
        <w:jc w:val="both"/>
        <w:rPr>
          <w:rFonts w:ascii="David" w:hAnsi="David" w:cs="David"/>
          <w:sz w:val="24"/>
          <w:szCs w:val="24"/>
        </w:rPr>
      </w:pPr>
      <w:r>
        <w:rPr>
          <w:rFonts w:ascii="David" w:hAnsi="David" w:cs="David"/>
          <w:sz w:val="24"/>
          <w:szCs w:val="24"/>
          <w:rtl/>
        </w:rPr>
        <w:t xml:space="preserve">מאסר בפועל למשך 24 חודשים, בניכוי ימי מעצרו. </w:t>
      </w:r>
    </w:p>
    <w:p w14:paraId="67771BA6" w14:textId="77777777" w:rsidR="008B33D6" w:rsidRDefault="008B33D6" w:rsidP="008B33D6">
      <w:pPr>
        <w:pStyle w:val="ac"/>
        <w:spacing w:after="0" w:line="360" w:lineRule="auto"/>
        <w:jc w:val="both"/>
        <w:rPr>
          <w:rFonts w:ascii="David" w:hAnsi="David" w:cs="David"/>
          <w:sz w:val="24"/>
          <w:szCs w:val="24"/>
        </w:rPr>
      </w:pPr>
      <w:r>
        <w:rPr>
          <w:rFonts w:ascii="David" w:hAnsi="David" w:cs="David"/>
          <w:sz w:val="24"/>
          <w:szCs w:val="24"/>
          <w:rtl/>
        </w:rPr>
        <w:t xml:space="preserve">הנאשם יתייצב לריצוי עונשו בבית מעצר "הדרים" ביום 10.7.2024 עד השעה 10:00, כשברשותו עותק מגזר הדין ותעודת זהות. </w:t>
      </w:r>
    </w:p>
    <w:p w14:paraId="5F6CA145" w14:textId="77777777" w:rsidR="008B33D6" w:rsidRDefault="008B33D6" w:rsidP="008B33D6">
      <w:pPr>
        <w:pStyle w:val="ac"/>
        <w:spacing w:after="0" w:line="240" w:lineRule="auto"/>
        <w:jc w:val="both"/>
        <w:rPr>
          <w:rFonts w:ascii="David" w:hAnsi="David" w:cs="David"/>
          <w:sz w:val="24"/>
          <w:szCs w:val="24"/>
        </w:rPr>
      </w:pPr>
    </w:p>
    <w:p w14:paraId="6573B878" w14:textId="77777777" w:rsidR="008B33D6" w:rsidRDefault="008B33D6" w:rsidP="008B33D6">
      <w:pPr>
        <w:pStyle w:val="ac"/>
        <w:numPr>
          <w:ilvl w:val="0"/>
          <w:numId w:val="3"/>
        </w:numPr>
        <w:spacing w:after="0" w:line="360" w:lineRule="auto"/>
        <w:jc w:val="both"/>
        <w:rPr>
          <w:rFonts w:ascii="David" w:hAnsi="David" w:cs="David"/>
          <w:sz w:val="24"/>
          <w:szCs w:val="24"/>
        </w:rPr>
      </w:pPr>
      <w:r>
        <w:rPr>
          <w:rFonts w:ascii="David" w:hAnsi="David" w:cs="David"/>
          <w:sz w:val="24"/>
          <w:szCs w:val="24"/>
          <w:rtl/>
        </w:rPr>
        <w:t>מאסר מותנה למשך 9 חודשים, והתנאי הוא כי הנאשם לא יעבור עבירת נשק מסוג פשע, למשך 3 שנים מיום שחרורו ממאסר.</w:t>
      </w:r>
    </w:p>
    <w:p w14:paraId="2378BCB8" w14:textId="77777777" w:rsidR="008B33D6" w:rsidRDefault="008B33D6" w:rsidP="008B33D6">
      <w:pPr>
        <w:pStyle w:val="ac"/>
        <w:spacing w:after="0" w:line="240" w:lineRule="auto"/>
        <w:jc w:val="both"/>
        <w:rPr>
          <w:rFonts w:ascii="David" w:hAnsi="David" w:cs="David"/>
          <w:sz w:val="24"/>
          <w:szCs w:val="24"/>
        </w:rPr>
      </w:pPr>
    </w:p>
    <w:p w14:paraId="69ECB29D" w14:textId="77777777" w:rsidR="008B33D6" w:rsidRDefault="008B33D6" w:rsidP="008B33D6">
      <w:pPr>
        <w:pStyle w:val="ac"/>
        <w:numPr>
          <w:ilvl w:val="0"/>
          <w:numId w:val="3"/>
        </w:numPr>
        <w:spacing w:after="0" w:line="360" w:lineRule="auto"/>
        <w:jc w:val="both"/>
        <w:rPr>
          <w:rFonts w:ascii="David" w:hAnsi="David" w:cs="David"/>
          <w:sz w:val="24"/>
          <w:szCs w:val="24"/>
        </w:rPr>
      </w:pPr>
      <w:r>
        <w:rPr>
          <w:rFonts w:ascii="David" w:hAnsi="David" w:cs="David"/>
          <w:sz w:val="24"/>
          <w:szCs w:val="24"/>
          <w:rtl/>
        </w:rPr>
        <w:t>מאסר מותנה למשך 5 חודשים, והתנאי הוא כי הנאשם לא יעבור עבירת נשק מסוג עוון, למשך 3 שנים מיום שחרורו ממאסר.</w:t>
      </w:r>
    </w:p>
    <w:p w14:paraId="388D0DB9" w14:textId="77777777" w:rsidR="008B33D6" w:rsidRDefault="008B33D6" w:rsidP="008B33D6">
      <w:pPr>
        <w:pStyle w:val="ac"/>
        <w:spacing w:after="0" w:line="240" w:lineRule="auto"/>
        <w:jc w:val="both"/>
        <w:rPr>
          <w:rFonts w:ascii="David" w:hAnsi="David" w:cs="David"/>
          <w:sz w:val="24"/>
          <w:szCs w:val="24"/>
        </w:rPr>
      </w:pPr>
    </w:p>
    <w:p w14:paraId="16544023" w14:textId="77777777" w:rsidR="008B33D6" w:rsidRPr="008B33D6" w:rsidRDefault="008B33D6" w:rsidP="008B33D6">
      <w:pPr>
        <w:pStyle w:val="ac"/>
        <w:numPr>
          <w:ilvl w:val="0"/>
          <w:numId w:val="3"/>
        </w:numPr>
        <w:spacing w:after="0" w:line="360" w:lineRule="auto"/>
        <w:jc w:val="both"/>
        <w:rPr>
          <w:rFonts w:ascii="David" w:hAnsi="David" w:cs="David"/>
          <w:sz w:val="24"/>
          <w:szCs w:val="24"/>
        </w:rPr>
      </w:pPr>
      <w:r>
        <w:rPr>
          <w:rFonts w:ascii="David" w:hAnsi="David" w:cs="David"/>
          <w:sz w:val="24"/>
          <w:szCs w:val="24"/>
          <w:rtl/>
        </w:rPr>
        <w:t>הנאשם ישלם קנס בסך 20,000 ₪, או 200 ימי מאסר תמורתו. הקנס ישולם ב-</w:t>
      </w:r>
      <w:r>
        <w:rPr>
          <w:rFonts w:ascii="David" w:hAnsi="David" w:cs="David" w:hint="cs"/>
          <w:sz w:val="24"/>
          <w:szCs w:val="24"/>
          <w:rtl/>
        </w:rPr>
        <w:t>10</w:t>
      </w:r>
      <w:r>
        <w:rPr>
          <w:rFonts w:ascii="David" w:hAnsi="David" w:cs="David"/>
          <w:sz w:val="24"/>
          <w:szCs w:val="24"/>
          <w:rtl/>
        </w:rPr>
        <w:t xml:space="preserve"> תשלומים שווים ורצופים החל מיום 1.8.2024 ובכל אחד בחודש שלאחר מכן. לא ישלם הנאשם תשלום מתשלומי הקנס, תעמוד יתרתו לפרעון מיידי. </w:t>
      </w:r>
    </w:p>
    <w:p w14:paraId="392D2E98" w14:textId="77777777" w:rsidR="008B33D6" w:rsidRDefault="008B33D6" w:rsidP="008B33D6">
      <w:pPr>
        <w:pStyle w:val="ac"/>
        <w:spacing w:after="0" w:line="240" w:lineRule="auto"/>
        <w:jc w:val="both"/>
        <w:rPr>
          <w:rFonts w:ascii="David" w:hAnsi="David" w:cs="David"/>
          <w:sz w:val="24"/>
          <w:szCs w:val="24"/>
        </w:rPr>
      </w:pPr>
    </w:p>
    <w:p w14:paraId="156159AF" w14:textId="77777777" w:rsidR="008B33D6" w:rsidRDefault="008B33D6" w:rsidP="008B33D6">
      <w:pPr>
        <w:pStyle w:val="ac"/>
        <w:spacing w:after="0" w:line="360" w:lineRule="auto"/>
        <w:jc w:val="both"/>
        <w:rPr>
          <w:rFonts w:ascii="David" w:hAnsi="David" w:cs="David"/>
          <w:sz w:val="24"/>
          <w:szCs w:val="24"/>
          <w:rtl/>
        </w:rPr>
      </w:pPr>
      <w:r w:rsidRPr="00FA5C1C">
        <w:rPr>
          <w:rFonts w:ascii="David" w:hAnsi="David" w:cs="David"/>
          <w:sz w:val="24"/>
          <w:szCs w:val="24"/>
          <w:rtl/>
        </w:rPr>
        <w:t>ככל שקיים פיקדון בתיק זה או בתיק קשור אליו, בהסכמת הנאשם הוא יקוזז לטובת הקנס, והיתרה</w:t>
      </w:r>
      <w:r>
        <w:rPr>
          <w:rFonts w:ascii="David" w:hAnsi="David" w:cs="David"/>
          <w:sz w:val="24"/>
          <w:szCs w:val="24"/>
          <w:rtl/>
        </w:rPr>
        <w:t xml:space="preserve"> תוחזר אליו או למיופה כוחו, כפוף לכל מניעה חוקית לרבות עיקול. תשלום הקנס ייעשה ישירות לחשבון המרכז לגביית קנסות, אגרות והוצאות ברשות האכיפה והגביה באחת הדרכים הבאות: בכרטיס אשראי באתר המקוון של רשות האכיפה והגבייה (חיפוש בגוגל "תשלום גביית קנסות"): </w:t>
      </w:r>
      <w:r>
        <w:rPr>
          <w:rFonts w:ascii="David" w:hAnsi="David" w:cs="David"/>
          <w:sz w:val="24"/>
          <w:szCs w:val="24"/>
        </w:rPr>
        <w:t>www.eca.gov.il</w:t>
      </w:r>
      <w:r>
        <w:rPr>
          <w:rFonts w:ascii="David" w:hAnsi="David" w:cs="David"/>
          <w:sz w:val="24"/>
          <w:szCs w:val="24"/>
          <w:rtl/>
        </w:rPr>
        <w:t xml:space="preserve"> (ניתן לשלם בפריסה של עד 18 תשלומים בהסדר קרדיט). או באמצעות מוקד שירות טלפוני בשרות עצמי (מרכז הגבייה) בטלפון 35592* או בטלפון 073-2055000. או במזומן בסניפי בנק הדואר, בהצגת תעודת זהות (ללא צורך בשוברים). </w:t>
      </w:r>
    </w:p>
    <w:p w14:paraId="52BA4798" w14:textId="77777777" w:rsidR="008B33D6" w:rsidRDefault="008B33D6" w:rsidP="008B33D6">
      <w:pPr>
        <w:jc w:val="both"/>
        <w:rPr>
          <w:rFonts w:ascii="David" w:hAnsi="David"/>
          <w:rtl/>
        </w:rPr>
      </w:pPr>
    </w:p>
    <w:p w14:paraId="4F5974D3" w14:textId="77777777" w:rsidR="008B33D6" w:rsidRDefault="008B33D6" w:rsidP="008B33D6">
      <w:pPr>
        <w:spacing w:line="360" w:lineRule="auto"/>
        <w:jc w:val="both"/>
        <w:rPr>
          <w:rFonts w:ascii="David" w:hAnsi="David"/>
          <w:rtl/>
        </w:rPr>
      </w:pPr>
      <w:r>
        <w:rPr>
          <w:rFonts w:ascii="David" w:hAnsi="David"/>
          <w:rtl/>
        </w:rPr>
        <w:t>פתוח הדלת בפני הנאשם לתאם את הכניסה למאסר, כולל האפשרות למיון מוקדם, עם ענף אבחון ומיון של שב"ס: רכזת מיון מוקדם 074-7831077 או רשמת מאסרים נדחים 074-7831078 וכן להתעדכן באתר האינטרנט של שב"ס, ברשימת הציוד הראשוני שניתן להביא בעת ההתייצבות.</w:t>
      </w:r>
    </w:p>
    <w:p w14:paraId="35E39DFE" w14:textId="77777777" w:rsidR="008B33D6" w:rsidRDefault="008B33D6" w:rsidP="008B33D6">
      <w:pPr>
        <w:jc w:val="both"/>
        <w:rPr>
          <w:rFonts w:ascii="David" w:hAnsi="David"/>
          <w:u w:val="single"/>
          <w:rtl/>
        </w:rPr>
      </w:pPr>
    </w:p>
    <w:p w14:paraId="7830DCDB" w14:textId="77777777" w:rsidR="008B33D6" w:rsidRDefault="008B33D6" w:rsidP="008B33D6">
      <w:pPr>
        <w:jc w:val="both"/>
        <w:rPr>
          <w:rFonts w:ascii="David" w:hAnsi="David"/>
          <w:u w:val="single"/>
          <w:rtl/>
        </w:rPr>
      </w:pPr>
    </w:p>
    <w:p w14:paraId="0595B79F" w14:textId="77777777" w:rsidR="008B33D6" w:rsidRDefault="008B33D6" w:rsidP="008B33D6">
      <w:pPr>
        <w:jc w:val="both"/>
        <w:rPr>
          <w:rFonts w:ascii="David" w:hAnsi="David"/>
          <w:u w:val="single"/>
          <w:rtl/>
        </w:rPr>
      </w:pPr>
    </w:p>
    <w:p w14:paraId="5BB1FE31" w14:textId="77777777" w:rsidR="008B33D6" w:rsidRDefault="008B33D6" w:rsidP="008B33D6">
      <w:pPr>
        <w:spacing w:line="360" w:lineRule="auto"/>
        <w:jc w:val="both"/>
        <w:rPr>
          <w:rFonts w:ascii="David" w:hAnsi="David"/>
          <w:u w:val="single"/>
          <w:rtl/>
        </w:rPr>
      </w:pPr>
    </w:p>
    <w:p w14:paraId="567176D1" w14:textId="77777777" w:rsidR="008B33D6" w:rsidRDefault="008B33D6" w:rsidP="008B33D6">
      <w:pPr>
        <w:spacing w:line="360" w:lineRule="auto"/>
        <w:jc w:val="both"/>
        <w:rPr>
          <w:rFonts w:ascii="David" w:hAnsi="David"/>
          <w:u w:val="single"/>
          <w:rtl/>
        </w:rPr>
      </w:pPr>
      <w:r w:rsidRPr="00FF74C9">
        <w:rPr>
          <w:rFonts w:ascii="David" w:hAnsi="David"/>
          <w:u w:val="single"/>
          <w:rtl/>
        </w:rPr>
        <w:t>הערבויות הכספיות ישמשו להבטחת התייצבותו של הנאשם לריצוי עונשו</w:t>
      </w:r>
      <w:r w:rsidRPr="00FF74C9">
        <w:rPr>
          <w:rFonts w:ascii="David" w:hAnsi="David" w:hint="cs"/>
          <w:u w:val="single"/>
          <w:rtl/>
        </w:rPr>
        <w:t>, ורק לאחר התייצבותו יקוזזו לטובת תשלום הקנס</w:t>
      </w:r>
      <w:r>
        <w:rPr>
          <w:rFonts w:ascii="David" w:hAnsi="David"/>
          <w:rtl/>
        </w:rPr>
        <w:t xml:space="preserve">. </w:t>
      </w:r>
    </w:p>
    <w:p w14:paraId="59E801AC" w14:textId="77777777" w:rsidR="008B33D6" w:rsidRDefault="008B33D6" w:rsidP="008B33D6">
      <w:pPr>
        <w:spacing w:line="360" w:lineRule="auto"/>
        <w:jc w:val="both"/>
        <w:rPr>
          <w:rFonts w:ascii="David" w:hAnsi="David"/>
          <w:highlight w:val="yellow"/>
          <w:u w:val="single"/>
          <w:rtl/>
        </w:rPr>
      </w:pPr>
    </w:p>
    <w:p w14:paraId="349503D8" w14:textId="77777777" w:rsidR="008B33D6" w:rsidRDefault="008B33D6" w:rsidP="008B33D6">
      <w:pPr>
        <w:spacing w:line="360" w:lineRule="auto"/>
        <w:jc w:val="both"/>
        <w:rPr>
          <w:rFonts w:ascii="David" w:hAnsi="David"/>
          <w:u w:val="single"/>
          <w:rtl/>
        </w:rPr>
      </w:pPr>
      <w:r w:rsidRPr="00FA5C1C">
        <w:rPr>
          <w:rFonts w:ascii="David" w:hAnsi="David"/>
          <w:u w:val="single"/>
          <w:rtl/>
        </w:rPr>
        <w:t>מוצא</w:t>
      </w:r>
      <w:r>
        <w:rPr>
          <w:rFonts w:ascii="David" w:hAnsi="David"/>
          <w:u w:val="single"/>
          <w:rtl/>
        </w:rPr>
        <w:t xml:space="preserve"> צו עיכוב יציאה מהארץ נגד המשיב</w:t>
      </w:r>
      <w:r w:rsidRPr="00FA5C1C">
        <w:rPr>
          <w:rFonts w:ascii="David" w:hAnsi="David"/>
          <w:u w:val="single"/>
          <w:rtl/>
        </w:rPr>
        <w:t>.</w:t>
      </w:r>
    </w:p>
    <w:p w14:paraId="53C13F92" w14:textId="77777777" w:rsidR="008B33D6" w:rsidRDefault="008B33D6" w:rsidP="008B33D6">
      <w:pPr>
        <w:spacing w:line="360" w:lineRule="auto"/>
        <w:jc w:val="both"/>
        <w:rPr>
          <w:rFonts w:ascii="David" w:hAnsi="David"/>
          <w:u w:val="single"/>
          <w:rtl/>
        </w:rPr>
      </w:pPr>
    </w:p>
    <w:p w14:paraId="37B0B688" w14:textId="77777777" w:rsidR="008B33D6" w:rsidRDefault="008B33D6" w:rsidP="008B33D6">
      <w:pPr>
        <w:spacing w:line="360" w:lineRule="auto"/>
        <w:jc w:val="both"/>
        <w:rPr>
          <w:rFonts w:ascii="David" w:hAnsi="David"/>
          <w:rtl/>
        </w:rPr>
      </w:pPr>
      <w:r>
        <w:rPr>
          <w:rFonts w:ascii="David" w:hAnsi="David"/>
          <w:u w:val="single"/>
          <w:rtl/>
        </w:rPr>
        <w:t>ניתן צו כללי למוצגים</w:t>
      </w:r>
      <w:r>
        <w:rPr>
          <w:rFonts w:ascii="David" w:hAnsi="David"/>
          <w:rtl/>
        </w:rPr>
        <w:t xml:space="preserve">. </w:t>
      </w:r>
    </w:p>
    <w:p w14:paraId="115747DD" w14:textId="77777777" w:rsidR="008B33D6" w:rsidRPr="00FA5C1C" w:rsidRDefault="008B33D6" w:rsidP="008B33D6">
      <w:pPr>
        <w:spacing w:line="360" w:lineRule="auto"/>
        <w:jc w:val="both"/>
        <w:rPr>
          <w:rFonts w:ascii="David" w:hAnsi="David"/>
          <w:u w:val="single"/>
          <w:rtl/>
        </w:rPr>
      </w:pPr>
      <w:r w:rsidRPr="00FA5C1C">
        <w:rPr>
          <w:rFonts w:ascii="David" w:hAnsi="David" w:hint="cs"/>
          <w:u w:val="single"/>
          <w:rtl/>
        </w:rPr>
        <w:t>עותק לשירות המבחן</w:t>
      </w:r>
      <w:r>
        <w:rPr>
          <w:rFonts w:ascii="David" w:hAnsi="David" w:hint="cs"/>
          <w:u w:val="single"/>
          <w:rtl/>
        </w:rPr>
        <w:t>.</w:t>
      </w:r>
    </w:p>
    <w:p w14:paraId="5C6CB590" w14:textId="77777777" w:rsidR="008B33D6" w:rsidRDefault="008B33D6" w:rsidP="008B33D6">
      <w:pPr>
        <w:spacing w:line="360" w:lineRule="auto"/>
        <w:jc w:val="both"/>
        <w:rPr>
          <w:rFonts w:ascii="David" w:hAnsi="David"/>
          <w:u w:val="single"/>
          <w:rtl/>
        </w:rPr>
      </w:pPr>
    </w:p>
    <w:p w14:paraId="517E2BB4" w14:textId="77777777" w:rsidR="008B33D6" w:rsidRDefault="0051365E" w:rsidP="008B33D6">
      <w:pPr>
        <w:spacing w:line="360" w:lineRule="auto"/>
        <w:jc w:val="both"/>
        <w:rPr>
          <w:rFonts w:ascii="David" w:hAnsi="David"/>
          <w:b/>
          <w:bCs/>
          <w:u w:val="single"/>
          <w:rtl/>
        </w:rPr>
      </w:pPr>
      <w:r w:rsidRPr="0051365E">
        <w:rPr>
          <w:rFonts w:ascii="David" w:hAnsi="David"/>
          <w:b/>
          <w:bCs/>
          <w:color w:val="FFFFFF"/>
          <w:sz w:val="2"/>
          <w:szCs w:val="2"/>
          <w:u w:val="single"/>
          <w:rtl/>
        </w:rPr>
        <w:t>5129371</w:t>
      </w:r>
      <w:r w:rsidR="008B33D6">
        <w:rPr>
          <w:rFonts w:ascii="David" w:hAnsi="David"/>
          <w:b/>
          <w:bCs/>
          <w:u w:val="single"/>
          <w:rtl/>
        </w:rPr>
        <w:t>זכות ערעור לבית המשפט המחוזי מרכז-לוד בתוך 45 ימים</w:t>
      </w:r>
      <w:r w:rsidR="008B33D6">
        <w:rPr>
          <w:rFonts w:ascii="David" w:hAnsi="David"/>
          <w:rtl/>
        </w:rPr>
        <w:t>.</w:t>
      </w:r>
      <w:r w:rsidR="008B33D6">
        <w:rPr>
          <w:rFonts w:ascii="David" w:hAnsi="David"/>
          <w:b/>
          <w:bCs/>
          <w:u w:val="single"/>
          <w:rtl/>
        </w:rPr>
        <w:t xml:space="preserve"> </w:t>
      </w:r>
    </w:p>
    <w:p w14:paraId="705F82C9" w14:textId="77777777" w:rsidR="008B33D6" w:rsidRPr="0051365E" w:rsidRDefault="0051365E" w:rsidP="008B33D6">
      <w:pPr>
        <w:spacing w:line="360" w:lineRule="auto"/>
        <w:rPr>
          <w:rFonts w:ascii="David" w:hAnsi="David"/>
          <w:color w:val="FFFFFF"/>
          <w:sz w:val="2"/>
          <w:szCs w:val="2"/>
          <w:rtl/>
        </w:rPr>
      </w:pPr>
      <w:r w:rsidRPr="0051365E">
        <w:rPr>
          <w:rFonts w:ascii="David" w:hAnsi="David"/>
          <w:color w:val="FFFFFF"/>
          <w:sz w:val="2"/>
          <w:szCs w:val="2"/>
          <w:rtl/>
        </w:rPr>
        <w:t>54678313</w:t>
      </w:r>
    </w:p>
    <w:p w14:paraId="1B295687" w14:textId="77777777" w:rsidR="008B33D6" w:rsidRPr="000F2247" w:rsidRDefault="008B33D6" w:rsidP="008B33D6">
      <w:pPr>
        <w:rPr>
          <w:rFonts w:ascii="Arial" w:hAnsi="Arial"/>
          <w:b/>
          <w:bCs/>
          <w:sz w:val="26"/>
          <w:szCs w:val="26"/>
          <w:rtl/>
        </w:rPr>
      </w:pPr>
    </w:p>
    <w:p w14:paraId="1BE9361D" w14:textId="77777777" w:rsidR="008B33D6" w:rsidRPr="000F2247" w:rsidRDefault="0051365E" w:rsidP="008B33D6">
      <w:pPr>
        <w:spacing w:line="360" w:lineRule="auto"/>
        <w:jc w:val="both"/>
        <w:rPr>
          <w:rFonts w:ascii="Arial" w:hAnsi="Arial"/>
          <w:b/>
          <w:bCs/>
          <w:sz w:val="26"/>
          <w:szCs w:val="26"/>
          <w:rtl/>
        </w:rPr>
      </w:pPr>
      <w:bookmarkStart w:id="9" w:name="Nitan"/>
      <w:r>
        <w:rPr>
          <w:rFonts w:ascii="Arial" w:hAnsi="Arial"/>
          <w:b/>
          <w:bCs/>
          <w:sz w:val="26"/>
          <w:szCs w:val="26"/>
          <w:rtl/>
        </w:rPr>
        <w:t>ניתן היום,  כ"ח אייר תשפ"ד, 05 יוני 2024, בנוכחות ב"כ המאשימה עוה"ד מירי ביטון-</w:t>
      </w:r>
      <w:bookmarkEnd w:id="9"/>
      <w:r w:rsidR="008B33D6">
        <w:rPr>
          <w:rFonts w:ascii="Arial" w:hAnsi="Arial" w:hint="cs"/>
          <w:b/>
          <w:bCs/>
          <w:sz w:val="26"/>
          <w:szCs w:val="26"/>
          <w:rtl/>
        </w:rPr>
        <w:t>הראל, הנאשם 1 ובא כוחו עוה"ד אחמד עיראקי.</w:t>
      </w:r>
      <w:r w:rsidR="008B33D6">
        <w:rPr>
          <w:rFonts w:ascii="Arial" w:hAnsi="Arial"/>
          <w:b/>
          <w:bCs/>
          <w:sz w:val="26"/>
          <w:szCs w:val="26"/>
          <w:rtl/>
        </w:rPr>
        <w:tab/>
      </w:r>
      <w:r w:rsidR="008B33D6">
        <w:rPr>
          <w:rFonts w:ascii="Arial" w:hAnsi="Arial"/>
          <w:b/>
          <w:bCs/>
          <w:sz w:val="26"/>
          <w:szCs w:val="26"/>
          <w:rtl/>
        </w:rPr>
        <w:tab/>
      </w:r>
      <w:r w:rsidR="008B33D6">
        <w:rPr>
          <w:rFonts w:ascii="Arial" w:hAnsi="Arial"/>
          <w:b/>
          <w:bCs/>
          <w:sz w:val="26"/>
          <w:szCs w:val="26"/>
          <w:rtl/>
        </w:rPr>
        <w:tab/>
      </w:r>
      <w:r w:rsidR="008B33D6">
        <w:rPr>
          <w:rFonts w:ascii="Arial" w:hAnsi="Arial"/>
          <w:b/>
          <w:bCs/>
          <w:sz w:val="26"/>
          <w:szCs w:val="26"/>
          <w:rtl/>
        </w:rPr>
        <w:tab/>
      </w:r>
      <w:r w:rsidR="008B33D6">
        <w:rPr>
          <w:rFonts w:ascii="Arial" w:hAnsi="Arial"/>
          <w:b/>
          <w:bCs/>
          <w:sz w:val="26"/>
          <w:szCs w:val="26"/>
          <w:rtl/>
        </w:rPr>
        <w:tab/>
      </w:r>
      <w:r w:rsidR="008B33D6">
        <w:rPr>
          <w:rFonts w:ascii="Arial" w:hAnsi="Arial"/>
          <w:b/>
          <w:bCs/>
          <w:sz w:val="26"/>
          <w:szCs w:val="26"/>
          <w:rtl/>
        </w:rPr>
        <w:tab/>
      </w:r>
      <w:r w:rsidR="008B33D6">
        <w:rPr>
          <w:rFonts w:ascii="Arial" w:hAnsi="Arial"/>
          <w:b/>
          <w:bCs/>
          <w:sz w:val="26"/>
          <w:szCs w:val="26"/>
          <w:rtl/>
        </w:rPr>
        <w:tab/>
      </w:r>
      <w:r w:rsidR="008B33D6">
        <w:rPr>
          <w:rFonts w:ascii="Arial" w:hAnsi="Arial" w:hint="cs"/>
          <w:b/>
          <w:bCs/>
          <w:sz w:val="26"/>
          <w:szCs w:val="26"/>
          <w:rtl/>
        </w:rPr>
        <w:t xml:space="preserve">         </w:t>
      </w:r>
    </w:p>
    <w:p w14:paraId="5CCDAB6F" w14:textId="77777777" w:rsidR="008B33D6" w:rsidRPr="000F2247" w:rsidRDefault="008B33D6" w:rsidP="0051365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936A44E" w14:textId="77777777" w:rsidR="008B33D6" w:rsidRPr="000F19DD" w:rsidRDefault="000F19DD" w:rsidP="008B33D6">
      <w:pPr>
        <w:jc w:val="center"/>
        <w:rPr>
          <w:rFonts w:ascii="Arial" w:hAnsi="Arial"/>
          <w:b/>
          <w:bCs/>
          <w:color w:val="FFFFFF"/>
          <w:sz w:val="2"/>
          <w:szCs w:val="2"/>
          <w:rtl/>
        </w:rPr>
      </w:pPr>
      <w:r w:rsidRPr="000F19DD">
        <w:rPr>
          <w:rFonts w:ascii="Arial" w:hAnsi="Arial"/>
          <w:b/>
          <w:bCs/>
          <w:color w:val="FFFFFF"/>
          <w:sz w:val="2"/>
          <w:szCs w:val="2"/>
          <w:rtl/>
        </w:rPr>
        <w:t>5129371</w:t>
      </w:r>
    </w:p>
    <w:p w14:paraId="204A1C27" w14:textId="77777777" w:rsidR="008E0C26" w:rsidRPr="000F19DD" w:rsidRDefault="000F19DD" w:rsidP="0051365E">
      <w:pPr>
        <w:keepNext/>
        <w:rPr>
          <w:rFonts w:ascii="David" w:hAnsi="David"/>
          <w:color w:val="FFFFFF"/>
          <w:sz w:val="2"/>
          <w:szCs w:val="2"/>
          <w:rtl/>
        </w:rPr>
      </w:pPr>
      <w:r w:rsidRPr="000F19DD">
        <w:rPr>
          <w:rFonts w:ascii="David" w:hAnsi="David"/>
          <w:color w:val="FFFFFF"/>
          <w:sz w:val="2"/>
          <w:szCs w:val="2"/>
          <w:rtl/>
        </w:rPr>
        <w:t>54678313</w:t>
      </w:r>
    </w:p>
    <w:p w14:paraId="5626D983" w14:textId="77777777" w:rsidR="0051365E" w:rsidRPr="0051365E" w:rsidRDefault="0051365E" w:rsidP="0051365E">
      <w:pPr>
        <w:keepNext/>
        <w:rPr>
          <w:rFonts w:ascii="David" w:hAnsi="David"/>
          <w:color w:val="000000"/>
          <w:sz w:val="22"/>
          <w:szCs w:val="22"/>
          <w:rtl/>
        </w:rPr>
      </w:pPr>
      <w:r w:rsidRPr="0051365E">
        <w:rPr>
          <w:rFonts w:ascii="David" w:hAnsi="David"/>
          <w:color w:val="000000"/>
          <w:sz w:val="22"/>
          <w:szCs w:val="22"/>
          <w:rtl/>
        </w:rPr>
        <w:t>אילה אורן 54678313</w:t>
      </w:r>
    </w:p>
    <w:p w14:paraId="2B734C29" w14:textId="77777777" w:rsidR="0051365E" w:rsidRDefault="0051365E" w:rsidP="0051365E">
      <w:r w:rsidRPr="0051365E">
        <w:rPr>
          <w:color w:val="000000"/>
          <w:rtl/>
        </w:rPr>
        <w:t>נוסח מסמך זה כפוף לשינויי ניסוח ועריכה</w:t>
      </w:r>
    </w:p>
    <w:p w14:paraId="013D8502" w14:textId="77777777" w:rsidR="0051365E" w:rsidRDefault="0051365E" w:rsidP="0051365E">
      <w:pPr>
        <w:rPr>
          <w:rtl/>
        </w:rPr>
      </w:pPr>
    </w:p>
    <w:p w14:paraId="30245579" w14:textId="77777777" w:rsidR="0051365E" w:rsidRDefault="0051365E" w:rsidP="0051365E">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7CEFE230" w14:textId="77777777" w:rsidR="000F19DD" w:rsidRPr="000F19DD" w:rsidRDefault="000F19DD" w:rsidP="000F19DD">
      <w:pPr>
        <w:keepNext/>
        <w:rPr>
          <w:rFonts w:ascii="David" w:hAnsi="David"/>
          <w:color w:val="000000"/>
          <w:sz w:val="22"/>
          <w:szCs w:val="22"/>
          <w:rtl/>
        </w:rPr>
      </w:pPr>
    </w:p>
    <w:sectPr w:rsidR="000F19DD" w:rsidRPr="000F19DD" w:rsidSect="000F19DD">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18ED1D" w14:textId="77777777" w:rsidR="00B60B47" w:rsidRDefault="00B60B47" w:rsidP="008B33D6">
      <w:r>
        <w:separator/>
      </w:r>
    </w:p>
  </w:endnote>
  <w:endnote w:type="continuationSeparator" w:id="0">
    <w:p w14:paraId="33ADF1F1" w14:textId="77777777" w:rsidR="00B60B47" w:rsidRDefault="00B60B47" w:rsidP="008B3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63F80" w14:textId="77777777" w:rsidR="000F19DD" w:rsidRDefault="000F19DD" w:rsidP="000F19D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B5EF90D" w14:textId="77777777" w:rsidR="003C19B1" w:rsidRPr="000F19DD" w:rsidRDefault="000F19DD" w:rsidP="000F19DD">
    <w:pPr>
      <w:pStyle w:val="a5"/>
      <w:pBdr>
        <w:top w:val="single" w:sz="4" w:space="1" w:color="auto"/>
        <w:between w:val="single" w:sz="4" w:space="0" w:color="auto"/>
      </w:pBdr>
      <w:spacing w:after="60"/>
      <w:jc w:val="center"/>
      <w:rPr>
        <w:rFonts w:ascii="FrankRuehl" w:hAnsi="FrankRuehl" w:cs="FrankRuehl"/>
        <w:color w:val="000000"/>
      </w:rPr>
    </w:pPr>
    <w:r w:rsidRPr="000F19D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F00EB" w14:textId="77777777" w:rsidR="000F19DD" w:rsidRDefault="000F19DD" w:rsidP="000F19D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271DF">
      <w:rPr>
        <w:rFonts w:ascii="FrankRuehl" w:hAnsi="FrankRuehl" w:cs="FrankRuehl"/>
        <w:noProof/>
        <w:rtl/>
      </w:rPr>
      <w:t>1</w:t>
    </w:r>
    <w:r>
      <w:rPr>
        <w:rFonts w:ascii="FrankRuehl" w:hAnsi="FrankRuehl" w:cs="FrankRuehl"/>
        <w:rtl/>
      </w:rPr>
      <w:fldChar w:fldCharType="end"/>
    </w:r>
  </w:p>
  <w:p w14:paraId="3BB2F530" w14:textId="77777777" w:rsidR="003C19B1" w:rsidRPr="000F19DD" w:rsidRDefault="000F19DD" w:rsidP="000F19DD">
    <w:pPr>
      <w:pStyle w:val="a5"/>
      <w:pBdr>
        <w:top w:val="single" w:sz="4" w:space="1" w:color="auto"/>
        <w:between w:val="single" w:sz="4" w:space="0" w:color="auto"/>
      </w:pBdr>
      <w:spacing w:after="60"/>
      <w:jc w:val="center"/>
      <w:rPr>
        <w:rFonts w:ascii="FrankRuehl" w:hAnsi="FrankRuehl" w:cs="FrankRuehl"/>
        <w:color w:val="000000"/>
      </w:rPr>
    </w:pPr>
    <w:r w:rsidRPr="000F19DD">
      <w:rPr>
        <w:rFonts w:ascii="FrankRuehl" w:hAnsi="FrankRuehl" w:cs="FrankRuehl"/>
        <w:color w:val="000000"/>
      </w:rPr>
      <w:pict w14:anchorId="4C2395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E6895C" w14:textId="77777777" w:rsidR="00B60B47" w:rsidRDefault="00B60B47" w:rsidP="008B33D6">
      <w:r>
        <w:separator/>
      </w:r>
    </w:p>
  </w:footnote>
  <w:footnote w:type="continuationSeparator" w:id="0">
    <w:p w14:paraId="101F83E3" w14:textId="77777777" w:rsidR="00B60B47" w:rsidRDefault="00B60B47" w:rsidP="008B33D6">
      <w:r>
        <w:continuationSeparator/>
      </w:r>
    </w:p>
  </w:footnote>
  <w:footnote w:id="1">
    <w:p w14:paraId="0C3771C8" w14:textId="77777777" w:rsidR="008B33D6" w:rsidRDefault="008B33D6" w:rsidP="008B33D6">
      <w:pPr>
        <w:pStyle w:val="Hesber"/>
        <w:spacing w:line="240" w:lineRule="auto"/>
        <w:ind w:firstLine="0"/>
        <w:rPr>
          <w:rFonts w:ascii="David" w:hAnsi="David" w:cs="David"/>
          <w:color w:val="auto"/>
          <w:lang w:eastAsia="en-US"/>
        </w:rPr>
      </w:pPr>
      <w:r>
        <w:rPr>
          <w:rStyle w:val="ad"/>
          <w:rFonts w:ascii="David" w:hAnsi="David" w:cs="David"/>
        </w:rPr>
        <w:footnoteRef/>
      </w:r>
      <w:r>
        <w:rPr>
          <w:rtl/>
        </w:rPr>
        <w:t xml:space="preserve"> </w:t>
      </w:r>
      <w:r>
        <w:rPr>
          <w:rFonts w:ascii="David" w:hAnsi="David" w:cs="David"/>
          <w:rtl/>
        </w:rPr>
        <w:t>תיקון מס' 140 ל</w:t>
      </w:r>
      <w:hyperlink r:id="rId1" w:history="1">
        <w:r w:rsidR="0051365E" w:rsidRPr="0051365E">
          <w:rPr>
            <w:rFonts w:ascii="David" w:hAnsi="David" w:cs="David"/>
            <w:color w:val="0000FF"/>
            <w:u w:val="single"/>
            <w:rtl/>
          </w:rPr>
          <w:t>חוק העונשין</w:t>
        </w:r>
      </w:hyperlink>
      <w:r>
        <w:rPr>
          <w:rFonts w:ascii="David" w:hAnsi="David" w:cs="David"/>
          <w:rtl/>
        </w:rPr>
        <w:t xml:space="preserve"> (תיקון מס' 140 – הוראת שעה), התשפ"ב-2021, ס"ח 2938.</w:t>
      </w:r>
    </w:p>
    <w:p w14:paraId="4614CCFD" w14:textId="77777777" w:rsidR="008B33D6" w:rsidRDefault="008B33D6" w:rsidP="008B33D6">
      <w:pPr>
        <w:pStyle w:val="a9"/>
        <w:rPr>
          <w:rFonts w:ascii="David" w:hAnsi="David" w:cs="David"/>
        </w:rPr>
      </w:pPr>
    </w:p>
  </w:footnote>
  <w:footnote w:id="2">
    <w:p w14:paraId="2708DCC1" w14:textId="77777777" w:rsidR="008B33D6" w:rsidRDefault="008B33D6" w:rsidP="008B33D6">
      <w:pPr>
        <w:pStyle w:val="Hesber"/>
        <w:spacing w:line="240" w:lineRule="auto"/>
        <w:ind w:firstLine="0"/>
        <w:rPr>
          <w:rFonts w:ascii="David" w:hAnsi="David" w:cs="David"/>
          <w:color w:val="auto"/>
          <w:lang w:eastAsia="en-US"/>
        </w:rPr>
      </w:pPr>
      <w:r>
        <w:rPr>
          <w:rStyle w:val="ad"/>
          <w:rFonts w:ascii="David" w:hAnsi="David" w:cs="David"/>
        </w:rPr>
        <w:footnoteRef/>
      </w:r>
      <w:r>
        <w:rPr>
          <w:rFonts w:ascii="David" w:hAnsi="David" w:cs="David"/>
          <w:rtl/>
        </w:rPr>
        <w:t xml:space="preserve"> </w:t>
      </w:r>
      <w:r>
        <w:rPr>
          <w:rFonts w:ascii="David" w:hAnsi="David" w:cs="David"/>
          <w:color w:val="auto"/>
          <w:rtl/>
          <w:lang w:eastAsia="en-US"/>
        </w:rPr>
        <w:t xml:space="preserve">דברי ההסבר להצעת </w:t>
      </w:r>
      <w:hyperlink r:id="rId2" w:history="1">
        <w:r w:rsidR="0051365E" w:rsidRPr="0051365E">
          <w:rPr>
            <w:rFonts w:ascii="David" w:hAnsi="David" w:cs="David"/>
            <w:color w:val="0000FF"/>
            <w:u w:val="single"/>
            <w:rtl/>
            <w:lang w:eastAsia="en-US"/>
          </w:rPr>
          <w:t>חוק העונשין</w:t>
        </w:r>
      </w:hyperlink>
      <w:r>
        <w:rPr>
          <w:rFonts w:ascii="David" w:hAnsi="David" w:cs="David"/>
          <w:color w:val="auto"/>
          <w:rtl/>
          <w:lang w:eastAsia="en-US"/>
        </w:rPr>
        <w:t xml:space="preserve"> (תיקון מ</w:t>
      </w:r>
      <w:bookmarkStart w:id="8" w:name="SeifFN10"/>
      <w:r>
        <w:rPr>
          <w:rFonts w:ascii="David" w:hAnsi="David" w:cs="David"/>
          <w:color w:val="auto"/>
          <w:rtl/>
          <w:lang w:eastAsia="en-US"/>
        </w:rPr>
        <w:t xml:space="preserve">ס' </w:t>
      </w:r>
      <w:bookmarkEnd w:id="8"/>
      <w:r>
        <w:rPr>
          <w:rFonts w:ascii="David" w:hAnsi="David" w:cs="David"/>
          <w:color w:val="auto"/>
          <w:rtl/>
          <w:lang w:eastAsia="en-US"/>
        </w:rPr>
        <w:t xml:space="preserve">140 – הוראת שעה), התשפ"ב – 2021, פ/55/24. </w:t>
      </w:r>
    </w:p>
    <w:p w14:paraId="1A099F99" w14:textId="77777777" w:rsidR="008B33D6" w:rsidRDefault="008B33D6" w:rsidP="008B33D6">
      <w:pPr>
        <w:pStyle w:val="a9"/>
        <w:rPr>
          <w:rtl/>
        </w:rPr>
      </w:pPr>
    </w:p>
  </w:footnote>
  <w:footnote w:id="3">
    <w:p w14:paraId="7E3C6EFE" w14:textId="77777777" w:rsidR="008B33D6" w:rsidRDefault="008B33D6" w:rsidP="008B33D6">
      <w:pPr>
        <w:pStyle w:val="a9"/>
        <w:rPr>
          <w:rFonts w:ascii="David" w:hAnsi="David" w:cs="David"/>
        </w:rPr>
      </w:pPr>
      <w:r>
        <w:rPr>
          <w:rStyle w:val="ad"/>
          <w:rFonts w:ascii="David" w:hAnsi="David" w:cs="David"/>
        </w:rPr>
        <w:footnoteRef/>
      </w:r>
      <w:r>
        <w:rPr>
          <w:rFonts w:ascii="David" w:hAnsi="David" w:cs="David"/>
          <w:rtl/>
        </w:rPr>
        <w:t xml:space="preserve"> חוק המאבק בכלי הנשק הבלתי חוקיים (תיקון חקיקה והוראת שעה), התשפ"ג-2023, ס"ח 3035.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514D4" w14:textId="77777777" w:rsidR="0051365E" w:rsidRPr="000F19DD" w:rsidRDefault="000F19DD" w:rsidP="000F19D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1158-05-20</w:t>
    </w:r>
    <w:r>
      <w:rPr>
        <w:rFonts w:ascii="David" w:hAnsi="David"/>
        <w:color w:val="000000"/>
        <w:sz w:val="22"/>
        <w:szCs w:val="22"/>
        <w:rtl/>
      </w:rPr>
      <w:tab/>
      <w:t xml:space="preserve"> מדינת ישראל נ' ראני עד אל חי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5D1DD" w14:textId="77777777" w:rsidR="0051365E" w:rsidRPr="000F19DD" w:rsidRDefault="000F19DD" w:rsidP="000F19D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1158-05-20</w:t>
    </w:r>
    <w:r>
      <w:rPr>
        <w:rFonts w:ascii="David" w:hAnsi="David"/>
        <w:color w:val="000000"/>
        <w:sz w:val="22"/>
        <w:szCs w:val="22"/>
        <w:rtl/>
      </w:rPr>
      <w:tab/>
      <w:t xml:space="preserve"> מדינת ישראל נ' ראני עד אל חי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66036"/>
    <w:multiLevelType w:val="hybridMultilevel"/>
    <w:tmpl w:val="A8D6CC9A"/>
    <w:lvl w:ilvl="0" w:tplc="0409000F">
      <w:start w:val="1"/>
      <w:numFmt w:val="decimal"/>
      <w:lvlText w:val="%1."/>
      <w:lvlJc w:val="left"/>
      <w:pPr>
        <w:ind w:left="720" w:hanging="360"/>
      </w:pPr>
    </w:lvl>
    <w:lvl w:ilvl="1" w:tplc="04090013">
      <w:start w:val="1"/>
      <w:numFmt w:val="hebrew1"/>
      <w:lvlText w:val="%2."/>
      <w:lvlJc w:val="center"/>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8CC5826"/>
    <w:multiLevelType w:val="hybridMultilevel"/>
    <w:tmpl w:val="F8C67B62"/>
    <w:lvl w:ilvl="0" w:tplc="A9886D98">
      <w:start w:val="1"/>
      <w:numFmt w:val="hebrew1"/>
      <w:lvlText w:val="%1."/>
      <w:lvlJc w:val="left"/>
      <w:pPr>
        <w:ind w:left="720" w:hanging="360"/>
      </w:pPr>
    </w:lvl>
    <w:lvl w:ilvl="1" w:tplc="F0A0BA4C">
      <w:start w:val="1"/>
      <w:numFmt w:val="lowerLetter"/>
      <w:lvlText w:val="%2."/>
      <w:lvlJc w:val="left"/>
      <w:pPr>
        <w:ind w:left="1440" w:hanging="360"/>
      </w:pPr>
    </w:lvl>
    <w:lvl w:ilvl="2" w:tplc="8FF42B8A">
      <w:start w:val="1"/>
      <w:numFmt w:val="lowerRoman"/>
      <w:lvlText w:val="%3."/>
      <w:lvlJc w:val="right"/>
      <w:pPr>
        <w:ind w:left="2160" w:hanging="180"/>
      </w:pPr>
    </w:lvl>
    <w:lvl w:ilvl="3" w:tplc="C12404B2">
      <w:start w:val="1"/>
      <w:numFmt w:val="decimal"/>
      <w:lvlText w:val="%4."/>
      <w:lvlJc w:val="left"/>
      <w:pPr>
        <w:ind w:left="2880" w:hanging="360"/>
      </w:pPr>
    </w:lvl>
    <w:lvl w:ilvl="4" w:tplc="98545A24">
      <w:start w:val="1"/>
      <w:numFmt w:val="lowerLetter"/>
      <w:lvlText w:val="%5."/>
      <w:lvlJc w:val="left"/>
      <w:pPr>
        <w:ind w:left="3600" w:hanging="360"/>
      </w:pPr>
    </w:lvl>
    <w:lvl w:ilvl="5" w:tplc="7DFCC33C">
      <w:start w:val="1"/>
      <w:numFmt w:val="lowerRoman"/>
      <w:lvlText w:val="%6."/>
      <w:lvlJc w:val="right"/>
      <w:pPr>
        <w:ind w:left="4320" w:hanging="180"/>
      </w:pPr>
    </w:lvl>
    <w:lvl w:ilvl="6" w:tplc="59543DE2">
      <w:start w:val="1"/>
      <w:numFmt w:val="decimal"/>
      <w:lvlText w:val="%7."/>
      <w:lvlJc w:val="left"/>
      <w:pPr>
        <w:ind w:left="5040" w:hanging="360"/>
      </w:pPr>
    </w:lvl>
    <w:lvl w:ilvl="7" w:tplc="56E642A0">
      <w:start w:val="1"/>
      <w:numFmt w:val="lowerLetter"/>
      <w:lvlText w:val="%8."/>
      <w:lvlJc w:val="left"/>
      <w:pPr>
        <w:ind w:left="5760" w:hanging="360"/>
      </w:pPr>
    </w:lvl>
    <w:lvl w:ilvl="8" w:tplc="88CC8CB0">
      <w:start w:val="1"/>
      <w:numFmt w:val="lowerRoman"/>
      <w:lvlText w:val="%9."/>
      <w:lvlJc w:val="right"/>
      <w:pPr>
        <w:ind w:left="6480" w:hanging="180"/>
      </w:pPr>
    </w:lvl>
  </w:abstractNum>
  <w:abstractNum w:abstractNumId="2" w15:restartNumberingAfterBreak="0">
    <w:nsid w:val="2D44370D"/>
    <w:multiLevelType w:val="hybridMultilevel"/>
    <w:tmpl w:val="B2284AD4"/>
    <w:lvl w:ilvl="0" w:tplc="04090013">
      <w:start w:val="1"/>
      <w:numFmt w:val="hebrew1"/>
      <w:lvlText w:val="%1."/>
      <w:lvlJc w:val="center"/>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632006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630744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19729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B33D6"/>
    <w:rsid w:val="000F19DD"/>
    <w:rsid w:val="001B5A3B"/>
    <w:rsid w:val="003271DF"/>
    <w:rsid w:val="003423C2"/>
    <w:rsid w:val="003C19B1"/>
    <w:rsid w:val="0051365E"/>
    <w:rsid w:val="006467CE"/>
    <w:rsid w:val="006F67D3"/>
    <w:rsid w:val="007053C6"/>
    <w:rsid w:val="008B33D6"/>
    <w:rsid w:val="008E0C26"/>
    <w:rsid w:val="00B46594"/>
    <w:rsid w:val="00B60B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969A593"/>
  <w15:chartTrackingRefBased/>
  <w15:docId w15:val="{05642B30-469C-4F37-AB4A-13052298C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B33D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B33D6"/>
    <w:pPr>
      <w:tabs>
        <w:tab w:val="center" w:pos="4153"/>
        <w:tab w:val="right" w:pos="8306"/>
      </w:tabs>
    </w:pPr>
  </w:style>
  <w:style w:type="character" w:customStyle="1" w:styleId="a4">
    <w:name w:val="כותרת עליונה תו"/>
    <w:link w:val="a3"/>
    <w:rsid w:val="008B33D6"/>
    <w:rPr>
      <w:rFonts w:ascii="Times New Roman" w:eastAsia="Times New Roman" w:hAnsi="Times New Roman" w:cs="David"/>
      <w:sz w:val="24"/>
      <w:szCs w:val="24"/>
    </w:rPr>
  </w:style>
  <w:style w:type="paragraph" w:styleId="a5">
    <w:name w:val="footer"/>
    <w:basedOn w:val="a"/>
    <w:link w:val="a6"/>
    <w:rsid w:val="008B33D6"/>
    <w:pPr>
      <w:tabs>
        <w:tab w:val="center" w:pos="4153"/>
        <w:tab w:val="right" w:pos="8306"/>
      </w:tabs>
    </w:pPr>
  </w:style>
  <w:style w:type="character" w:customStyle="1" w:styleId="a6">
    <w:name w:val="כותרת תחתונה תו"/>
    <w:link w:val="a5"/>
    <w:rsid w:val="008B33D6"/>
    <w:rPr>
      <w:rFonts w:ascii="Times New Roman" w:eastAsia="Times New Roman" w:hAnsi="Times New Roman" w:cs="David"/>
      <w:sz w:val="24"/>
      <w:szCs w:val="24"/>
    </w:rPr>
  </w:style>
  <w:style w:type="table" w:styleId="a7">
    <w:name w:val="Table Grid"/>
    <w:basedOn w:val="a1"/>
    <w:rsid w:val="008B33D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B33D6"/>
  </w:style>
  <w:style w:type="paragraph" w:styleId="a9">
    <w:name w:val="footnote text"/>
    <w:basedOn w:val="a"/>
    <w:link w:val="aa"/>
    <w:rsid w:val="008B33D6"/>
    <w:rPr>
      <w:rFonts w:ascii="Calibri" w:eastAsia="Calibri" w:hAnsi="Calibri" w:cs="Arial"/>
      <w:sz w:val="20"/>
      <w:szCs w:val="20"/>
    </w:rPr>
  </w:style>
  <w:style w:type="character" w:customStyle="1" w:styleId="aa">
    <w:name w:val="טקסט הערת שוליים תו"/>
    <w:link w:val="a9"/>
    <w:rsid w:val="008B33D6"/>
    <w:rPr>
      <w:sz w:val="20"/>
      <w:szCs w:val="20"/>
    </w:rPr>
  </w:style>
  <w:style w:type="character" w:customStyle="1" w:styleId="ab">
    <w:name w:val="פיסקת רשימה תו"/>
    <w:link w:val="ac"/>
    <w:locked/>
    <w:rsid w:val="008B33D6"/>
  </w:style>
  <w:style w:type="paragraph" w:styleId="ac">
    <w:name w:val="List Paragraph"/>
    <w:basedOn w:val="a"/>
    <w:link w:val="ab"/>
    <w:qFormat/>
    <w:rsid w:val="008B33D6"/>
    <w:pPr>
      <w:spacing w:after="160" w:line="256" w:lineRule="auto"/>
      <w:ind w:left="720"/>
      <w:contextualSpacing/>
    </w:pPr>
    <w:rPr>
      <w:rFonts w:ascii="Calibri" w:eastAsia="Calibri" w:hAnsi="Calibri" w:cs="Arial"/>
      <w:sz w:val="22"/>
      <w:szCs w:val="22"/>
    </w:rPr>
  </w:style>
  <w:style w:type="paragraph" w:customStyle="1" w:styleId="Hesber">
    <w:name w:val="Hesber"/>
    <w:basedOn w:val="a"/>
    <w:rsid w:val="008B33D6"/>
    <w:pPr>
      <w:autoSpaceDE w:val="0"/>
      <w:autoSpaceDN w:val="0"/>
      <w:snapToGrid w:val="0"/>
      <w:spacing w:line="360" w:lineRule="auto"/>
      <w:ind w:firstLine="340"/>
      <w:jc w:val="both"/>
    </w:pPr>
    <w:rPr>
      <w:rFonts w:ascii="Arial" w:eastAsia="Calibri" w:hAnsi="Arial" w:cs="Arial"/>
      <w:color w:val="000000"/>
      <w:sz w:val="20"/>
      <w:szCs w:val="20"/>
      <w:lang w:eastAsia="ja-JP"/>
    </w:rPr>
  </w:style>
  <w:style w:type="character" w:styleId="ad">
    <w:name w:val="footnote reference"/>
    <w:rsid w:val="008B33D6"/>
    <w:rPr>
      <w:vertAlign w:val="superscript"/>
    </w:rPr>
  </w:style>
  <w:style w:type="character" w:styleId="Hyperlink">
    <w:name w:val="Hyperlink"/>
    <w:rsid w:val="0051365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5824897"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8567439" TargetMode="External"/><Relationship Id="rId39" Type="http://schemas.openxmlformats.org/officeDocument/2006/relationships/hyperlink" Target="http://www.nevo.co.il/case/25459244" TargetMode="External"/><Relationship Id="rId21" Type="http://schemas.openxmlformats.org/officeDocument/2006/relationships/hyperlink" Target="http://www.nevo.co.il/case/28200855" TargetMode="External"/><Relationship Id="rId34" Type="http://schemas.openxmlformats.org/officeDocument/2006/relationships/hyperlink" Target="http://www.nevo.co.il/case/27694827" TargetMode="External"/><Relationship Id="rId42" Type="http://schemas.openxmlformats.org/officeDocument/2006/relationships/hyperlink" Target="http://www.nevo.co.il/case/29239325" TargetMode="External"/><Relationship Id="rId47"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7721185" TargetMode="External"/><Relationship Id="rId11" Type="http://schemas.openxmlformats.org/officeDocument/2006/relationships/hyperlink" Target="http://www.nevo.co.il/law/70301/29" TargetMode="External"/><Relationship Id="rId24" Type="http://schemas.openxmlformats.org/officeDocument/2006/relationships/hyperlink" Target="http://www.nevo.co.il/case/29655260" TargetMode="External"/><Relationship Id="rId32" Type="http://schemas.openxmlformats.org/officeDocument/2006/relationships/hyperlink" Target="http://www.nevo.co.il/case/26383419"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22938500"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8152132" TargetMode="External"/><Relationship Id="rId36" Type="http://schemas.openxmlformats.org/officeDocument/2006/relationships/hyperlink" Target="http://www.nevo.co.il/case/27596817" TargetMode="External"/><Relationship Id="rId49" Type="http://schemas.openxmlformats.org/officeDocument/2006/relationships/theme" Target="theme/theme1.xml"/><Relationship Id="rId10" Type="http://schemas.openxmlformats.org/officeDocument/2006/relationships/hyperlink" Target="http://www.nevo.co.il/law/70301/144.a"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6913995"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28513828" TargetMode="External"/><Relationship Id="rId27" Type="http://schemas.openxmlformats.org/officeDocument/2006/relationships/hyperlink" Target="http://www.nevo.co.il/case/28400048" TargetMode="External"/><Relationship Id="rId30" Type="http://schemas.openxmlformats.org/officeDocument/2006/relationships/hyperlink" Target="http://www.nevo.co.il/case/26986974" TargetMode="External"/><Relationship Id="rId35" Type="http://schemas.openxmlformats.org/officeDocument/2006/relationships/hyperlink" Target="http://www.nevo.co.il/case/5078180"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70301/29"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case/27734980" TargetMode="External"/><Relationship Id="rId25" Type="http://schemas.openxmlformats.org/officeDocument/2006/relationships/hyperlink" Target="http://www.nevo.co.il/case/28513828" TargetMode="External"/><Relationship Id="rId33" Type="http://schemas.openxmlformats.org/officeDocument/2006/relationships/hyperlink" Target="http://www.nevo.co.il/case/28441314" TargetMode="External"/><Relationship Id="rId38" Type="http://schemas.openxmlformats.org/officeDocument/2006/relationships/hyperlink" Target="http://www.nevo.co.il/case/28226828" TargetMode="External"/><Relationship Id="rId46" Type="http://schemas.openxmlformats.org/officeDocument/2006/relationships/footer" Target="footer1.xml"/><Relationship Id="rId20" Type="http://schemas.openxmlformats.org/officeDocument/2006/relationships/hyperlink" Target="http://www.nevo.co.il/law/70301" TargetMode="External"/><Relationship Id="rId41" Type="http://schemas.openxmlformats.org/officeDocument/2006/relationships/hyperlink" Target="http://www.nevo.co.il/case/17948082"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70301" TargetMode="External"/><Relationship Id="rId1" Type="http://schemas.openxmlformats.org/officeDocument/2006/relationships/hyperlink" Target="http://www.nevo.co.il/law/70301"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3723</Words>
  <Characters>18618</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22297</CharactersWithSpaces>
  <SharedDoc>false</SharedDoc>
  <HLinks>
    <vt:vector size="234" baseType="variant">
      <vt:variant>
        <vt:i4>393283</vt:i4>
      </vt:variant>
      <vt:variant>
        <vt:i4>108</vt:i4>
      </vt:variant>
      <vt:variant>
        <vt:i4>0</vt:i4>
      </vt:variant>
      <vt:variant>
        <vt:i4>5</vt:i4>
      </vt:variant>
      <vt:variant>
        <vt:lpwstr>http://www.nevo.co.il/advertisements/nevo-100.doc</vt:lpwstr>
      </vt:variant>
      <vt:variant>
        <vt:lpwstr/>
      </vt:variant>
      <vt:variant>
        <vt:i4>3866749</vt:i4>
      </vt:variant>
      <vt:variant>
        <vt:i4>105</vt:i4>
      </vt:variant>
      <vt:variant>
        <vt:i4>0</vt:i4>
      </vt:variant>
      <vt:variant>
        <vt:i4>5</vt:i4>
      </vt:variant>
      <vt:variant>
        <vt:lpwstr>http://www.nevo.co.il/case/29239325</vt:lpwstr>
      </vt:variant>
      <vt:variant>
        <vt:lpwstr/>
      </vt:variant>
      <vt:variant>
        <vt:i4>3670135</vt:i4>
      </vt:variant>
      <vt:variant>
        <vt:i4>102</vt:i4>
      </vt:variant>
      <vt:variant>
        <vt:i4>0</vt:i4>
      </vt:variant>
      <vt:variant>
        <vt:i4>5</vt:i4>
      </vt:variant>
      <vt:variant>
        <vt:lpwstr>http://www.nevo.co.il/case/17948082</vt:lpwstr>
      </vt:variant>
      <vt:variant>
        <vt:lpwstr/>
      </vt:variant>
      <vt:variant>
        <vt:i4>3342448</vt:i4>
      </vt:variant>
      <vt:variant>
        <vt:i4>99</vt:i4>
      </vt:variant>
      <vt:variant>
        <vt:i4>0</vt:i4>
      </vt:variant>
      <vt:variant>
        <vt:i4>5</vt:i4>
      </vt:variant>
      <vt:variant>
        <vt:lpwstr>http://www.nevo.co.il/case/22938500</vt:lpwstr>
      </vt:variant>
      <vt:variant>
        <vt:lpwstr/>
      </vt:variant>
      <vt:variant>
        <vt:i4>3866742</vt:i4>
      </vt:variant>
      <vt:variant>
        <vt:i4>96</vt:i4>
      </vt:variant>
      <vt:variant>
        <vt:i4>0</vt:i4>
      </vt:variant>
      <vt:variant>
        <vt:i4>5</vt:i4>
      </vt:variant>
      <vt:variant>
        <vt:lpwstr>http://www.nevo.co.il/case/25459244</vt:lpwstr>
      </vt:variant>
      <vt:variant>
        <vt:lpwstr/>
      </vt:variant>
      <vt:variant>
        <vt:i4>3407990</vt:i4>
      </vt:variant>
      <vt:variant>
        <vt:i4>93</vt:i4>
      </vt:variant>
      <vt:variant>
        <vt:i4>0</vt:i4>
      </vt:variant>
      <vt:variant>
        <vt:i4>5</vt:i4>
      </vt:variant>
      <vt:variant>
        <vt:lpwstr>http://www.nevo.co.il/case/28226828</vt:lpwstr>
      </vt:variant>
      <vt:variant>
        <vt:lpwstr/>
      </vt:variant>
      <vt:variant>
        <vt:i4>7995492</vt:i4>
      </vt:variant>
      <vt:variant>
        <vt:i4>90</vt:i4>
      </vt:variant>
      <vt:variant>
        <vt:i4>0</vt:i4>
      </vt:variant>
      <vt:variant>
        <vt:i4>5</vt:i4>
      </vt:variant>
      <vt:variant>
        <vt:lpwstr>http://www.nevo.co.il/law/70301</vt:lpwstr>
      </vt:variant>
      <vt:variant>
        <vt:lpwstr/>
      </vt:variant>
      <vt:variant>
        <vt:i4>3145842</vt:i4>
      </vt:variant>
      <vt:variant>
        <vt:i4>87</vt:i4>
      </vt:variant>
      <vt:variant>
        <vt:i4>0</vt:i4>
      </vt:variant>
      <vt:variant>
        <vt:i4>5</vt:i4>
      </vt:variant>
      <vt:variant>
        <vt:lpwstr>http://www.nevo.co.il/case/27596817</vt:lpwstr>
      </vt:variant>
      <vt:variant>
        <vt:lpwstr/>
      </vt:variant>
      <vt:variant>
        <vt:i4>3342452</vt:i4>
      </vt:variant>
      <vt:variant>
        <vt:i4>84</vt:i4>
      </vt:variant>
      <vt:variant>
        <vt:i4>0</vt:i4>
      </vt:variant>
      <vt:variant>
        <vt:i4>5</vt:i4>
      </vt:variant>
      <vt:variant>
        <vt:lpwstr>http://www.nevo.co.il/case/5078180</vt:lpwstr>
      </vt:variant>
      <vt:variant>
        <vt:lpwstr/>
      </vt:variant>
      <vt:variant>
        <vt:i4>3276914</vt:i4>
      </vt:variant>
      <vt:variant>
        <vt:i4>81</vt:i4>
      </vt:variant>
      <vt:variant>
        <vt:i4>0</vt:i4>
      </vt:variant>
      <vt:variant>
        <vt:i4>5</vt:i4>
      </vt:variant>
      <vt:variant>
        <vt:lpwstr>http://www.nevo.co.il/case/27694827</vt:lpwstr>
      </vt:variant>
      <vt:variant>
        <vt:lpwstr/>
      </vt:variant>
      <vt:variant>
        <vt:i4>3539067</vt:i4>
      </vt:variant>
      <vt:variant>
        <vt:i4>78</vt:i4>
      </vt:variant>
      <vt:variant>
        <vt:i4>0</vt:i4>
      </vt:variant>
      <vt:variant>
        <vt:i4>5</vt:i4>
      </vt:variant>
      <vt:variant>
        <vt:lpwstr>http://www.nevo.co.il/case/28441314</vt:lpwstr>
      </vt:variant>
      <vt:variant>
        <vt:lpwstr/>
      </vt:variant>
      <vt:variant>
        <vt:i4>3342462</vt:i4>
      </vt:variant>
      <vt:variant>
        <vt:i4>75</vt:i4>
      </vt:variant>
      <vt:variant>
        <vt:i4>0</vt:i4>
      </vt:variant>
      <vt:variant>
        <vt:i4>5</vt:i4>
      </vt:variant>
      <vt:variant>
        <vt:lpwstr>http://www.nevo.co.il/case/26383419</vt:lpwstr>
      </vt:variant>
      <vt:variant>
        <vt:lpwstr/>
      </vt:variant>
      <vt:variant>
        <vt:i4>3211386</vt:i4>
      </vt:variant>
      <vt:variant>
        <vt:i4>72</vt:i4>
      </vt:variant>
      <vt:variant>
        <vt:i4>0</vt:i4>
      </vt:variant>
      <vt:variant>
        <vt:i4>5</vt:i4>
      </vt:variant>
      <vt:variant>
        <vt:lpwstr>http://www.nevo.co.il/case/26913995</vt:lpwstr>
      </vt:variant>
      <vt:variant>
        <vt:lpwstr/>
      </vt:variant>
      <vt:variant>
        <vt:i4>3801203</vt:i4>
      </vt:variant>
      <vt:variant>
        <vt:i4>69</vt:i4>
      </vt:variant>
      <vt:variant>
        <vt:i4>0</vt:i4>
      </vt:variant>
      <vt:variant>
        <vt:i4>5</vt:i4>
      </vt:variant>
      <vt:variant>
        <vt:lpwstr>http://www.nevo.co.il/case/26986974</vt:lpwstr>
      </vt:variant>
      <vt:variant>
        <vt:lpwstr/>
      </vt:variant>
      <vt:variant>
        <vt:i4>3932272</vt:i4>
      </vt:variant>
      <vt:variant>
        <vt:i4>66</vt:i4>
      </vt:variant>
      <vt:variant>
        <vt:i4>0</vt:i4>
      </vt:variant>
      <vt:variant>
        <vt:i4>5</vt:i4>
      </vt:variant>
      <vt:variant>
        <vt:lpwstr>http://www.nevo.co.il/case/27721185</vt:lpwstr>
      </vt:variant>
      <vt:variant>
        <vt:lpwstr/>
      </vt:variant>
      <vt:variant>
        <vt:i4>3276920</vt:i4>
      </vt:variant>
      <vt:variant>
        <vt:i4>63</vt:i4>
      </vt:variant>
      <vt:variant>
        <vt:i4>0</vt:i4>
      </vt:variant>
      <vt:variant>
        <vt:i4>5</vt:i4>
      </vt:variant>
      <vt:variant>
        <vt:lpwstr>http://www.nevo.co.il/case/28152132</vt:lpwstr>
      </vt:variant>
      <vt:variant>
        <vt:lpwstr/>
      </vt:variant>
      <vt:variant>
        <vt:i4>3276924</vt:i4>
      </vt:variant>
      <vt:variant>
        <vt:i4>60</vt:i4>
      </vt:variant>
      <vt:variant>
        <vt:i4>0</vt:i4>
      </vt:variant>
      <vt:variant>
        <vt:i4>5</vt:i4>
      </vt:variant>
      <vt:variant>
        <vt:lpwstr>http://www.nevo.co.il/case/28400048</vt:lpwstr>
      </vt:variant>
      <vt:variant>
        <vt:lpwstr/>
      </vt:variant>
      <vt:variant>
        <vt:i4>3342462</vt:i4>
      </vt:variant>
      <vt:variant>
        <vt:i4>57</vt:i4>
      </vt:variant>
      <vt:variant>
        <vt:i4>0</vt:i4>
      </vt:variant>
      <vt:variant>
        <vt:i4>5</vt:i4>
      </vt:variant>
      <vt:variant>
        <vt:lpwstr>http://www.nevo.co.il/case/28567439</vt:lpwstr>
      </vt:variant>
      <vt:variant>
        <vt:lpwstr/>
      </vt:variant>
      <vt:variant>
        <vt:i4>3539061</vt:i4>
      </vt:variant>
      <vt:variant>
        <vt:i4>54</vt:i4>
      </vt:variant>
      <vt:variant>
        <vt:i4>0</vt:i4>
      </vt:variant>
      <vt:variant>
        <vt:i4>5</vt:i4>
      </vt:variant>
      <vt:variant>
        <vt:lpwstr>http://www.nevo.co.il/case/28513828</vt:lpwstr>
      </vt:variant>
      <vt:variant>
        <vt:lpwstr/>
      </vt:variant>
      <vt:variant>
        <vt:i4>3604602</vt:i4>
      </vt:variant>
      <vt:variant>
        <vt:i4>51</vt:i4>
      </vt:variant>
      <vt:variant>
        <vt:i4>0</vt:i4>
      </vt:variant>
      <vt:variant>
        <vt:i4>5</vt:i4>
      </vt:variant>
      <vt:variant>
        <vt:lpwstr>http://www.nevo.co.il/case/29655260</vt:lpwstr>
      </vt:variant>
      <vt:variant>
        <vt:lpwstr/>
      </vt:variant>
      <vt:variant>
        <vt:i4>7995492</vt:i4>
      </vt:variant>
      <vt:variant>
        <vt:i4>48</vt:i4>
      </vt:variant>
      <vt:variant>
        <vt:i4>0</vt:i4>
      </vt:variant>
      <vt:variant>
        <vt:i4>5</vt:i4>
      </vt:variant>
      <vt:variant>
        <vt:lpwstr>http://www.nevo.co.il/law/70301</vt:lpwstr>
      </vt:variant>
      <vt:variant>
        <vt:lpwstr/>
      </vt:variant>
      <vt:variant>
        <vt:i4>3539061</vt:i4>
      </vt:variant>
      <vt:variant>
        <vt:i4>45</vt:i4>
      </vt:variant>
      <vt:variant>
        <vt:i4>0</vt:i4>
      </vt:variant>
      <vt:variant>
        <vt:i4>5</vt:i4>
      </vt:variant>
      <vt:variant>
        <vt:lpwstr>http://www.nevo.co.il/case/28513828</vt:lpwstr>
      </vt:variant>
      <vt:variant>
        <vt:lpwstr/>
      </vt:variant>
      <vt:variant>
        <vt:i4>3473524</vt:i4>
      </vt:variant>
      <vt:variant>
        <vt:i4>42</vt:i4>
      </vt:variant>
      <vt:variant>
        <vt:i4>0</vt:i4>
      </vt:variant>
      <vt:variant>
        <vt:i4>5</vt:i4>
      </vt:variant>
      <vt:variant>
        <vt:lpwstr>http://www.nevo.co.il/case/28200855</vt:lpwstr>
      </vt:variant>
      <vt:variant>
        <vt:lpwstr/>
      </vt:variant>
      <vt:variant>
        <vt:i4>7995492</vt:i4>
      </vt:variant>
      <vt:variant>
        <vt:i4>39</vt:i4>
      </vt:variant>
      <vt:variant>
        <vt:i4>0</vt:i4>
      </vt:variant>
      <vt:variant>
        <vt:i4>5</vt:i4>
      </vt:variant>
      <vt:variant>
        <vt:lpwstr>http://www.nevo.co.il/law/70301</vt:lpwstr>
      </vt:variant>
      <vt:variant>
        <vt:lpwstr/>
      </vt:variant>
      <vt:variant>
        <vt:i4>7995492</vt:i4>
      </vt:variant>
      <vt:variant>
        <vt:i4>36</vt:i4>
      </vt:variant>
      <vt:variant>
        <vt:i4>0</vt:i4>
      </vt:variant>
      <vt:variant>
        <vt:i4>5</vt:i4>
      </vt:variant>
      <vt:variant>
        <vt:lpwstr>http://www.nevo.co.il/law/70301</vt:lpwstr>
      </vt:variant>
      <vt:variant>
        <vt:lpwstr/>
      </vt:variant>
      <vt:variant>
        <vt:i4>7995492</vt:i4>
      </vt:variant>
      <vt:variant>
        <vt:i4>33</vt:i4>
      </vt:variant>
      <vt:variant>
        <vt:i4>0</vt:i4>
      </vt:variant>
      <vt:variant>
        <vt:i4>5</vt:i4>
      </vt:variant>
      <vt:variant>
        <vt:lpwstr>http://www.nevo.co.il/law/70301</vt:lpwstr>
      </vt:variant>
      <vt:variant>
        <vt:lpwstr/>
      </vt:variant>
      <vt:variant>
        <vt:i4>3735673</vt:i4>
      </vt:variant>
      <vt:variant>
        <vt:i4>30</vt:i4>
      </vt:variant>
      <vt:variant>
        <vt:i4>0</vt:i4>
      </vt:variant>
      <vt:variant>
        <vt:i4>5</vt:i4>
      </vt:variant>
      <vt:variant>
        <vt:lpwstr>http://www.nevo.co.il/case/27734980</vt:lpwstr>
      </vt:variant>
      <vt:variant>
        <vt:lpwstr/>
      </vt:variant>
      <vt:variant>
        <vt:i4>7995492</vt:i4>
      </vt:variant>
      <vt:variant>
        <vt:i4>27</vt:i4>
      </vt:variant>
      <vt:variant>
        <vt:i4>0</vt:i4>
      </vt:variant>
      <vt:variant>
        <vt:i4>5</vt:i4>
      </vt:variant>
      <vt:variant>
        <vt:lpwstr>http://www.nevo.co.il/law/70301</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3604603</vt:i4>
      </vt:variant>
      <vt:variant>
        <vt:i4>18</vt:i4>
      </vt:variant>
      <vt:variant>
        <vt:i4>0</vt:i4>
      </vt:variant>
      <vt:variant>
        <vt:i4>5</vt:i4>
      </vt:variant>
      <vt:variant>
        <vt:lpwstr>http://www.nevo.co.il/case/25824897</vt:lpwstr>
      </vt:variant>
      <vt:variant>
        <vt:lpwstr/>
      </vt:variant>
      <vt:variant>
        <vt:i4>7995492</vt:i4>
      </vt:variant>
      <vt:variant>
        <vt:i4>15</vt:i4>
      </vt:variant>
      <vt:variant>
        <vt:i4>0</vt:i4>
      </vt:variant>
      <vt:variant>
        <vt:i4>5</vt:i4>
      </vt:variant>
      <vt:variant>
        <vt:lpwstr>http://www.nevo.co.il/law/70301</vt:lpwstr>
      </vt:variant>
      <vt:variant>
        <vt:lpwstr/>
      </vt:variant>
      <vt:variant>
        <vt:i4>7077991</vt:i4>
      </vt:variant>
      <vt:variant>
        <vt:i4>12</vt:i4>
      </vt:variant>
      <vt:variant>
        <vt:i4>0</vt:i4>
      </vt:variant>
      <vt:variant>
        <vt:i4>5</vt:i4>
      </vt:variant>
      <vt:variant>
        <vt:lpwstr>http://www.nevo.co.il/law/70301/29</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ariant>
        <vt:i4>7995492</vt:i4>
      </vt:variant>
      <vt:variant>
        <vt:i4>3</vt:i4>
      </vt:variant>
      <vt:variant>
        <vt:i4>0</vt:i4>
      </vt:variant>
      <vt:variant>
        <vt:i4>5</vt:i4>
      </vt:variant>
      <vt:variant>
        <vt:lpwstr>http://www.nevo.co.il/law/70301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2025-04-25T11:07:00Z</dcterms:created>
  <dcterms:modified xsi:type="dcterms:W3CDTF">2025-04-25T11:07:00Z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1158</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ראני עד אל חי;גאני עבד אל חי </vt:lpwstr>
  </property>
  <property fmtid="{D5CDD505-2E9C-101B-9397-08002B2CF9AE}" pid="10" name="LAWYER">
    <vt:lpwstr>מירי ביטון הראל;אחמד עיראקי;וג'די מצארווה</vt:lpwstr>
  </property>
  <property fmtid="{D5CDD505-2E9C-101B-9397-08002B2CF9AE}" pid="11" name="JUDGE">
    <vt:lpwstr>אילה אורן</vt:lpwstr>
  </property>
  <property fmtid="{D5CDD505-2E9C-101B-9397-08002B2CF9AE}" pid="12" name="CITY">
    <vt:lpwstr>רמ'</vt:lpwstr>
  </property>
  <property fmtid="{D5CDD505-2E9C-101B-9397-08002B2CF9AE}" pid="13" name="DATE">
    <vt:lpwstr>20240605</vt:lpwstr>
  </property>
  <property fmtid="{D5CDD505-2E9C-101B-9397-08002B2CF9AE}" pid="14" name="TYPE_N_DATE">
    <vt:lpwstr>38020240605</vt:lpwstr>
  </property>
  <property fmtid="{D5CDD505-2E9C-101B-9397-08002B2CF9AE}" pid="15" name="CASESLISTTMP1">
    <vt:lpwstr>25824897;27734980;28200855;28513828:2;29655260;28567439;28400048;28152132;27721185;26986974;26913995;26383419;28441314;27694827;5078180;27596817;28226828;25459244;22938500;17948082;29239325</vt:lpwstr>
  </property>
  <property fmtid="{D5CDD505-2E9C-101B-9397-08002B2CF9AE}" pid="16" name="CASENOTES1">
    <vt:lpwstr>ProcID=135&amp;PartA=14070&amp;PartB=01&amp;PartC=23</vt:lpwstr>
  </property>
  <property fmtid="{D5CDD505-2E9C-101B-9397-08002B2CF9AE}" pid="17" name="WORDNUMPAGES">
    <vt:lpwstr>11</vt:lpwstr>
  </property>
  <property fmtid="{D5CDD505-2E9C-101B-9397-08002B2CF9AE}" pid="18" name="TYPE_ABS_DATE">
    <vt:lpwstr>380020240605</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70301/144.a:4;029:2</vt:lpwstr>
  </property>
</Properties>
</file>