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5806B0" w:rsidRPr="008604BD" w14:paraId="4E247970" w14:textId="77777777" w:rsidTr="00742BFD">
        <w:trPr>
          <w:trHeight w:hRule="exact" w:val="418"/>
          <w:jc w:val="center"/>
        </w:trPr>
        <w:tc>
          <w:tcPr>
            <w:tcW w:w="8721" w:type="dxa"/>
            <w:gridSpan w:val="2"/>
          </w:tcPr>
          <w:p w14:paraId="349EE0D7" w14:textId="77777777" w:rsidR="005806B0" w:rsidRPr="008604BD" w:rsidRDefault="005806B0" w:rsidP="00245E6B">
            <w:pPr>
              <w:pStyle w:val="a3"/>
              <w:jc w:val="center"/>
              <w:rPr>
                <w:rFonts w:ascii="Tahoma" w:hAnsi="Tahoma" w:cs="Tahoma"/>
                <w:color w:val="000080"/>
                <w:rtl/>
              </w:rPr>
            </w:pPr>
            <w:bookmarkStart w:id="0" w:name="LastJudge"/>
            <w:r w:rsidRPr="008604BD">
              <w:rPr>
                <w:rFonts w:ascii="David" w:hAnsi="David"/>
                <w:b/>
                <w:bCs/>
                <w:color w:val="000080"/>
                <w:sz w:val="28"/>
                <w:szCs w:val="28"/>
                <w:rtl/>
              </w:rPr>
              <w:t>בית משפט השלום בכפר סבא</w:t>
            </w:r>
          </w:p>
        </w:tc>
      </w:tr>
      <w:tr w:rsidR="005806B0" w:rsidRPr="008604BD" w14:paraId="1401D42C" w14:textId="77777777" w:rsidTr="00742BFD">
        <w:trPr>
          <w:trHeight w:val="337"/>
          <w:jc w:val="center"/>
        </w:trPr>
        <w:tc>
          <w:tcPr>
            <w:tcW w:w="5060" w:type="dxa"/>
          </w:tcPr>
          <w:p w14:paraId="685395A7" w14:textId="77777777" w:rsidR="005806B0" w:rsidRPr="008604BD" w:rsidRDefault="005806B0" w:rsidP="00245E6B">
            <w:pPr>
              <w:rPr>
                <w:rFonts w:cs="FrankRuehl"/>
                <w:sz w:val="28"/>
                <w:szCs w:val="28"/>
                <w:rtl/>
              </w:rPr>
            </w:pPr>
            <w:r w:rsidRPr="008604BD">
              <w:rPr>
                <w:rFonts w:cs="FrankRuehl"/>
                <w:sz w:val="28"/>
                <w:szCs w:val="28"/>
                <w:rtl/>
              </w:rPr>
              <w:t>ת"פ</w:t>
            </w:r>
            <w:r w:rsidRPr="008604BD">
              <w:rPr>
                <w:rFonts w:cs="FrankRuehl" w:hint="cs"/>
                <w:sz w:val="28"/>
                <w:szCs w:val="28"/>
                <w:rtl/>
              </w:rPr>
              <w:t xml:space="preserve"> </w:t>
            </w:r>
            <w:hyperlink r:id="rId6" w:history="1">
              <w:r w:rsidR="00426AE3" w:rsidRPr="00426AE3">
                <w:rPr>
                  <w:rFonts w:cs="FrankRuehl"/>
                  <w:color w:val="0000FF"/>
                  <w:sz w:val="28"/>
                  <w:szCs w:val="28"/>
                  <w:u w:val="single"/>
                  <w:rtl/>
                </w:rPr>
                <w:t xml:space="preserve">20307-05-20 </w:t>
              </w:r>
            </w:hyperlink>
            <w:r w:rsidRPr="008604BD">
              <w:rPr>
                <w:rFonts w:cs="FrankRuehl" w:hint="cs"/>
                <w:sz w:val="28"/>
                <w:szCs w:val="28"/>
                <w:rtl/>
              </w:rPr>
              <w:t xml:space="preserve"> </w:t>
            </w:r>
            <w:r w:rsidRPr="008604BD">
              <w:rPr>
                <w:rFonts w:cs="FrankRuehl"/>
                <w:sz w:val="28"/>
                <w:szCs w:val="28"/>
                <w:rtl/>
              </w:rPr>
              <w:t>מדינת ישראל נ' מסארוה(עציר)</w:t>
            </w:r>
          </w:p>
          <w:p w14:paraId="69A10AF2" w14:textId="77777777" w:rsidR="005806B0" w:rsidRPr="008604BD" w:rsidRDefault="005806B0" w:rsidP="00245E6B">
            <w:pPr>
              <w:pStyle w:val="a3"/>
              <w:rPr>
                <w:rFonts w:cs="FrankRuehl"/>
                <w:sz w:val="28"/>
                <w:szCs w:val="28"/>
                <w:rtl/>
              </w:rPr>
            </w:pPr>
          </w:p>
        </w:tc>
        <w:tc>
          <w:tcPr>
            <w:tcW w:w="3661" w:type="dxa"/>
          </w:tcPr>
          <w:p w14:paraId="622DD99A" w14:textId="77777777" w:rsidR="005806B0" w:rsidRPr="008604BD" w:rsidRDefault="005806B0" w:rsidP="00245E6B">
            <w:pPr>
              <w:pStyle w:val="a3"/>
              <w:jc w:val="right"/>
              <w:rPr>
                <w:rFonts w:cs="FrankRuehl"/>
                <w:sz w:val="28"/>
                <w:szCs w:val="28"/>
                <w:rtl/>
              </w:rPr>
            </w:pPr>
          </w:p>
        </w:tc>
      </w:tr>
    </w:tbl>
    <w:p w14:paraId="25354CB1" w14:textId="77777777" w:rsidR="005806B0" w:rsidRPr="008604BD" w:rsidRDefault="005806B0" w:rsidP="005806B0">
      <w:pPr>
        <w:pStyle w:val="a3"/>
        <w:jc w:val="right"/>
        <w:rPr>
          <w:b/>
          <w:bCs/>
          <w:rtl/>
        </w:rPr>
      </w:pPr>
      <w:r w:rsidRPr="008604BD">
        <w:rPr>
          <w:rFonts w:hint="cs"/>
          <w:rtl/>
        </w:rPr>
        <w:t xml:space="preserve"> </w:t>
      </w:r>
      <w:r w:rsidRPr="008604BD">
        <w:rPr>
          <w:rFonts w:hint="cs"/>
          <w:b/>
          <w:bCs/>
          <w:rtl/>
        </w:rPr>
        <w:t>18.7.21</w:t>
      </w:r>
    </w:p>
    <w:p w14:paraId="08CBD854" w14:textId="77777777" w:rsidR="005806B0" w:rsidRPr="008604BD" w:rsidRDefault="005806B0" w:rsidP="005806B0">
      <w:pPr>
        <w:spacing w:line="360" w:lineRule="auto"/>
        <w:jc w:val="both"/>
        <w:rPr>
          <w:rFonts w:ascii="David" w:hAnsi="David"/>
          <w:b/>
          <w:bCs/>
          <w:rtl/>
        </w:rPr>
      </w:pPr>
    </w:p>
    <w:p w14:paraId="0F36C092" w14:textId="77777777" w:rsidR="005806B0" w:rsidRPr="008604BD" w:rsidRDefault="005806B0" w:rsidP="005806B0">
      <w:pPr>
        <w:spacing w:line="360" w:lineRule="auto"/>
        <w:jc w:val="both"/>
        <w:rPr>
          <w:rFonts w:ascii="David" w:hAnsi="David"/>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7897"/>
      </w:tblGrid>
      <w:tr w:rsidR="005806B0" w:rsidRPr="008604BD" w14:paraId="22911DEF" w14:textId="77777777" w:rsidTr="005806B0">
        <w:trPr>
          <w:trHeight w:val="295"/>
          <w:jc w:val="center"/>
        </w:trPr>
        <w:tc>
          <w:tcPr>
            <w:tcW w:w="923" w:type="dxa"/>
            <w:tcBorders>
              <w:top w:val="nil"/>
              <w:left w:val="nil"/>
              <w:bottom w:val="nil"/>
              <w:right w:val="nil"/>
            </w:tcBorders>
            <w:shd w:val="clear" w:color="auto" w:fill="auto"/>
          </w:tcPr>
          <w:p w14:paraId="42866167" w14:textId="77777777" w:rsidR="005806B0" w:rsidRPr="008604BD" w:rsidRDefault="005806B0" w:rsidP="005806B0">
            <w:pPr>
              <w:jc w:val="both"/>
              <w:rPr>
                <w:rFonts w:ascii="David" w:hAnsi="David"/>
                <w:b/>
                <w:bCs/>
                <w:sz w:val="28"/>
                <w:szCs w:val="28"/>
              </w:rPr>
            </w:pPr>
            <w:r w:rsidRPr="008604BD">
              <w:rPr>
                <w:rFonts w:ascii="David" w:hAnsi="David" w:hint="cs"/>
                <w:b/>
                <w:bCs/>
                <w:sz w:val="28"/>
                <w:szCs w:val="28"/>
                <w:rtl/>
              </w:rPr>
              <w:t>ל</w:t>
            </w:r>
            <w:r w:rsidRPr="008604BD">
              <w:rPr>
                <w:rFonts w:ascii="David" w:hAnsi="David"/>
                <w:b/>
                <w:bCs/>
                <w:sz w:val="28"/>
                <w:szCs w:val="28"/>
                <w:rtl/>
              </w:rPr>
              <w:t xml:space="preserve">פני </w:t>
            </w:r>
          </w:p>
        </w:tc>
        <w:tc>
          <w:tcPr>
            <w:tcW w:w="7897" w:type="dxa"/>
            <w:tcBorders>
              <w:top w:val="nil"/>
              <w:left w:val="nil"/>
              <w:bottom w:val="nil"/>
              <w:right w:val="nil"/>
            </w:tcBorders>
            <w:shd w:val="clear" w:color="auto" w:fill="auto"/>
          </w:tcPr>
          <w:p w14:paraId="38538762" w14:textId="77777777" w:rsidR="005806B0" w:rsidRPr="008604BD" w:rsidRDefault="005806B0" w:rsidP="00245E6B">
            <w:pPr>
              <w:rPr>
                <w:rFonts w:ascii="David" w:hAnsi="David"/>
                <w:b/>
                <w:bCs/>
                <w:sz w:val="28"/>
                <w:szCs w:val="28"/>
                <w:rtl/>
              </w:rPr>
            </w:pPr>
            <w:r w:rsidRPr="008604BD">
              <w:rPr>
                <w:rFonts w:ascii="David" w:hAnsi="David"/>
                <w:b/>
                <w:bCs/>
                <w:sz w:val="28"/>
                <w:szCs w:val="28"/>
                <w:rtl/>
              </w:rPr>
              <w:t>כבוד השופט אביב שרון</w:t>
            </w:r>
          </w:p>
          <w:p w14:paraId="777D81B5" w14:textId="77777777" w:rsidR="005806B0" w:rsidRPr="008604BD" w:rsidRDefault="005806B0" w:rsidP="00245E6B">
            <w:pPr>
              <w:rPr>
                <w:rFonts w:ascii="David" w:hAnsi="David"/>
                <w:b/>
                <w:bCs/>
                <w:rtl/>
              </w:rPr>
            </w:pPr>
          </w:p>
          <w:p w14:paraId="24E5E50E" w14:textId="77777777" w:rsidR="005806B0" w:rsidRPr="008604BD" w:rsidRDefault="005806B0" w:rsidP="005806B0">
            <w:pPr>
              <w:jc w:val="both"/>
              <w:rPr>
                <w:rFonts w:ascii="David" w:hAnsi="David"/>
                <w:b/>
                <w:bCs/>
                <w:sz w:val="28"/>
                <w:szCs w:val="28"/>
              </w:rPr>
            </w:pPr>
          </w:p>
        </w:tc>
      </w:tr>
    </w:tbl>
    <w:p w14:paraId="3436171E" w14:textId="77777777" w:rsidR="005806B0" w:rsidRPr="008604BD" w:rsidRDefault="005806B0" w:rsidP="005806B0">
      <w:pPr>
        <w:spacing w:line="360" w:lineRule="auto"/>
        <w:jc w:val="both"/>
        <w:rPr>
          <w:rFonts w:ascii="David" w:hAnsi="David"/>
          <w:b/>
          <w:bCs/>
          <w:rtl/>
        </w:rPr>
      </w:pPr>
      <w:bookmarkStart w:id="1" w:name="FirstAppellant"/>
      <w:r w:rsidRPr="008604BD">
        <w:rPr>
          <w:rFonts w:ascii="David" w:hAnsi="David" w:hint="cs"/>
          <w:b/>
          <w:bCs/>
          <w:rtl/>
        </w:rPr>
        <w:t>בעניין</w:t>
      </w:r>
      <w:bookmarkEnd w:id="1"/>
      <w:r w:rsidRPr="008604BD">
        <w:rPr>
          <w:rFonts w:ascii="David" w:hAnsi="David" w:hint="cs"/>
          <w:b/>
          <w:bCs/>
          <w:rtl/>
        </w:rPr>
        <w:t>:</w:t>
      </w:r>
      <w:r w:rsidRPr="008604BD">
        <w:rPr>
          <w:rFonts w:ascii="David" w:hAnsi="David"/>
          <w:b/>
          <w:bCs/>
          <w:rtl/>
        </w:rPr>
        <w:tab/>
      </w:r>
      <w:r w:rsidRPr="008604BD">
        <w:rPr>
          <w:rFonts w:ascii="David" w:hAnsi="David" w:hint="cs"/>
          <w:b/>
          <w:bCs/>
          <w:rtl/>
        </w:rPr>
        <w:t xml:space="preserve">מדינת ישראל </w:t>
      </w:r>
      <w:r w:rsidRPr="008604BD">
        <w:rPr>
          <w:rFonts w:ascii="David" w:hAnsi="David"/>
          <w:b/>
          <w:bCs/>
          <w:rtl/>
        </w:rPr>
        <w:t>–</w:t>
      </w:r>
      <w:r w:rsidRPr="008604BD">
        <w:rPr>
          <w:rFonts w:ascii="David" w:hAnsi="David" w:hint="cs"/>
          <w:b/>
          <w:bCs/>
          <w:rtl/>
        </w:rPr>
        <w:t xml:space="preserve"> פרקליטות מחוז מרכז (פלילי)</w:t>
      </w:r>
      <w:r w:rsidRPr="008604BD">
        <w:rPr>
          <w:rFonts w:ascii="David" w:hAnsi="David" w:hint="cs"/>
          <w:b/>
          <w:bCs/>
          <w:rtl/>
        </w:rPr>
        <w:tab/>
      </w:r>
      <w:r w:rsidRPr="008604BD">
        <w:rPr>
          <w:rFonts w:ascii="David" w:hAnsi="David"/>
          <w:b/>
          <w:bCs/>
          <w:rtl/>
        </w:rPr>
        <w:tab/>
      </w:r>
      <w:r w:rsidRPr="008604BD">
        <w:rPr>
          <w:rFonts w:ascii="David" w:hAnsi="David" w:hint="cs"/>
          <w:b/>
          <w:bCs/>
          <w:rtl/>
        </w:rPr>
        <w:t>המאשימה</w:t>
      </w:r>
    </w:p>
    <w:p w14:paraId="1A21A3B5" w14:textId="77777777" w:rsidR="005806B0" w:rsidRPr="008604BD" w:rsidRDefault="005806B0" w:rsidP="005806B0">
      <w:pPr>
        <w:spacing w:line="360" w:lineRule="auto"/>
        <w:jc w:val="both"/>
        <w:rPr>
          <w:rFonts w:ascii="David" w:hAnsi="David"/>
          <w:rtl/>
        </w:rPr>
      </w:pPr>
      <w:r w:rsidRPr="008604BD">
        <w:rPr>
          <w:rFonts w:ascii="David" w:hAnsi="David"/>
          <w:rtl/>
        </w:rPr>
        <w:tab/>
      </w:r>
      <w:r w:rsidRPr="008604BD">
        <w:rPr>
          <w:rFonts w:ascii="David" w:hAnsi="David" w:hint="cs"/>
          <w:rtl/>
        </w:rPr>
        <w:t xml:space="preserve">ע"י </w:t>
      </w:r>
      <w:bookmarkStart w:id="2" w:name="FirstLawyer"/>
      <w:r w:rsidRPr="008604BD">
        <w:rPr>
          <w:rFonts w:ascii="David" w:hAnsi="David" w:hint="cs"/>
          <w:rtl/>
        </w:rPr>
        <w:t>ב"כ</w:t>
      </w:r>
      <w:bookmarkEnd w:id="2"/>
      <w:r w:rsidRPr="008604BD">
        <w:rPr>
          <w:rFonts w:ascii="David" w:hAnsi="David" w:hint="cs"/>
          <w:rtl/>
        </w:rPr>
        <w:t xml:space="preserve"> עו"ד אוריה תוהמי</w:t>
      </w:r>
    </w:p>
    <w:p w14:paraId="17920703" w14:textId="77777777" w:rsidR="005806B0" w:rsidRPr="008604BD" w:rsidRDefault="005806B0" w:rsidP="005806B0">
      <w:pPr>
        <w:spacing w:line="360" w:lineRule="auto"/>
        <w:jc w:val="both"/>
        <w:rPr>
          <w:rFonts w:ascii="David" w:hAnsi="David"/>
          <w:rtl/>
        </w:rPr>
      </w:pPr>
    </w:p>
    <w:p w14:paraId="5823B0AA" w14:textId="77777777" w:rsidR="005806B0" w:rsidRPr="008604BD" w:rsidRDefault="005806B0" w:rsidP="005806B0">
      <w:pPr>
        <w:spacing w:line="360" w:lineRule="auto"/>
        <w:jc w:val="both"/>
        <w:rPr>
          <w:rFonts w:ascii="David" w:hAnsi="David"/>
          <w:b/>
          <w:bCs/>
          <w:rtl/>
        </w:rPr>
      </w:pPr>
      <w:r w:rsidRPr="008604BD">
        <w:rPr>
          <w:rFonts w:ascii="David" w:hAnsi="David"/>
          <w:b/>
          <w:bCs/>
          <w:rtl/>
        </w:rPr>
        <w:tab/>
      </w:r>
      <w:r w:rsidRPr="008604BD">
        <w:rPr>
          <w:rFonts w:ascii="David" w:hAnsi="David" w:hint="cs"/>
          <w:b/>
          <w:bCs/>
          <w:rtl/>
        </w:rPr>
        <w:t>נ ג ד</w:t>
      </w:r>
    </w:p>
    <w:p w14:paraId="6C3D5AE6" w14:textId="77777777" w:rsidR="005806B0" w:rsidRPr="008604BD" w:rsidRDefault="005806B0" w:rsidP="005806B0">
      <w:pPr>
        <w:spacing w:line="360" w:lineRule="auto"/>
        <w:jc w:val="both"/>
        <w:rPr>
          <w:rFonts w:ascii="David" w:hAnsi="David"/>
          <w:rtl/>
        </w:rPr>
      </w:pPr>
    </w:p>
    <w:p w14:paraId="08D50E0A" w14:textId="77777777" w:rsidR="005806B0" w:rsidRPr="008604BD" w:rsidRDefault="005806B0" w:rsidP="005806B0">
      <w:pPr>
        <w:spacing w:line="360" w:lineRule="auto"/>
        <w:jc w:val="both"/>
        <w:rPr>
          <w:rFonts w:ascii="David" w:hAnsi="David"/>
          <w:b/>
          <w:bCs/>
          <w:rtl/>
        </w:rPr>
      </w:pPr>
      <w:r w:rsidRPr="008604BD">
        <w:rPr>
          <w:rFonts w:ascii="David" w:hAnsi="David"/>
          <w:b/>
          <w:bCs/>
          <w:rtl/>
        </w:rPr>
        <w:tab/>
      </w:r>
      <w:r w:rsidRPr="008604BD">
        <w:rPr>
          <w:rFonts w:ascii="David" w:hAnsi="David" w:hint="cs"/>
          <w:b/>
          <w:bCs/>
          <w:rtl/>
        </w:rPr>
        <w:t>אסיל מסארוה (עציר)</w:t>
      </w:r>
      <w:r w:rsidRPr="008604BD">
        <w:rPr>
          <w:rFonts w:ascii="David" w:hAnsi="David"/>
          <w:b/>
          <w:bCs/>
          <w:rtl/>
        </w:rPr>
        <w:tab/>
      </w:r>
      <w:r w:rsidRPr="008604BD">
        <w:rPr>
          <w:rFonts w:ascii="David" w:hAnsi="David"/>
          <w:b/>
          <w:bCs/>
          <w:rtl/>
        </w:rPr>
        <w:tab/>
      </w:r>
      <w:r w:rsidRPr="008604BD">
        <w:rPr>
          <w:rFonts w:ascii="David" w:hAnsi="David"/>
          <w:b/>
          <w:bCs/>
          <w:rtl/>
        </w:rPr>
        <w:tab/>
      </w:r>
      <w:r w:rsidRPr="008604BD">
        <w:rPr>
          <w:rFonts w:ascii="David" w:hAnsi="David"/>
          <w:b/>
          <w:bCs/>
          <w:rtl/>
        </w:rPr>
        <w:tab/>
      </w:r>
      <w:r w:rsidRPr="008604BD">
        <w:rPr>
          <w:rFonts w:ascii="David" w:hAnsi="David"/>
          <w:b/>
          <w:bCs/>
          <w:rtl/>
        </w:rPr>
        <w:tab/>
      </w:r>
      <w:r w:rsidRPr="008604BD">
        <w:rPr>
          <w:rFonts w:ascii="David" w:hAnsi="David" w:hint="cs"/>
          <w:b/>
          <w:bCs/>
          <w:rtl/>
        </w:rPr>
        <w:t>הנאשם</w:t>
      </w:r>
    </w:p>
    <w:p w14:paraId="70883912" w14:textId="77777777" w:rsidR="005806B0" w:rsidRPr="008604BD" w:rsidRDefault="005806B0" w:rsidP="005806B0">
      <w:pPr>
        <w:spacing w:line="360" w:lineRule="auto"/>
        <w:jc w:val="both"/>
        <w:rPr>
          <w:rFonts w:ascii="David" w:hAnsi="David"/>
          <w:rtl/>
        </w:rPr>
      </w:pPr>
      <w:r w:rsidRPr="008604BD">
        <w:rPr>
          <w:rFonts w:ascii="David" w:hAnsi="David"/>
          <w:rtl/>
        </w:rPr>
        <w:tab/>
      </w:r>
      <w:r w:rsidRPr="008604BD">
        <w:rPr>
          <w:rFonts w:ascii="David" w:hAnsi="David" w:hint="cs"/>
          <w:rtl/>
        </w:rPr>
        <w:t>ע"י עו"ד שאדי נאטור</w:t>
      </w:r>
    </w:p>
    <w:p w14:paraId="35026485" w14:textId="77777777" w:rsidR="00742BFD" w:rsidRDefault="00742BFD" w:rsidP="005806B0">
      <w:pPr>
        <w:spacing w:line="360" w:lineRule="auto"/>
        <w:jc w:val="both"/>
        <w:rPr>
          <w:rFonts w:ascii="David" w:hAnsi="David"/>
          <w:rtl/>
        </w:rPr>
      </w:pPr>
    </w:p>
    <w:p w14:paraId="37D71B42" w14:textId="77777777" w:rsidR="00742BFD" w:rsidRPr="00742BFD" w:rsidRDefault="00742BFD" w:rsidP="00742BFD">
      <w:pPr>
        <w:spacing w:after="120" w:line="240" w:lineRule="exact"/>
        <w:ind w:left="283" w:hanging="283"/>
        <w:jc w:val="both"/>
        <w:rPr>
          <w:rFonts w:ascii="FrankRuehl" w:hAnsi="FrankRuehl" w:cs="FrankRuehl"/>
          <w:rtl/>
        </w:rPr>
      </w:pPr>
    </w:p>
    <w:p w14:paraId="523D7DC1" w14:textId="77777777" w:rsidR="00426AE3" w:rsidRPr="00426AE3" w:rsidRDefault="00426AE3" w:rsidP="00426AE3">
      <w:pPr>
        <w:spacing w:before="120" w:after="120" w:line="240" w:lineRule="exact"/>
        <w:ind w:left="283" w:hanging="283"/>
        <w:jc w:val="both"/>
        <w:rPr>
          <w:rFonts w:ascii="FrankRuehl" w:hAnsi="FrankRuehl" w:cs="FrankRuehl"/>
          <w:rtl/>
        </w:rPr>
      </w:pPr>
    </w:p>
    <w:p w14:paraId="1C0E3998" w14:textId="77777777" w:rsidR="005239EE" w:rsidRDefault="005239EE" w:rsidP="005239EE">
      <w:pPr>
        <w:spacing w:line="360" w:lineRule="auto"/>
        <w:jc w:val="center"/>
        <w:rPr>
          <w:rFonts w:ascii="David" w:hAnsi="David"/>
          <w:sz w:val="28"/>
          <w:szCs w:val="28"/>
          <w:rtl/>
        </w:rPr>
      </w:pPr>
      <w:bookmarkStart w:id="3" w:name="LawTable"/>
      <w:bookmarkEnd w:id="3"/>
    </w:p>
    <w:p w14:paraId="68C445F2" w14:textId="77777777" w:rsidR="005239EE" w:rsidRPr="005239EE" w:rsidRDefault="005239EE" w:rsidP="005239EE">
      <w:pPr>
        <w:spacing w:before="120" w:after="120" w:line="240" w:lineRule="exact"/>
        <w:ind w:left="283" w:hanging="283"/>
        <w:jc w:val="both"/>
        <w:rPr>
          <w:rFonts w:ascii="FrankRuehl" w:hAnsi="FrankRuehl" w:cs="FrankRuehl"/>
          <w:rtl/>
        </w:rPr>
      </w:pPr>
    </w:p>
    <w:p w14:paraId="4CBC4AED" w14:textId="77777777" w:rsidR="005239EE" w:rsidRPr="005239EE" w:rsidRDefault="005239EE" w:rsidP="005239EE">
      <w:pPr>
        <w:spacing w:before="120" w:after="120" w:line="240" w:lineRule="exact"/>
        <w:ind w:left="283" w:hanging="283"/>
        <w:jc w:val="both"/>
        <w:rPr>
          <w:rFonts w:ascii="FrankRuehl" w:hAnsi="FrankRuehl" w:cs="FrankRuehl"/>
          <w:rtl/>
        </w:rPr>
      </w:pPr>
    </w:p>
    <w:p w14:paraId="6E934328" w14:textId="77777777" w:rsidR="005239EE" w:rsidRPr="005239EE" w:rsidRDefault="005239EE" w:rsidP="005239EE">
      <w:pPr>
        <w:spacing w:before="120" w:after="120" w:line="240" w:lineRule="exact"/>
        <w:ind w:left="283" w:hanging="283"/>
        <w:jc w:val="both"/>
        <w:rPr>
          <w:rFonts w:ascii="FrankRuehl" w:hAnsi="FrankRuehl" w:cs="FrankRuehl"/>
          <w:rtl/>
        </w:rPr>
      </w:pPr>
      <w:r w:rsidRPr="005239EE">
        <w:rPr>
          <w:rFonts w:ascii="FrankRuehl" w:hAnsi="FrankRuehl" w:cs="FrankRuehl"/>
          <w:rtl/>
        </w:rPr>
        <w:t xml:space="preserve">חקיקה שאוזכרה: </w:t>
      </w:r>
    </w:p>
    <w:p w14:paraId="2284464D" w14:textId="77777777" w:rsidR="005239EE" w:rsidRPr="005239EE" w:rsidRDefault="005239EE" w:rsidP="005239EE">
      <w:pPr>
        <w:spacing w:before="120" w:after="120" w:line="240" w:lineRule="exact"/>
        <w:ind w:left="283" w:hanging="283"/>
        <w:jc w:val="both"/>
        <w:rPr>
          <w:rFonts w:ascii="FrankRuehl" w:hAnsi="FrankRuehl" w:cs="FrankRuehl"/>
          <w:rtl/>
        </w:rPr>
      </w:pPr>
      <w:hyperlink r:id="rId7" w:history="1">
        <w:r w:rsidRPr="005239EE">
          <w:rPr>
            <w:rFonts w:ascii="FrankRuehl" w:hAnsi="FrankRuehl" w:cs="FrankRuehl"/>
            <w:color w:val="0000FF"/>
            <w:rtl/>
          </w:rPr>
          <w:t>חוק העונשין, תשל"ז-1977</w:t>
        </w:r>
      </w:hyperlink>
      <w:r w:rsidRPr="005239EE">
        <w:rPr>
          <w:rFonts w:ascii="FrankRuehl" w:hAnsi="FrankRuehl" w:cs="FrankRuehl"/>
          <w:rtl/>
        </w:rPr>
        <w:t xml:space="preserve">: סע'  </w:t>
      </w:r>
      <w:hyperlink r:id="rId8" w:history="1">
        <w:r w:rsidRPr="005239EE">
          <w:rPr>
            <w:rFonts w:ascii="FrankRuehl" w:hAnsi="FrankRuehl" w:cs="FrankRuehl"/>
            <w:color w:val="0000FF"/>
            <w:rtl/>
          </w:rPr>
          <w:t>45(ב)</w:t>
        </w:r>
      </w:hyperlink>
      <w:r w:rsidRPr="005239EE">
        <w:rPr>
          <w:rFonts w:ascii="FrankRuehl" w:hAnsi="FrankRuehl" w:cs="FrankRuehl"/>
          <w:rtl/>
        </w:rPr>
        <w:t xml:space="preserve">, </w:t>
      </w:r>
      <w:hyperlink r:id="rId9" w:history="1">
        <w:r w:rsidRPr="005239EE">
          <w:rPr>
            <w:rFonts w:ascii="FrankRuehl" w:hAnsi="FrankRuehl" w:cs="FrankRuehl"/>
            <w:color w:val="0000FF"/>
            <w:rtl/>
          </w:rPr>
          <w:t>144(א)</w:t>
        </w:r>
      </w:hyperlink>
    </w:p>
    <w:p w14:paraId="4789B9AF" w14:textId="77777777" w:rsidR="005239EE" w:rsidRPr="005239EE" w:rsidRDefault="005239EE" w:rsidP="005239EE">
      <w:pPr>
        <w:spacing w:line="360" w:lineRule="auto"/>
        <w:jc w:val="center"/>
        <w:rPr>
          <w:rFonts w:ascii="David" w:hAnsi="David"/>
          <w:sz w:val="28"/>
          <w:szCs w:val="28"/>
          <w:rtl/>
        </w:rPr>
      </w:pPr>
      <w:bookmarkStart w:id="4" w:name="LawTable_End"/>
      <w:bookmarkEnd w:id="4"/>
    </w:p>
    <w:p w14:paraId="09A553E2" w14:textId="77777777" w:rsidR="008604BD" w:rsidRPr="00426AE3" w:rsidRDefault="008604BD" w:rsidP="00426AE3">
      <w:pPr>
        <w:spacing w:line="360" w:lineRule="auto"/>
        <w:jc w:val="center"/>
        <w:rPr>
          <w:rFonts w:ascii="David" w:hAnsi="David"/>
          <w:sz w:val="28"/>
          <w:szCs w:val="28"/>
          <w:rtl/>
        </w:rPr>
      </w:pPr>
    </w:p>
    <w:p w14:paraId="268FA865" w14:textId="77777777" w:rsidR="008604BD" w:rsidRPr="008604BD" w:rsidRDefault="008604BD" w:rsidP="008604BD">
      <w:pPr>
        <w:spacing w:line="360" w:lineRule="auto"/>
        <w:jc w:val="center"/>
        <w:rPr>
          <w:rFonts w:ascii="David" w:hAnsi="David"/>
          <w:b/>
          <w:bCs/>
          <w:sz w:val="28"/>
          <w:szCs w:val="28"/>
          <w:u w:val="single"/>
          <w:rtl/>
        </w:rPr>
      </w:pPr>
      <w:bookmarkStart w:id="5" w:name="PsakDin"/>
      <w:bookmarkEnd w:id="0"/>
      <w:r w:rsidRPr="008604BD">
        <w:rPr>
          <w:rFonts w:ascii="David" w:hAnsi="David"/>
          <w:b/>
          <w:bCs/>
          <w:sz w:val="28"/>
          <w:szCs w:val="28"/>
          <w:u w:val="single"/>
          <w:rtl/>
        </w:rPr>
        <w:t>גזר דין</w:t>
      </w:r>
    </w:p>
    <w:bookmarkEnd w:id="5"/>
    <w:p w14:paraId="703BF35F" w14:textId="77777777" w:rsidR="005806B0" w:rsidRDefault="005806B0" w:rsidP="005806B0">
      <w:pPr>
        <w:spacing w:line="360" w:lineRule="auto"/>
        <w:jc w:val="both"/>
        <w:rPr>
          <w:rFonts w:ascii="David" w:hAnsi="David"/>
          <w:rtl/>
        </w:rPr>
      </w:pPr>
    </w:p>
    <w:p w14:paraId="46F464B2" w14:textId="77777777" w:rsidR="005806B0" w:rsidRDefault="005806B0" w:rsidP="005806B0">
      <w:pPr>
        <w:spacing w:line="360" w:lineRule="auto"/>
        <w:jc w:val="both"/>
        <w:rPr>
          <w:rFonts w:ascii="David" w:hAnsi="David"/>
          <w:rtl/>
        </w:rPr>
      </w:pPr>
      <w:r>
        <w:rPr>
          <w:rFonts w:ascii="David" w:hAnsi="David" w:hint="cs"/>
          <w:rtl/>
        </w:rPr>
        <w:t>1.</w:t>
      </w:r>
      <w:r>
        <w:rPr>
          <w:rFonts w:ascii="David" w:hAnsi="David" w:hint="cs"/>
          <w:rtl/>
        </w:rPr>
        <w:tab/>
      </w:r>
      <w:bookmarkStart w:id="6" w:name="ABSTRACT_START"/>
      <w:bookmarkEnd w:id="6"/>
      <w:r>
        <w:rPr>
          <w:rFonts w:ascii="David" w:hAnsi="David" w:hint="cs"/>
          <w:rtl/>
        </w:rPr>
        <w:t xml:space="preserve">הנאשם, יליד 1999, הורשע על פי הודאתו, שלא במסגרת הסדר טיעון, בעבירה של </w:t>
      </w:r>
      <w:r w:rsidRPr="00B07634">
        <w:rPr>
          <w:rFonts w:ascii="David" w:hAnsi="David" w:hint="cs"/>
          <w:b/>
          <w:bCs/>
          <w:rtl/>
        </w:rPr>
        <w:t>החזקת נשק שלא כדין</w:t>
      </w:r>
      <w:r>
        <w:rPr>
          <w:rFonts w:ascii="David" w:hAnsi="David" w:hint="cs"/>
          <w:rtl/>
        </w:rPr>
        <w:t xml:space="preserve">, בניגוד </w:t>
      </w:r>
      <w:hyperlink r:id="rId10" w:history="1">
        <w:r w:rsidR="00742BFD" w:rsidRPr="00742BFD">
          <w:rPr>
            <w:rStyle w:val="Hyperlink"/>
            <w:rFonts w:ascii="David" w:hAnsi="David" w:hint="eastAsia"/>
            <w:rtl/>
          </w:rPr>
          <w:t>לסעיף</w:t>
        </w:r>
        <w:r w:rsidR="00742BFD" w:rsidRPr="00742BFD">
          <w:rPr>
            <w:rStyle w:val="Hyperlink"/>
            <w:rFonts w:ascii="David" w:hAnsi="David"/>
            <w:rtl/>
          </w:rPr>
          <w:t xml:space="preserve"> 144(א)</w:t>
        </w:r>
      </w:hyperlink>
      <w:r>
        <w:rPr>
          <w:rFonts w:ascii="David" w:hAnsi="David" w:hint="cs"/>
          <w:rtl/>
        </w:rPr>
        <w:t xml:space="preserve"> רישא ל</w:t>
      </w:r>
      <w:hyperlink r:id="rId11" w:history="1">
        <w:r w:rsidR="008604BD" w:rsidRPr="008604BD">
          <w:rPr>
            <w:rFonts w:ascii="David" w:hAnsi="David"/>
            <w:color w:val="0000FF"/>
            <w:u w:val="single"/>
            <w:rtl/>
          </w:rPr>
          <w:t>חוק העונשין</w:t>
        </w:r>
      </w:hyperlink>
      <w:r>
        <w:rPr>
          <w:rFonts w:ascii="David" w:hAnsi="David" w:hint="cs"/>
          <w:rtl/>
        </w:rPr>
        <w:t>, תשל"ז-1977.</w:t>
      </w:r>
    </w:p>
    <w:p w14:paraId="28C7CAC5" w14:textId="77777777" w:rsidR="005806B0" w:rsidRDefault="005806B0" w:rsidP="005806B0">
      <w:pPr>
        <w:spacing w:line="360" w:lineRule="auto"/>
        <w:jc w:val="both"/>
        <w:rPr>
          <w:rFonts w:ascii="David" w:hAnsi="David"/>
          <w:rtl/>
        </w:rPr>
      </w:pPr>
      <w:r>
        <w:rPr>
          <w:rFonts w:ascii="David" w:hAnsi="David" w:hint="cs"/>
          <w:rtl/>
        </w:rPr>
        <w:t xml:space="preserve">על פי העובדות, עובר ליום 24.2.20 או בסמוך לכך, החזיק הנאשם בתת מקלע מאולתר (להלן </w:t>
      </w:r>
      <w:r>
        <w:rPr>
          <w:rFonts w:ascii="David" w:hAnsi="David"/>
          <w:rtl/>
        </w:rPr>
        <w:t>–</w:t>
      </w:r>
      <w:r>
        <w:rPr>
          <w:rFonts w:ascii="David" w:hAnsi="David" w:hint="cs"/>
          <w:rtl/>
        </w:rPr>
        <w:t xml:space="preserve"> </w:t>
      </w:r>
      <w:r w:rsidRPr="00DA528E">
        <w:rPr>
          <w:rFonts w:ascii="David" w:hAnsi="David" w:hint="cs"/>
          <w:b/>
          <w:bCs/>
          <w:rtl/>
        </w:rPr>
        <w:t>הנשק</w:t>
      </w:r>
      <w:r>
        <w:rPr>
          <w:rFonts w:ascii="David" w:hAnsi="David" w:hint="cs"/>
          <w:rtl/>
        </w:rPr>
        <w:t>). ביום 24.2.20 בשעות הערב, בעקבות אירוע ירי, הגיעו שוטרים בסמוך לבית הנאשם בטייבה והבחינו במספר אנשים בורחים מהמקום. בסמוך לאחר מכן הבחינו בנשק ובו מחסנית המכילה 10 כדורי תחמושת בקליבר 9 מ"מ פאראבלום, התואמת לנשק, מונח מתחת לגיגית בחצר הצמודה לבית.</w:t>
      </w:r>
    </w:p>
    <w:p w14:paraId="13BAB3B2" w14:textId="77777777" w:rsidR="005806B0" w:rsidRDefault="005806B0" w:rsidP="005806B0">
      <w:pPr>
        <w:spacing w:line="360" w:lineRule="auto"/>
        <w:jc w:val="both"/>
        <w:rPr>
          <w:rFonts w:ascii="David" w:hAnsi="David"/>
          <w:rtl/>
        </w:rPr>
      </w:pPr>
      <w:bookmarkStart w:id="7" w:name="ABSTRACT_END"/>
      <w:bookmarkEnd w:id="7"/>
    </w:p>
    <w:p w14:paraId="7C8C7C1E" w14:textId="77777777" w:rsidR="005806B0" w:rsidRDefault="005806B0" w:rsidP="005806B0">
      <w:pPr>
        <w:spacing w:line="360" w:lineRule="auto"/>
        <w:jc w:val="both"/>
        <w:rPr>
          <w:rFonts w:ascii="David" w:hAnsi="David"/>
          <w:rtl/>
        </w:rPr>
      </w:pPr>
      <w:r>
        <w:rPr>
          <w:rFonts w:ascii="David" w:hAnsi="David" w:hint="cs"/>
          <w:rtl/>
        </w:rPr>
        <w:lastRenderedPageBreak/>
        <w:t>2.</w:t>
      </w:r>
      <w:r>
        <w:rPr>
          <w:rFonts w:ascii="David" w:hAnsi="David" w:hint="cs"/>
          <w:rtl/>
        </w:rPr>
        <w:tab/>
        <w:t>ב"כ המאשימה הפנתה לערכים החברתיים המוגנים בביצוע העבירה שעניינם שמירה על שלום הציבור ובטחונו; פגיעה בשלטון החוק ובסדרי שלטון ומשטר; סיכון חיי אדם וחשש יומיומי של האוכלוסיה האזרחית מפגיעה כתוצאה משימוש בנשק. התובעת טענה שעבירות בנשק הפכו זה מכבר ל"מכת מדינה" ול"מכת איזור", וקיימת סכנה ממשית שהנשק המוחזק שלא כדין יעבור לידיים עברייניות או בטחוניות ומכאן החשש לפגיעה בחפים מפשע. לחומרה, ציינה התובעת שמדובר בנשק מסוג תת-מקלע, התקפי, אשר הוחזק בחצר הבית. הנשק היה טעון במחסנית עם 10 כדורים ומוכן לפעולה. סיבת החזקת הנשק נותרה עלומה.</w:t>
      </w:r>
    </w:p>
    <w:p w14:paraId="34827D8A" w14:textId="77777777" w:rsidR="005806B0" w:rsidRDefault="005806B0" w:rsidP="005806B0">
      <w:pPr>
        <w:spacing w:line="360" w:lineRule="auto"/>
        <w:jc w:val="both"/>
        <w:rPr>
          <w:rFonts w:ascii="David" w:hAnsi="David"/>
          <w:rtl/>
        </w:rPr>
      </w:pPr>
      <w:r>
        <w:rPr>
          <w:rFonts w:ascii="David" w:hAnsi="David" w:hint="cs"/>
          <w:rtl/>
        </w:rPr>
        <w:t>באשר לנסיבות שאינן קשורות בביצוע העבירה, ציינה התובעת שלנאשם הרשעה נוספת אחת, מאוחרת, בעבירות של בריחה ממעצר וקבלת דבר במרמה, בגינה הוא מרצה כעת עונש של 9.5 חודשי מאסר, עבירות אותן עבר הנאשם לאחר שבית המשפט הורה על המשך מעצרו באיזוק אלקטרוני בתיק זה, וכתוצאה ממעשה מרמה שביצע גרם לשחרורו ממעצר באיזוק אלקטרוני.</w:t>
      </w:r>
    </w:p>
    <w:p w14:paraId="0D16EDAE" w14:textId="77777777" w:rsidR="005806B0" w:rsidRDefault="005806B0" w:rsidP="005806B0">
      <w:pPr>
        <w:spacing w:line="360" w:lineRule="auto"/>
        <w:jc w:val="both"/>
        <w:rPr>
          <w:rFonts w:ascii="David" w:hAnsi="David"/>
          <w:rtl/>
        </w:rPr>
      </w:pPr>
      <w:r>
        <w:rPr>
          <w:rFonts w:ascii="David" w:hAnsi="David" w:hint="cs"/>
          <w:rtl/>
        </w:rPr>
        <w:t>ב"כ המאשימה עתרה לקביעת מתחם עונש הולם הנע בין 24 ל-48 חודשי מאסר, על פי הנחיית פרקליט המדינה, וביקשה להטיל על הנאשם 28 חודשי מאסר בפועל, אשר ירוצה במצטבר לעונש המאסר אותו מרצה הנאשם כעת, מאסר על תנאי וקנס כספי.</w:t>
      </w:r>
    </w:p>
    <w:p w14:paraId="43A8D7D2" w14:textId="77777777" w:rsidR="005806B0" w:rsidRDefault="005806B0" w:rsidP="005806B0">
      <w:pPr>
        <w:spacing w:line="360" w:lineRule="auto"/>
        <w:jc w:val="both"/>
        <w:rPr>
          <w:rFonts w:ascii="David" w:hAnsi="David"/>
          <w:rtl/>
        </w:rPr>
      </w:pPr>
      <w:r>
        <w:rPr>
          <w:rFonts w:ascii="David" w:hAnsi="David" w:hint="cs"/>
          <w:rtl/>
        </w:rPr>
        <w:t>התובעת הגישה פסיקה.</w:t>
      </w:r>
    </w:p>
    <w:p w14:paraId="3F6C6230" w14:textId="77777777" w:rsidR="005806B0" w:rsidRDefault="005806B0" w:rsidP="005806B0">
      <w:pPr>
        <w:spacing w:line="360" w:lineRule="auto"/>
        <w:jc w:val="both"/>
        <w:rPr>
          <w:rFonts w:ascii="David" w:hAnsi="David"/>
          <w:rtl/>
        </w:rPr>
      </w:pPr>
      <w:r>
        <w:rPr>
          <w:rFonts w:ascii="David" w:hAnsi="David" w:hint="cs"/>
          <w:rtl/>
        </w:rPr>
        <w:t>3.</w:t>
      </w:r>
      <w:r>
        <w:rPr>
          <w:rFonts w:ascii="David" w:hAnsi="David" w:hint="cs"/>
          <w:rtl/>
        </w:rPr>
        <w:tab/>
        <w:t>ב"כ הנאשם טען שהנאשם הודה בכתב האישום, ללא תיקון, בהזדמנות הראשונה, והביע חרטה בגין המעשה. זאת חרף העובדה שהראיה היחידה שקשרה את הנאשם לנשק, ואשר בגינה נעצר, היתה פרופיל די אן איי של הנאשם שהופק מהנשק. לא ידוע כמה זמן הוחזק הנשק, באיזה אופן ולאיזו מטרה. נטען שהנאשם מרצה עונש מאסר בן 9.5 חודשים בגין תיק המרמה שהתנהל בבית המשפט המחוזי מרכז, וכי חרף העובדה שאין לכך כל ביטוי בפרוטוקול שם, הרי שהנאשם ביקש לצרף תיק זה לתיק שהתנהל נגדו בבית המשפט המחוזי. נטען שלו היה מתבצע הצירוף בפועל, היה גוזר עליו בית המשפט המחוזי עונש שאינו מכביד יתר על המידה, המתחשב בצירוף ובניקוי השולחן. הסניגור טען שנוכח העובדה שהעבירות המאוחרות שביצע הנאשם קשורות לתיק דנן (קבלת דבר במרמה ובריחה ממעצר), הרי שאין להורות על הצטברות עונשים. עוד טען ב"כ הנאשם שהמתחם לו עתרה המאשימה מוגזם ויש לקבוע מתחם עונש הולם הנע בין 10 ל-24 חודשי מאסר. הסניגור הפנה לנסיבות החיים של הנאשם, לעובדה שאמו עברה אירוע מוחי והוא היה זה שסעד אותה ולעובדה שהשתלב בהליך טיפולי בתוך כותלי בית הכלא. לפיכך, ביקש הסניגור להטיל ענישה מידתית ולהורות על חפיפת עונש המאסר שיוטל בתיק זה ליתרת עונש המאסר שנותר לנאשם לרצות בתיק האחר.</w:t>
      </w:r>
    </w:p>
    <w:p w14:paraId="3BFFAF8B" w14:textId="77777777" w:rsidR="005806B0" w:rsidRDefault="005806B0" w:rsidP="005806B0">
      <w:pPr>
        <w:spacing w:line="360" w:lineRule="auto"/>
        <w:jc w:val="both"/>
        <w:rPr>
          <w:rFonts w:ascii="David" w:hAnsi="David"/>
          <w:rtl/>
        </w:rPr>
      </w:pPr>
      <w:r>
        <w:rPr>
          <w:rFonts w:ascii="David" w:hAnsi="David" w:hint="cs"/>
          <w:rtl/>
        </w:rPr>
        <w:t>ב"כ הנאשם הגיש פסיקה.</w:t>
      </w:r>
    </w:p>
    <w:p w14:paraId="5AFE34BF" w14:textId="77777777" w:rsidR="005806B0" w:rsidRDefault="005806B0" w:rsidP="005806B0">
      <w:pPr>
        <w:spacing w:line="360" w:lineRule="auto"/>
        <w:jc w:val="both"/>
        <w:rPr>
          <w:rFonts w:ascii="David" w:hAnsi="David"/>
          <w:rtl/>
        </w:rPr>
      </w:pPr>
    </w:p>
    <w:p w14:paraId="653A67A4" w14:textId="77777777" w:rsidR="005806B0" w:rsidRPr="006F7182" w:rsidRDefault="005806B0" w:rsidP="005806B0">
      <w:pPr>
        <w:spacing w:line="360" w:lineRule="auto"/>
        <w:jc w:val="both"/>
        <w:rPr>
          <w:rFonts w:ascii="David" w:hAnsi="David"/>
          <w:b/>
          <w:bCs/>
          <w:u w:val="single"/>
          <w:rtl/>
        </w:rPr>
      </w:pPr>
      <w:r w:rsidRPr="006F7182">
        <w:rPr>
          <w:rFonts w:ascii="David" w:hAnsi="David" w:hint="cs"/>
          <w:b/>
          <w:bCs/>
          <w:u w:val="single"/>
          <w:rtl/>
        </w:rPr>
        <w:t>דיון והכרעה</w:t>
      </w:r>
    </w:p>
    <w:p w14:paraId="0CA6D9C5" w14:textId="77777777" w:rsidR="005806B0" w:rsidRPr="000554CF" w:rsidRDefault="005806B0" w:rsidP="005806B0">
      <w:pPr>
        <w:spacing w:line="360" w:lineRule="auto"/>
        <w:jc w:val="both"/>
        <w:rPr>
          <w:rFonts w:ascii="David" w:hAnsi="David"/>
          <w:b/>
          <w:bCs/>
          <w:rtl/>
        </w:rPr>
      </w:pPr>
      <w:r>
        <w:rPr>
          <w:rFonts w:ascii="David" w:hAnsi="David" w:hint="cs"/>
          <w:rtl/>
        </w:rPr>
        <w:t>4.</w:t>
      </w:r>
      <w:r>
        <w:rPr>
          <w:rFonts w:ascii="David" w:hAnsi="David" w:hint="cs"/>
          <w:rtl/>
        </w:rPr>
        <w:tab/>
        <w:t xml:space="preserve">הנאשם הורשע בעבירה חמורה של החזקת נשק שלא כדין, עבירה מסוג פשע שהעונש שלצידה עד 7 שנות מאסר </w:t>
      </w:r>
      <w:r>
        <w:rPr>
          <w:rFonts w:ascii="David" w:hAnsi="David"/>
          <w:rtl/>
        </w:rPr>
        <w:t>–</w:t>
      </w:r>
      <w:r>
        <w:rPr>
          <w:rFonts w:ascii="David" w:hAnsi="David" w:hint="cs"/>
          <w:rtl/>
        </w:rPr>
        <w:t xml:space="preserve"> עבירה שזה מכבר הפכה לנפוצה ביותר, ל"מכת מדינה" של ממש ול"מכת איזור", כאשר מדובר ביישובי השרון וביישובי המשולש, טירה, טייבה וקלאנסווה. לצערי, </w:t>
      </w:r>
      <w:r>
        <w:rPr>
          <w:rFonts w:ascii="David" w:hAnsi="David" w:hint="cs"/>
          <w:rtl/>
        </w:rPr>
        <w:lastRenderedPageBreak/>
        <w:t xml:space="preserve">ביושבי בדין כשופט "מוקד", אין לי יום שבו לא מובאים לפניי מספר תיקים של החזקת נשק ותחמושת </w:t>
      </w:r>
      <w:r>
        <w:rPr>
          <w:rFonts w:ascii="David" w:hAnsi="David"/>
          <w:rtl/>
        </w:rPr>
        <w:t>–</w:t>
      </w:r>
      <w:r>
        <w:rPr>
          <w:rFonts w:ascii="David" w:hAnsi="David" w:hint="cs"/>
          <w:rtl/>
        </w:rPr>
        <w:t xml:space="preserve"> עשרות רבות של אקדחים, רובים, תתי מקלע, ואלפי כדורים </w:t>
      </w:r>
      <w:r>
        <w:rPr>
          <w:rFonts w:ascii="David" w:hAnsi="David"/>
          <w:rtl/>
        </w:rPr>
        <w:t>–</w:t>
      </w:r>
      <w:r>
        <w:rPr>
          <w:rFonts w:ascii="David" w:hAnsi="David" w:hint="cs"/>
          <w:rtl/>
        </w:rPr>
        <w:t xml:space="preserve"> המוחזקים שלא כדין על ידי עבריינים, בבתים, בחצרות, בשטחים פתוחים ובכלי רכב; כלי נשק ותחמושת שעלולים להתגלגל לידיים עברייניות או לידיים עויינות-בטחוניות; כלי נשק המשמשים לתקיפה, לפתרון סכסוכים בדרכים אלימות, להפחדה, להגנה עצמית; כלי נשק המוחזקים בידיים בלתי מיומנות ובלתי כשרות, שכאשר מבוצע באמצעותם ירי עלולים לפגוע בחפים מפשע ולקפח חייהם, כפי שלא אחת קורה.</w:t>
      </w:r>
      <w:r w:rsidRPr="009C20EA">
        <w:rPr>
          <w:rFonts w:ascii="David" w:hAnsi="David" w:hint="cs"/>
          <w:rtl/>
        </w:rPr>
        <w:t xml:space="preserve"> גם בכתב האישום דנן מצוין ש</w:t>
      </w:r>
      <w:r>
        <w:rPr>
          <w:rFonts w:ascii="David" w:hAnsi="David" w:hint="cs"/>
          <w:b/>
          <w:bCs/>
          <w:rtl/>
        </w:rPr>
        <w:t xml:space="preserve">השוטרים הגיעו </w:t>
      </w:r>
      <w:r w:rsidRPr="000554CF">
        <w:rPr>
          <w:rFonts w:ascii="David" w:hAnsi="David" w:hint="cs"/>
          <w:b/>
          <w:bCs/>
          <w:rtl/>
        </w:rPr>
        <w:t xml:space="preserve">סמוך לבית הנאשם </w:t>
      </w:r>
      <w:r>
        <w:rPr>
          <w:rFonts w:ascii="David" w:hAnsi="David" w:hint="cs"/>
          <w:b/>
          <w:bCs/>
          <w:rtl/>
        </w:rPr>
        <w:t>בעקבות אירוע ירי...</w:t>
      </w:r>
      <w:r w:rsidRPr="009C20EA">
        <w:rPr>
          <w:rFonts w:ascii="David" w:hAnsi="David" w:hint="cs"/>
          <w:rtl/>
        </w:rPr>
        <w:t xml:space="preserve"> ללמדך, עד כמה אירועי ירי </w:t>
      </w:r>
      <w:r>
        <w:rPr>
          <w:rFonts w:ascii="David" w:hAnsi="David" w:hint="cs"/>
          <w:rtl/>
        </w:rPr>
        <w:t xml:space="preserve">הפכו </w:t>
      </w:r>
      <w:r w:rsidRPr="009C20EA">
        <w:rPr>
          <w:rFonts w:ascii="David" w:hAnsi="David" w:hint="cs"/>
          <w:rtl/>
        </w:rPr>
        <w:t>שכיחים באיזור.</w:t>
      </w:r>
    </w:p>
    <w:p w14:paraId="77FD1036" w14:textId="77777777" w:rsidR="005806B0" w:rsidRDefault="005806B0" w:rsidP="005806B0">
      <w:pPr>
        <w:spacing w:line="360" w:lineRule="auto"/>
        <w:jc w:val="both"/>
        <w:rPr>
          <w:rFonts w:ascii="David" w:hAnsi="David"/>
          <w:rtl/>
        </w:rPr>
      </w:pPr>
    </w:p>
    <w:p w14:paraId="4263E9EB" w14:textId="77777777" w:rsidR="005806B0" w:rsidRDefault="005806B0" w:rsidP="005806B0">
      <w:pPr>
        <w:spacing w:line="360" w:lineRule="auto"/>
        <w:jc w:val="both"/>
        <w:rPr>
          <w:rFonts w:ascii="David" w:hAnsi="David"/>
          <w:rtl/>
        </w:rPr>
      </w:pPr>
      <w:r>
        <w:rPr>
          <w:rFonts w:ascii="David" w:hAnsi="David" w:hint="cs"/>
          <w:rtl/>
        </w:rPr>
        <w:t>5.</w:t>
      </w:r>
      <w:r>
        <w:rPr>
          <w:rFonts w:ascii="David" w:hAnsi="David" w:hint="cs"/>
          <w:rtl/>
        </w:rPr>
        <w:tab/>
        <w:t>הערכים החברתיים המוגנים בביצוע העבירה הם שמירה על בטחון הציבור ושלומו, שמירה על ערך קדושת החיים, שמירה על שלטון החוק ומניעת פגיעה באזרחים ומניעת זליגת כלי נשק ותחמושת לידיים עברייניות או בטחוניות.</w:t>
      </w:r>
    </w:p>
    <w:p w14:paraId="0E11B16B" w14:textId="77777777" w:rsidR="005806B0" w:rsidRDefault="005806B0" w:rsidP="005806B0">
      <w:pPr>
        <w:spacing w:line="360" w:lineRule="auto"/>
        <w:jc w:val="both"/>
        <w:rPr>
          <w:rFonts w:ascii="David" w:hAnsi="David"/>
          <w:rtl/>
        </w:rPr>
      </w:pPr>
    </w:p>
    <w:p w14:paraId="57D00F91" w14:textId="77777777" w:rsidR="005806B0" w:rsidRDefault="005806B0" w:rsidP="005806B0">
      <w:pPr>
        <w:spacing w:line="360" w:lineRule="auto"/>
        <w:jc w:val="both"/>
        <w:rPr>
          <w:rFonts w:ascii="David" w:hAnsi="David"/>
          <w:rtl/>
        </w:rPr>
      </w:pPr>
    </w:p>
    <w:p w14:paraId="63F20245" w14:textId="77777777" w:rsidR="005806B0" w:rsidRDefault="005806B0" w:rsidP="005806B0">
      <w:pPr>
        <w:spacing w:line="360" w:lineRule="auto"/>
        <w:jc w:val="both"/>
        <w:rPr>
          <w:rFonts w:ascii="David" w:hAnsi="David"/>
          <w:rtl/>
        </w:rPr>
      </w:pPr>
    </w:p>
    <w:p w14:paraId="564DEDAD" w14:textId="77777777" w:rsidR="005806B0" w:rsidRDefault="005806B0" w:rsidP="005806B0">
      <w:pPr>
        <w:spacing w:line="360" w:lineRule="auto"/>
        <w:jc w:val="both"/>
        <w:rPr>
          <w:rFonts w:ascii="David" w:hAnsi="David"/>
          <w:rtl/>
        </w:rPr>
      </w:pPr>
      <w:r>
        <w:rPr>
          <w:rFonts w:ascii="David" w:hAnsi="David" w:hint="cs"/>
          <w:rtl/>
        </w:rPr>
        <w:t xml:space="preserve">בענייננו, מידת הפגיעה בערכים החברתיים המוגנים היתה </w:t>
      </w:r>
      <w:r w:rsidRPr="009C20EA">
        <w:rPr>
          <w:rFonts w:ascii="David" w:hAnsi="David" w:hint="cs"/>
          <w:u w:val="single"/>
          <w:rtl/>
        </w:rPr>
        <w:t>גבוהה</w:t>
      </w:r>
      <w:r>
        <w:rPr>
          <w:rFonts w:ascii="David" w:hAnsi="David" w:hint="cs"/>
          <w:rtl/>
        </w:rPr>
        <w:t xml:space="preserve"> </w:t>
      </w:r>
      <w:r>
        <w:rPr>
          <w:rFonts w:ascii="David" w:hAnsi="David"/>
          <w:rtl/>
        </w:rPr>
        <w:t>–</w:t>
      </w:r>
      <w:r>
        <w:rPr>
          <w:rFonts w:ascii="David" w:hAnsi="David" w:hint="cs"/>
          <w:rtl/>
        </w:rPr>
        <w:t xml:space="preserve"> מדובר בנשק התקפי, מסוג תת-מקלע; הנשק היה מאולתר (ולא תקני), כך שלא עבר כל בקרה בטיחותית; הנשק היה טעון במחסנית ובה 10 כדורים תואמים; הנשק הוחזק בחצר הצמודה לבית הנאשם ומוכן לפעולה; סיבת החזקת הנשק לא הובררה. יחד עם זאת, לא ברור ולא ידוע כמה זמן החזיק הנאשם בנשק.</w:t>
      </w:r>
    </w:p>
    <w:p w14:paraId="06A3F32C" w14:textId="77777777" w:rsidR="005806B0" w:rsidRDefault="005806B0" w:rsidP="005806B0">
      <w:pPr>
        <w:spacing w:line="360" w:lineRule="auto"/>
        <w:jc w:val="both"/>
        <w:rPr>
          <w:rFonts w:ascii="David" w:hAnsi="David"/>
          <w:rtl/>
        </w:rPr>
      </w:pPr>
    </w:p>
    <w:p w14:paraId="5AB492FC" w14:textId="77777777" w:rsidR="005806B0" w:rsidRDefault="005806B0" w:rsidP="005806B0">
      <w:pPr>
        <w:spacing w:line="360" w:lineRule="auto"/>
        <w:jc w:val="both"/>
        <w:rPr>
          <w:rFonts w:ascii="David" w:hAnsi="David"/>
          <w:rtl/>
        </w:rPr>
      </w:pPr>
      <w:r>
        <w:rPr>
          <w:rFonts w:ascii="David" w:hAnsi="David" w:hint="cs"/>
          <w:rtl/>
        </w:rPr>
        <w:t>6.</w:t>
      </w:r>
      <w:r>
        <w:rPr>
          <w:rFonts w:ascii="David" w:hAnsi="David" w:hint="cs"/>
          <w:rtl/>
        </w:rPr>
        <w:tab/>
        <w:t>נוכח העובדה שמדובר בעבירה שהיא בגדר "מכת מדינה", ועל מנת ליצור הרתעה ולהגן על שלום הציבור ובטחונו, קובעת הפסיקה שיש להחמיר בעונשיהם של מבצעי העבירות בנשק, כדי הטלת מאסרים לריצוי בפועל, לתקופות שאינן קצרות, כאשר לאחרונה מורגשת מגמת החמרה בענישה.</w:t>
      </w:r>
    </w:p>
    <w:p w14:paraId="5C77A9A2" w14:textId="77777777" w:rsidR="005806B0" w:rsidRDefault="005806B0" w:rsidP="005806B0">
      <w:pPr>
        <w:spacing w:line="360" w:lineRule="auto"/>
        <w:jc w:val="both"/>
        <w:rPr>
          <w:rFonts w:ascii="David" w:hAnsi="David"/>
          <w:rtl/>
        </w:rPr>
      </w:pPr>
    </w:p>
    <w:p w14:paraId="75B38EC1" w14:textId="77777777" w:rsidR="005806B0" w:rsidRDefault="005806B0" w:rsidP="005806B0">
      <w:pPr>
        <w:spacing w:line="360" w:lineRule="auto"/>
        <w:jc w:val="both"/>
        <w:rPr>
          <w:rFonts w:ascii="David" w:hAnsi="David"/>
          <w:rtl/>
        </w:rPr>
      </w:pPr>
      <w:r>
        <w:rPr>
          <w:rFonts w:ascii="David" w:hAnsi="David" w:hint="cs"/>
          <w:rtl/>
        </w:rPr>
        <w:t xml:space="preserve">[ראה לדוגמא: </w:t>
      </w:r>
      <w:hyperlink r:id="rId12" w:history="1">
        <w:r w:rsidR="008604BD" w:rsidRPr="008604BD">
          <w:rPr>
            <w:rFonts w:ascii="David" w:hAnsi="David"/>
            <w:color w:val="0000FF"/>
            <w:u w:val="single"/>
            <w:rtl/>
          </w:rPr>
          <w:t>ת"פ (מחוזי מרכז) 63642-12-18</w:t>
        </w:r>
      </w:hyperlink>
      <w:r>
        <w:rPr>
          <w:rFonts w:ascii="David" w:hAnsi="David" w:hint="cs"/>
          <w:rtl/>
        </w:rPr>
        <w:t xml:space="preserve"> </w:t>
      </w:r>
      <w:r>
        <w:rPr>
          <w:rFonts w:ascii="David" w:hAnsi="David" w:hint="cs"/>
          <w:b/>
          <w:bCs/>
          <w:rtl/>
        </w:rPr>
        <w:t>מדינת ישראל נ' אל</w:t>
      </w:r>
      <w:r w:rsidRPr="00C2010E">
        <w:rPr>
          <w:rFonts w:ascii="David" w:hAnsi="David" w:hint="cs"/>
          <w:b/>
          <w:bCs/>
          <w:rtl/>
        </w:rPr>
        <w:t xml:space="preserve"> מוגרבי</w:t>
      </w:r>
      <w:r>
        <w:rPr>
          <w:rFonts w:ascii="David" w:hAnsi="David" w:hint="cs"/>
          <w:rtl/>
        </w:rPr>
        <w:t xml:space="preserve"> (30.4.20); </w:t>
      </w:r>
      <w:hyperlink r:id="rId13" w:history="1">
        <w:r w:rsidR="008604BD" w:rsidRPr="008604BD">
          <w:rPr>
            <w:rFonts w:ascii="David" w:hAnsi="David"/>
            <w:color w:val="0000FF"/>
            <w:u w:val="single"/>
            <w:rtl/>
          </w:rPr>
          <w:t>עפ"ג (מחוזי מרכז) 27108-01-16</w:t>
        </w:r>
      </w:hyperlink>
      <w:r>
        <w:rPr>
          <w:rFonts w:ascii="David" w:hAnsi="David" w:hint="cs"/>
          <w:rtl/>
        </w:rPr>
        <w:t xml:space="preserve"> </w:t>
      </w:r>
      <w:r>
        <w:rPr>
          <w:rFonts w:ascii="David" w:hAnsi="David" w:hint="cs"/>
          <w:b/>
          <w:bCs/>
          <w:rtl/>
        </w:rPr>
        <w:t>מדינת ישראל נ'</w:t>
      </w:r>
      <w:r w:rsidRPr="00443482">
        <w:rPr>
          <w:rFonts w:ascii="David" w:hAnsi="David" w:hint="cs"/>
          <w:b/>
          <w:bCs/>
          <w:rtl/>
        </w:rPr>
        <w:t xml:space="preserve"> נוסיראת</w:t>
      </w:r>
      <w:r>
        <w:rPr>
          <w:rFonts w:ascii="David" w:hAnsi="David" w:hint="cs"/>
          <w:rtl/>
        </w:rPr>
        <w:t xml:space="preserve"> (8.5.16); </w:t>
      </w:r>
      <w:hyperlink r:id="rId14" w:history="1">
        <w:r w:rsidR="008604BD" w:rsidRPr="008604BD">
          <w:rPr>
            <w:rFonts w:ascii="David" w:hAnsi="David"/>
            <w:color w:val="0000FF"/>
            <w:u w:val="single"/>
            <w:rtl/>
          </w:rPr>
          <w:t>עפ"ג (מחוזי מרכז) 50329-10-15</w:t>
        </w:r>
      </w:hyperlink>
      <w:r>
        <w:rPr>
          <w:rFonts w:ascii="David" w:hAnsi="David" w:hint="cs"/>
          <w:rtl/>
        </w:rPr>
        <w:t xml:space="preserve"> </w:t>
      </w:r>
      <w:r>
        <w:rPr>
          <w:rFonts w:ascii="David" w:hAnsi="David" w:hint="cs"/>
          <w:b/>
          <w:bCs/>
          <w:rtl/>
        </w:rPr>
        <w:t>מדינת ישראל נ'</w:t>
      </w:r>
      <w:r w:rsidRPr="0001514C">
        <w:rPr>
          <w:rFonts w:ascii="David" w:hAnsi="David" w:hint="cs"/>
          <w:b/>
          <w:bCs/>
          <w:rtl/>
        </w:rPr>
        <w:t xml:space="preserve"> ענזי</w:t>
      </w:r>
      <w:r>
        <w:rPr>
          <w:rFonts w:ascii="David" w:hAnsi="David" w:hint="cs"/>
          <w:rtl/>
        </w:rPr>
        <w:t xml:space="preserve"> (26.1.16); </w:t>
      </w:r>
      <w:hyperlink r:id="rId15" w:history="1">
        <w:r w:rsidR="008604BD" w:rsidRPr="008604BD">
          <w:rPr>
            <w:rFonts w:ascii="David" w:hAnsi="David"/>
            <w:color w:val="0000FF"/>
            <w:u w:val="single"/>
            <w:rtl/>
          </w:rPr>
          <w:t>ת"פ (כפ"ס) 29239-05-19</w:t>
        </w:r>
      </w:hyperlink>
      <w:r>
        <w:rPr>
          <w:rFonts w:ascii="David" w:hAnsi="David" w:hint="cs"/>
          <w:rtl/>
        </w:rPr>
        <w:t xml:space="preserve"> </w:t>
      </w:r>
      <w:r>
        <w:rPr>
          <w:rFonts w:ascii="David" w:hAnsi="David" w:hint="cs"/>
          <w:b/>
          <w:bCs/>
          <w:rtl/>
        </w:rPr>
        <w:t>מדינת ישראל נ'</w:t>
      </w:r>
      <w:r w:rsidRPr="00443482">
        <w:rPr>
          <w:rFonts w:ascii="David" w:hAnsi="David" w:hint="cs"/>
          <w:b/>
          <w:bCs/>
          <w:rtl/>
        </w:rPr>
        <w:t xml:space="preserve"> זידאת</w:t>
      </w:r>
      <w:r>
        <w:rPr>
          <w:rFonts w:ascii="David" w:hAnsi="David" w:hint="cs"/>
          <w:rtl/>
        </w:rPr>
        <w:t xml:space="preserve"> (19.11.20); </w:t>
      </w:r>
      <w:hyperlink r:id="rId16" w:history="1">
        <w:r w:rsidR="008604BD" w:rsidRPr="008604BD">
          <w:rPr>
            <w:rFonts w:ascii="David" w:hAnsi="David"/>
            <w:color w:val="0000FF"/>
            <w:u w:val="single"/>
            <w:rtl/>
          </w:rPr>
          <w:t>ת"פ (רמלה) 33552-09-16</w:t>
        </w:r>
      </w:hyperlink>
      <w:r>
        <w:rPr>
          <w:rFonts w:ascii="David" w:hAnsi="David" w:hint="cs"/>
          <w:rtl/>
        </w:rPr>
        <w:t xml:space="preserve"> </w:t>
      </w:r>
      <w:r>
        <w:rPr>
          <w:rFonts w:ascii="David" w:hAnsi="David" w:hint="cs"/>
          <w:b/>
          <w:bCs/>
          <w:rtl/>
        </w:rPr>
        <w:t>מדינת ישראל נ' חאמד</w:t>
      </w:r>
      <w:r>
        <w:rPr>
          <w:rFonts w:ascii="David" w:hAnsi="David" w:hint="cs"/>
          <w:rtl/>
        </w:rPr>
        <w:t xml:space="preserve"> (6.4.17); </w:t>
      </w:r>
      <w:r w:rsidRPr="00C2010E">
        <w:rPr>
          <w:rFonts w:ascii="David" w:hAnsi="David" w:hint="cs"/>
          <w:u w:val="single"/>
          <w:rtl/>
        </w:rPr>
        <w:t>וממש לאחרונה</w:t>
      </w:r>
      <w:r>
        <w:rPr>
          <w:rFonts w:ascii="David" w:hAnsi="David" w:hint="cs"/>
          <w:rtl/>
        </w:rPr>
        <w:t xml:space="preserve"> </w:t>
      </w:r>
      <w:r>
        <w:rPr>
          <w:rFonts w:ascii="David" w:hAnsi="David"/>
          <w:rtl/>
        </w:rPr>
        <w:t>–</w:t>
      </w:r>
      <w:r>
        <w:rPr>
          <w:rFonts w:ascii="David" w:hAnsi="David" w:hint="cs"/>
          <w:rtl/>
        </w:rPr>
        <w:t xml:space="preserve"> </w:t>
      </w:r>
      <w:hyperlink r:id="rId17" w:history="1">
        <w:r w:rsidR="008604BD" w:rsidRPr="008604BD">
          <w:rPr>
            <w:rFonts w:ascii="David" w:hAnsi="David"/>
            <w:color w:val="0000FF"/>
            <w:u w:val="single"/>
            <w:rtl/>
          </w:rPr>
          <w:t>עפ"ג (מחוזי נצ') 2024-04-21</w:t>
        </w:r>
      </w:hyperlink>
      <w:r>
        <w:rPr>
          <w:rFonts w:ascii="David" w:hAnsi="David" w:hint="cs"/>
          <w:rtl/>
        </w:rPr>
        <w:t xml:space="preserve"> </w:t>
      </w:r>
      <w:r>
        <w:rPr>
          <w:rFonts w:ascii="David" w:hAnsi="David" w:hint="cs"/>
          <w:b/>
          <w:bCs/>
          <w:rtl/>
        </w:rPr>
        <w:t>מדינת ישראל נ' מנדורי</w:t>
      </w:r>
      <w:r>
        <w:rPr>
          <w:rFonts w:ascii="David" w:hAnsi="David" w:hint="cs"/>
          <w:rtl/>
        </w:rPr>
        <w:t xml:space="preserve"> (29.6.21)].</w:t>
      </w:r>
    </w:p>
    <w:p w14:paraId="04787954" w14:textId="77777777" w:rsidR="005806B0" w:rsidRDefault="005806B0" w:rsidP="005806B0">
      <w:pPr>
        <w:spacing w:line="360" w:lineRule="auto"/>
        <w:jc w:val="both"/>
        <w:rPr>
          <w:rFonts w:ascii="David" w:hAnsi="David"/>
          <w:rtl/>
        </w:rPr>
      </w:pPr>
    </w:p>
    <w:p w14:paraId="1CD33EB2" w14:textId="77777777" w:rsidR="005806B0" w:rsidRDefault="005806B0" w:rsidP="005806B0">
      <w:pPr>
        <w:spacing w:line="360" w:lineRule="auto"/>
        <w:jc w:val="both"/>
        <w:rPr>
          <w:rFonts w:ascii="David" w:hAnsi="David"/>
          <w:rtl/>
        </w:rPr>
      </w:pPr>
      <w:r>
        <w:rPr>
          <w:rFonts w:ascii="David" w:hAnsi="David" w:hint="cs"/>
          <w:rtl/>
        </w:rPr>
        <w:t>7.</w:t>
      </w:r>
      <w:r>
        <w:rPr>
          <w:rFonts w:ascii="David" w:hAnsi="David" w:hint="cs"/>
          <w:rtl/>
        </w:rPr>
        <w:tab/>
        <w:t xml:space="preserve">נוכח הערכים החברתיים המוגנים בעבירה, נוכח הנסיבות הקשורות בביצוע העבירה ונוכח מדיניות הענישה הנוהגת, אני קובע כי </w:t>
      </w:r>
      <w:r>
        <w:rPr>
          <w:rFonts w:ascii="David" w:hAnsi="David" w:hint="cs"/>
          <w:b/>
          <w:bCs/>
          <w:rtl/>
        </w:rPr>
        <w:t>מתחם העונש ההולם נע בין 14 ל-30 חודשי מאסר, לצד רכיבי ענישה נלווים</w:t>
      </w:r>
      <w:r>
        <w:rPr>
          <w:rFonts w:ascii="David" w:hAnsi="David" w:hint="cs"/>
          <w:rtl/>
        </w:rPr>
        <w:t>.</w:t>
      </w:r>
    </w:p>
    <w:p w14:paraId="6F18E876" w14:textId="77777777" w:rsidR="005806B0" w:rsidRDefault="005806B0" w:rsidP="005806B0">
      <w:pPr>
        <w:spacing w:line="360" w:lineRule="auto"/>
        <w:jc w:val="both"/>
        <w:rPr>
          <w:rFonts w:ascii="David" w:hAnsi="David"/>
          <w:rtl/>
        </w:rPr>
      </w:pPr>
    </w:p>
    <w:p w14:paraId="299AE0BE" w14:textId="77777777" w:rsidR="005806B0" w:rsidRDefault="005806B0" w:rsidP="005806B0">
      <w:pPr>
        <w:spacing w:line="360" w:lineRule="auto"/>
        <w:jc w:val="both"/>
        <w:rPr>
          <w:rFonts w:ascii="David" w:hAnsi="David"/>
          <w:rtl/>
        </w:rPr>
      </w:pPr>
      <w:r>
        <w:rPr>
          <w:rFonts w:ascii="David" w:hAnsi="David" w:hint="cs"/>
          <w:rtl/>
        </w:rPr>
        <w:t>8.</w:t>
      </w:r>
      <w:r>
        <w:rPr>
          <w:rFonts w:ascii="David" w:hAnsi="David" w:hint="cs"/>
          <w:rtl/>
        </w:rPr>
        <w:tab/>
        <w:t>משאין מקום לחרוג ממתחם העונש ההולם לקולא מטעמי שיקום, או לחומרא מטעמי הגנה על שלום הציבור, יש לקבוע את עונשו של הנאשם בתוך המתחם.</w:t>
      </w:r>
    </w:p>
    <w:p w14:paraId="35ACA5D3" w14:textId="77777777" w:rsidR="005806B0" w:rsidRDefault="005806B0" w:rsidP="005806B0">
      <w:pPr>
        <w:spacing w:line="360" w:lineRule="auto"/>
        <w:jc w:val="both"/>
        <w:rPr>
          <w:rFonts w:ascii="David" w:hAnsi="David"/>
          <w:rtl/>
        </w:rPr>
      </w:pPr>
      <w:r>
        <w:rPr>
          <w:rFonts w:ascii="David" w:hAnsi="David" w:hint="cs"/>
          <w:rtl/>
        </w:rPr>
        <w:t>לענין זה שקלתי את הנסיבות שאינן קשורות בביצוע העבירה, וביניהן, את גילו הצעיר של הנאשם, כבן 22; את העובדה שבעת ביצוע העבירה היה הנאשם נעדר עבר פלילי; את העובדה שהנאשם הודה בעובדות כתב האישום בהזדמנות הראשונה, נטל אחריות מלאה והביע חרטה, ובכך הביא לחסכון בזמן שיפוטי יקר; ואת נסיבות חייו כעולה מטיעוני בא-כוחו.</w:t>
      </w:r>
    </w:p>
    <w:p w14:paraId="3B627076" w14:textId="77777777" w:rsidR="005806B0" w:rsidRDefault="005806B0" w:rsidP="005806B0">
      <w:pPr>
        <w:spacing w:line="360" w:lineRule="auto"/>
        <w:jc w:val="both"/>
        <w:rPr>
          <w:rFonts w:ascii="David" w:hAnsi="David"/>
          <w:rtl/>
        </w:rPr>
      </w:pPr>
    </w:p>
    <w:p w14:paraId="4A812C6B" w14:textId="77777777" w:rsidR="005806B0" w:rsidRDefault="005806B0" w:rsidP="005806B0">
      <w:pPr>
        <w:spacing w:line="360" w:lineRule="auto"/>
        <w:jc w:val="both"/>
        <w:rPr>
          <w:rFonts w:ascii="David" w:hAnsi="David"/>
          <w:rtl/>
        </w:rPr>
      </w:pPr>
      <w:r>
        <w:rPr>
          <w:rFonts w:ascii="David" w:hAnsi="David" w:hint="cs"/>
          <w:rtl/>
        </w:rPr>
        <w:t>מנגד, הבאתי בחשבון את התנהגותו של הנאשם לאחר ביצוע העבירה ואת העובדה שחרף האמון שנתן בו בית המשפט עת הורה על מעצרו באיזוק אלקטרוני, הוא שב לבצע עבירות של בריחה ממעצר וקבלת דבר במרמה.</w:t>
      </w:r>
    </w:p>
    <w:p w14:paraId="5891DEA2" w14:textId="77777777" w:rsidR="005806B0" w:rsidRDefault="005806B0" w:rsidP="005806B0">
      <w:pPr>
        <w:spacing w:line="360" w:lineRule="auto"/>
        <w:jc w:val="both"/>
        <w:rPr>
          <w:rFonts w:ascii="David" w:hAnsi="David"/>
          <w:rtl/>
        </w:rPr>
      </w:pPr>
      <w:r>
        <w:rPr>
          <w:rFonts w:ascii="David" w:hAnsi="David" w:hint="cs"/>
          <w:rtl/>
        </w:rPr>
        <w:t xml:space="preserve">בענין זה ייאמר שנוכח הוראות </w:t>
      </w:r>
      <w:hyperlink r:id="rId18" w:history="1">
        <w:r w:rsidR="00742BFD" w:rsidRPr="00742BFD">
          <w:rPr>
            <w:rStyle w:val="Hyperlink"/>
            <w:rFonts w:ascii="David" w:hAnsi="David" w:hint="eastAsia"/>
            <w:rtl/>
          </w:rPr>
          <w:t>סעיף</w:t>
        </w:r>
        <w:r w:rsidR="00742BFD" w:rsidRPr="00742BFD">
          <w:rPr>
            <w:rStyle w:val="Hyperlink"/>
            <w:rFonts w:ascii="David" w:hAnsi="David"/>
            <w:rtl/>
          </w:rPr>
          <w:t xml:space="preserve"> 45(ב)</w:t>
        </w:r>
      </w:hyperlink>
      <w:r>
        <w:rPr>
          <w:rFonts w:ascii="David" w:hAnsi="David" w:hint="cs"/>
          <w:rtl/>
        </w:rPr>
        <w:t xml:space="preserve"> ל</w:t>
      </w:r>
      <w:hyperlink r:id="rId19" w:history="1">
        <w:r w:rsidR="008604BD" w:rsidRPr="008604BD">
          <w:rPr>
            <w:rFonts w:ascii="David" w:hAnsi="David"/>
            <w:color w:val="0000FF"/>
            <w:u w:val="single"/>
            <w:rtl/>
          </w:rPr>
          <w:t>חוק העונשין</w:t>
        </w:r>
      </w:hyperlink>
      <w:r>
        <w:rPr>
          <w:rFonts w:ascii="David" w:hAnsi="David" w:hint="cs"/>
          <w:rtl/>
        </w:rPr>
        <w:t>, בדבר הצטברות וחפיפה של עונשי מאסר, והפסיקה שפירשה אותו (</w:t>
      </w:r>
      <w:hyperlink r:id="rId20" w:history="1">
        <w:r w:rsidR="008604BD" w:rsidRPr="008604BD">
          <w:rPr>
            <w:rFonts w:ascii="David" w:hAnsi="David"/>
            <w:color w:val="0000FF"/>
            <w:u w:val="single"/>
            <w:rtl/>
          </w:rPr>
          <w:t>ע"פ 7907/14</w:t>
        </w:r>
      </w:hyperlink>
      <w:r>
        <w:rPr>
          <w:rFonts w:ascii="David" w:hAnsi="David" w:hint="cs"/>
          <w:rtl/>
        </w:rPr>
        <w:t xml:space="preserve"> </w:t>
      </w:r>
      <w:r w:rsidRPr="00122922">
        <w:rPr>
          <w:rFonts w:ascii="David" w:hAnsi="David" w:hint="cs"/>
          <w:b/>
          <w:bCs/>
          <w:rtl/>
        </w:rPr>
        <w:t>ואזנה נ' מדינת ישראל</w:t>
      </w:r>
      <w:r>
        <w:rPr>
          <w:rFonts w:ascii="David" w:hAnsi="David" w:hint="cs"/>
          <w:rtl/>
        </w:rPr>
        <w:t xml:space="preserve"> (22.2.15; </w:t>
      </w:r>
      <w:hyperlink r:id="rId21" w:history="1">
        <w:r w:rsidR="008604BD" w:rsidRPr="008604BD">
          <w:rPr>
            <w:rFonts w:ascii="David" w:hAnsi="David"/>
            <w:color w:val="0000FF"/>
            <w:u w:val="single"/>
            <w:rtl/>
          </w:rPr>
          <w:t>רע"פ 3589/17</w:t>
        </w:r>
      </w:hyperlink>
      <w:r>
        <w:rPr>
          <w:rFonts w:ascii="David" w:hAnsi="David" w:hint="cs"/>
          <w:rtl/>
        </w:rPr>
        <w:t xml:space="preserve"> </w:t>
      </w:r>
      <w:r w:rsidRPr="00122922">
        <w:rPr>
          <w:rFonts w:ascii="David" w:hAnsi="David" w:hint="cs"/>
          <w:b/>
          <w:bCs/>
          <w:rtl/>
        </w:rPr>
        <w:t>שמואל נ' מדינת ישראל</w:t>
      </w:r>
      <w:r>
        <w:rPr>
          <w:rFonts w:ascii="David" w:hAnsi="David" w:hint="cs"/>
          <w:rtl/>
        </w:rPr>
        <w:t xml:space="preserve"> (10.2.20)), באתי לכלל מסקנה שיש להורות על </w:t>
      </w:r>
      <w:r w:rsidRPr="00122922">
        <w:rPr>
          <w:rFonts w:ascii="David" w:hAnsi="David" w:hint="cs"/>
          <w:u w:val="single"/>
          <w:rtl/>
        </w:rPr>
        <w:t>צבירת</w:t>
      </w:r>
      <w:r>
        <w:rPr>
          <w:rFonts w:ascii="David" w:hAnsi="David" w:hint="cs"/>
          <w:rtl/>
        </w:rPr>
        <w:t xml:space="preserve"> העונש שיוטל על הנאשם בתיק זה לעונש אותו הוא מרצה כעת </w:t>
      </w:r>
      <w:r>
        <w:rPr>
          <w:rFonts w:ascii="David" w:hAnsi="David"/>
          <w:rtl/>
        </w:rPr>
        <w:t>–</w:t>
      </w:r>
      <w:r>
        <w:rPr>
          <w:rFonts w:ascii="David" w:hAnsi="David" w:hint="cs"/>
          <w:rtl/>
        </w:rPr>
        <w:t xml:space="preserve"> </w:t>
      </w:r>
      <w:r w:rsidRPr="00122922">
        <w:rPr>
          <w:rFonts w:ascii="David" w:hAnsi="David" w:hint="cs"/>
          <w:u w:val="single"/>
          <w:rtl/>
        </w:rPr>
        <w:t>ראשית</w:t>
      </w:r>
      <w:r>
        <w:rPr>
          <w:rFonts w:ascii="David" w:hAnsi="David" w:hint="cs"/>
          <w:rtl/>
        </w:rPr>
        <w:t xml:space="preserve">, אופי המעשים בשני התיקים חמורים </w:t>
      </w:r>
      <w:r>
        <w:rPr>
          <w:rFonts w:ascii="David" w:hAnsi="David"/>
          <w:rtl/>
        </w:rPr>
        <w:t>–</w:t>
      </w:r>
      <w:r>
        <w:rPr>
          <w:rFonts w:ascii="David" w:hAnsi="David" w:hint="cs"/>
          <w:rtl/>
        </w:rPr>
        <w:t xml:space="preserve"> בתיקנו מדובר בהחזקת רובה מאולתר טעון במחסנית ובה 10 כדורים, ובתיק האחר מדובר בעבירות החותרות תחת הסדר הציבורי, פוגעות בשלטון החוק ומביאות לפגיעה בשלום הציבור ובטחונו מקום בו נאשם שאמור לשהות במעצר באיזוק אלקטרוני יוצא לחופשי בשל עבירות חמורות שמבצע אגב כך; </w:t>
      </w:r>
      <w:r w:rsidRPr="00122922">
        <w:rPr>
          <w:rFonts w:ascii="David" w:hAnsi="David" w:hint="cs"/>
          <w:u w:val="single"/>
          <w:rtl/>
        </w:rPr>
        <w:t>שנית</w:t>
      </w:r>
      <w:r>
        <w:rPr>
          <w:rFonts w:ascii="David" w:hAnsi="David" w:hint="cs"/>
          <w:rtl/>
        </w:rPr>
        <w:t>, לא מתקיימת בין העבירות זיקה הדוקה, שכן באירוע אחד מדובר בהחזקת נשק שלא כדין ובאירוע שני מדובר בעבירות מרמה ושחיתות; ו</w:t>
      </w:r>
      <w:r w:rsidRPr="00122922">
        <w:rPr>
          <w:rFonts w:ascii="David" w:hAnsi="David" w:hint="cs"/>
          <w:u w:val="single"/>
          <w:rtl/>
        </w:rPr>
        <w:t>שלישית</w:t>
      </w:r>
      <w:r>
        <w:rPr>
          <w:rFonts w:ascii="David" w:hAnsi="David" w:hint="cs"/>
          <w:rtl/>
        </w:rPr>
        <w:t>, עקרון ההלימה מחייב הטלת עונשי מאסר נפרדים ומצטברים בגין שני האירועים.</w:t>
      </w:r>
    </w:p>
    <w:p w14:paraId="6F16DDEA" w14:textId="77777777" w:rsidR="005806B0" w:rsidRDefault="005806B0" w:rsidP="005806B0">
      <w:pPr>
        <w:spacing w:line="360" w:lineRule="auto"/>
        <w:jc w:val="both"/>
        <w:rPr>
          <w:rFonts w:ascii="David" w:hAnsi="David"/>
          <w:rtl/>
        </w:rPr>
      </w:pPr>
    </w:p>
    <w:p w14:paraId="5B4C5DE1" w14:textId="77777777" w:rsidR="005806B0" w:rsidRDefault="005806B0" w:rsidP="005806B0">
      <w:pPr>
        <w:spacing w:line="360" w:lineRule="auto"/>
        <w:jc w:val="both"/>
        <w:rPr>
          <w:rFonts w:ascii="David" w:hAnsi="David"/>
          <w:rtl/>
        </w:rPr>
      </w:pPr>
      <w:r>
        <w:rPr>
          <w:rFonts w:ascii="David" w:hAnsi="David" w:hint="cs"/>
          <w:rtl/>
        </w:rPr>
        <w:t>9.</w:t>
      </w:r>
      <w:r>
        <w:rPr>
          <w:rFonts w:ascii="David" w:hAnsi="David" w:hint="cs"/>
          <w:rtl/>
        </w:rPr>
        <w:tab/>
        <w:t>על כן, החלטתי למקם את עונשו של הנאשם בתחתית המתחם אותו קבעתי ולהורות שהנאשם ירצה את עונשו במצטבר לעונש אותו הוא מרצה כיום.</w:t>
      </w:r>
    </w:p>
    <w:p w14:paraId="1BBA74F4" w14:textId="77777777" w:rsidR="005806B0" w:rsidRDefault="005806B0" w:rsidP="005806B0">
      <w:pPr>
        <w:spacing w:line="360" w:lineRule="auto"/>
        <w:jc w:val="both"/>
        <w:rPr>
          <w:rFonts w:ascii="David" w:hAnsi="David"/>
          <w:rtl/>
        </w:rPr>
      </w:pPr>
    </w:p>
    <w:p w14:paraId="5B2583EA" w14:textId="77777777" w:rsidR="005806B0" w:rsidRDefault="005806B0" w:rsidP="005806B0">
      <w:pPr>
        <w:spacing w:line="360" w:lineRule="auto"/>
        <w:jc w:val="both"/>
        <w:rPr>
          <w:rFonts w:ascii="David" w:hAnsi="David"/>
          <w:rtl/>
        </w:rPr>
      </w:pPr>
      <w:r>
        <w:rPr>
          <w:rFonts w:ascii="David" w:hAnsi="David" w:hint="cs"/>
          <w:rtl/>
        </w:rPr>
        <w:t>10.</w:t>
      </w:r>
      <w:r>
        <w:rPr>
          <w:rFonts w:ascii="David" w:hAnsi="David" w:hint="cs"/>
          <w:rtl/>
        </w:rPr>
        <w:tab/>
        <w:t>לאור האמור לעיל, אני גוזר על הנאשם את העונשים הבאים:</w:t>
      </w:r>
    </w:p>
    <w:p w14:paraId="49428897" w14:textId="77777777" w:rsidR="005806B0" w:rsidRDefault="005806B0" w:rsidP="005806B0">
      <w:pPr>
        <w:spacing w:line="360" w:lineRule="auto"/>
        <w:ind w:left="1440" w:hanging="720"/>
        <w:jc w:val="both"/>
        <w:rPr>
          <w:rFonts w:ascii="David" w:hAnsi="David"/>
          <w:rtl/>
        </w:rPr>
      </w:pPr>
      <w:r>
        <w:rPr>
          <w:rFonts w:ascii="David" w:hAnsi="David" w:hint="cs"/>
          <w:rtl/>
        </w:rPr>
        <w:t>א.</w:t>
      </w:r>
      <w:r>
        <w:rPr>
          <w:rFonts w:ascii="David" w:hAnsi="David" w:hint="cs"/>
          <w:rtl/>
        </w:rPr>
        <w:tab/>
        <w:t xml:space="preserve">14 חודשי מאסר בפועל, אשר ירוצה </w:t>
      </w:r>
      <w:r w:rsidRPr="00666426">
        <w:rPr>
          <w:rFonts w:ascii="David" w:hAnsi="David" w:hint="cs"/>
          <w:u w:val="single"/>
          <w:rtl/>
        </w:rPr>
        <w:t>במצטבר</w:t>
      </w:r>
      <w:r>
        <w:rPr>
          <w:rFonts w:ascii="David" w:hAnsi="David" w:hint="cs"/>
          <w:rtl/>
        </w:rPr>
        <w:t xml:space="preserve"> לכל עונש מאסר אותו מרצה הנאשם כיום, ו</w:t>
      </w:r>
      <w:r w:rsidRPr="00666426">
        <w:rPr>
          <w:rFonts w:ascii="David" w:hAnsi="David" w:hint="cs"/>
          <w:rtl/>
        </w:rPr>
        <w:t>בניכוי</w:t>
      </w:r>
      <w:r>
        <w:rPr>
          <w:rFonts w:ascii="David" w:hAnsi="David" w:hint="cs"/>
          <w:rtl/>
        </w:rPr>
        <w:t xml:space="preserve"> ימי מעצרו </w:t>
      </w:r>
      <w:r>
        <w:rPr>
          <w:rFonts w:ascii="David" w:hAnsi="David"/>
          <w:rtl/>
        </w:rPr>
        <w:t>–</w:t>
      </w:r>
      <w:r>
        <w:rPr>
          <w:rFonts w:ascii="David" w:hAnsi="David" w:hint="cs"/>
          <w:rtl/>
        </w:rPr>
        <w:t xml:space="preserve"> 21.5.20-5.5.20.</w:t>
      </w:r>
    </w:p>
    <w:p w14:paraId="187EE7DE" w14:textId="77777777" w:rsidR="005806B0" w:rsidRDefault="005806B0" w:rsidP="005806B0">
      <w:pPr>
        <w:spacing w:line="360" w:lineRule="auto"/>
        <w:ind w:left="1440" w:hanging="720"/>
        <w:jc w:val="both"/>
        <w:rPr>
          <w:rFonts w:ascii="David" w:hAnsi="David"/>
          <w:rtl/>
        </w:rPr>
      </w:pPr>
      <w:r>
        <w:rPr>
          <w:rFonts w:ascii="David" w:hAnsi="David" w:hint="cs"/>
          <w:rtl/>
        </w:rPr>
        <w:t>ב.</w:t>
      </w:r>
      <w:r>
        <w:rPr>
          <w:rFonts w:ascii="David" w:hAnsi="David" w:hint="cs"/>
          <w:rtl/>
        </w:rPr>
        <w:tab/>
        <w:t>9 חודשי מאסר על תנאי למשך 3 שנים מיום שחרורו שלא יעבור כל עבירה הקשורה בנשק.</w:t>
      </w:r>
    </w:p>
    <w:p w14:paraId="5791EF69" w14:textId="77777777" w:rsidR="005806B0" w:rsidRDefault="005806B0" w:rsidP="005806B0">
      <w:pPr>
        <w:spacing w:line="360" w:lineRule="auto"/>
        <w:jc w:val="both"/>
        <w:rPr>
          <w:rFonts w:ascii="David" w:hAnsi="David"/>
          <w:rtl/>
        </w:rPr>
      </w:pPr>
    </w:p>
    <w:p w14:paraId="149A7F17" w14:textId="77777777" w:rsidR="005806B0" w:rsidRDefault="005806B0" w:rsidP="005806B0">
      <w:pPr>
        <w:spacing w:line="360" w:lineRule="auto"/>
        <w:jc w:val="both"/>
        <w:rPr>
          <w:rFonts w:ascii="David" w:hAnsi="David"/>
          <w:rtl/>
        </w:rPr>
      </w:pPr>
      <w:r>
        <w:rPr>
          <w:rFonts w:ascii="David" w:hAnsi="David" w:hint="cs"/>
          <w:rtl/>
        </w:rPr>
        <w:t>נוכח תקופת המאסר הארוכה, יחסית, שעל הנאשם לרצות, החלטתי להימנע מלהטיל עליו קנס כספי.</w:t>
      </w:r>
    </w:p>
    <w:p w14:paraId="060A5712" w14:textId="77777777" w:rsidR="005806B0" w:rsidRDefault="005806B0" w:rsidP="005806B0">
      <w:pPr>
        <w:spacing w:line="360" w:lineRule="auto"/>
        <w:jc w:val="both"/>
        <w:rPr>
          <w:rFonts w:ascii="David" w:hAnsi="David"/>
          <w:rtl/>
        </w:rPr>
      </w:pPr>
    </w:p>
    <w:p w14:paraId="55BB0C7A" w14:textId="77777777" w:rsidR="005806B0" w:rsidRDefault="005806B0" w:rsidP="005806B0">
      <w:pPr>
        <w:spacing w:line="360" w:lineRule="auto"/>
        <w:jc w:val="both"/>
        <w:rPr>
          <w:rFonts w:ascii="David" w:hAnsi="David"/>
          <w:rtl/>
        </w:rPr>
      </w:pPr>
      <w:r>
        <w:rPr>
          <w:rFonts w:ascii="David" w:hAnsi="David" w:hint="cs"/>
          <w:b/>
          <w:bCs/>
          <w:u w:val="single"/>
          <w:rtl/>
        </w:rPr>
        <w:t>תשומת לב שב"ס שהנאשם מבקש להמשיך בהליך הטיפולי בו החל במסגרת שב"ס</w:t>
      </w:r>
      <w:r>
        <w:rPr>
          <w:rFonts w:ascii="David" w:hAnsi="David" w:hint="cs"/>
          <w:rtl/>
        </w:rPr>
        <w:t>.</w:t>
      </w:r>
    </w:p>
    <w:p w14:paraId="03DA9458" w14:textId="77777777" w:rsidR="005806B0" w:rsidRDefault="005806B0" w:rsidP="005806B0">
      <w:pPr>
        <w:spacing w:line="360" w:lineRule="auto"/>
        <w:jc w:val="both"/>
        <w:rPr>
          <w:rFonts w:ascii="David" w:hAnsi="David"/>
          <w:rtl/>
        </w:rPr>
      </w:pPr>
    </w:p>
    <w:p w14:paraId="73799648" w14:textId="77777777" w:rsidR="005806B0" w:rsidRDefault="005806B0" w:rsidP="005806B0">
      <w:pPr>
        <w:spacing w:line="360" w:lineRule="auto"/>
        <w:jc w:val="both"/>
        <w:rPr>
          <w:rFonts w:ascii="David" w:hAnsi="David"/>
          <w:rtl/>
        </w:rPr>
      </w:pPr>
      <w:r>
        <w:rPr>
          <w:rFonts w:ascii="David" w:hAnsi="David" w:hint="cs"/>
          <w:rtl/>
        </w:rPr>
        <w:t xml:space="preserve">מוצגים </w:t>
      </w:r>
      <w:r>
        <w:rPr>
          <w:rFonts w:ascii="David" w:hAnsi="David"/>
          <w:rtl/>
        </w:rPr>
        <w:t>–</w:t>
      </w:r>
      <w:r>
        <w:rPr>
          <w:rFonts w:ascii="David" w:hAnsi="David" w:hint="cs"/>
          <w:rtl/>
        </w:rPr>
        <w:t xml:space="preserve"> נשק ותחמושת להשמדה.</w:t>
      </w:r>
    </w:p>
    <w:p w14:paraId="1A874FB4" w14:textId="77777777" w:rsidR="005806B0" w:rsidRDefault="005806B0" w:rsidP="005806B0">
      <w:pPr>
        <w:spacing w:line="360" w:lineRule="auto"/>
        <w:jc w:val="both"/>
        <w:rPr>
          <w:rFonts w:ascii="David" w:hAnsi="David"/>
          <w:rtl/>
        </w:rPr>
      </w:pPr>
    </w:p>
    <w:p w14:paraId="5409767E" w14:textId="77777777" w:rsidR="005806B0" w:rsidRPr="00122922" w:rsidRDefault="008604BD" w:rsidP="005806B0">
      <w:pPr>
        <w:spacing w:line="360" w:lineRule="auto"/>
        <w:jc w:val="both"/>
        <w:rPr>
          <w:rFonts w:ascii="David" w:hAnsi="David"/>
        </w:rPr>
      </w:pPr>
      <w:r w:rsidRPr="008604BD">
        <w:rPr>
          <w:rFonts w:ascii="David" w:hAnsi="David"/>
          <w:color w:val="FFFFFF"/>
          <w:sz w:val="2"/>
          <w:szCs w:val="2"/>
          <w:rtl/>
        </w:rPr>
        <w:t>5129371</w:t>
      </w:r>
      <w:r w:rsidR="005806B0">
        <w:rPr>
          <w:rFonts w:ascii="David" w:hAnsi="David" w:hint="cs"/>
          <w:rtl/>
        </w:rPr>
        <w:t>זכות ערעור לבית המשפט המחוזי מרכז בתוך 45 יום.</w:t>
      </w:r>
    </w:p>
    <w:p w14:paraId="0A13B244" w14:textId="77777777" w:rsidR="005806B0" w:rsidRPr="008604BD" w:rsidRDefault="008604BD" w:rsidP="005806B0">
      <w:pPr>
        <w:rPr>
          <w:rFonts w:ascii="David" w:hAnsi="David"/>
          <w:color w:val="FFFFFF"/>
          <w:sz w:val="2"/>
          <w:szCs w:val="2"/>
          <w:rtl/>
        </w:rPr>
      </w:pPr>
      <w:r w:rsidRPr="008604BD">
        <w:rPr>
          <w:rFonts w:ascii="David" w:hAnsi="David"/>
          <w:color w:val="FFFFFF"/>
          <w:sz w:val="2"/>
          <w:szCs w:val="2"/>
          <w:rtl/>
        </w:rPr>
        <w:t>54678313</w:t>
      </w:r>
    </w:p>
    <w:p w14:paraId="30AAA329" w14:textId="77777777" w:rsidR="005806B0" w:rsidRPr="00117DB4" w:rsidRDefault="008604BD" w:rsidP="005806B0">
      <w:pPr>
        <w:spacing w:line="360" w:lineRule="auto"/>
        <w:jc w:val="both"/>
        <w:rPr>
          <w:rFonts w:ascii="David" w:hAnsi="David"/>
          <w:b/>
          <w:bCs/>
        </w:rPr>
      </w:pPr>
      <w:bookmarkStart w:id="8" w:name="Nitan"/>
      <w:r>
        <w:rPr>
          <w:rFonts w:ascii="David" w:hAnsi="David"/>
          <w:b/>
          <w:bCs/>
          <w:rtl/>
        </w:rPr>
        <w:t xml:space="preserve">ניתן היום,  ט' אב תשפ"א, 18 יולי 2021, בנוכחות ב"כ המאשימה, מתמחה, מר אריאל סיני, </w:t>
      </w:r>
      <w:bookmarkEnd w:id="8"/>
      <w:r w:rsidR="005806B0" w:rsidRPr="00117DB4">
        <w:rPr>
          <w:rFonts w:ascii="David" w:hAnsi="David" w:hint="cs"/>
          <w:b/>
          <w:bCs/>
          <w:rtl/>
        </w:rPr>
        <w:t>הנאשם ובא-כוחו</w:t>
      </w:r>
      <w:r w:rsidR="005806B0" w:rsidRPr="00117DB4">
        <w:rPr>
          <w:rFonts w:ascii="David" w:hAnsi="David"/>
          <w:b/>
          <w:bCs/>
          <w:rtl/>
        </w:rPr>
        <w:t>.</w:t>
      </w:r>
    </w:p>
    <w:p w14:paraId="1D42282D" w14:textId="77777777" w:rsidR="008604BD" w:rsidRDefault="008604BD" w:rsidP="008604BD">
      <w:pPr>
        <w:rPr>
          <w:rtl/>
        </w:rPr>
      </w:pPr>
    </w:p>
    <w:p w14:paraId="0E0BF661" w14:textId="77777777" w:rsidR="008604BD" w:rsidRDefault="008604BD" w:rsidP="008604BD">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7BF7AB45" w14:textId="77777777" w:rsidR="00742BFD" w:rsidRPr="00742BFD" w:rsidRDefault="00742BFD" w:rsidP="00742BFD">
      <w:pPr>
        <w:keepNext/>
        <w:rPr>
          <w:rFonts w:ascii="David" w:hAnsi="David"/>
          <w:color w:val="000000"/>
          <w:sz w:val="22"/>
          <w:szCs w:val="22"/>
          <w:rtl/>
        </w:rPr>
      </w:pPr>
    </w:p>
    <w:p w14:paraId="67727392" w14:textId="77777777" w:rsidR="00742BFD" w:rsidRPr="00742BFD" w:rsidRDefault="00742BFD" w:rsidP="00742BFD">
      <w:pPr>
        <w:keepNext/>
        <w:rPr>
          <w:rFonts w:ascii="David" w:hAnsi="David"/>
          <w:color w:val="000000"/>
          <w:sz w:val="22"/>
          <w:szCs w:val="22"/>
          <w:rtl/>
        </w:rPr>
      </w:pPr>
      <w:r w:rsidRPr="00742BFD">
        <w:rPr>
          <w:rFonts w:ascii="David" w:hAnsi="David"/>
          <w:color w:val="000000"/>
          <w:sz w:val="22"/>
          <w:szCs w:val="22"/>
          <w:rtl/>
        </w:rPr>
        <w:t>אביב שרון 54678313-/</w:t>
      </w:r>
    </w:p>
    <w:p w14:paraId="2CC88B78" w14:textId="77777777" w:rsidR="008604BD" w:rsidRPr="008604BD" w:rsidRDefault="00742BFD" w:rsidP="00742BFD">
      <w:pPr>
        <w:rPr>
          <w:color w:val="0000FF"/>
          <w:u w:val="single"/>
        </w:rPr>
      </w:pPr>
      <w:r w:rsidRPr="00742BFD">
        <w:rPr>
          <w:color w:val="000000"/>
          <w:u w:val="single"/>
          <w:rtl/>
        </w:rPr>
        <w:t>נוסח מסמך זה כפוף לשינויי ניסוח ועריכה</w:t>
      </w:r>
    </w:p>
    <w:sectPr w:rsidR="008604BD" w:rsidRPr="008604BD" w:rsidSect="00742BFD">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339B23" w14:textId="77777777" w:rsidR="00C84BB4" w:rsidRDefault="00C84BB4" w:rsidP="00BA29A9">
      <w:r>
        <w:separator/>
      </w:r>
    </w:p>
  </w:endnote>
  <w:endnote w:type="continuationSeparator" w:id="0">
    <w:p w14:paraId="36F304D5" w14:textId="77777777" w:rsidR="00C84BB4" w:rsidRDefault="00C84BB4" w:rsidP="00BA2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DA25E" w14:textId="77777777" w:rsidR="00742BFD" w:rsidRDefault="00742BFD" w:rsidP="00742BF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BEAD599" w14:textId="77777777" w:rsidR="00245E6B" w:rsidRPr="00742BFD" w:rsidRDefault="00742BFD" w:rsidP="00742BFD">
    <w:pPr>
      <w:pStyle w:val="a5"/>
      <w:pBdr>
        <w:top w:val="single" w:sz="4" w:space="1" w:color="auto"/>
        <w:between w:val="single" w:sz="4" w:space="0" w:color="auto"/>
      </w:pBdr>
      <w:spacing w:after="60"/>
      <w:jc w:val="center"/>
      <w:rPr>
        <w:rFonts w:ascii="FrankRuehl" w:hAnsi="FrankRuehl" w:cs="FrankRuehl"/>
        <w:color w:val="000000"/>
      </w:rPr>
    </w:pPr>
    <w:r w:rsidRPr="00742BF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B20AA5" w14:textId="77777777" w:rsidR="00742BFD" w:rsidRDefault="00742BFD" w:rsidP="00742BF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61AED">
      <w:rPr>
        <w:rFonts w:ascii="FrankRuehl" w:hAnsi="FrankRuehl" w:cs="FrankRuehl"/>
        <w:noProof/>
        <w:rtl/>
      </w:rPr>
      <w:t>1</w:t>
    </w:r>
    <w:r>
      <w:rPr>
        <w:rFonts w:ascii="FrankRuehl" w:hAnsi="FrankRuehl" w:cs="FrankRuehl"/>
        <w:rtl/>
      </w:rPr>
      <w:fldChar w:fldCharType="end"/>
    </w:r>
  </w:p>
  <w:p w14:paraId="364F44D8" w14:textId="77777777" w:rsidR="00245E6B" w:rsidRPr="00742BFD" w:rsidRDefault="00742BFD" w:rsidP="00742BFD">
    <w:pPr>
      <w:pStyle w:val="a5"/>
      <w:pBdr>
        <w:top w:val="single" w:sz="4" w:space="1" w:color="auto"/>
        <w:between w:val="single" w:sz="4" w:space="0" w:color="auto"/>
      </w:pBdr>
      <w:spacing w:after="60"/>
      <w:jc w:val="center"/>
      <w:rPr>
        <w:rFonts w:ascii="FrankRuehl" w:hAnsi="FrankRuehl" w:cs="FrankRuehl"/>
        <w:color w:val="000000"/>
      </w:rPr>
    </w:pPr>
    <w:r w:rsidRPr="00742BFD">
      <w:rPr>
        <w:rFonts w:ascii="FrankRuehl" w:hAnsi="FrankRuehl" w:cs="FrankRuehl"/>
        <w:color w:val="000000"/>
      </w:rPr>
      <w:pict w14:anchorId="128081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399589" w14:textId="77777777" w:rsidR="00C84BB4" w:rsidRDefault="00C84BB4" w:rsidP="00BA29A9">
      <w:r>
        <w:separator/>
      </w:r>
    </w:p>
  </w:footnote>
  <w:footnote w:type="continuationSeparator" w:id="0">
    <w:p w14:paraId="71538D9E" w14:textId="77777777" w:rsidR="00C84BB4" w:rsidRDefault="00C84BB4" w:rsidP="00BA29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AF52A6" w14:textId="77777777" w:rsidR="008604BD" w:rsidRPr="00742BFD" w:rsidRDefault="00742BFD" w:rsidP="00742BF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20307-05-20</w:t>
    </w:r>
    <w:r>
      <w:rPr>
        <w:rFonts w:ascii="David" w:hAnsi="David"/>
        <w:color w:val="000000"/>
        <w:sz w:val="22"/>
        <w:szCs w:val="22"/>
        <w:rtl/>
      </w:rPr>
      <w:tab/>
      <w:t xml:space="preserve"> מדינת ישראל נ' אסיל מסארוה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B49DBB" w14:textId="77777777" w:rsidR="008604BD" w:rsidRPr="00742BFD" w:rsidRDefault="00742BFD" w:rsidP="00742BF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20307-05-20</w:t>
    </w:r>
    <w:r>
      <w:rPr>
        <w:rFonts w:ascii="David" w:hAnsi="David"/>
        <w:color w:val="000000"/>
        <w:sz w:val="22"/>
        <w:szCs w:val="22"/>
        <w:rtl/>
      </w:rPr>
      <w:tab/>
      <w:t xml:space="preserve"> מדינת ישראל נ' אסיל מסארוה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806B0"/>
    <w:rsid w:val="00230CD7"/>
    <w:rsid w:val="00245E6B"/>
    <w:rsid w:val="00300BE0"/>
    <w:rsid w:val="00426AE3"/>
    <w:rsid w:val="004A1A11"/>
    <w:rsid w:val="005239EE"/>
    <w:rsid w:val="005806B0"/>
    <w:rsid w:val="00742BFD"/>
    <w:rsid w:val="008604BD"/>
    <w:rsid w:val="009A4E4C"/>
    <w:rsid w:val="009C34CB"/>
    <w:rsid w:val="009D4CF6"/>
    <w:rsid w:val="00BA29A9"/>
    <w:rsid w:val="00C84BB4"/>
    <w:rsid w:val="00E52648"/>
    <w:rsid w:val="00F61A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E6A275A"/>
  <w15:chartTrackingRefBased/>
  <w15:docId w15:val="{DA8976A2-BF5B-47C6-AD9C-83532B674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806B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806B0"/>
    <w:pPr>
      <w:tabs>
        <w:tab w:val="center" w:pos="4153"/>
        <w:tab w:val="right" w:pos="8306"/>
      </w:tabs>
    </w:pPr>
  </w:style>
  <w:style w:type="character" w:customStyle="1" w:styleId="a4">
    <w:name w:val="כותרת עליונה תו"/>
    <w:link w:val="a3"/>
    <w:rsid w:val="005806B0"/>
    <w:rPr>
      <w:rFonts w:ascii="Times New Roman" w:eastAsia="Times New Roman" w:hAnsi="Times New Roman" w:cs="David"/>
      <w:sz w:val="24"/>
      <w:szCs w:val="24"/>
    </w:rPr>
  </w:style>
  <w:style w:type="paragraph" w:styleId="a5">
    <w:name w:val="footer"/>
    <w:basedOn w:val="a"/>
    <w:link w:val="a6"/>
    <w:rsid w:val="005806B0"/>
    <w:pPr>
      <w:tabs>
        <w:tab w:val="center" w:pos="4153"/>
        <w:tab w:val="right" w:pos="8306"/>
      </w:tabs>
    </w:pPr>
  </w:style>
  <w:style w:type="character" w:customStyle="1" w:styleId="a6">
    <w:name w:val="כותרת תחתונה תו"/>
    <w:link w:val="a5"/>
    <w:rsid w:val="005806B0"/>
    <w:rPr>
      <w:rFonts w:ascii="Times New Roman" w:eastAsia="Times New Roman" w:hAnsi="Times New Roman" w:cs="David"/>
      <w:sz w:val="24"/>
      <w:szCs w:val="24"/>
    </w:rPr>
  </w:style>
  <w:style w:type="table" w:styleId="a7">
    <w:name w:val="Table Grid"/>
    <w:basedOn w:val="a1"/>
    <w:rsid w:val="005806B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806B0"/>
  </w:style>
  <w:style w:type="character" w:styleId="Hyperlink">
    <w:name w:val="Hyperlink"/>
    <w:rsid w:val="008604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5.b" TargetMode="External"/><Relationship Id="rId13" Type="http://schemas.openxmlformats.org/officeDocument/2006/relationships/hyperlink" Target="http://www.nevo.co.il/case/20881655" TargetMode="External"/><Relationship Id="rId18" Type="http://schemas.openxmlformats.org/officeDocument/2006/relationships/hyperlink" Target="http://www.nevo.co.il/law/70301/45.b"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case/22578455" TargetMode="External"/><Relationship Id="rId7" Type="http://schemas.openxmlformats.org/officeDocument/2006/relationships/hyperlink" Target="http://www.nevo.co.il/law/70301" TargetMode="External"/><Relationship Id="rId12" Type="http://schemas.openxmlformats.org/officeDocument/2006/relationships/hyperlink" Target="http://www.nevo.co.il/case/25266865" TargetMode="External"/><Relationship Id="rId17" Type="http://schemas.openxmlformats.org/officeDocument/2006/relationships/hyperlink" Target="http://www.nevo.co.il/case/27510949"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case/21735914" TargetMode="External"/><Relationship Id="rId20" Type="http://schemas.openxmlformats.org/officeDocument/2006/relationships/hyperlink" Target="http://www.nevo.co.il/case/18654248" TargetMode="External"/><Relationship Id="rId1" Type="http://schemas.openxmlformats.org/officeDocument/2006/relationships/styles" Target="styles.xml"/><Relationship Id="rId6" Type="http://schemas.openxmlformats.org/officeDocument/2006/relationships/hyperlink" Target="http://www.nevo.co.il/case/26657841" TargetMode="External"/><Relationship Id="rId11" Type="http://schemas.openxmlformats.org/officeDocument/2006/relationships/hyperlink" Target="http://www.nevo.co.il/law/70301"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case/25691183"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144.a" TargetMode="External"/><Relationship Id="rId19"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case/20658167"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1399</Words>
  <Characters>6996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8379</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3801205</vt:i4>
      </vt:variant>
      <vt:variant>
        <vt:i4>45</vt:i4>
      </vt:variant>
      <vt:variant>
        <vt:i4>0</vt:i4>
      </vt:variant>
      <vt:variant>
        <vt:i4>5</vt:i4>
      </vt:variant>
      <vt:variant>
        <vt:lpwstr>http://www.nevo.co.il/case/22578455</vt:lpwstr>
      </vt:variant>
      <vt:variant>
        <vt:lpwstr/>
      </vt:variant>
      <vt:variant>
        <vt:i4>3604603</vt:i4>
      </vt:variant>
      <vt:variant>
        <vt:i4>42</vt:i4>
      </vt:variant>
      <vt:variant>
        <vt:i4>0</vt:i4>
      </vt:variant>
      <vt:variant>
        <vt:i4>5</vt:i4>
      </vt:variant>
      <vt:variant>
        <vt:lpwstr>http://www.nevo.co.il/case/18654248</vt:lpwstr>
      </vt:variant>
      <vt:variant>
        <vt:lpwstr/>
      </vt:variant>
      <vt:variant>
        <vt:i4>7995492</vt:i4>
      </vt:variant>
      <vt:variant>
        <vt:i4>39</vt:i4>
      </vt:variant>
      <vt:variant>
        <vt:i4>0</vt:i4>
      </vt:variant>
      <vt:variant>
        <vt:i4>5</vt:i4>
      </vt:variant>
      <vt:variant>
        <vt:lpwstr>http://www.nevo.co.il/law/70301</vt:lpwstr>
      </vt:variant>
      <vt:variant>
        <vt:lpwstr/>
      </vt:variant>
      <vt:variant>
        <vt:i4>131151</vt:i4>
      </vt:variant>
      <vt:variant>
        <vt:i4>36</vt:i4>
      </vt:variant>
      <vt:variant>
        <vt:i4>0</vt:i4>
      </vt:variant>
      <vt:variant>
        <vt:i4>5</vt:i4>
      </vt:variant>
      <vt:variant>
        <vt:lpwstr>http://www.nevo.co.il/law/70301/45.b</vt:lpwstr>
      </vt:variant>
      <vt:variant>
        <vt:lpwstr/>
      </vt:variant>
      <vt:variant>
        <vt:i4>3342459</vt:i4>
      </vt:variant>
      <vt:variant>
        <vt:i4>33</vt:i4>
      </vt:variant>
      <vt:variant>
        <vt:i4>0</vt:i4>
      </vt:variant>
      <vt:variant>
        <vt:i4>5</vt:i4>
      </vt:variant>
      <vt:variant>
        <vt:lpwstr>http://www.nevo.co.il/case/27510949</vt:lpwstr>
      </vt:variant>
      <vt:variant>
        <vt:lpwstr/>
      </vt:variant>
      <vt:variant>
        <vt:i4>3211391</vt:i4>
      </vt:variant>
      <vt:variant>
        <vt:i4>30</vt:i4>
      </vt:variant>
      <vt:variant>
        <vt:i4>0</vt:i4>
      </vt:variant>
      <vt:variant>
        <vt:i4>5</vt:i4>
      </vt:variant>
      <vt:variant>
        <vt:lpwstr>http://www.nevo.co.il/case/21735914</vt:lpwstr>
      </vt:variant>
      <vt:variant>
        <vt:lpwstr/>
      </vt:variant>
      <vt:variant>
        <vt:i4>3997817</vt:i4>
      </vt:variant>
      <vt:variant>
        <vt:i4>27</vt:i4>
      </vt:variant>
      <vt:variant>
        <vt:i4>0</vt:i4>
      </vt:variant>
      <vt:variant>
        <vt:i4>5</vt:i4>
      </vt:variant>
      <vt:variant>
        <vt:lpwstr>http://www.nevo.co.il/case/25691183</vt:lpwstr>
      </vt:variant>
      <vt:variant>
        <vt:lpwstr/>
      </vt:variant>
      <vt:variant>
        <vt:i4>3801200</vt:i4>
      </vt:variant>
      <vt:variant>
        <vt:i4>24</vt:i4>
      </vt:variant>
      <vt:variant>
        <vt:i4>0</vt:i4>
      </vt:variant>
      <vt:variant>
        <vt:i4>5</vt:i4>
      </vt:variant>
      <vt:variant>
        <vt:lpwstr>http://www.nevo.co.il/case/20658167</vt:lpwstr>
      </vt:variant>
      <vt:variant>
        <vt:lpwstr/>
      </vt:variant>
      <vt:variant>
        <vt:i4>4063354</vt:i4>
      </vt:variant>
      <vt:variant>
        <vt:i4>21</vt:i4>
      </vt:variant>
      <vt:variant>
        <vt:i4>0</vt:i4>
      </vt:variant>
      <vt:variant>
        <vt:i4>5</vt:i4>
      </vt:variant>
      <vt:variant>
        <vt:lpwstr>http://www.nevo.co.il/case/20881655</vt:lpwstr>
      </vt:variant>
      <vt:variant>
        <vt:lpwstr/>
      </vt:variant>
      <vt:variant>
        <vt:i4>3145855</vt:i4>
      </vt:variant>
      <vt:variant>
        <vt:i4>18</vt:i4>
      </vt:variant>
      <vt:variant>
        <vt:i4>0</vt:i4>
      </vt:variant>
      <vt:variant>
        <vt:i4>5</vt:i4>
      </vt:variant>
      <vt:variant>
        <vt:lpwstr>http://www.nevo.co.il/case/25266865</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131151</vt:i4>
      </vt:variant>
      <vt:variant>
        <vt:i4>6</vt:i4>
      </vt:variant>
      <vt:variant>
        <vt:i4>0</vt:i4>
      </vt:variant>
      <vt:variant>
        <vt:i4>5</vt:i4>
      </vt:variant>
      <vt:variant>
        <vt:lpwstr>http://www.nevo.co.il/law/70301/45.b</vt:lpwstr>
      </vt:variant>
      <vt:variant>
        <vt:lpwstr/>
      </vt:variant>
      <vt:variant>
        <vt:i4>7995492</vt:i4>
      </vt:variant>
      <vt:variant>
        <vt:i4>3</vt:i4>
      </vt:variant>
      <vt:variant>
        <vt:i4>0</vt:i4>
      </vt:variant>
      <vt:variant>
        <vt:i4>5</vt:i4>
      </vt:variant>
      <vt:variant>
        <vt:lpwstr>http://www.nevo.co.il/law/70301</vt:lpwstr>
      </vt:variant>
      <vt:variant>
        <vt:lpwstr/>
      </vt:variant>
      <vt:variant>
        <vt:i4>3604607</vt:i4>
      </vt:variant>
      <vt:variant>
        <vt:i4>0</vt:i4>
      </vt:variant>
      <vt:variant>
        <vt:i4>0</vt:i4>
      </vt:variant>
      <vt:variant>
        <vt:i4>5</vt:i4>
      </vt:variant>
      <vt:variant>
        <vt:lpwstr>http://www.nevo.co.il/case/26657841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2025-01-19T17:44:00Z</dcterms:created>
  <dcterms:modified xsi:type="dcterms:W3CDTF">2025-01-19T17:44:00Z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20307</vt:lpwstr>
  </property>
  <property fmtid="{D5CDD505-2E9C-101B-9397-08002B2CF9AE}" pid="6" name="NEWPARTB">
    <vt:lpwstr>05</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אסיל מסארוה</vt:lpwstr>
  </property>
  <property fmtid="{D5CDD505-2E9C-101B-9397-08002B2CF9AE}" pid="10" name="LAWYER">
    <vt:lpwstr>אוריה תוהמי;שאדי נאטור</vt:lpwstr>
  </property>
  <property fmtid="{D5CDD505-2E9C-101B-9397-08002B2CF9AE}" pid="11" name="JUDGE">
    <vt:lpwstr>אביב שרון</vt:lpwstr>
  </property>
  <property fmtid="{D5CDD505-2E9C-101B-9397-08002B2CF9AE}" pid="12" name="CITY">
    <vt:lpwstr>כ"ס</vt:lpwstr>
  </property>
  <property fmtid="{D5CDD505-2E9C-101B-9397-08002B2CF9AE}" pid="13" name="DATE">
    <vt:lpwstr>20210718</vt:lpwstr>
  </property>
  <property fmtid="{D5CDD505-2E9C-101B-9397-08002B2CF9AE}" pid="14" name="TYPE_N_DATE">
    <vt:lpwstr>38020210718</vt:lpwstr>
  </property>
  <property fmtid="{D5CDD505-2E9C-101B-9397-08002B2CF9AE}" pid="15" name="WORDNUMPAGES">
    <vt:lpwstr>5</vt:lpwstr>
  </property>
  <property fmtid="{D5CDD505-2E9C-101B-9397-08002B2CF9AE}" pid="16" name="TYPE_ABS_DATE">
    <vt:lpwstr>380020210718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26657841;25266865;20881655;20658167;25691183;21735914;27510949;18654248;22578455</vt:lpwstr>
  </property>
  <property fmtid="{D5CDD505-2E9C-101B-9397-08002B2CF9AE}" pid="36" name="LAWLISTTMP1">
    <vt:lpwstr>70301/144.a;045.b</vt:lpwstr>
  </property>
</Properties>
</file>