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317C5" w:rsidRPr="00D317C5" w14:paraId="46E56F5A" w14:textId="77777777" w:rsidTr="00992D67">
        <w:trPr>
          <w:trHeight w:hRule="exact" w:val="418"/>
          <w:jc w:val="center"/>
        </w:trPr>
        <w:tc>
          <w:tcPr>
            <w:tcW w:w="8721" w:type="dxa"/>
            <w:gridSpan w:val="2"/>
          </w:tcPr>
          <w:p w14:paraId="2EDBF226" w14:textId="77777777" w:rsidR="00D317C5" w:rsidRPr="00D317C5" w:rsidRDefault="00D317C5" w:rsidP="00440A32">
            <w:pPr>
              <w:pStyle w:val="a3"/>
              <w:jc w:val="center"/>
              <w:rPr>
                <w:rFonts w:ascii="Tahoma" w:hAnsi="Tahoma" w:cs="Tahoma"/>
                <w:color w:val="000080"/>
                <w:rtl/>
              </w:rPr>
            </w:pPr>
            <w:bookmarkStart w:id="0" w:name="FirstLawyer"/>
            <w:bookmarkStart w:id="1" w:name="LastJudge"/>
            <w:r w:rsidRPr="00D317C5">
              <w:rPr>
                <w:rFonts w:ascii="Tahoma" w:hAnsi="Tahoma" w:cs="Tahoma"/>
                <w:b/>
                <w:bCs/>
                <w:color w:val="000080"/>
                <w:rtl/>
              </w:rPr>
              <w:t>בית משפט השלום בירושלים</w:t>
            </w:r>
          </w:p>
        </w:tc>
      </w:tr>
      <w:tr w:rsidR="00D317C5" w:rsidRPr="00D317C5" w14:paraId="265AF248" w14:textId="77777777" w:rsidTr="00992D67">
        <w:trPr>
          <w:trHeight w:val="337"/>
          <w:jc w:val="center"/>
        </w:trPr>
        <w:tc>
          <w:tcPr>
            <w:tcW w:w="5057" w:type="dxa"/>
          </w:tcPr>
          <w:p w14:paraId="6AED9779" w14:textId="77777777" w:rsidR="00D317C5" w:rsidRPr="00D317C5" w:rsidRDefault="00D317C5" w:rsidP="00440A32">
            <w:pPr>
              <w:rPr>
                <w:rFonts w:cs="FrankRuehl"/>
                <w:sz w:val="28"/>
                <w:szCs w:val="28"/>
                <w:rtl/>
              </w:rPr>
            </w:pPr>
            <w:r w:rsidRPr="00D317C5">
              <w:rPr>
                <w:rFonts w:cs="FrankRuehl"/>
                <w:sz w:val="28"/>
                <w:szCs w:val="28"/>
                <w:rtl/>
              </w:rPr>
              <w:t>ת"פ 62062-06-20 מדינת ישראל נ' טבול(עציר)</w:t>
            </w:r>
          </w:p>
          <w:p w14:paraId="37D8FD9C" w14:textId="77777777" w:rsidR="00D317C5" w:rsidRPr="00D317C5" w:rsidRDefault="00D317C5" w:rsidP="00440A32">
            <w:pPr>
              <w:pStyle w:val="a3"/>
              <w:rPr>
                <w:rFonts w:cs="FrankRuehl"/>
                <w:sz w:val="28"/>
                <w:szCs w:val="28"/>
                <w:rtl/>
              </w:rPr>
            </w:pPr>
          </w:p>
        </w:tc>
        <w:tc>
          <w:tcPr>
            <w:tcW w:w="3664" w:type="dxa"/>
          </w:tcPr>
          <w:p w14:paraId="1A861EDE" w14:textId="77777777" w:rsidR="00D317C5" w:rsidRPr="00D317C5" w:rsidRDefault="00D317C5" w:rsidP="00440A32">
            <w:pPr>
              <w:pStyle w:val="a3"/>
              <w:jc w:val="right"/>
              <w:rPr>
                <w:rFonts w:cs="FrankRuehl"/>
                <w:sz w:val="28"/>
                <w:szCs w:val="28"/>
                <w:rtl/>
              </w:rPr>
            </w:pPr>
          </w:p>
        </w:tc>
      </w:tr>
    </w:tbl>
    <w:p w14:paraId="0A0D8083" w14:textId="77777777" w:rsidR="00D317C5" w:rsidRPr="00D317C5" w:rsidRDefault="00D317C5" w:rsidP="00D317C5">
      <w:pPr>
        <w:pStyle w:val="a3"/>
        <w:rPr>
          <w:rtl/>
        </w:rPr>
      </w:pPr>
      <w:r w:rsidRPr="00D317C5">
        <w:rPr>
          <w:rtl/>
        </w:rPr>
        <w:t xml:space="preserve"> </w:t>
      </w:r>
    </w:p>
    <w:p w14:paraId="4307D896" w14:textId="77777777" w:rsidR="00591AA1" w:rsidRPr="00D317C5" w:rsidRDefault="00591A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17C5" w:rsidRPr="00D317C5" w14:paraId="7A9AA2EB" w14:textId="77777777" w:rsidTr="00440A32">
        <w:trPr>
          <w:trHeight w:val="295"/>
          <w:jc w:val="center"/>
        </w:trPr>
        <w:tc>
          <w:tcPr>
            <w:tcW w:w="923" w:type="dxa"/>
            <w:tcBorders>
              <w:top w:val="nil"/>
              <w:left w:val="nil"/>
              <w:bottom w:val="nil"/>
              <w:right w:val="nil"/>
            </w:tcBorders>
          </w:tcPr>
          <w:p w14:paraId="1F0CD8C6" w14:textId="77777777" w:rsidR="00D317C5" w:rsidRPr="00D317C5" w:rsidRDefault="00D317C5" w:rsidP="00440A32">
            <w:pPr>
              <w:jc w:val="both"/>
              <w:rPr>
                <w:rFonts w:ascii="Arial" w:hAnsi="Arial" w:cs="FrankRuehl"/>
                <w:sz w:val="28"/>
                <w:szCs w:val="28"/>
              </w:rPr>
            </w:pPr>
            <w:r w:rsidRPr="00D317C5">
              <w:rPr>
                <w:rFonts w:ascii="Arial" w:hAnsi="Arial" w:cs="FrankRuehl"/>
                <w:sz w:val="28"/>
                <w:szCs w:val="28"/>
                <w:rtl/>
              </w:rPr>
              <w:t xml:space="preserve">בפני </w:t>
            </w:r>
          </w:p>
        </w:tc>
        <w:tc>
          <w:tcPr>
            <w:tcW w:w="7897" w:type="dxa"/>
            <w:gridSpan w:val="2"/>
            <w:tcBorders>
              <w:top w:val="nil"/>
              <w:left w:val="nil"/>
              <w:bottom w:val="nil"/>
              <w:right w:val="nil"/>
            </w:tcBorders>
          </w:tcPr>
          <w:p w14:paraId="4AE4D515" w14:textId="77777777" w:rsidR="00D317C5" w:rsidRPr="00D317C5" w:rsidRDefault="00D317C5" w:rsidP="00440A32">
            <w:pPr>
              <w:jc w:val="both"/>
              <w:rPr>
                <w:rFonts w:ascii="Arial" w:hAnsi="Arial" w:cs="FrankRuehl"/>
                <w:sz w:val="28"/>
                <w:szCs w:val="28"/>
                <w:rtl/>
              </w:rPr>
            </w:pPr>
            <w:r w:rsidRPr="00D317C5">
              <w:rPr>
                <w:rFonts w:ascii="Arial" w:hAnsi="Arial" w:cs="FrankRuehl"/>
                <w:sz w:val="28"/>
                <w:szCs w:val="28"/>
                <w:rtl/>
              </w:rPr>
              <w:t>כבוד סגן הנשיא ירון מינטקביץ</w:t>
            </w:r>
            <w:bookmarkStart w:id="2" w:name="_GoBack"/>
            <w:bookmarkEnd w:id="2"/>
          </w:p>
          <w:p w14:paraId="47CF6676" w14:textId="77777777" w:rsidR="00D317C5" w:rsidRPr="00D317C5" w:rsidRDefault="00D317C5" w:rsidP="00440A32">
            <w:pPr>
              <w:jc w:val="both"/>
              <w:rPr>
                <w:rFonts w:ascii="Arial" w:hAnsi="Arial" w:cs="FrankRuehl"/>
                <w:sz w:val="28"/>
                <w:szCs w:val="28"/>
              </w:rPr>
            </w:pPr>
          </w:p>
        </w:tc>
      </w:tr>
      <w:tr w:rsidR="00D317C5" w:rsidRPr="00D317C5" w14:paraId="3AFBB681" w14:textId="77777777" w:rsidTr="00440A32">
        <w:trPr>
          <w:trHeight w:val="355"/>
          <w:jc w:val="center"/>
        </w:trPr>
        <w:tc>
          <w:tcPr>
            <w:tcW w:w="923" w:type="dxa"/>
            <w:tcBorders>
              <w:top w:val="nil"/>
              <w:left w:val="nil"/>
              <w:bottom w:val="nil"/>
              <w:right w:val="nil"/>
            </w:tcBorders>
          </w:tcPr>
          <w:p w14:paraId="1968FA59" w14:textId="77777777" w:rsidR="00D317C5" w:rsidRPr="00D317C5" w:rsidRDefault="00D317C5" w:rsidP="00440A32">
            <w:pPr>
              <w:jc w:val="both"/>
              <w:rPr>
                <w:rFonts w:ascii="Arial" w:hAnsi="Arial" w:cs="FrankRuehl"/>
                <w:sz w:val="28"/>
                <w:szCs w:val="28"/>
              </w:rPr>
            </w:pPr>
            <w:bookmarkStart w:id="3" w:name="FirstAppellant"/>
            <w:r w:rsidRPr="00D317C5">
              <w:rPr>
                <w:rFonts w:ascii="Arial" w:hAnsi="Arial" w:cs="FrankRuehl"/>
                <w:sz w:val="28"/>
                <w:szCs w:val="28"/>
                <w:rtl/>
              </w:rPr>
              <w:t>בעניין:</w:t>
            </w:r>
          </w:p>
        </w:tc>
        <w:tc>
          <w:tcPr>
            <w:tcW w:w="4126" w:type="dxa"/>
            <w:tcBorders>
              <w:top w:val="nil"/>
              <w:left w:val="nil"/>
              <w:bottom w:val="nil"/>
              <w:right w:val="nil"/>
            </w:tcBorders>
          </w:tcPr>
          <w:p w14:paraId="6B58EE3D" w14:textId="77777777" w:rsidR="00D317C5" w:rsidRPr="00D317C5" w:rsidRDefault="00D317C5" w:rsidP="00440A32">
            <w:r w:rsidRPr="00D317C5">
              <w:rPr>
                <w:rFonts w:ascii="Arial" w:hAnsi="Arial" w:cs="FrankRuehl"/>
                <w:sz w:val="28"/>
                <w:szCs w:val="28"/>
                <w:rtl/>
              </w:rPr>
              <w:t>מדינת ישראל</w:t>
            </w:r>
            <w:r w:rsidRPr="00D317C5">
              <w:rPr>
                <w:rFonts w:ascii="Arial" w:hAnsi="Arial" w:cs="FrankRuehl"/>
                <w:sz w:val="28"/>
                <w:szCs w:val="28"/>
                <w:rtl/>
              </w:rPr>
              <w:br/>
            </w:r>
            <w:r w:rsidRPr="00D317C5">
              <w:rPr>
                <w:rtl/>
              </w:rPr>
              <w:t>ע"י עו"ד נתי בן חמו</w:t>
            </w:r>
          </w:p>
        </w:tc>
        <w:tc>
          <w:tcPr>
            <w:tcW w:w="3771" w:type="dxa"/>
            <w:tcBorders>
              <w:top w:val="nil"/>
              <w:left w:val="nil"/>
              <w:bottom w:val="nil"/>
              <w:right w:val="nil"/>
            </w:tcBorders>
          </w:tcPr>
          <w:p w14:paraId="4DB8860E" w14:textId="77777777" w:rsidR="00D317C5" w:rsidRPr="00D317C5" w:rsidRDefault="00D317C5" w:rsidP="00440A32">
            <w:pPr>
              <w:jc w:val="both"/>
              <w:rPr>
                <w:rFonts w:ascii="Arial" w:hAnsi="Arial" w:cs="FrankRuehl"/>
                <w:sz w:val="28"/>
                <w:szCs w:val="28"/>
              </w:rPr>
            </w:pPr>
          </w:p>
        </w:tc>
      </w:tr>
      <w:bookmarkEnd w:id="3"/>
      <w:tr w:rsidR="00D317C5" w:rsidRPr="00D317C5" w14:paraId="46945575" w14:textId="77777777" w:rsidTr="00440A32">
        <w:trPr>
          <w:trHeight w:val="355"/>
          <w:jc w:val="center"/>
        </w:trPr>
        <w:tc>
          <w:tcPr>
            <w:tcW w:w="923" w:type="dxa"/>
            <w:tcBorders>
              <w:top w:val="nil"/>
              <w:left w:val="nil"/>
              <w:bottom w:val="nil"/>
              <w:right w:val="nil"/>
            </w:tcBorders>
          </w:tcPr>
          <w:p w14:paraId="65955086" w14:textId="77777777" w:rsidR="00D317C5" w:rsidRPr="00D317C5" w:rsidRDefault="00D317C5" w:rsidP="00440A32">
            <w:pPr>
              <w:jc w:val="both"/>
              <w:rPr>
                <w:rFonts w:ascii="Arial" w:hAnsi="Arial" w:cs="FrankRuehl"/>
                <w:sz w:val="28"/>
                <w:szCs w:val="28"/>
                <w:rtl/>
              </w:rPr>
            </w:pPr>
          </w:p>
        </w:tc>
        <w:tc>
          <w:tcPr>
            <w:tcW w:w="4126" w:type="dxa"/>
            <w:tcBorders>
              <w:top w:val="nil"/>
              <w:left w:val="nil"/>
              <w:bottom w:val="nil"/>
              <w:right w:val="nil"/>
            </w:tcBorders>
          </w:tcPr>
          <w:p w14:paraId="2C3F0078" w14:textId="77777777" w:rsidR="00D317C5" w:rsidRPr="00D317C5" w:rsidRDefault="00D317C5" w:rsidP="00440A32">
            <w:pPr>
              <w:jc w:val="both"/>
              <w:rPr>
                <w:rtl/>
              </w:rPr>
            </w:pPr>
          </w:p>
        </w:tc>
        <w:tc>
          <w:tcPr>
            <w:tcW w:w="3771" w:type="dxa"/>
            <w:tcBorders>
              <w:top w:val="nil"/>
              <w:left w:val="nil"/>
              <w:bottom w:val="nil"/>
              <w:right w:val="nil"/>
            </w:tcBorders>
          </w:tcPr>
          <w:p w14:paraId="0801C2A1" w14:textId="77777777" w:rsidR="00D317C5" w:rsidRPr="00D317C5" w:rsidRDefault="00D317C5" w:rsidP="00440A32">
            <w:pPr>
              <w:jc w:val="right"/>
              <w:rPr>
                <w:rFonts w:ascii="Arial" w:hAnsi="Arial" w:cs="FrankRuehl"/>
                <w:sz w:val="28"/>
                <w:szCs w:val="28"/>
                <w:rtl/>
              </w:rPr>
            </w:pPr>
            <w:r w:rsidRPr="00D317C5">
              <w:rPr>
                <w:rFonts w:ascii="Arial" w:hAnsi="Arial" w:cs="FrankRuehl"/>
                <w:sz w:val="28"/>
                <w:szCs w:val="28"/>
                <w:rtl/>
              </w:rPr>
              <w:t>המאשימה</w:t>
            </w:r>
          </w:p>
        </w:tc>
      </w:tr>
      <w:tr w:rsidR="00D317C5" w:rsidRPr="00D317C5" w14:paraId="1ABDA952" w14:textId="77777777" w:rsidTr="00440A32">
        <w:trPr>
          <w:trHeight w:val="355"/>
          <w:jc w:val="center"/>
        </w:trPr>
        <w:tc>
          <w:tcPr>
            <w:tcW w:w="923" w:type="dxa"/>
            <w:tcBorders>
              <w:top w:val="nil"/>
              <w:left w:val="nil"/>
              <w:bottom w:val="nil"/>
              <w:right w:val="nil"/>
            </w:tcBorders>
          </w:tcPr>
          <w:p w14:paraId="439F4178" w14:textId="77777777" w:rsidR="00D317C5" w:rsidRPr="00D317C5" w:rsidRDefault="00D317C5" w:rsidP="00440A32">
            <w:pPr>
              <w:jc w:val="both"/>
              <w:rPr>
                <w:rFonts w:ascii="Arial" w:hAnsi="Arial" w:cs="FrankRuehl"/>
                <w:sz w:val="28"/>
                <w:szCs w:val="28"/>
                <w:rtl/>
              </w:rPr>
            </w:pPr>
          </w:p>
        </w:tc>
        <w:tc>
          <w:tcPr>
            <w:tcW w:w="7897" w:type="dxa"/>
            <w:gridSpan w:val="2"/>
            <w:tcBorders>
              <w:top w:val="nil"/>
              <w:left w:val="nil"/>
              <w:bottom w:val="nil"/>
              <w:right w:val="nil"/>
            </w:tcBorders>
          </w:tcPr>
          <w:p w14:paraId="4F9F7BE0" w14:textId="77777777" w:rsidR="00D317C5" w:rsidRPr="00D317C5" w:rsidRDefault="00D317C5" w:rsidP="00440A32">
            <w:pPr>
              <w:jc w:val="center"/>
              <w:rPr>
                <w:rFonts w:ascii="Arial" w:hAnsi="Arial" w:cs="FrankRuehl"/>
                <w:b/>
                <w:bCs/>
                <w:sz w:val="28"/>
                <w:szCs w:val="28"/>
                <w:rtl/>
              </w:rPr>
            </w:pPr>
          </w:p>
          <w:p w14:paraId="34600DB4" w14:textId="77777777" w:rsidR="00D317C5" w:rsidRPr="00D317C5" w:rsidRDefault="00D317C5" w:rsidP="00440A32">
            <w:pPr>
              <w:jc w:val="center"/>
              <w:rPr>
                <w:rFonts w:ascii="Arial" w:hAnsi="Arial" w:cs="FrankRuehl"/>
                <w:b/>
                <w:bCs/>
                <w:sz w:val="28"/>
                <w:szCs w:val="28"/>
                <w:rtl/>
              </w:rPr>
            </w:pPr>
            <w:r w:rsidRPr="00D317C5">
              <w:rPr>
                <w:rFonts w:ascii="Arial" w:hAnsi="Arial" w:cs="FrankRuehl"/>
                <w:b/>
                <w:bCs/>
                <w:sz w:val="28"/>
                <w:szCs w:val="28"/>
                <w:rtl/>
              </w:rPr>
              <w:t>נגד</w:t>
            </w:r>
          </w:p>
          <w:p w14:paraId="63FA773F" w14:textId="77777777" w:rsidR="00D317C5" w:rsidRPr="00D317C5" w:rsidRDefault="00D317C5" w:rsidP="00440A32">
            <w:pPr>
              <w:jc w:val="both"/>
              <w:rPr>
                <w:rFonts w:ascii="Arial" w:hAnsi="Arial" w:cs="FrankRuehl"/>
                <w:sz w:val="28"/>
                <w:szCs w:val="28"/>
              </w:rPr>
            </w:pPr>
          </w:p>
        </w:tc>
      </w:tr>
      <w:tr w:rsidR="00D317C5" w:rsidRPr="00D317C5" w14:paraId="068BEDD3" w14:textId="77777777" w:rsidTr="00440A32">
        <w:trPr>
          <w:trHeight w:val="355"/>
          <w:jc w:val="center"/>
        </w:trPr>
        <w:tc>
          <w:tcPr>
            <w:tcW w:w="923" w:type="dxa"/>
            <w:tcBorders>
              <w:top w:val="nil"/>
              <w:left w:val="nil"/>
              <w:bottom w:val="nil"/>
              <w:right w:val="nil"/>
            </w:tcBorders>
          </w:tcPr>
          <w:p w14:paraId="791564CF" w14:textId="77777777" w:rsidR="00D317C5" w:rsidRPr="00D317C5" w:rsidRDefault="00D317C5" w:rsidP="00440A32">
            <w:pPr>
              <w:rPr>
                <w:rFonts w:ascii="Arial" w:hAnsi="Arial" w:cs="FrankRuehl"/>
                <w:sz w:val="28"/>
                <w:szCs w:val="28"/>
                <w:rtl/>
              </w:rPr>
            </w:pPr>
          </w:p>
        </w:tc>
        <w:tc>
          <w:tcPr>
            <w:tcW w:w="4126" w:type="dxa"/>
            <w:tcBorders>
              <w:top w:val="nil"/>
              <w:left w:val="nil"/>
              <w:bottom w:val="nil"/>
              <w:right w:val="nil"/>
            </w:tcBorders>
          </w:tcPr>
          <w:p w14:paraId="44C957FA" w14:textId="77777777" w:rsidR="00D317C5" w:rsidRPr="00D317C5" w:rsidRDefault="00D317C5" w:rsidP="00440A32">
            <w:pPr>
              <w:rPr>
                <w:rtl/>
              </w:rPr>
            </w:pPr>
            <w:r w:rsidRPr="00D317C5">
              <w:rPr>
                <w:rFonts w:ascii="Arial" w:hAnsi="Arial" w:cs="FrankRuehl"/>
                <w:sz w:val="28"/>
                <w:szCs w:val="28"/>
                <w:rtl/>
              </w:rPr>
              <w:t>סהר טבול</w:t>
            </w:r>
            <w:r w:rsidRPr="00D317C5">
              <w:rPr>
                <w:rFonts w:ascii="Arial" w:hAnsi="Arial" w:cs="FrankRuehl"/>
                <w:sz w:val="28"/>
                <w:szCs w:val="28"/>
                <w:rtl/>
              </w:rPr>
              <w:br/>
            </w:r>
            <w:r w:rsidRPr="00D317C5">
              <w:rPr>
                <w:rtl/>
              </w:rPr>
              <w:t>ע"י עו"ד מיכאל עירוני</w:t>
            </w:r>
          </w:p>
        </w:tc>
        <w:tc>
          <w:tcPr>
            <w:tcW w:w="3771" w:type="dxa"/>
            <w:tcBorders>
              <w:top w:val="nil"/>
              <w:left w:val="nil"/>
              <w:bottom w:val="nil"/>
              <w:right w:val="nil"/>
            </w:tcBorders>
          </w:tcPr>
          <w:p w14:paraId="7B40F88B" w14:textId="77777777" w:rsidR="00D317C5" w:rsidRPr="00D317C5" w:rsidRDefault="00D317C5" w:rsidP="00440A32">
            <w:pPr>
              <w:jc w:val="right"/>
              <w:rPr>
                <w:rFonts w:ascii="Arial" w:hAnsi="Arial" w:cs="FrankRuehl"/>
                <w:sz w:val="28"/>
                <w:szCs w:val="28"/>
              </w:rPr>
            </w:pPr>
          </w:p>
        </w:tc>
      </w:tr>
      <w:tr w:rsidR="00D317C5" w:rsidRPr="00D317C5" w14:paraId="66B1D0C6" w14:textId="77777777" w:rsidTr="00440A32">
        <w:trPr>
          <w:trHeight w:val="355"/>
          <w:jc w:val="center"/>
        </w:trPr>
        <w:tc>
          <w:tcPr>
            <w:tcW w:w="923" w:type="dxa"/>
            <w:tcBorders>
              <w:top w:val="nil"/>
              <w:left w:val="nil"/>
              <w:bottom w:val="nil"/>
              <w:right w:val="nil"/>
            </w:tcBorders>
          </w:tcPr>
          <w:p w14:paraId="412F7EE9" w14:textId="77777777" w:rsidR="00D317C5" w:rsidRPr="00D317C5" w:rsidRDefault="00D317C5" w:rsidP="00440A32">
            <w:pPr>
              <w:jc w:val="both"/>
              <w:rPr>
                <w:rFonts w:ascii="Arial" w:hAnsi="Arial" w:cs="FrankRuehl"/>
                <w:sz w:val="28"/>
                <w:szCs w:val="28"/>
                <w:rtl/>
              </w:rPr>
            </w:pPr>
          </w:p>
        </w:tc>
        <w:tc>
          <w:tcPr>
            <w:tcW w:w="4126" w:type="dxa"/>
            <w:tcBorders>
              <w:top w:val="nil"/>
              <w:left w:val="nil"/>
              <w:bottom w:val="nil"/>
              <w:right w:val="nil"/>
            </w:tcBorders>
          </w:tcPr>
          <w:p w14:paraId="56248084" w14:textId="77777777" w:rsidR="00D317C5" w:rsidRPr="00D317C5" w:rsidRDefault="00D317C5" w:rsidP="00440A32">
            <w:pPr>
              <w:jc w:val="both"/>
              <w:rPr>
                <w:rtl/>
              </w:rPr>
            </w:pPr>
          </w:p>
        </w:tc>
        <w:tc>
          <w:tcPr>
            <w:tcW w:w="3771" w:type="dxa"/>
            <w:tcBorders>
              <w:top w:val="nil"/>
              <w:left w:val="nil"/>
              <w:bottom w:val="nil"/>
              <w:right w:val="nil"/>
            </w:tcBorders>
          </w:tcPr>
          <w:p w14:paraId="516339EB" w14:textId="77777777" w:rsidR="00D317C5" w:rsidRPr="00D317C5" w:rsidRDefault="00D317C5" w:rsidP="00440A32">
            <w:pPr>
              <w:jc w:val="right"/>
              <w:rPr>
                <w:rFonts w:ascii="Arial" w:hAnsi="Arial" w:cs="FrankRuehl"/>
                <w:sz w:val="28"/>
                <w:szCs w:val="28"/>
              </w:rPr>
            </w:pPr>
            <w:r w:rsidRPr="00D317C5">
              <w:rPr>
                <w:rFonts w:ascii="Arial" w:hAnsi="Arial" w:cs="FrankRuehl"/>
                <w:sz w:val="28"/>
                <w:szCs w:val="28"/>
                <w:rtl/>
              </w:rPr>
              <w:t>הנאשם</w:t>
            </w:r>
          </w:p>
        </w:tc>
      </w:tr>
    </w:tbl>
    <w:p w14:paraId="4EA3250E" w14:textId="77777777" w:rsidR="00D317C5" w:rsidRPr="00D317C5" w:rsidRDefault="00D317C5"/>
    <w:p w14:paraId="63D15DDB" w14:textId="77777777" w:rsidR="00D317C5" w:rsidRPr="00D317C5" w:rsidRDefault="00D317C5" w:rsidP="00EC77D5">
      <w:pPr>
        <w:spacing w:after="120" w:line="360" w:lineRule="auto"/>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17C5" w14:paraId="168D79D1" w14:textId="77777777" w:rsidTr="00440A32">
        <w:trPr>
          <w:trHeight w:val="355"/>
          <w:jc w:val="center"/>
        </w:trPr>
        <w:tc>
          <w:tcPr>
            <w:tcW w:w="8820" w:type="dxa"/>
            <w:tcBorders>
              <w:top w:val="nil"/>
              <w:left w:val="nil"/>
              <w:bottom w:val="nil"/>
              <w:right w:val="nil"/>
            </w:tcBorders>
          </w:tcPr>
          <w:p w14:paraId="720A773E" w14:textId="77777777" w:rsidR="00D317C5" w:rsidRPr="00D317C5" w:rsidRDefault="00D317C5" w:rsidP="00D317C5">
            <w:pPr>
              <w:spacing w:after="120" w:line="360" w:lineRule="auto"/>
              <w:jc w:val="center"/>
              <w:rPr>
                <w:rFonts w:ascii="Arial" w:hAnsi="Arial" w:cs="FrankRuehl"/>
                <w:bCs/>
                <w:sz w:val="32"/>
                <w:szCs w:val="32"/>
                <w:u w:val="single"/>
                <w:rtl/>
              </w:rPr>
            </w:pPr>
            <w:bookmarkStart w:id="4" w:name="PsakDin" w:colFirst="0" w:colLast="0"/>
            <w:bookmarkEnd w:id="0"/>
            <w:bookmarkEnd w:id="1"/>
            <w:r w:rsidRPr="00D317C5">
              <w:rPr>
                <w:rFonts w:ascii="Arial" w:hAnsi="Arial" w:cs="FrankRuehl"/>
                <w:b/>
                <w:bCs/>
                <w:sz w:val="32"/>
                <w:szCs w:val="32"/>
                <w:u w:val="single"/>
                <w:rtl/>
              </w:rPr>
              <w:t>גזר דין</w:t>
            </w:r>
          </w:p>
        </w:tc>
      </w:tr>
    </w:tbl>
    <w:bookmarkEnd w:id="4"/>
    <w:p w14:paraId="4C86F6CE" w14:textId="77777777" w:rsidR="00591AA1" w:rsidRPr="00A8650E" w:rsidRDefault="00591AA1" w:rsidP="00EC77D5">
      <w:pPr>
        <w:spacing w:after="120" w:line="360" w:lineRule="auto"/>
        <w:jc w:val="both"/>
        <w:rPr>
          <w:rFonts w:ascii="Arial" w:hAnsi="Arial"/>
          <w:b/>
          <w:bCs/>
          <w:rtl/>
        </w:rPr>
      </w:pPr>
      <w:r w:rsidRPr="00A8650E">
        <w:rPr>
          <w:rFonts w:ascii="Arial" w:hAnsi="Arial"/>
          <w:b/>
          <w:bCs/>
          <w:rtl/>
        </w:rPr>
        <w:t>רקע</w:t>
      </w:r>
    </w:p>
    <w:p w14:paraId="70B7194B" w14:textId="77777777" w:rsidR="00591AA1" w:rsidRDefault="00591AA1" w:rsidP="00EC77D5">
      <w:pPr>
        <w:spacing w:after="120" w:line="360" w:lineRule="auto"/>
        <w:jc w:val="both"/>
        <w:rPr>
          <w:rFonts w:ascii="Arial" w:hAnsi="Arial"/>
          <w:rtl/>
        </w:rPr>
      </w:pPr>
      <w:bookmarkStart w:id="5" w:name="ABSTRACT_START"/>
      <w:bookmarkEnd w:id="5"/>
      <w:r>
        <w:rPr>
          <w:rFonts w:ascii="Arial" w:hAnsi="Arial"/>
          <w:rtl/>
        </w:rPr>
        <w:t xml:space="preserve">הנאשם הורשע לאחר שמיעת ראיות בעבירות של </w:t>
      </w:r>
      <w:r>
        <w:rPr>
          <w:rFonts w:ascii="David" w:hAnsi="David"/>
          <w:rtl/>
        </w:rPr>
        <w:t>החזקת נשק, אבזר נשק ותחמושת ושינוי זהות של רכב</w:t>
      </w:r>
      <w:r>
        <w:rPr>
          <w:rFonts w:ascii="Arial" w:hAnsi="Arial"/>
          <w:rtl/>
        </w:rPr>
        <w:t>. וכך נקבע בהכרעת הדין:</w:t>
      </w:r>
    </w:p>
    <w:p w14:paraId="3B5257FE" w14:textId="77777777" w:rsidR="00591AA1" w:rsidRDefault="00591AA1" w:rsidP="007C0B0C">
      <w:pPr>
        <w:spacing w:after="120" w:line="360" w:lineRule="auto"/>
        <w:jc w:val="both"/>
        <w:rPr>
          <w:rFonts w:ascii="David" w:hAnsi="David"/>
          <w:rtl/>
        </w:rPr>
      </w:pPr>
      <w:r>
        <w:rPr>
          <w:rFonts w:ascii="David" w:hAnsi="David"/>
          <w:rtl/>
        </w:rPr>
        <w:t>ביום 8.6.20, בסמוך לשעה 10:10 הגיע הנאשם יחד עם אחיו, דביר טבול (להלן</w:t>
      </w:r>
      <w:r>
        <w:rPr>
          <w:rFonts w:ascii="David" w:hAnsi="David"/>
        </w:rPr>
        <w:t xml:space="preserve">: </w:t>
      </w:r>
      <w:r>
        <w:rPr>
          <w:rFonts w:ascii="David" w:hAnsi="David"/>
          <w:b/>
          <w:bCs/>
          <w:rtl/>
        </w:rPr>
        <w:t>דביר</w:t>
      </w:r>
      <w:r>
        <w:rPr>
          <w:rFonts w:ascii="David" w:hAnsi="David"/>
          <w:rtl/>
        </w:rPr>
        <w:t xml:space="preserve">) לסוכנות השכרת רכב בעיר ראשון לציון והשניים שכרו יחד מכונית מסוג מזדה. בסמוך לשעה 11:00 הגיעו השניים לחנות "ריקושט" בעיר ראשון לציון וקנו מיכל גז פלפל, שתי מסיכות, שני זוגות כפפות וסליל של סרט בידוד שחור. לאחר מכן זייפו הנאשם ודביר את לוחיות הרישוי של המכונית, בכך שהדביקו סרט בידוד שחור על </w:t>
      </w:r>
      <w:bookmarkStart w:id="6" w:name="Seif2"/>
      <w:r>
        <w:rPr>
          <w:rFonts w:ascii="David" w:hAnsi="David"/>
          <w:rtl/>
        </w:rPr>
        <w:t xml:space="preserve">חלק מהספרות </w:t>
      </w:r>
      <w:bookmarkEnd w:id="6"/>
      <w:r>
        <w:rPr>
          <w:rFonts w:ascii="David" w:hAnsi="David"/>
          <w:rtl/>
        </w:rPr>
        <w:t xml:space="preserve">של לוחית הרישוי באופן שמספר הרכב נחזה להיות </w:t>
      </w:r>
      <w:r>
        <w:rPr>
          <w:rFonts w:ascii="David" w:hAnsi="David"/>
          <w:u w:val="single"/>
          <w:rtl/>
        </w:rPr>
        <w:t>8</w:t>
      </w:r>
      <w:r>
        <w:rPr>
          <w:rFonts w:ascii="David" w:hAnsi="David"/>
          <w:rtl/>
        </w:rPr>
        <w:t>03-</w:t>
      </w:r>
      <w:r>
        <w:rPr>
          <w:rFonts w:ascii="David" w:hAnsi="David"/>
          <w:u w:val="single"/>
          <w:rtl/>
        </w:rPr>
        <w:t>8</w:t>
      </w:r>
      <w:r>
        <w:rPr>
          <w:rFonts w:ascii="David" w:hAnsi="David"/>
          <w:rtl/>
        </w:rPr>
        <w:t>6-3</w:t>
      </w:r>
      <w:r>
        <w:rPr>
          <w:rFonts w:ascii="David" w:hAnsi="David"/>
          <w:u w:val="single"/>
          <w:rtl/>
        </w:rPr>
        <w:t>8</w:t>
      </w:r>
      <w:r>
        <w:rPr>
          <w:rFonts w:ascii="David" w:hAnsi="David"/>
          <w:rtl/>
        </w:rPr>
        <w:t xml:space="preserve">1 במקום </w:t>
      </w:r>
      <w:r>
        <w:rPr>
          <w:rFonts w:ascii="David" w:hAnsi="David"/>
          <w:u w:val="single"/>
          <w:rtl/>
        </w:rPr>
        <w:t>3</w:t>
      </w:r>
      <w:r>
        <w:rPr>
          <w:rFonts w:ascii="David" w:hAnsi="David"/>
          <w:rtl/>
        </w:rPr>
        <w:t>03-</w:t>
      </w:r>
      <w:r>
        <w:rPr>
          <w:rFonts w:ascii="David" w:hAnsi="David"/>
          <w:u w:val="single"/>
          <w:rtl/>
        </w:rPr>
        <w:t>6</w:t>
      </w:r>
      <w:r>
        <w:rPr>
          <w:rFonts w:ascii="David" w:hAnsi="David"/>
          <w:rtl/>
        </w:rPr>
        <w:t>6-3</w:t>
      </w:r>
      <w:r>
        <w:rPr>
          <w:rFonts w:ascii="David" w:hAnsi="David"/>
          <w:u w:val="single"/>
          <w:rtl/>
        </w:rPr>
        <w:t>0</w:t>
      </w:r>
      <w:r>
        <w:rPr>
          <w:rFonts w:ascii="David" w:hAnsi="David"/>
          <w:rtl/>
        </w:rPr>
        <w:t>1.</w:t>
      </w:r>
    </w:p>
    <w:p w14:paraId="61068DF4" w14:textId="77777777" w:rsidR="00591AA1" w:rsidRDefault="00591AA1" w:rsidP="003B2BDB">
      <w:pPr>
        <w:spacing w:after="120" w:line="360" w:lineRule="auto"/>
        <w:jc w:val="both"/>
        <w:rPr>
          <w:rFonts w:ascii="David" w:hAnsi="David"/>
          <w:rtl/>
        </w:rPr>
      </w:pPr>
      <w:bookmarkStart w:id="7" w:name="ABSTRACT_END"/>
      <w:bookmarkEnd w:id="7"/>
      <w:r>
        <w:rPr>
          <w:rFonts w:ascii="David" w:hAnsi="David"/>
          <w:rtl/>
        </w:rPr>
        <w:t xml:space="preserve">בשעה 11:44 הגיעו הנאשם ודביר במכונית לחניון של בניין מגורים ברחוב העליה בבית שמש בו התגורר הנאשם וחנו בחנייה פרטית של אחת השכנות. אותה שכנה הזמינה משטרה, וכאשר הגיעו שוטרים למקום הבחינו כי לוחית הרישוי מזויפת, ובהמשך גילו במכונית אקדח מסוג </w:t>
      </w:r>
      <w:r>
        <w:rPr>
          <w:rFonts w:ascii="David" w:hAnsi="David"/>
        </w:rPr>
        <w:t>CZ</w:t>
      </w:r>
      <w:r>
        <w:rPr>
          <w:rFonts w:ascii="David" w:hAnsi="David"/>
          <w:rtl/>
        </w:rPr>
        <w:t>, מחסנית וששה כדורים, בהם החזיק הנאשם.</w:t>
      </w:r>
    </w:p>
    <w:p w14:paraId="5380ABF2" w14:textId="77777777" w:rsidR="00591AA1" w:rsidRPr="00CE255F" w:rsidRDefault="00591AA1" w:rsidP="00CE255F">
      <w:pPr>
        <w:spacing w:after="120" w:line="360" w:lineRule="auto"/>
        <w:jc w:val="both"/>
        <w:rPr>
          <w:rFonts w:ascii="David" w:hAnsi="David"/>
          <w:b/>
          <w:bCs/>
          <w:rtl/>
        </w:rPr>
      </w:pPr>
      <w:r w:rsidRPr="00CE255F">
        <w:rPr>
          <w:rFonts w:ascii="David" w:hAnsi="David"/>
          <w:b/>
          <w:bCs/>
          <w:rtl/>
        </w:rPr>
        <w:t>טענות הצדדים</w:t>
      </w:r>
    </w:p>
    <w:p w14:paraId="0A5148BF" w14:textId="77777777" w:rsidR="00591AA1" w:rsidRDefault="00591AA1" w:rsidP="001C5F40">
      <w:pPr>
        <w:spacing w:after="120" w:line="360" w:lineRule="auto"/>
        <w:jc w:val="both"/>
        <w:rPr>
          <w:rFonts w:ascii="David" w:hAnsi="David"/>
          <w:rtl/>
        </w:rPr>
      </w:pPr>
      <w:r>
        <w:rPr>
          <w:rFonts w:ascii="David" w:hAnsi="David"/>
          <w:rtl/>
        </w:rPr>
        <w:t xml:space="preserve">ב"כ המאשימה הפנה לכך שנסיבות החזקת הנשק במקרה זה מלמדות על כוונה לעשות בו שימוש פלילי שתוכנן על ידי הנאשם מראש. עוד הפנה למגמת ההחמרה הכללית בעבירות נשק, העולה מפסיקת בתי המשפט. לאור אלה ביקש לקבוע כי מתחם העונש ההולם את מעשיו של הנאשם הוא </w:t>
      </w:r>
      <w:r>
        <w:rPr>
          <w:rFonts w:ascii="David" w:hAnsi="David"/>
          <w:rtl/>
        </w:rPr>
        <w:lastRenderedPageBreak/>
        <w:t>מאסר, לתקופה שבין שנתיים ועד חמש שנים. לאור הרשעותיו הקודמות של הנאשם והעובדה שלא קיבל אחריות למעשיו, ביקש להשית עליו עונש של שלוש וחצי שנות מאסר.</w:t>
      </w:r>
    </w:p>
    <w:p w14:paraId="6B607517" w14:textId="77777777" w:rsidR="00591AA1" w:rsidRDefault="00591AA1" w:rsidP="00796171">
      <w:pPr>
        <w:spacing w:after="120" w:line="360" w:lineRule="auto"/>
        <w:jc w:val="both"/>
        <w:rPr>
          <w:rFonts w:ascii="David" w:hAnsi="David"/>
          <w:rtl/>
        </w:rPr>
      </w:pPr>
      <w:r>
        <w:rPr>
          <w:rFonts w:ascii="David" w:hAnsi="David"/>
          <w:rtl/>
        </w:rPr>
        <w:t>ב"כ הנאשם הפנה לכך שבסופו של יום מעשיו של הנאשם לא גרמו לכל נזק. עוד הפנה לכך, שלמרות המסד הראייתי הזהה, רק נגד הנאשם הוגש כתב אישום בשל החזקת הנשק, ואילו אחיו יצא פטור – כאשר ברור כי הנאשם אינו המעורב היחיד במקרה. לעניין קביעת העונש בתוך המתחם, הפנה הסניגור לכך שעברו של הנאשם אינו מכביד, ועבירת האלימות בה הורשע נעברה כאשר היה צעיר לימים.</w:t>
      </w:r>
    </w:p>
    <w:p w14:paraId="6E78EBEA" w14:textId="77777777" w:rsidR="00591AA1" w:rsidRDefault="00591AA1" w:rsidP="00796171">
      <w:pPr>
        <w:spacing w:after="120" w:line="360" w:lineRule="auto"/>
        <w:jc w:val="both"/>
        <w:rPr>
          <w:rFonts w:ascii="David" w:hAnsi="David"/>
          <w:rtl/>
        </w:rPr>
      </w:pPr>
      <w:r>
        <w:rPr>
          <w:rFonts w:ascii="David" w:hAnsi="David"/>
          <w:rtl/>
        </w:rPr>
        <w:t>לאור אלה ביקש ב"כ הנאשם להשית עליו עונש שלא יעלה על עשרה חודשי מאסר.</w:t>
      </w:r>
    </w:p>
    <w:p w14:paraId="2FFF53E3" w14:textId="77777777" w:rsidR="00591AA1" w:rsidRDefault="00591AA1" w:rsidP="00CE255F">
      <w:pPr>
        <w:spacing w:after="120" w:line="360" w:lineRule="auto"/>
        <w:jc w:val="both"/>
        <w:rPr>
          <w:rFonts w:ascii="David" w:hAnsi="David"/>
          <w:rtl/>
        </w:rPr>
      </w:pPr>
      <w:r>
        <w:rPr>
          <w:rFonts w:ascii="David" w:hAnsi="David"/>
          <w:rtl/>
        </w:rPr>
        <w:t>ב"כ שני הצדדים הפנו לפסיקה לתמיכה בטיעוניהם. במיוחד התייחסו הצדדים לגזר הדין שניתן בבית המשפט המחוזי חיפה ב</w:t>
      </w:r>
      <w:hyperlink r:id="rId8" w:history="1">
        <w:r w:rsidR="00D317C5" w:rsidRPr="00D317C5">
          <w:rPr>
            <w:rFonts w:ascii="David" w:hAnsi="David"/>
            <w:color w:val="0000FF"/>
            <w:u w:val="single"/>
            <w:rtl/>
          </w:rPr>
          <w:t>ת"פ 15148-03-12</w:t>
        </w:r>
      </w:hyperlink>
      <w:r>
        <w:rPr>
          <w:rFonts w:ascii="David" w:hAnsi="David"/>
          <w:rtl/>
        </w:rPr>
        <w:t>, מ"י נ' כבהא, אליו אתייחס בהמשך.</w:t>
      </w:r>
    </w:p>
    <w:p w14:paraId="71420A3F" w14:textId="77777777" w:rsidR="00591AA1" w:rsidRPr="00A123B9" w:rsidRDefault="00591AA1" w:rsidP="00CE255F">
      <w:pPr>
        <w:spacing w:after="120" w:line="360" w:lineRule="auto"/>
        <w:jc w:val="both"/>
        <w:rPr>
          <w:rFonts w:ascii="David" w:hAnsi="David"/>
          <w:b/>
          <w:bCs/>
          <w:rtl/>
        </w:rPr>
      </w:pPr>
      <w:r w:rsidRPr="00A123B9">
        <w:rPr>
          <w:rFonts w:ascii="David" w:hAnsi="David"/>
          <w:b/>
          <w:bCs/>
          <w:rtl/>
        </w:rPr>
        <w:t>מתחם העונש ההולם</w:t>
      </w:r>
    </w:p>
    <w:p w14:paraId="0D900A7A" w14:textId="77777777" w:rsidR="00591AA1" w:rsidRDefault="00591AA1" w:rsidP="00E03DC6">
      <w:pPr>
        <w:spacing w:after="120" w:line="360" w:lineRule="auto"/>
        <w:jc w:val="both"/>
        <w:rPr>
          <w:rFonts w:ascii="David" w:hAnsi="David"/>
          <w:rtl/>
        </w:rPr>
      </w:pPr>
      <w:r>
        <w:rPr>
          <w:rFonts w:ascii="David" w:hAnsi="David"/>
          <w:rtl/>
        </w:rPr>
        <w:t xml:space="preserve">כהערה מקדימה אומר, כי אקבע מתחם עונש הולם אחד למכלול העבירות בהן הורשע הנאשם: הנשק הוחזק יחד עם המחסנית והתחמושת והעבירות הכרוכות בהחזקתן נבלעות בהחזקת הנשק. גם זיוף לוחיות הרישוי קשור להחזקת הנשק, ונועד – כך נראה – לאותה מטרה. </w:t>
      </w:r>
    </w:p>
    <w:p w14:paraId="69EE99E6" w14:textId="77777777" w:rsidR="00591AA1" w:rsidRDefault="00591AA1" w:rsidP="000A2EC9">
      <w:pPr>
        <w:spacing w:after="120" w:line="360" w:lineRule="auto"/>
        <w:jc w:val="both"/>
        <w:rPr>
          <w:rFonts w:ascii="David" w:hAnsi="David"/>
          <w:rtl/>
        </w:rPr>
      </w:pPr>
      <w:r>
        <w:rPr>
          <w:rFonts w:ascii="David" w:hAnsi="David"/>
          <w:rtl/>
        </w:rPr>
        <w:t>הנאשם שכר מכונית יחד עם אחיו – למרות שמעובדות הכרעת הדין עולה כי לא היה בכך צורך ברור. השניים קנו מסכות, כפפות וגז פלפל וזייפו את לוחית הרישוי – ולאחר מכן הנאשם החזיק במכונית אקדח, מחסנית ותחמושת. נסיבות אלו מלמדות על כך שהחזקת הנשק אינה עומדת בפני עצמה, אלא קשורה לתכנית פלילית קונקרטית וקרובה שרקם הנאשם, בין לבדו בין עם אחיו. מסקנה זו מתעצמת בשים לב לכך שהנאשם לא הציע כל הסבר למעשיו, אלא הפנה את הזרקור לעבר אחיו בכל הנוגע לשכירת המכונית וקניית המסכות, הכפפות וגז הפלפל, והכחיש כל קשר לנשק. רק בשל יד המזל (והעובדה שהנאשם ואחיו חנו במקום הלא נכון) סוכלה תכניתו של הנאשם.</w:t>
      </w:r>
    </w:p>
    <w:p w14:paraId="0192F383" w14:textId="77777777" w:rsidR="00591AA1" w:rsidRDefault="00591AA1" w:rsidP="00DD310B">
      <w:pPr>
        <w:spacing w:after="120" w:line="360" w:lineRule="auto"/>
        <w:jc w:val="both"/>
        <w:rPr>
          <w:rFonts w:ascii="David" w:hAnsi="David"/>
          <w:rtl/>
        </w:rPr>
      </w:pPr>
      <w:r>
        <w:rPr>
          <w:rFonts w:ascii="David" w:hAnsi="David"/>
          <w:rtl/>
        </w:rPr>
        <w:t>פסיקה עקבית של כל הערכאות התייחסה לחומרתן של עבירות נשק, והצורך להחמיר בענישה בגינן.</w:t>
      </w:r>
      <w:r w:rsidRPr="00EB4B4D">
        <w:rPr>
          <w:rFonts w:ascii="David" w:hAnsi="David"/>
          <w:rtl/>
        </w:rPr>
        <w:t xml:space="preserve"> </w:t>
      </w:r>
      <w:r>
        <w:rPr>
          <w:rFonts w:ascii="David" w:hAnsi="David"/>
          <w:rtl/>
        </w:rPr>
        <w:t>רק לפני ימים ספורים חזר בית המשפט העליון על עקרון מנחה זה, ב</w:t>
      </w:r>
      <w:hyperlink r:id="rId9" w:history="1">
        <w:r w:rsidR="00D317C5" w:rsidRPr="00D317C5">
          <w:rPr>
            <w:rFonts w:ascii="David" w:hAnsi="David"/>
            <w:color w:val="0000FF"/>
            <w:u w:val="single"/>
            <w:rtl/>
          </w:rPr>
          <w:t>ע"פ 147/21</w:t>
        </w:r>
      </w:hyperlink>
      <w:r>
        <w:rPr>
          <w:rFonts w:ascii="David" w:hAnsi="David"/>
          <w:rtl/>
        </w:rPr>
        <w:t>, ביטון:</w:t>
      </w:r>
    </w:p>
    <w:p w14:paraId="7D948BBA" w14:textId="77777777" w:rsidR="00591AA1" w:rsidRPr="00DD310B" w:rsidRDefault="00591AA1" w:rsidP="00DD310B">
      <w:pPr>
        <w:spacing w:after="120" w:line="360" w:lineRule="auto"/>
        <w:ind w:left="567" w:right="567"/>
        <w:jc w:val="both"/>
        <w:rPr>
          <w:b/>
          <w:bCs/>
        </w:rPr>
      </w:pPr>
      <w:r>
        <w:rPr>
          <w:b/>
          <w:bCs/>
          <w:rtl/>
        </w:rPr>
        <w:t>7.</w:t>
      </w:r>
      <w:r>
        <w:rPr>
          <w:b/>
          <w:bCs/>
          <w:rtl/>
        </w:rPr>
        <w:tab/>
      </w:r>
      <w:r w:rsidRPr="00DD310B">
        <w:rPr>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w:t>
      </w:r>
      <w:bookmarkStart w:id="8" w:name="Seif5"/>
      <w:r w:rsidRPr="00DD310B">
        <w:rPr>
          <w:b/>
          <w:bCs/>
          <w:rtl/>
        </w:rPr>
        <w:t xml:space="preserve">פרט ולחברה </w:t>
      </w:r>
      <w:bookmarkEnd w:id="8"/>
      <w:r w:rsidRPr="00DD310B">
        <w:rPr>
          <w:b/>
          <w:bCs/>
          <w:rtl/>
        </w:rPr>
        <w:t xml:space="preserve">כאחד (ראו: ש"ז </w:t>
      </w:r>
      <w:hyperlink w:history="1">
        <w:r w:rsidR="00702921" w:rsidRPr="00D317C5">
          <w:rPr>
            <w:b/>
            <w:bCs/>
            <w:color w:val="000000"/>
          </w:rPr>
          <w:t xml:space="preserve">Error! Hyperlink reference </w:t>
        </w:r>
        <w:r w:rsidR="00702921" w:rsidRPr="00D317C5">
          <w:rPr>
            <w:b/>
            <w:bCs/>
            <w:color w:val="000000"/>
          </w:rPr>
          <w:lastRenderedPageBreak/>
          <w:t>not valid.</w:t>
        </w:r>
      </w:hyperlink>
      <w:r w:rsidRPr="00DD310B">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00702921" w:rsidRPr="00D317C5">
          <w:rPr>
            <w:b/>
            <w:bCs/>
            <w:color w:val="000000"/>
          </w:rPr>
          <w:t>Error! Hyperlink reference not valid.</w:t>
        </w:r>
      </w:hyperlink>
      <w:r w:rsidRPr="00DD310B">
        <w:rPr>
          <w:b/>
          <w:bCs/>
          <w:rtl/>
        </w:rPr>
        <w:t xml:space="preserve"> ל</w:t>
      </w:r>
      <w:hyperlink w:history="1">
        <w:r w:rsidR="00702921" w:rsidRPr="00D317C5">
          <w:rPr>
            <w:b/>
            <w:bCs/>
            <w:color w:val="000000"/>
          </w:rPr>
          <w:t>Error! Hyperlink reference not valid.</w:t>
        </w:r>
      </w:hyperlink>
      <w:r w:rsidRPr="00DD310B">
        <w:rPr>
          <w:b/>
          <w:bCs/>
          <w:rtl/>
        </w:rPr>
        <w:t xml:space="preserve">. עונש זה ועונשים אחרים, שחלקם חמורים אף יותר, אשר מוטלים על עברייני נשק, מהווים </w:t>
      </w:r>
      <w:bookmarkStart w:id="9" w:name="Seif3"/>
      <w:r w:rsidRPr="00DD310B">
        <w:rPr>
          <w:b/>
          <w:bCs/>
          <w:rtl/>
        </w:rPr>
        <w:t xml:space="preserve">חלק ממלחמתה </w:t>
      </w:r>
      <w:bookmarkEnd w:id="9"/>
      <w:r w:rsidRPr="00DD310B">
        <w:rPr>
          <w:b/>
          <w:bCs/>
          <w:rtl/>
        </w:rPr>
        <w:t>הבלתי מתפשרת של החברה בנגע ששמו זילות חיי אדם והקלות הבלתי נסבלת של הלחיצה על ההדק (ראו דברי השופט י' אלרון ב</w:t>
      </w:r>
      <w:hyperlink w:history="1">
        <w:r w:rsidR="00702921" w:rsidRPr="00D317C5">
          <w:rPr>
            <w:b/>
            <w:bCs/>
            <w:color w:val="000000"/>
          </w:rPr>
          <w:t>Error! Hyperlink reference not valid.</w:t>
        </w:r>
      </w:hyperlink>
      <w:r w:rsidRPr="00DD310B">
        <w:rPr>
          <w:b/>
          <w:bCs/>
          <w:rtl/>
        </w:rPr>
        <w:t xml:space="preserve"> מדינת ישראל נ' סובח [פורסם בנבו] (5.11.2019) (להלן: עניין סובח)). </w:t>
      </w:r>
    </w:p>
    <w:p w14:paraId="46C1660B" w14:textId="77777777" w:rsidR="00591AA1" w:rsidRPr="00DD310B" w:rsidRDefault="00591AA1" w:rsidP="00DD310B">
      <w:pPr>
        <w:spacing w:after="120" w:line="360" w:lineRule="auto"/>
        <w:ind w:left="567" w:right="567"/>
        <w:jc w:val="both"/>
        <w:rPr>
          <w:b/>
          <w:bCs/>
        </w:rPr>
      </w:pPr>
      <w:r>
        <w:rPr>
          <w:b/>
          <w:bCs/>
          <w:rtl/>
        </w:rPr>
        <w:t>8.</w:t>
      </w:r>
      <w:r>
        <w:rPr>
          <w:b/>
          <w:bCs/>
          <w:rtl/>
        </w:rPr>
        <w:tab/>
      </w:r>
      <w:r w:rsidRPr="00DD310B">
        <w:rPr>
          <w:b/>
          <w:bCs/>
          <w:rtl/>
        </w:rPr>
        <w:t xml:space="preserve">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w:t>
      </w:r>
      <w:bookmarkStart w:id="10" w:name="Seif1"/>
      <w:r w:rsidRPr="00DD310B">
        <w:rPr>
          <w:b/>
          <w:bCs/>
          <w:rtl/>
        </w:rPr>
        <w:t xml:space="preserve">פסקה </w:t>
      </w:r>
      <w:bookmarkEnd w:id="10"/>
      <w:r w:rsidRPr="00DD310B">
        <w:rPr>
          <w:b/>
          <w:bCs/>
          <w:rtl/>
        </w:rPr>
        <w:t>16 לפסק דיני ב</w:t>
      </w:r>
      <w:hyperlink w:history="1">
        <w:r w:rsidR="00702921" w:rsidRPr="00D317C5">
          <w:rPr>
            <w:b/>
            <w:bCs/>
            <w:color w:val="000000"/>
          </w:rPr>
          <w:t>Error! Hyperlink reference not valid.</w:t>
        </w:r>
      </w:hyperlink>
      <w:r w:rsidRPr="00DD310B">
        <w:rPr>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w:t>
      </w:r>
      <w:bookmarkStart w:id="11" w:name="Seif4"/>
      <w:r w:rsidRPr="00DD310B">
        <w:rPr>
          <w:b/>
          <w:bCs/>
          <w:rtl/>
        </w:rPr>
        <w:t xml:space="preserve">חלק מהבניית </w:t>
      </w:r>
      <w:bookmarkEnd w:id="11"/>
      <w:r w:rsidRPr="00DD310B">
        <w:rPr>
          <w:b/>
          <w:bCs/>
          <w:rtl/>
        </w:rPr>
        <w:t>שיקול הדעת השיפוטי בענישה, אשר נעשתה בגדרו של תיקון 113 ל</w:t>
      </w:r>
      <w:hyperlink w:history="1">
        <w:r w:rsidR="00702921" w:rsidRPr="00D317C5">
          <w:rPr>
            <w:b/>
            <w:bCs/>
            <w:color w:val="000000"/>
          </w:rPr>
          <w:t>Error! Hyperlink reference not valid.</w:t>
        </w:r>
      </w:hyperlink>
      <w:r w:rsidRPr="00DD310B">
        <w:rPr>
          <w:b/>
          <w:bCs/>
          <w:rtl/>
        </w:rPr>
        <w:t xml:space="preserve"> (ראו: </w:t>
      </w:r>
      <w:hyperlink w:history="1">
        <w:r w:rsidR="00702921" w:rsidRPr="00D317C5">
          <w:rPr>
            <w:b/>
            <w:bCs/>
            <w:color w:val="000000"/>
          </w:rPr>
          <w:t>Error! Hyperlink reference not valid.</w:t>
        </w:r>
      </w:hyperlink>
      <w:r>
        <w:rPr>
          <w:rtl/>
        </w:rPr>
        <w:t>(2) 772 (2013)).</w:t>
      </w:r>
    </w:p>
    <w:p w14:paraId="0474829A" w14:textId="77777777" w:rsidR="00591AA1" w:rsidRDefault="00591AA1" w:rsidP="00DD310B">
      <w:pPr>
        <w:spacing w:after="120" w:line="360" w:lineRule="auto"/>
        <w:jc w:val="both"/>
        <w:rPr>
          <w:rFonts w:ascii="David" w:hAnsi="David"/>
        </w:rPr>
      </w:pPr>
      <w:r>
        <w:rPr>
          <w:rFonts w:ascii="David" w:hAnsi="David"/>
          <w:rtl/>
        </w:rPr>
        <w:t xml:space="preserve">ר' גם </w:t>
      </w:r>
      <w:hyperlink r:id="rId10" w:history="1">
        <w:r w:rsidR="00D317C5" w:rsidRPr="00D317C5">
          <w:rPr>
            <w:rFonts w:ascii="David" w:hAnsi="David"/>
            <w:color w:val="0000FF"/>
            <w:u w:val="single"/>
            <w:rtl/>
          </w:rPr>
          <w:t>ע"פ 3877/16</w:t>
        </w:r>
      </w:hyperlink>
      <w:r>
        <w:rPr>
          <w:rFonts w:ascii="David" w:hAnsi="David"/>
          <w:rtl/>
        </w:rPr>
        <w:t xml:space="preserve"> ג'באלי נ' מדינת ישראל:</w:t>
      </w:r>
    </w:p>
    <w:p w14:paraId="04C2EFD1" w14:textId="77777777" w:rsidR="00591AA1" w:rsidRDefault="00591AA1" w:rsidP="00EB4B4D">
      <w:pPr>
        <w:spacing w:after="120" w:line="360" w:lineRule="auto"/>
        <w:ind w:left="567" w:right="567"/>
        <w:jc w:val="both"/>
        <w:rPr>
          <w:rFonts w:ascii="Arial" w:hAnsi="Arial"/>
          <w:rtl/>
        </w:rPr>
      </w:pPr>
      <w:r>
        <w:rPr>
          <w:b/>
          <w:bCs/>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עוד נפסק כי חומרתן של העבירות בנשק אינה מסתכמת רק בנזק שאירע בפועל, כי אם בפוטנציאל הנזק הנובע מאותן עבירות"</w:t>
      </w:r>
      <w:r>
        <w:rPr>
          <w:rFonts w:ascii="Arial" w:hAnsi="Arial"/>
          <w:rtl/>
        </w:rPr>
        <w:t>.</w:t>
      </w:r>
    </w:p>
    <w:p w14:paraId="4576DC4C" w14:textId="77777777" w:rsidR="00591AA1" w:rsidRDefault="00591AA1" w:rsidP="00FB1318">
      <w:pPr>
        <w:spacing w:after="120" w:line="360" w:lineRule="auto"/>
        <w:jc w:val="both"/>
        <w:rPr>
          <w:rFonts w:ascii="David" w:hAnsi="David"/>
          <w:rtl/>
        </w:rPr>
      </w:pPr>
      <w:r>
        <w:rPr>
          <w:rFonts w:ascii="David" w:hAnsi="David"/>
          <w:rtl/>
        </w:rPr>
        <w:t>מבלי להקל ראש בעבירה של החזקת אקדח "סתם", הרי שחומרת המקרה שלפני עולה עליו במידה ניכרת, לאור הנסיבות האופפות את המעשה: קניית המסכות, הכפפות וגז הפלפל וזיוף לוחיות הרישוי של המכונית, המעידות כולן על מטרה אסורה קונקרטית לשמה הוחזק הנשק. משכך, יש לקבוע בעניינו של הנאשם מתחם עונש הולם חמור יותר בהרבה מאשר הייתי קובע להחזקת אקדח בנסיבות "אילמות", על מנת לשקף את חומרת המעשים בהם הורשע ואת פוטנציאל הנזק הטמון בהם.</w:t>
      </w:r>
    </w:p>
    <w:p w14:paraId="7BEE325D" w14:textId="77777777" w:rsidR="00591AA1" w:rsidRDefault="00591AA1" w:rsidP="00FB1318">
      <w:pPr>
        <w:spacing w:after="120" w:line="360" w:lineRule="auto"/>
        <w:jc w:val="both"/>
        <w:rPr>
          <w:rFonts w:ascii="David" w:hAnsi="David"/>
          <w:rtl/>
        </w:rPr>
      </w:pPr>
      <w:r>
        <w:rPr>
          <w:rFonts w:ascii="David" w:hAnsi="David"/>
          <w:rtl/>
        </w:rPr>
        <w:t>מקרה כמעט זהה לענייננו נדון בבית המשפט המחוזי חיפה, ב</w:t>
      </w:r>
      <w:hyperlink r:id="rId11" w:history="1">
        <w:r w:rsidR="00D317C5" w:rsidRPr="00D317C5">
          <w:rPr>
            <w:rFonts w:ascii="David" w:hAnsi="David"/>
            <w:color w:val="0000FF"/>
            <w:u w:val="single"/>
            <w:rtl/>
          </w:rPr>
          <w:t>ת"פ 15148-03-12</w:t>
        </w:r>
      </w:hyperlink>
      <w:r>
        <w:rPr>
          <w:rFonts w:ascii="David" w:hAnsi="David"/>
          <w:rtl/>
        </w:rPr>
        <w:t>. באותו הליך הורשע נאשם בכך שהחליף לוחיות רישוי של מכונית ללוחיות מזויפות והחזיק בה אקדח, מספר זוגות כפפות ואקדח דמה, שנחזה להיות עם משתיק קול. בית המשפט קבע כי מתחם העונש ההולם את מעשיו של הנאשם הוא מאסר, לתקופה שבין שנתיים לארבע שנים. מדובר בנסיבות כמעט זהות למקרה שלפני, והתקשיתי לקבל את טענת ב"כ הנאשם, כי החזקת אקדח דמה עם משתיק קול מהווה נסיבה מחמירה משמעותית. אמנם אקדח דמה אינו חפץ תמים (בודאי כאשר הוא מוחזק עם אקדח אמיתי במכונית שלוחיות הרישוי שלה זויפו) אך מדובר בחפץ שהחזקתו לכשעצמה אינה אסורה והוא אינו טומן בחובו סיכון גופני לאחרים – מה שלא ניתן לומר על גז הפלפל שהוחזק במכונית בהליך שלפני.</w:t>
      </w:r>
    </w:p>
    <w:p w14:paraId="7C0F030E" w14:textId="77777777" w:rsidR="00591AA1" w:rsidRDefault="00591AA1" w:rsidP="006B446B">
      <w:pPr>
        <w:spacing w:after="120" w:line="360" w:lineRule="auto"/>
        <w:jc w:val="both"/>
        <w:rPr>
          <w:rFonts w:ascii="David" w:hAnsi="David"/>
          <w:rtl/>
        </w:rPr>
      </w:pPr>
      <w:r>
        <w:rPr>
          <w:rFonts w:ascii="David" w:hAnsi="David"/>
          <w:rtl/>
        </w:rPr>
        <w:t>בקביעת מתחם העונש, אבטא את חומרת מעשיו של הנאשם, הסיכון המוחשי הטמון בהחזקת הנשק והנסיבות המחמירות האופפות את אופן ההחזקה. לאור אלה, המתחם שנקבע ב</w:t>
      </w:r>
      <w:hyperlink r:id="rId12" w:history="1">
        <w:r w:rsidR="00D317C5" w:rsidRPr="00D317C5">
          <w:rPr>
            <w:rFonts w:ascii="David" w:hAnsi="David"/>
            <w:color w:val="0000FF"/>
            <w:u w:val="single"/>
            <w:rtl/>
          </w:rPr>
          <w:t>ת"פ 15148-03-12</w:t>
        </w:r>
      </w:hyperlink>
      <w:r>
        <w:rPr>
          <w:rFonts w:ascii="David" w:hAnsi="David"/>
          <w:rtl/>
        </w:rPr>
        <w:t>, מאסר לתקופה שבין שנתיים לארבע שנים, נראה הולם גם את המקרה שלפני (גם אם רמת הענישה בעבירות נשק הוחמרה מאז), ועל כן אאמצו.</w:t>
      </w:r>
    </w:p>
    <w:p w14:paraId="66F5383B" w14:textId="77777777" w:rsidR="00591AA1" w:rsidRPr="0002358A" w:rsidRDefault="00591AA1" w:rsidP="00CE255F">
      <w:pPr>
        <w:spacing w:after="120" w:line="360" w:lineRule="auto"/>
        <w:jc w:val="both"/>
        <w:rPr>
          <w:rFonts w:ascii="David" w:hAnsi="David"/>
          <w:b/>
          <w:bCs/>
          <w:rtl/>
        </w:rPr>
      </w:pPr>
      <w:r w:rsidRPr="0002358A">
        <w:rPr>
          <w:rFonts w:ascii="David" w:hAnsi="David"/>
          <w:b/>
          <w:bCs/>
          <w:rtl/>
        </w:rPr>
        <w:t>נסיבות שאינן קשורות לעבירה</w:t>
      </w:r>
    </w:p>
    <w:p w14:paraId="687B0AEB" w14:textId="77777777" w:rsidR="00591AA1" w:rsidRDefault="00591AA1" w:rsidP="00A123B9">
      <w:pPr>
        <w:spacing w:after="120" w:line="360" w:lineRule="auto"/>
        <w:jc w:val="both"/>
        <w:rPr>
          <w:rFonts w:ascii="David" w:hAnsi="David"/>
          <w:rtl/>
        </w:rPr>
      </w:pPr>
      <w:r>
        <w:rPr>
          <w:rFonts w:ascii="David" w:hAnsi="David"/>
          <w:rtl/>
        </w:rPr>
        <w:t>הנאשם יליד 1993. רווק. לחובתו מספר הרשעות קודמות:</w:t>
      </w:r>
    </w:p>
    <w:p w14:paraId="535ED141" w14:textId="77777777" w:rsidR="00591AA1" w:rsidRPr="0002358A" w:rsidRDefault="00591AA1" w:rsidP="0002358A">
      <w:pPr>
        <w:spacing w:after="120" w:line="360" w:lineRule="auto"/>
        <w:jc w:val="both"/>
        <w:rPr>
          <w:rFonts w:ascii="David" w:hAnsi="David"/>
        </w:rPr>
      </w:pPr>
      <w:r>
        <w:rPr>
          <w:rFonts w:ascii="David" w:hAnsi="David"/>
          <w:rtl/>
        </w:rPr>
        <w:t>בשנת 2016 נידון לחמישה</w:t>
      </w:r>
      <w:r w:rsidRPr="0002358A">
        <w:rPr>
          <w:rFonts w:ascii="David" w:hAnsi="David"/>
          <w:rtl/>
        </w:rPr>
        <w:t xml:space="preserve"> חודשי מאסר</w:t>
      </w:r>
      <w:r>
        <w:rPr>
          <w:rFonts w:ascii="David" w:hAnsi="David"/>
          <w:rtl/>
        </w:rPr>
        <w:t xml:space="preserve"> בפועל בגין עבירות אלימות, החזקת סכין וסמים.</w:t>
      </w:r>
    </w:p>
    <w:p w14:paraId="778E9C6D" w14:textId="77777777" w:rsidR="00591AA1" w:rsidRPr="0002358A" w:rsidRDefault="00591AA1" w:rsidP="008758F1">
      <w:pPr>
        <w:spacing w:after="120" w:line="360" w:lineRule="auto"/>
        <w:jc w:val="both"/>
        <w:rPr>
          <w:rFonts w:ascii="David" w:hAnsi="David"/>
          <w:rtl/>
        </w:rPr>
      </w:pPr>
      <w:r w:rsidRPr="0002358A">
        <w:rPr>
          <w:rFonts w:ascii="David" w:hAnsi="David"/>
          <w:rtl/>
        </w:rPr>
        <w:t>בשנת 2017 ניד</w:t>
      </w:r>
      <w:r>
        <w:rPr>
          <w:rFonts w:ascii="David" w:hAnsi="David"/>
          <w:rtl/>
        </w:rPr>
        <w:t>ון למאסר מותנה בגין עבירות סמים.</w:t>
      </w:r>
    </w:p>
    <w:p w14:paraId="3513FE6E" w14:textId="77777777" w:rsidR="00591AA1" w:rsidRPr="0002358A" w:rsidRDefault="00591AA1" w:rsidP="007B71E1">
      <w:pPr>
        <w:spacing w:after="120" w:line="360" w:lineRule="auto"/>
        <w:jc w:val="both"/>
        <w:rPr>
          <w:rFonts w:ascii="David" w:hAnsi="David"/>
          <w:rtl/>
        </w:rPr>
      </w:pPr>
      <w:r>
        <w:rPr>
          <w:rFonts w:ascii="David" w:hAnsi="David"/>
          <w:rtl/>
        </w:rPr>
        <w:t xml:space="preserve">בשנת 2020 נידון לששה </w:t>
      </w:r>
      <w:r w:rsidRPr="0002358A">
        <w:rPr>
          <w:rFonts w:ascii="David" w:hAnsi="David"/>
          <w:rtl/>
        </w:rPr>
        <w:t xml:space="preserve">חודשי </w:t>
      </w:r>
      <w:r>
        <w:rPr>
          <w:rFonts w:ascii="David" w:hAnsi="David"/>
          <w:rtl/>
        </w:rPr>
        <w:t>מאסר</w:t>
      </w:r>
      <w:r w:rsidRPr="0002358A">
        <w:rPr>
          <w:rFonts w:ascii="David" w:hAnsi="David"/>
          <w:rtl/>
        </w:rPr>
        <w:t xml:space="preserve"> בגין עבירות סמים. במסגרת גזר הדין הופעל מאסר מותנה שהיה לחובתו של הנאשם.</w:t>
      </w:r>
      <w:r>
        <w:rPr>
          <w:rFonts w:ascii="David" w:hAnsi="David"/>
          <w:rtl/>
        </w:rPr>
        <w:t xml:space="preserve"> תחילה נקבע, כי הנאשם ישא בעונש זה בדרך של עבודות שירות, אך בשל מעצרו בתיק זה, הומר העונש למאסר ממש.</w:t>
      </w:r>
    </w:p>
    <w:p w14:paraId="5B148D1D" w14:textId="77777777" w:rsidR="00591AA1" w:rsidRPr="00A123B9" w:rsidRDefault="00591AA1" w:rsidP="008758F1">
      <w:pPr>
        <w:spacing w:after="120" w:line="360" w:lineRule="auto"/>
        <w:jc w:val="both"/>
        <w:rPr>
          <w:b/>
          <w:bCs/>
          <w:rtl/>
        </w:rPr>
      </w:pPr>
      <w:r w:rsidRPr="00A123B9">
        <w:rPr>
          <w:b/>
          <w:bCs/>
          <w:rtl/>
        </w:rPr>
        <w:t>אי הגשת כתב אישום נגד דביר</w:t>
      </w:r>
    </w:p>
    <w:p w14:paraId="3E76727E" w14:textId="77777777" w:rsidR="00591AA1" w:rsidRDefault="00591AA1" w:rsidP="009A7C35">
      <w:pPr>
        <w:spacing w:after="120" w:line="360" w:lineRule="auto"/>
        <w:jc w:val="both"/>
        <w:rPr>
          <w:rFonts w:ascii="David" w:hAnsi="David"/>
          <w:rtl/>
        </w:rPr>
      </w:pPr>
      <w:r>
        <w:rPr>
          <w:rFonts w:ascii="David" w:hAnsi="David"/>
          <w:rtl/>
        </w:rPr>
        <w:t xml:space="preserve">ב"כ הנאשם שם דגש בטיעונו על כך שהמאשימה לא הגישה כתב אישום נגד דביר. לטענת ב"כ הנאשם, היתה זהות במסד הראייתי בין השניים ועל כן המאשימה נהגה בחוסר שוויוניות והפלתה את הנאשם לרעה מטעמים פסולים, עת העמידה אותו לדין ולא את אחיו. כפי שפרטתי בהכרעת הדין, אכן על פי קריאתי את חומר הראיות שהוגש, ניתן היה להגיש כתב אישום </w:t>
      </w:r>
      <w:r w:rsidRPr="007E5E3A">
        <w:rPr>
          <w:rFonts w:ascii="David" w:hAnsi="David"/>
          <w:u w:val="single"/>
          <w:rtl/>
        </w:rPr>
        <w:t>גם</w:t>
      </w:r>
      <w:r>
        <w:rPr>
          <w:rFonts w:ascii="David" w:hAnsi="David"/>
          <w:rtl/>
        </w:rPr>
        <w:t xml:space="preserve"> נגד דביר. עם זאת קבעתי, כי הנאשם היה רחוק מלבסס התנהגות שרירותית, רשלנות קיצונית</w:t>
      </w:r>
      <w:r w:rsidRPr="009A7C35">
        <w:rPr>
          <w:rFonts w:ascii="David" w:hAnsi="David"/>
          <w:rtl/>
        </w:rPr>
        <w:t xml:space="preserve"> </w:t>
      </w:r>
      <w:r>
        <w:rPr>
          <w:rFonts w:ascii="David" w:hAnsi="David"/>
          <w:rtl/>
        </w:rPr>
        <w:t xml:space="preserve">או מניע פסול של המאשימה. עוד קבעתי, כי החלטתה של המאשימה להמנע מהגשת אישום נגד דביר היא סבירה, שכן יש שוני בעצמת הראיות הקושרות את דביר לנשק, וההבחנה שעשתה בין השניים לגיטימית. אך מובן הוא, כי מקום בו המאשימה רואה פער ראייתי בין נאשמים, </w:t>
      </w:r>
      <w:r w:rsidRPr="009A7C35">
        <w:rPr>
          <w:rFonts w:ascii="David" w:hAnsi="David"/>
          <w:u w:val="single"/>
          <w:rtl/>
        </w:rPr>
        <w:t>חובתה</w:t>
      </w:r>
      <w:r>
        <w:rPr>
          <w:rFonts w:ascii="David" w:hAnsi="David"/>
          <w:rtl/>
        </w:rPr>
        <w:t xml:space="preserve"> לאבחן בינהם, ואין לצפות כי המאשימה תגיש כתב אישום נגד נאשם שיש לה ספק באשמתו, רק על מנת לנהוג ב"שוויון" מלאכותי בין שונים, או לחסום מראש טענות של אכיפה בררנית.</w:t>
      </w:r>
    </w:p>
    <w:p w14:paraId="61132742" w14:textId="77777777" w:rsidR="00591AA1" w:rsidRDefault="00591AA1" w:rsidP="009A7C35">
      <w:pPr>
        <w:spacing w:after="120" w:line="360" w:lineRule="auto"/>
        <w:jc w:val="both"/>
        <w:rPr>
          <w:rFonts w:ascii="David" w:hAnsi="David"/>
          <w:rtl/>
        </w:rPr>
      </w:pPr>
      <w:r>
        <w:rPr>
          <w:rFonts w:ascii="David" w:hAnsi="David"/>
          <w:rtl/>
        </w:rPr>
        <w:t>מעבר לכך, מלבד תחושה סובייקטיבית של הנאשם, לא נגרמה לו כל פגיעה בשל העובדה שהמאשימה נמנעה מלהגיש כתב אישום נגד דביר, שכן הדבר לא היה משפר את מצבו בשום צורה. עוד אומר, כי בטיעונים לעונש עלה, כי המאשימה הגישה נגד דביר כתב אישום, בו יוחסה לו עבירה של זיוף לוחית הרישוי (</w:t>
      </w:r>
      <w:hyperlink r:id="rId13" w:history="1">
        <w:r w:rsidR="00D317C5" w:rsidRPr="00D317C5">
          <w:rPr>
            <w:rFonts w:ascii="David" w:hAnsi="David"/>
            <w:color w:val="0000FF"/>
            <w:u w:val="single"/>
            <w:rtl/>
          </w:rPr>
          <w:t>ת"פ 49228-01-21</w:t>
        </w:r>
      </w:hyperlink>
      <w:r>
        <w:rPr>
          <w:rFonts w:ascii="David" w:hAnsi="David"/>
          <w:rtl/>
        </w:rPr>
        <w:t>).</w:t>
      </w:r>
    </w:p>
    <w:p w14:paraId="36D606DD" w14:textId="77777777" w:rsidR="00591AA1" w:rsidRDefault="00591AA1" w:rsidP="00231C58">
      <w:pPr>
        <w:spacing w:after="120" w:line="360" w:lineRule="auto"/>
        <w:jc w:val="both"/>
        <w:rPr>
          <w:rFonts w:ascii="David" w:hAnsi="David"/>
          <w:rtl/>
        </w:rPr>
      </w:pPr>
      <w:r>
        <w:rPr>
          <w:rFonts w:ascii="David" w:hAnsi="David"/>
          <w:rtl/>
        </w:rPr>
        <w:t xml:space="preserve">עם זאת, בקביעת העונש בתוך המתחם, גם עניין זה יקבל ביטוי </w:t>
      </w:r>
      <w:r w:rsidRPr="00231C58">
        <w:rPr>
          <w:rFonts w:ascii="David" w:hAnsi="David"/>
          <w:rtl/>
        </w:rPr>
        <w:t>מסוים</w:t>
      </w:r>
      <w:r>
        <w:rPr>
          <w:rFonts w:ascii="David" w:hAnsi="David"/>
          <w:rtl/>
        </w:rPr>
        <w:t>.</w:t>
      </w:r>
    </w:p>
    <w:p w14:paraId="4BD217BD" w14:textId="77777777" w:rsidR="00591AA1" w:rsidRPr="00231C58" w:rsidRDefault="00591AA1" w:rsidP="008758F1">
      <w:pPr>
        <w:spacing w:after="120" w:line="360" w:lineRule="auto"/>
        <w:jc w:val="both"/>
        <w:rPr>
          <w:rFonts w:ascii="David" w:hAnsi="David"/>
          <w:b/>
          <w:bCs/>
          <w:rtl/>
        </w:rPr>
      </w:pPr>
      <w:r w:rsidRPr="00231C58">
        <w:rPr>
          <w:rFonts w:ascii="David" w:hAnsi="David"/>
          <w:b/>
          <w:bCs/>
          <w:rtl/>
        </w:rPr>
        <w:t>דיון והכרעה</w:t>
      </w:r>
    </w:p>
    <w:p w14:paraId="55E58420" w14:textId="77777777" w:rsidR="00591AA1" w:rsidRDefault="00591AA1" w:rsidP="002922C8">
      <w:pPr>
        <w:spacing w:after="120" w:line="360" w:lineRule="auto"/>
        <w:jc w:val="both"/>
        <w:rPr>
          <w:rFonts w:ascii="David" w:hAnsi="David"/>
          <w:rtl/>
        </w:rPr>
      </w:pPr>
      <w:r>
        <w:rPr>
          <w:rFonts w:ascii="David" w:hAnsi="David"/>
          <w:rtl/>
        </w:rPr>
        <w:t>לחובת הנאשם אביא בחשבון את הרשעותיו הקודמות, ואת העובדה שנשא במאסר של חמישה חודשים, אשר לא הביא להרתעתו. עוד אביא בחשבון כי הנאשם עבר את העבירות בהן הורשע כשלושה חודשים בלבד לאחר שנגזר עליו עונש של ששה חודשי מאסר בעבודות שירות בשל עבירת סמים (</w:t>
      </w:r>
      <w:hyperlink r:id="rId14" w:history="1">
        <w:r w:rsidR="00D317C5" w:rsidRPr="00D317C5">
          <w:rPr>
            <w:rFonts w:ascii="David" w:hAnsi="David"/>
            <w:color w:val="0000FF"/>
            <w:u w:val="single"/>
            <w:rtl/>
          </w:rPr>
          <w:t>ת"פ 36177-05-19</w:t>
        </w:r>
      </w:hyperlink>
      <w:r>
        <w:rPr>
          <w:rFonts w:ascii="David" w:hAnsi="David"/>
          <w:rtl/>
        </w:rPr>
        <w:t xml:space="preserve">) - ובעודו ממתין למועד ההתייצבות לעבודות (אשר הומר למאסר ממש). עניין זה מלמד על כשלון ההרתעה בעניינו של הנאשם ועל כך שלא השכיל לנצל את ההקלה לה זכה בתיק הקודם. </w:t>
      </w:r>
      <w:r w:rsidRPr="00456707">
        <w:rPr>
          <w:rFonts w:ascii="David" w:hAnsi="David"/>
          <w:rtl/>
        </w:rPr>
        <w:t xml:space="preserve">מטעם זה, ראיתי להורות כי </w:t>
      </w:r>
      <w:r>
        <w:rPr>
          <w:rFonts w:ascii="David" w:hAnsi="David"/>
          <w:rtl/>
        </w:rPr>
        <w:t>עונש המאסר אותו אגזור יצטבר לעונש המאסר הקודם</w:t>
      </w:r>
      <w:r w:rsidRPr="00456707">
        <w:rPr>
          <w:rFonts w:ascii="David" w:hAnsi="David"/>
          <w:rtl/>
        </w:rPr>
        <w:t>.</w:t>
      </w:r>
    </w:p>
    <w:p w14:paraId="610AB0FD" w14:textId="77777777" w:rsidR="00591AA1" w:rsidRDefault="00591AA1" w:rsidP="0093446D">
      <w:pPr>
        <w:spacing w:after="120" w:line="360" w:lineRule="auto"/>
        <w:jc w:val="both"/>
        <w:rPr>
          <w:rFonts w:ascii="David" w:hAnsi="David"/>
          <w:rtl/>
        </w:rPr>
      </w:pPr>
      <w:r>
        <w:rPr>
          <w:rFonts w:ascii="David" w:hAnsi="David"/>
          <w:rtl/>
        </w:rPr>
        <w:t>כמו כן, הנאשם לא קיבל אחריות למעשיו ולא הסביר אותם.</w:t>
      </w:r>
    </w:p>
    <w:p w14:paraId="7234D34B" w14:textId="77777777" w:rsidR="00591AA1" w:rsidRDefault="00591AA1" w:rsidP="0093446D">
      <w:pPr>
        <w:spacing w:after="120" w:line="360" w:lineRule="auto"/>
        <w:jc w:val="both"/>
        <w:rPr>
          <w:rFonts w:ascii="David" w:hAnsi="David"/>
          <w:rtl/>
        </w:rPr>
      </w:pPr>
      <w:r>
        <w:rPr>
          <w:rFonts w:ascii="David" w:hAnsi="David"/>
          <w:rtl/>
        </w:rPr>
        <w:t>לזכות הנאשם אביא בחשבון את אופן ניהול ההליכים, שהיה ממוקד וענייני, ולמרות הכפירה לא גרם לבזבוז זמן שיפוטי. כמו כן אביא בחשבון העובדה שהנאשם טרם נשא במאסר ממושך וכן את העובדה שלמרות שסביר להניח שאינו המעורב היחיד בעבירה, הוא היחיד שהועמד לדין בגינה.</w:t>
      </w:r>
    </w:p>
    <w:p w14:paraId="6F9AC7F9" w14:textId="77777777" w:rsidR="00591AA1" w:rsidRDefault="00591AA1" w:rsidP="00231C58">
      <w:pPr>
        <w:spacing w:after="120" w:line="360" w:lineRule="auto"/>
        <w:jc w:val="both"/>
        <w:rPr>
          <w:rFonts w:ascii="David" w:hAnsi="David"/>
          <w:rtl/>
        </w:rPr>
      </w:pPr>
      <w:r>
        <w:rPr>
          <w:rFonts w:ascii="David" w:hAnsi="David"/>
          <w:rtl/>
        </w:rPr>
        <w:t>בשים לב לכל אלה, אשית על הנאשם עונש בצידו הבינוני נמוך של המתחם.</w:t>
      </w:r>
    </w:p>
    <w:p w14:paraId="1FF692AC" w14:textId="77777777" w:rsidR="00591AA1" w:rsidRPr="00EC745B" w:rsidRDefault="00591AA1" w:rsidP="00EC745B">
      <w:pPr>
        <w:spacing w:after="120" w:line="360" w:lineRule="auto"/>
        <w:jc w:val="both"/>
        <w:rPr>
          <w:b/>
          <w:bCs/>
          <w:rtl/>
          <w:lang w:eastAsia="he-IL"/>
        </w:rPr>
      </w:pPr>
      <w:r w:rsidRPr="00EC745B">
        <w:rPr>
          <w:b/>
          <w:bCs/>
          <w:rtl/>
          <w:lang w:eastAsia="he-IL"/>
        </w:rPr>
        <w:t>לפיכך גוזר על הנאשם את העונשים הבאים:</w:t>
      </w:r>
    </w:p>
    <w:p w14:paraId="516583A9" w14:textId="77777777" w:rsidR="00591AA1" w:rsidRPr="00927CD7" w:rsidRDefault="00591AA1" w:rsidP="00927CD7">
      <w:pPr>
        <w:numPr>
          <w:ilvl w:val="0"/>
          <w:numId w:val="3"/>
        </w:numPr>
        <w:spacing w:after="120" w:line="360" w:lineRule="auto"/>
        <w:jc w:val="both"/>
        <w:rPr>
          <w:lang w:eastAsia="he-IL"/>
        </w:rPr>
      </w:pPr>
      <w:r w:rsidRPr="00927CD7">
        <w:rPr>
          <w:rtl/>
          <w:lang w:eastAsia="he-IL"/>
        </w:rPr>
        <w:t xml:space="preserve">שלושים ושניים חודשי בפועל. מתקופה זו ינוכו ימי מעצרו של הנאשם, מיום 8.6.20 עד יום 15.9.20 ומיום 1.12.20 ועד היום. תקופה בה שהה הנאשם במאסר בשל </w:t>
      </w:r>
      <w:hyperlink r:id="rId15" w:history="1">
        <w:r w:rsidR="00D317C5" w:rsidRPr="00D317C5">
          <w:rPr>
            <w:color w:val="0000FF"/>
            <w:u w:val="single"/>
            <w:rtl/>
            <w:lang w:eastAsia="he-IL"/>
          </w:rPr>
          <w:t>ת"פ 36177-05-19</w:t>
        </w:r>
      </w:hyperlink>
      <w:r w:rsidRPr="00927CD7">
        <w:rPr>
          <w:rtl/>
          <w:lang w:eastAsia="he-IL"/>
        </w:rPr>
        <w:t xml:space="preserve"> לא </w:t>
      </w:r>
      <w:r>
        <w:rPr>
          <w:rtl/>
          <w:lang w:eastAsia="he-IL"/>
        </w:rPr>
        <w:t xml:space="preserve">תנוכה </w:t>
      </w:r>
      <w:r w:rsidRPr="00927CD7">
        <w:rPr>
          <w:rtl/>
          <w:lang w:eastAsia="he-IL"/>
        </w:rPr>
        <w:t xml:space="preserve">ועונש של ששה חודשי מאסר שנגזר עליו בתיק זה </w:t>
      </w:r>
      <w:r w:rsidRPr="00927CD7">
        <w:rPr>
          <w:u w:val="single"/>
          <w:rtl/>
          <w:lang w:eastAsia="he-IL"/>
        </w:rPr>
        <w:t>יצטבר</w:t>
      </w:r>
      <w:r w:rsidRPr="00927CD7">
        <w:rPr>
          <w:rtl/>
          <w:lang w:eastAsia="he-IL"/>
        </w:rPr>
        <w:t xml:space="preserve"> לעונש זה.</w:t>
      </w:r>
    </w:p>
    <w:p w14:paraId="3E78C68F" w14:textId="77777777" w:rsidR="00591AA1" w:rsidRDefault="00591AA1" w:rsidP="00927CD7">
      <w:pPr>
        <w:numPr>
          <w:ilvl w:val="0"/>
          <w:numId w:val="3"/>
        </w:numPr>
        <w:spacing w:after="120" w:line="360" w:lineRule="auto"/>
        <w:jc w:val="both"/>
        <w:rPr>
          <w:lang w:eastAsia="he-IL"/>
        </w:rPr>
      </w:pPr>
      <w:r>
        <w:rPr>
          <w:rtl/>
          <w:lang w:eastAsia="he-IL"/>
        </w:rPr>
        <w:t>עשרה חודשי מאסר</w:t>
      </w:r>
      <w:r w:rsidRPr="00EC745B">
        <w:rPr>
          <w:rtl/>
          <w:lang w:eastAsia="he-IL"/>
        </w:rPr>
        <w:t xml:space="preserve">, בו לא יישא אלא אם יעבור </w:t>
      </w:r>
      <w:r>
        <w:rPr>
          <w:rtl/>
          <w:lang w:eastAsia="he-IL"/>
        </w:rPr>
        <w:t>עבירה הכרוכה בנשק שהיא פשע,</w:t>
      </w:r>
      <w:r w:rsidRPr="00EC745B">
        <w:rPr>
          <w:rtl/>
          <w:lang w:eastAsia="he-IL"/>
        </w:rPr>
        <w:t xml:space="preserve"> תוך שלוש שנים מיום שחרורו מהמאסר.</w:t>
      </w:r>
    </w:p>
    <w:p w14:paraId="3A661F76" w14:textId="77777777" w:rsidR="00591AA1" w:rsidRDefault="00591AA1" w:rsidP="00927CD7">
      <w:pPr>
        <w:numPr>
          <w:ilvl w:val="0"/>
          <w:numId w:val="3"/>
        </w:numPr>
        <w:spacing w:after="120" w:line="360" w:lineRule="auto"/>
        <w:jc w:val="both"/>
        <w:rPr>
          <w:lang w:eastAsia="he-IL"/>
        </w:rPr>
      </w:pPr>
      <w:r>
        <w:rPr>
          <w:rtl/>
          <w:lang w:eastAsia="he-IL"/>
        </w:rPr>
        <w:t>חמישה חודשי מאסר</w:t>
      </w:r>
      <w:r w:rsidRPr="00EC745B">
        <w:rPr>
          <w:rtl/>
          <w:lang w:eastAsia="he-IL"/>
        </w:rPr>
        <w:t xml:space="preserve">, בו לא יישא אלא אם יעבור </w:t>
      </w:r>
      <w:r>
        <w:rPr>
          <w:rtl/>
          <w:lang w:eastAsia="he-IL"/>
        </w:rPr>
        <w:t>עבירה הכרוכה בנשק שהיא עוון, קשר לפשע</w:t>
      </w:r>
      <w:r w:rsidRPr="00EC745B">
        <w:rPr>
          <w:rtl/>
          <w:lang w:eastAsia="he-IL"/>
        </w:rPr>
        <w:t xml:space="preserve"> </w:t>
      </w:r>
      <w:r>
        <w:rPr>
          <w:rtl/>
          <w:lang w:eastAsia="he-IL"/>
        </w:rPr>
        <w:t xml:space="preserve">או שינוי סימני זיהוי של רכב, </w:t>
      </w:r>
      <w:r w:rsidRPr="00EC745B">
        <w:rPr>
          <w:rtl/>
          <w:lang w:eastAsia="he-IL"/>
        </w:rPr>
        <w:t>תוך שלוש שנים מיום שחרורו מהמאסר.</w:t>
      </w:r>
    </w:p>
    <w:p w14:paraId="7AD1BE97" w14:textId="77777777" w:rsidR="00591AA1" w:rsidRPr="00EC745B" w:rsidRDefault="00591AA1" w:rsidP="00EC745B">
      <w:pPr>
        <w:spacing w:after="120" w:line="360" w:lineRule="auto"/>
        <w:jc w:val="both"/>
        <w:rPr>
          <w:rtl/>
          <w:lang w:eastAsia="he-IL"/>
        </w:rPr>
      </w:pPr>
    </w:p>
    <w:p w14:paraId="5B89A70E" w14:textId="77777777" w:rsidR="00591AA1" w:rsidRPr="00EC745B" w:rsidRDefault="00D317C5" w:rsidP="00EC745B">
      <w:pPr>
        <w:spacing w:after="120" w:line="360" w:lineRule="auto"/>
        <w:ind w:left="720" w:hanging="720"/>
        <w:jc w:val="both"/>
        <w:rPr>
          <w:rtl/>
          <w:lang w:eastAsia="he-IL"/>
        </w:rPr>
      </w:pPr>
      <w:r w:rsidRPr="00D317C5">
        <w:rPr>
          <w:color w:val="FFFFFF"/>
          <w:sz w:val="2"/>
          <w:szCs w:val="2"/>
          <w:rtl/>
          <w:lang w:eastAsia="he-IL"/>
        </w:rPr>
        <w:t>5129371</w:t>
      </w:r>
      <w:r w:rsidR="00591AA1" w:rsidRPr="00EC745B">
        <w:rPr>
          <w:rtl/>
          <w:lang w:eastAsia="he-IL"/>
        </w:rPr>
        <w:t>זכות ערעור לבית המשפט המחוזי בירושלים תוך 45 יום.</w:t>
      </w:r>
    </w:p>
    <w:p w14:paraId="4ADABC32" w14:textId="77777777" w:rsidR="00591AA1" w:rsidRPr="00D317C5" w:rsidRDefault="00D317C5" w:rsidP="00EC77D5">
      <w:pPr>
        <w:spacing w:after="120" w:line="360" w:lineRule="auto"/>
        <w:jc w:val="both"/>
        <w:rPr>
          <w:rFonts w:ascii="Arial" w:hAnsi="Arial"/>
          <w:color w:val="FFFFFF"/>
          <w:sz w:val="2"/>
          <w:szCs w:val="2"/>
          <w:rtl/>
        </w:rPr>
      </w:pPr>
      <w:r w:rsidRPr="00D317C5">
        <w:rPr>
          <w:rFonts w:ascii="Arial" w:hAnsi="Arial"/>
          <w:color w:val="FFFFFF"/>
          <w:sz w:val="2"/>
          <w:szCs w:val="2"/>
          <w:rtl/>
        </w:rPr>
        <w:t>54678313</w:t>
      </w:r>
    </w:p>
    <w:p w14:paraId="4472AA86" w14:textId="77777777" w:rsidR="00591AA1" w:rsidRDefault="00D317C5" w:rsidP="00EC77D5">
      <w:pPr>
        <w:spacing w:after="120" w:line="360" w:lineRule="auto"/>
        <w:rPr>
          <w:rFonts w:cs="FrankRuehl" w:hint="cs"/>
          <w:sz w:val="28"/>
          <w:szCs w:val="28"/>
          <w:rtl/>
        </w:rPr>
      </w:pPr>
      <w:bookmarkStart w:id="12" w:name="Nitan"/>
      <w:r>
        <w:rPr>
          <w:rFonts w:ascii="Arial" w:hAnsi="Arial"/>
          <w:rtl/>
        </w:rPr>
        <w:t xml:space="preserve">ניתן היום,  כ' אדר תשפ"א, 04 מרץ 2021, במעמד הצדדים. </w:t>
      </w:r>
      <w:bookmarkEnd w:id="12"/>
      <w:r w:rsidR="000E189C">
        <w:rPr>
          <w:rFonts w:cs="FrankRuehl" w:hint="cs"/>
          <w:sz w:val="28"/>
          <w:szCs w:val="28"/>
          <w:rtl/>
        </w:rPr>
        <w:t xml:space="preserve"> </w:t>
      </w:r>
    </w:p>
    <w:p w14:paraId="7E04A0C8" w14:textId="77777777" w:rsidR="00591AA1" w:rsidRDefault="00591AA1" w:rsidP="00D317C5">
      <w:pPr>
        <w:jc w:val="center"/>
      </w:pPr>
      <w:r>
        <w:rPr>
          <w:rtl/>
        </w:rPr>
        <w:t xml:space="preserve">   </w:t>
      </w:r>
      <w:r>
        <w:rPr>
          <w:rtl/>
        </w:rPr>
        <w:tab/>
      </w:r>
      <w:r>
        <w:rPr>
          <w:rtl/>
        </w:rPr>
        <w:tab/>
      </w:r>
      <w:r>
        <w:rPr>
          <w:rtl/>
        </w:rPr>
        <w:tab/>
      </w:r>
      <w:r>
        <w:rPr>
          <w:rtl/>
        </w:rPr>
        <w:tab/>
      </w:r>
      <w:r>
        <w:rPr>
          <w:rtl/>
        </w:rPr>
        <w:tab/>
      </w:r>
    </w:p>
    <w:p w14:paraId="12990B26" w14:textId="77777777" w:rsidR="00591AA1" w:rsidRDefault="00591AA1" w:rsidP="003E0C9F">
      <w:pPr>
        <w:jc w:val="center"/>
        <w:rPr>
          <w:rFonts w:ascii="Arial" w:hAnsi="Arial" w:cs="FrankRuehl"/>
          <w:sz w:val="28"/>
          <w:szCs w:val="28"/>
          <w:rtl/>
        </w:rPr>
      </w:pPr>
    </w:p>
    <w:p w14:paraId="144D7943" w14:textId="77777777" w:rsidR="00591AA1" w:rsidRDefault="00591AA1">
      <w:pPr>
        <w:rPr>
          <w:rFonts w:cs="FrankRuehl"/>
          <w:sz w:val="28"/>
          <w:szCs w:val="28"/>
          <w:rtl/>
        </w:rPr>
      </w:pPr>
    </w:p>
    <w:p w14:paraId="7B31CB9D" w14:textId="77777777" w:rsidR="00591AA1" w:rsidRPr="00D317C5" w:rsidRDefault="00591AA1" w:rsidP="00D317C5">
      <w:pPr>
        <w:pStyle w:val="a3"/>
        <w:keepNext/>
        <w:rPr>
          <w:rFonts w:ascii="David" w:hAnsi="David"/>
          <w:color w:val="000000"/>
          <w:sz w:val="22"/>
          <w:szCs w:val="22"/>
          <w:rtl/>
        </w:rPr>
      </w:pPr>
    </w:p>
    <w:p w14:paraId="405D42CB" w14:textId="77777777" w:rsidR="00D317C5" w:rsidRPr="00D317C5" w:rsidRDefault="00D317C5" w:rsidP="00D317C5">
      <w:pPr>
        <w:pStyle w:val="a3"/>
        <w:keepNext/>
        <w:rPr>
          <w:rFonts w:ascii="David" w:hAnsi="David"/>
          <w:color w:val="000000"/>
          <w:sz w:val="22"/>
          <w:szCs w:val="22"/>
          <w:rtl/>
        </w:rPr>
      </w:pPr>
      <w:r w:rsidRPr="00D317C5">
        <w:rPr>
          <w:rFonts w:ascii="David" w:hAnsi="David"/>
          <w:color w:val="000000"/>
          <w:sz w:val="22"/>
          <w:szCs w:val="22"/>
          <w:rtl/>
        </w:rPr>
        <w:t>ירון מינטקביץ 54678313</w:t>
      </w:r>
    </w:p>
    <w:p w14:paraId="54D829DB" w14:textId="77777777" w:rsidR="00D317C5" w:rsidRDefault="00D317C5" w:rsidP="00D317C5">
      <w:pPr>
        <w:pStyle w:val="a3"/>
        <w:rPr>
          <w:rtl/>
        </w:rPr>
      </w:pPr>
      <w:r w:rsidRPr="00D317C5">
        <w:rPr>
          <w:color w:val="000000"/>
          <w:rtl/>
        </w:rPr>
        <w:t>נוסח מסמך זה כפוף לשינויי ניסוח ועריכה</w:t>
      </w:r>
    </w:p>
    <w:p w14:paraId="03CA94AC" w14:textId="77777777" w:rsidR="00D317C5" w:rsidRDefault="00D317C5" w:rsidP="00D317C5">
      <w:pPr>
        <w:pStyle w:val="a3"/>
        <w:rPr>
          <w:rtl/>
        </w:rPr>
      </w:pPr>
    </w:p>
    <w:p w14:paraId="0DB6435C" w14:textId="77777777" w:rsidR="00D317C5" w:rsidRDefault="00D317C5" w:rsidP="00D317C5">
      <w:pPr>
        <w:pStyle w:val="a3"/>
        <w:jc w:val="center"/>
        <w:rPr>
          <w:color w:val="0000FF"/>
          <w:u w:val="single"/>
          <w:rtl/>
        </w:rPr>
      </w:pPr>
      <w:hyperlink r:id="rId16" w:history="1">
        <w:r>
          <w:rPr>
            <w:color w:val="0000FF"/>
            <w:u w:val="single"/>
            <w:rtl/>
          </w:rPr>
          <w:t>בעניין עריכה ושינויים במסמכי פסיקה, חקיקה ועוד באתר נבו – הקש כאן</w:t>
        </w:r>
      </w:hyperlink>
    </w:p>
    <w:p w14:paraId="2442CEBB" w14:textId="77777777" w:rsidR="00D317C5" w:rsidRPr="00D317C5" w:rsidRDefault="00D317C5" w:rsidP="00D317C5">
      <w:pPr>
        <w:pStyle w:val="a3"/>
        <w:jc w:val="center"/>
        <w:rPr>
          <w:color w:val="0000FF"/>
          <w:u w:val="single"/>
          <w:rtl/>
        </w:rPr>
      </w:pPr>
    </w:p>
    <w:sectPr w:rsidR="00D317C5" w:rsidRPr="00D317C5" w:rsidSect="00D317C5">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D4759" w14:textId="77777777" w:rsidR="005C67D6" w:rsidRDefault="005C67D6">
      <w:r>
        <w:separator/>
      </w:r>
    </w:p>
  </w:endnote>
  <w:endnote w:type="continuationSeparator" w:id="0">
    <w:p w14:paraId="074F3625" w14:textId="77777777" w:rsidR="005C67D6" w:rsidRDefault="005C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F598B" w14:textId="77777777" w:rsidR="00D317C5" w:rsidRDefault="00D317C5" w:rsidP="00D317C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8EB3130" w14:textId="77777777" w:rsidR="00591AA1" w:rsidRPr="00D317C5" w:rsidRDefault="00D317C5" w:rsidP="00D317C5">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AE5C" w14:textId="77777777" w:rsidR="00D317C5" w:rsidRDefault="00D317C5" w:rsidP="00D317C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3F42">
      <w:rPr>
        <w:rFonts w:ascii="FrankRuehl" w:hAnsi="FrankRuehl" w:cs="FrankRuehl"/>
        <w:noProof/>
        <w:rtl/>
      </w:rPr>
      <w:t>1</w:t>
    </w:r>
    <w:r>
      <w:rPr>
        <w:rFonts w:ascii="FrankRuehl" w:hAnsi="FrankRuehl" w:cs="FrankRuehl"/>
        <w:rtl/>
      </w:rPr>
      <w:fldChar w:fldCharType="end"/>
    </w:r>
  </w:p>
  <w:p w14:paraId="15F7A244" w14:textId="77777777" w:rsidR="00591AA1" w:rsidRPr="00D317C5" w:rsidRDefault="00D317C5" w:rsidP="00D317C5">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9E5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D3002" w14:textId="77777777" w:rsidR="005C67D6" w:rsidRDefault="005C67D6">
      <w:r>
        <w:separator/>
      </w:r>
    </w:p>
  </w:footnote>
  <w:footnote w:type="continuationSeparator" w:id="0">
    <w:p w14:paraId="548ACB03" w14:textId="77777777" w:rsidR="005C67D6" w:rsidRDefault="005C6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7153B" w14:textId="77777777" w:rsidR="00D317C5" w:rsidRPr="00D317C5" w:rsidRDefault="00D317C5" w:rsidP="00D31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62062-06-20</w:t>
    </w:r>
    <w:r>
      <w:rPr>
        <w:rFonts w:ascii="David" w:hAnsi="David"/>
        <w:color w:val="000000"/>
        <w:sz w:val="22"/>
        <w:szCs w:val="22"/>
        <w:rtl/>
      </w:rPr>
      <w:tab/>
      <w:t xml:space="preserve"> מדינת ישראל נ' סהר 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B3612" w14:textId="77777777" w:rsidR="00591AA1" w:rsidRPr="00D317C5" w:rsidRDefault="00D317C5" w:rsidP="00D31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62062-06-20</w:t>
    </w:r>
    <w:r>
      <w:rPr>
        <w:rFonts w:ascii="David" w:hAnsi="David"/>
        <w:color w:val="000000"/>
        <w:sz w:val="22"/>
        <w:szCs w:val="22"/>
        <w:rtl/>
      </w:rPr>
      <w:tab/>
      <w:t xml:space="preserve"> מדינת ישראל נ' סהר 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358223A6">
      <w:start w:val="1"/>
      <w:numFmt w:val="decimal"/>
      <w:pStyle w:val="Ruller4"/>
      <w:lvlText w:val="%1."/>
      <w:lvlJc w:val="left"/>
      <w:pPr>
        <w:tabs>
          <w:tab w:val="num" w:pos="907"/>
        </w:tabs>
      </w:pPr>
      <w:rPr>
        <w:rFonts w:cs="Times New Roman"/>
      </w:rPr>
    </w:lvl>
    <w:lvl w:ilvl="1" w:tplc="1F42A9D6">
      <w:start w:val="1"/>
      <w:numFmt w:val="lowerLetter"/>
      <w:lvlText w:val="%2."/>
      <w:lvlJc w:val="left"/>
      <w:pPr>
        <w:tabs>
          <w:tab w:val="num" w:pos="1440"/>
        </w:tabs>
        <w:ind w:left="1440" w:hanging="360"/>
      </w:pPr>
      <w:rPr>
        <w:rFonts w:cs="Times New Roman"/>
      </w:rPr>
    </w:lvl>
    <w:lvl w:ilvl="2" w:tplc="F5626E10">
      <w:start w:val="1"/>
      <w:numFmt w:val="lowerRoman"/>
      <w:lvlText w:val="%3."/>
      <w:lvlJc w:val="right"/>
      <w:pPr>
        <w:tabs>
          <w:tab w:val="num" w:pos="2160"/>
        </w:tabs>
        <w:ind w:left="2160" w:hanging="180"/>
      </w:pPr>
      <w:rPr>
        <w:rFonts w:cs="Times New Roman"/>
      </w:rPr>
    </w:lvl>
    <w:lvl w:ilvl="3" w:tplc="F2E00E70">
      <w:start w:val="1"/>
      <w:numFmt w:val="decimal"/>
      <w:lvlText w:val="%4."/>
      <w:lvlJc w:val="left"/>
      <w:pPr>
        <w:tabs>
          <w:tab w:val="num" w:pos="2880"/>
        </w:tabs>
        <w:ind w:left="2880" w:hanging="360"/>
      </w:pPr>
      <w:rPr>
        <w:rFonts w:cs="Times New Roman"/>
      </w:rPr>
    </w:lvl>
    <w:lvl w:ilvl="4" w:tplc="4A02ABA0">
      <w:start w:val="1"/>
      <w:numFmt w:val="lowerLetter"/>
      <w:lvlText w:val="%5."/>
      <w:lvlJc w:val="left"/>
      <w:pPr>
        <w:tabs>
          <w:tab w:val="num" w:pos="3600"/>
        </w:tabs>
        <w:ind w:left="3600" w:hanging="360"/>
      </w:pPr>
      <w:rPr>
        <w:rFonts w:cs="Times New Roman"/>
      </w:rPr>
    </w:lvl>
    <w:lvl w:ilvl="5" w:tplc="C55E58CE">
      <w:start w:val="1"/>
      <w:numFmt w:val="lowerRoman"/>
      <w:lvlText w:val="%6."/>
      <w:lvlJc w:val="right"/>
      <w:pPr>
        <w:tabs>
          <w:tab w:val="num" w:pos="4320"/>
        </w:tabs>
        <w:ind w:left="4320" w:hanging="180"/>
      </w:pPr>
      <w:rPr>
        <w:rFonts w:cs="Times New Roman"/>
      </w:rPr>
    </w:lvl>
    <w:lvl w:ilvl="6" w:tplc="5FF6BD26">
      <w:start w:val="1"/>
      <w:numFmt w:val="decimal"/>
      <w:lvlText w:val="%7."/>
      <w:lvlJc w:val="left"/>
      <w:pPr>
        <w:tabs>
          <w:tab w:val="num" w:pos="5040"/>
        </w:tabs>
        <w:ind w:left="5040" w:hanging="360"/>
      </w:pPr>
      <w:rPr>
        <w:rFonts w:cs="Times New Roman"/>
      </w:rPr>
    </w:lvl>
    <w:lvl w:ilvl="7" w:tplc="E48EC12C">
      <w:start w:val="1"/>
      <w:numFmt w:val="lowerLetter"/>
      <w:lvlText w:val="%8."/>
      <w:lvlJc w:val="left"/>
      <w:pPr>
        <w:tabs>
          <w:tab w:val="num" w:pos="5760"/>
        </w:tabs>
        <w:ind w:left="5760" w:hanging="360"/>
      </w:pPr>
      <w:rPr>
        <w:rFonts w:cs="Times New Roman"/>
      </w:rPr>
    </w:lvl>
    <w:lvl w:ilvl="8" w:tplc="413E4B64">
      <w:start w:val="1"/>
      <w:numFmt w:val="lowerRoman"/>
      <w:lvlText w:val="%9."/>
      <w:lvlJc w:val="right"/>
      <w:pPr>
        <w:tabs>
          <w:tab w:val="num" w:pos="6480"/>
        </w:tabs>
        <w:ind w:left="6480" w:hanging="180"/>
      </w:pPr>
      <w:rPr>
        <w:rFonts w:cs="Times New Roman"/>
      </w:rPr>
    </w:lvl>
  </w:abstractNum>
  <w:abstractNum w:abstractNumId="1" w15:restartNumberingAfterBreak="0">
    <w:nsid w:val="12D821E0"/>
    <w:multiLevelType w:val="hybridMultilevel"/>
    <w:tmpl w:val="D1CC0440"/>
    <w:lvl w:ilvl="0" w:tplc="04090013">
      <w:start w:val="1"/>
      <w:numFmt w:val="hebrew1"/>
      <w:lvlText w:val="%1."/>
      <w:lvlJc w:val="center"/>
      <w:pPr>
        <w:ind w:left="360" w:hanging="360"/>
      </w:pPr>
      <w:rPr>
        <w:rFonts w:cs="Times New Roman"/>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14245955">
    <w:abstractNumId w:val="3"/>
  </w:num>
  <w:num w:numId="2" w16cid:durableId="1136996290">
    <w:abstractNumId w:val="2"/>
  </w:num>
  <w:num w:numId="3" w16cid:durableId="1755318887">
    <w:abstractNumId w:val="1"/>
  </w:num>
  <w:num w:numId="4" w16cid:durableId="1219780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2358A"/>
    <w:rsid w:val="00031F8A"/>
    <w:rsid w:val="00054FC4"/>
    <w:rsid w:val="0006726A"/>
    <w:rsid w:val="000A2EC9"/>
    <w:rsid w:val="000C1D85"/>
    <w:rsid w:val="000E189C"/>
    <w:rsid w:val="000E617F"/>
    <w:rsid w:val="00100577"/>
    <w:rsid w:val="0019643A"/>
    <w:rsid w:val="001C5F40"/>
    <w:rsid w:val="00206C9A"/>
    <w:rsid w:val="00212125"/>
    <w:rsid w:val="00231C58"/>
    <w:rsid w:val="002922C8"/>
    <w:rsid w:val="002B1F41"/>
    <w:rsid w:val="002D6C61"/>
    <w:rsid w:val="00367565"/>
    <w:rsid w:val="003B2BDB"/>
    <w:rsid w:val="003E094B"/>
    <w:rsid w:val="003E0C9F"/>
    <w:rsid w:val="00406E33"/>
    <w:rsid w:val="004215DC"/>
    <w:rsid w:val="00435DDF"/>
    <w:rsid w:val="00440A32"/>
    <w:rsid w:val="00456707"/>
    <w:rsid w:val="0047249A"/>
    <w:rsid w:val="004D1303"/>
    <w:rsid w:val="004F5E6F"/>
    <w:rsid w:val="00507694"/>
    <w:rsid w:val="00551B79"/>
    <w:rsid w:val="00562B42"/>
    <w:rsid w:val="00591AA1"/>
    <w:rsid w:val="005C67D6"/>
    <w:rsid w:val="005C7B0B"/>
    <w:rsid w:val="005D0A6D"/>
    <w:rsid w:val="005D6048"/>
    <w:rsid w:val="005E25EB"/>
    <w:rsid w:val="006371AE"/>
    <w:rsid w:val="00683ABD"/>
    <w:rsid w:val="00684E84"/>
    <w:rsid w:val="006A491B"/>
    <w:rsid w:val="006B446B"/>
    <w:rsid w:val="006C2095"/>
    <w:rsid w:val="00702921"/>
    <w:rsid w:val="007158D9"/>
    <w:rsid w:val="00742CA4"/>
    <w:rsid w:val="00757983"/>
    <w:rsid w:val="00796171"/>
    <w:rsid w:val="007B71E1"/>
    <w:rsid w:val="007C0B0C"/>
    <w:rsid w:val="007D46DD"/>
    <w:rsid w:val="007E5E3A"/>
    <w:rsid w:val="00821F29"/>
    <w:rsid w:val="00832D73"/>
    <w:rsid w:val="008758F1"/>
    <w:rsid w:val="008819B4"/>
    <w:rsid w:val="008B7D6E"/>
    <w:rsid w:val="008F2624"/>
    <w:rsid w:val="00927CD7"/>
    <w:rsid w:val="0093446D"/>
    <w:rsid w:val="00936E41"/>
    <w:rsid w:val="00972570"/>
    <w:rsid w:val="00992D67"/>
    <w:rsid w:val="009A7C35"/>
    <w:rsid w:val="009E35A7"/>
    <w:rsid w:val="009E49A1"/>
    <w:rsid w:val="009F504D"/>
    <w:rsid w:val="00A123B9"/>
    <w:rsid w:val="00A375ED"/>
    <w:rsid w:val="00A504C4"/>
    <w:rsid w:val="00A8650E"/>
    <w:rsid w:val="00A9065E"/>
    <w:rsid w:val="00AB2A43"/>
    <w:rsid w:val="00B05847"/>
    <w:rsid w:val="00B22E0A"/>
    <w:rsid w:val="00B46D80"/>
    <w:rsid w:val="00B83F42"/>
    <w:rsid w:val="00BD19C3"/>
    <w:rsid w:val="00BD67E7"/>
    <w:rsid w:val="00BE0015"/>
    <w:rsid w:val="00C02463"/>
    <w:rsid w:val="00C55E62"/>
    <w:rsid w:val="00C572E8"/>
    <w:rsid w:val="00C814BD"/>
    <w:rsid w:val="00C9493C"/>
    <w:rsid w:val="00C95F4F"/>
    <w:rsid w:val="00CE255F"/>
    <w:rsid w:val="00CF3278"/>
    <w:rsid w:val="00D202F4"/>
    <w:rsid w:val="00D317C5"/>
    <w:rsid w:val="00D3203D"/>
    <w:rsid w:val="00DA2D15"/>
    <w:rsid w:val="00DD310B"/>
    <w:rsid w:val="00E03DC6"/>
    <w:rsid w:val="00E70F9C"/>
    <w:rsid w:val="00EA6FAE"/>
    <w:rsid w:val="00EB4B4D"/>
    <w:rsid w:val="00EC745B"/>
    <w:rsid w:val="00EC77D5"/>
    <w:rsid w:val="00EF16A8"/>
    <w:rsid w:val="00F17659"/>
    <w:rsid w:val="00F45C92"/>
    <w:rsid w:val="00F75AFC"/>
    <w:rsid w:val="00FA1055"/>
    <w:rsid w:val="00FB1318"/>
    <w:rsid w:val="00FC365C"/>
    <w:rsid w:val="00FE7F3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37A4F4"/>
  <w15:chartTrackingRefBased/>
  <w15:docId w15:val="{EEAE36FE-88C7-4273-888F-78B1E3F5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EB4B4D"/>
    <w:rPr>
      <w:rFonts w:cs="Times New Roman"/>
      <w:color w:val="0000FF"/>
      <w:u w:val="single"/>
    </w:rPr>
  </w:style>
  <w:style w:type="paragraph" w:customStyle="1" w:styleId="Ruller40">
    <w:name w:val="Ruller4"/>
    <w:basedOn w:val="a"/>
    <w:rsid w:val="00DD310B"/>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DD310B"/>
    <w:pPr>
      <w:numPr>
        <w:numId w:val="4"/>
      </w:numPr>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4552738" TargetMode="External"/><Relationship Id="rId13" Type="http://schemas.openxmlformats.org/officeDocument/2006/relationships/hyperlink" Target="http://www.nevo.co.il/case/27352766"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vo.co.il/case/455273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case/4552738" TargetMode="External"/><Relationship Id="rId5" Type="http://schemas.openxmlformats.org/officeDocument/2006/relationships/webSettings" Target="webSettings.xml"/><Relationship Id="rId15" Type="http://schemas.openxmlformats.org/officeDocument/2006/relationships/hyperlink" Target="http://www.nevo.co.il/case/25699528" TargetMode="External"/><Relationship Id="rId10" Type="http://schemas.openxmlformats.org/officeDocument/2006/relationships/hyperlink" Target="http://www.nevo.co.il/case/2147416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case/27309272" TargetMode="External"/><Relationship Id="rId14" Type="http://schemas.openxmlformats.org/officeDocument/2006/relationships/hyperlink" Target="http://www.nevo.co.il/case/2569952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1759</Words>
  <Characters>8798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10536</CharactersWithSpaces>
  <SharedDoc>false</SharedDoc>
  <HLinks>
    <vt:vector size="54" baseType="variant">
      <vt:variant>
        <vt:i4>393283</vt:i4>
      </vt:variant>
      <vt:variant>
        <vt:i4>45</vt:i4>
      </vt:variant>
      <vt:variant>
        <vt:i4>0</vt:i4>
      </vt:variant>
      <vt:variant>
        <vt:i4>5</vt:i4>
      </vt:variant>
      <vt:variant>
        <vt:lpwstr>http://www.nevo.co.il/advertisements/nevo-100.doc</vt:lpwstr>
      </vt:variant>
      <vt:variant>
        <vt:lpwstr/>
      </vt:variant>
      <vt:variant>
        <vt:i4>4128893</vt:i4>
      </vt:variant>
      <vt:variant>
        <vt:i4>42</vt:i4>
      </vt:variant>
      <vt:variant>
        <vt:i4>0</vt:i4>
      </vt:variant>
      <vt:variant>
        <vt:i4>5</vt:i4>
      </vt:variant>
      <vt:variant>
        <vt:lpwstr>http://www.nevo.co.il/case/25699528</vt:lpwstr>
      </vt:variant>
      <vt:variant>
        <vt:lpwstr/>
      </vt:variant>
      <vt:variant>
        <vt:i4>4128893</vt:i4>
      </vt:variant>
      <vt:variant>
        <vt:i4>39</vt:i4>
      </vt:variant>
      <vt:variant>
        <vt:i4>0</vt:i4>
      </vt:variant>
      <vt:variant>
        <vt:i4>5</vt:i4>
      </vt:variant>
      <vt:variant>
        <vt:lpwstr>http://www.nevo.co.il/case/25699528</vt:lpwstr>
      </vt:variant>
      <vt:variant>
        <vt:lpwstr/>
      </vt:variant>
      <vt:variant>
        <vt:i4>3473521</vt:i4>
      </vt:variant>
      <vt:variant>
        <vt:i4>36</vt:i4>
      </vt:variant>
      <vt:variant>
        <vt:i4>0</vt:i4>
      </vt:variant>
      <vt:variant>
        <vt:i4>5</vt:i4>
      </vt:variant>
      <vt:variant>
        <vt:lpwstr>http://www.nevo.co.il/case/27352766</vt:lpwstr>
      </vt:variant>
      <vt:variant>
        <vt:lpwstr/>
      </vt:variant>
      <vt:variant>
        <vt:i4>4063344</vt:i4>
      </vt:variant>
      <vt:variant>
        <vt:i4>33</vt:i4>
      </vt:variant>
      <vt:variant>
        <vt:i4>0</vt:i4>
      </vt:variant>
      <vt:variant>
        <vt:i4>5</vt:i4>
      </vt:variant>
      <vt:variant>
        <vt:lpwstr>http://www.nevo.co.il/case/4552738</vt:lpwstr>
      </vt:variant>
      <vt:variant>
        <vt:lpwstr/>
      </vt:variant>
      <vt:variant>
        <vt:i4>4063344</vt:i4>
      </vt:variant>
      <vt:variant>
        <vt:i4>30</vt:i4>
      </vt:variant>
      <vt:variant>
        <vt:i4>0</vt:i4>
      </vt:variant>
      <vt:variant>
        <vt:i4>5</vt:i4>
      </vt:variant>
      <vt:variant>
        <vt:lpwstr>http://www.nevo.co.il/case/4552738</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4128881</vt:i4>
      </vt:variant>
      <vt:variant>
        <vt:i4>3</vt:i4>
      </vt:variant>
      <vt:variant>
        <vt:i4>0</vt:i4>
      </vt:variant>
      <vt:variant>
        <vt:i4>5</vt:i4>
      </vt:variant>
      <vt:variant>
        <vt:lpwstr>http://www.nevo.co.il/case/27309272</vt:lpwstr>
      </vt:variant>
      <vt:variant>
        <vt:lpwstr/>
      </vt:variant>
      <vt:variant>
        <vt:i4>4063344</vt:i4>
      </vt:variant>
      <vt:variant>
        <vt:i4>0</vt:i4>
      </vt:variant>
      <vt:variant>
        <vt:i4>0</vt:i4>
      </vt:variant>
      <vt:variant>
        <vt:i4>5</vt:i4>
      </vt:variant>
      <vt:variant>
        <vt:lpwstr>http://www.nevo.co.il/case/4552738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62062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סהר טבול</vt:lpwstr>
  </property>
  <property fmtid="{D5CDD505-2E9C-101B-9397-08002B2CF9AE}" pid="10" name="LAWYER">
    <vt:lpwstr>נתי בן חמו;מיכאל עירוני</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20210304</vt:lpwstr>
  </property>
  <property fmtid="{D5CDD505-2E9C-101B-9397-08002B2CF9AE}" pid="14" name="TYPE_N_DATE">
    <vt:lpwstr>38020210304</vt:lpwstr>
  </property>
  <property fmtid="{D5CDD505-2E9C-101B-9397-08002B2CF9AE}" pid="15" name="WORDNUMPAGES">
    <vt:lpwstr>6</vt:lpwstr>
  </property>
  <property fmtid="{D5CDD505-2E9C-101B-9397-08002B2CF9AE}" pid="16" name="TYPE_ABS_DATE">
    <vt:lpwstr>380020210304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4552738:3;27309272;21474168;27352766;25699528:2</vt:lpwstr>
  </property>
</Properties>
</file>