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AD335" w14:textId="77777777" w:rsidR="0031461D" w:rsidRPr="0031461D" w:rsidRDefault="0031461D" w:rsidP="0031461D">
      <w:pPr>
        <w:pStyle w:val="a3"/>
        <w:rPr>
          <w:rtl/>
        </w:rPr>
      </w:pPr>
      <w:bookmarkStart w:id="0" w:name="FirstLawyer"/>
      <w:bookmarkStart w:id="1" w:name="LastJudge"/>
    </w:p>
    <w:tbl>
      <w:tblPr>
        <w:bidiVisual/>
        <w:tblW w:w="0" w:type="auto"/>
        <w:jc w:val="center"/>
        <w:tblLook w:val="0000" w:firstRow="0" w:lastRow="0" w:firstColumn="0" w:lastColumn="0" w:noHBand="0" w:noVBand="0"/>
      </w:tblPr>
      <w:tblGrid>
        <w:gridCol w:w="5062"/>
        <w:gridCol w:w="3659"/>
      </w:tblGrid>
      <w:tr w:rsidR="0046341C" w:rsidRPr="0031461D" w14:paraId="72CDA397" w14:textId="77777777" w:rsidTr="00E32036">
        <w:trPr>
          <w:trHeight w:hRule="exact" w:val="418"/>
          <w:jc w:val="center"/>
        </w:trPr>
        <w:tc>
          <w:tcPr>
            <w:tcW w:w="8721" w:type="dxa"/>
            <w:gridSpan w:val="2"/>
          </w:tcPr>
          <w:p w14:paraId="27B556BF" w14:textId="77777777" w:rsidR="0046341C" w:rsidRPr="0031461D" w:rsidRDefault="0046341C" w:rsidP="00D41D62">
            <w:pPr>
              <w:pStyle w:val="a3"/>
              <w:jc w:val="center"/>
              <w:rPr>
                <w:rFonts w:ascii="Tahoma" w:hAnsi="Tahoma" w:cs="Tahoma"/>
                <w:color w:val="000080"/>
                <w:rtl/>
              </w:rPr>
            </w:pPr>
            <w:r w:rsidRPr="0031461D">
              <w:rPr>
                <w:rFonts w:ascii="Tahoma" w:hAnsi="Tahoma" w:cs="Tahoma"/>
                <w:b/>
                <w:bCs/>
                <w:color w:val="000080"/>
                <w:rtl/>
              </w:rPr>
              <w:t>בית משפט השלום בירושלים</w:t>
            </w:r>
          </w:p>
        </w:tc>
      </w:tr>
      <w:tr w:rsidR="0046341C" w:rsidRPr="0031461D" w14:paraId="4AA2D05F" w14:textId="77777777" w:rsidTr="00E32036">
        <w:trPr>
          <w:trHeight w:val="337"/>
          <w:jc w:val="center"/>
        </w:trPr>
        <w:tc>
          <w:tcPr>
            <w:tcW w:w="5062" w:type="dxa"/>
          </w:tcPr>
          <w:p w14:paraId="5609DFA0" w14:textId="77777777" w:rsidR="0046341C" w:rsidRPr="0031461D" w:rsidRDefault="0046341C" w:rsidP="00D41D62">
            <w:pPr>
              <w:rPr>
                <w:rFonts w:cs="FrankRuehl"/>
                <w:sz w:val="28"/>
                <w:szCs w:val="28"/>
                <w:rtl/>
              </w:rPr>
            </w:pPr>
            <w:r w:rsidRPr="0031461D">
              <w:rPr>
                <w:rFonts w:cs="FrankRuehl"/>
                <w:sz w:val="28"/>
                <w:szCs w:val="28"/>
                <w:rtl/>
              </w:rPr>
              <w:t>ת"פ</w:t>
            </w:r>
            <w:r w:rsidRPr="0031461D">
              <w:rPr>
                <w:rFonts w:cs="FrankRuehl" w:hint="cs"/>
                <w:sz w:val="28"/>
                <w:szCs w:val="28"/>
                <w:rtl/>
              </w:rPr>
              <w:t xml:space="preserve"> </w:t>
            </w:r>
            <w:r w:rsidRPr="0031461D">
              <w:rPr>
                <w:rFonts w:cs="FrankRuehl"/>
                <w:sz w:val="28"/>
                <w:szCs w:val="28"/>
                <w:rtl/>
              </w:rPr>
              <w:t>28173-07-20</w:t>
            </w:r>
            <w:r w:rsidRPr="0031461D">
              <w:rPr>
                <w:rFonts w:cs="FrankRuehl" w:hint="cs"/>
                <w:sz w:val="28"/>
                <w:szCs w:val="28"/>
                <w:rtl/>
              </w:rPr>
              <w:t xml:space="preserve"> </w:t>
            </w:r>
            <w:r w:rsidRPr="0031461D">
              <w:rPr>
                <w:rFonts w:cs="FrankRuehl"/>
                <w:sz w:val="28"/>
                <w:szCs w:val="28"/>
                <w:rtl/>
              </w:rPr>
              <w:t>מדינת ישראל נ' אבו עבסה(אחר/נוסף)</w:t>
            </w:r>
          </w:p>
          <w:p w14:paraId="53D4DC0F" w14:textId="77777777" w:rsidR="0046341C" w:rsidRPr="0031461D" w:rsidRDefault="0046341C" w:rsidP="00D41D62">
            <w:pPr>
              <w:pStyle w:val="a3"/>
              <w:rPr>
                <w:rFonts w:cs="FrankRuehl"/>
                <w:sz w:val="28"/>
                <w:szCs w:val="28"/>
                <w:rtl/>
              </w:rPr>
            </w:pPr>
          </w:p>
        </w:tc>
        <w:tc>
          <w:tcPr>
            <w:tcW w:w="3659" w:type="dxa"/>
          </w:tcPr>
          <w:p w14:paraId="280B0A9C" w14:textId="77777777" w:rsidR="0046341C" w:rsidRPr="0031461D" w:rsidRDefault="0046341C" w:rsidP="00D41D62">
            <w:pPr>
              <w:pStyle w:val="a3"/>
              <w:jc w:val="right"/>
              <w:rPr>
                <w:rFonts w:cs="FrankRuehl"/>
                <w:sz w:val="28"/>
                <w:szCs w:val="28"/>
                <w:rtl/>
              </w:rPr>
            </w:pPr>
          </w:p>
        </w:tc>
      </w:tr>
    </w:tbl>
    <w:p w14:paraId="6320B436" w14:textId="77777777" w:rsidR="0046341C" w:rsidRPr="0031461D" w:rsidRDefault="0046341C" w:rsidP="0046341C">
      <w:pPr>
        <w:pStyle w:val="a3"/>
        <w:rPr>
          <w:rtl/>
        </w:rPr>
      </w:pPr>
      <w:r w:rsidRPr="0031461D">
        <w:rPr>
          <w:rFonts w:hint="cs"/>
          <w:rtl/>
        </w:rPr>
        <w:t xml:space="preserve"> </w:t>
      </w:r>
    </w:p>
    <w:p w14:paraId="78AE6470" w14:textId="77777777" w:rsidR="0046341C" w:rsidRPr="0031461D" w:rsidRDefault="0046341C" w:rsidP="0046341C">
      <w:pPr>
        <w:rPr>
          <w:rtl/>
        </w:rPr>
      </w:pPr>
    </w:p>
    <w:p w14:paraId="5550214F" w14:textId="77777777" w:rsidR="0046341C" w:rsidRPr="0031461D" w:rsidRDefault="0046341C" w:rsidP="0046341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6341C" w:rsidRPr="0031461D" w14:paraId="4E161215" w14:textId="77777777" w:rsidTr="0046341C">
        <w:trPr>
          <w:trHeight w:val="295"/>
          <w:jc w:val="center"/>
        </w:trPr>
        <w:tc>
          <w:tcPr>
            <w:tcW w:w="923" w:type="dxa"/>
            <w:tcBorders>
              <w:top w:val="nil"/>
              <w:left w:val="nil"/>
              <w:bottom w:val="nil"/>
              <w:right w:val="nil"/>
            </w:tcBorders>
            <w:shd w:val="clear" w:color="auto" w:fill="auto"/>
          </w:tcPr>
          <w:p w14:paraId="7E1AC104" w14:textId="77777777" w:rsidR="0046341C" w:rsidRPr="0031461D" w:rsidRDefault="0046341C" w:rsidP="0046341C">
            <w:pPr>
              <w:jc w:val="both"/>
              <w:rPr>
                <w:rFonts w:ascii="David" w:hAnsi="David"/>
                <w:sz w:val="26"/>
                <w:szCs w:val="26"/>
              </w:rPr>
            </w:pPr>
            <w:r w:rsidRPr="0031461D">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36BB72E" w14:textId="77777777" w:rsidR="0046341C" w:rsidRPr="0031461D" w:rsidRDefault="0046341C" w:rsidP="00D41D62">
            <w:pPr>
              <w:rPr>
                <w:rFonts w:ascii="David" w:hAnsi="David"/>
                <w:b/>
                <w:bCs/>
                <w:sz w:val="26"/>
                <w:szCs w:val="26"/>
                <w:rtl/>
              </w:rPr>
            </w:pPr>
            <w:r w:rsidRPr="0031461D">
              <w:rPr>
                <w:rFonts w:ascii="David" w:hAnsi="David"/>
                <w:b/>
                <w:bCs/>
                <w:sz w:val="26"/>
                <w:szCs w:val="26"/>
                <w:rtl/>
              </w:rPr>
              <w:t>כבוד השופטת בכירה  שרון לארי-בבלי</w:t>
            </w:r>
          </w:p>
          <w:p w14:paraId="365F3BF3" w14:textId="77777777" w:rsidR="0046341C" w:rsidRPr="0031461D" w:rsidRDefault="0046341C" w:rsidP="00D41D62">
            <w:pPr>
              <w:rPr>
                <w:rFonts w:ascii="David" w:hAnsi="David"/>
                <w:sz w:val="26"/>
                <w:szCs w:val="26"/>
                <w:rtl/>
              </w:rPr>
            </w:pPr>
          </w:p>
          <w:p w14:paraId="7E8BA3C1" w14:textId="77777777" w:rsidR="0046341C" w:rsidRPr="0031461D" w:rsidRDefault="0046341C" w:rsidP="0046341C">
            <w:pPr>
              <w:jc w:val="both"/>
              <w:rPr>
                <w:rFonts w:ascii="David" w:hAnsi="David"/>
                <w:sz w:val="26"/>
                <w:szCs w:val="26"/>
              </w:rPr>
            </w:pPr>
          </w:p>
        </w:tc>
      </w:tr>
      <w:tr w:rsidR="0046341C" w:rsidRPr="0031461D" w14:paraId="43268CF8" w14:textId="77777777" w:rsidTr="0046341C">
        <w:trPr>
          <w:trHeight w:val="355"/>
          <w:jc w:val="center"/>
        </w:trPr>
        <w:tc>
          <w:tcPr>
            <w:tcW w:w="923" w:type="dxa"/>
            <w:tcBorders>
              <w:top w:val="nil"/>
              <w:left w:val="nil"/>
              <w:bottom w:val="nil"/>
              <w:right w:val="nil"/>
            </w:tcBorders>
            <w:shd w:val="clear" w:color="auto" w:fill="auto"/>
          </w:tcPr>
          <w:p w14:paraId="3FC089EB" w14:textId="77777777" w:rsidR="0046341C" w:rsidRPr="0031461D" w:rsidRDefault="0046341C" w:rsidP="0046341C">
            <w:pPr>
              <w:jc w:val="both"/>
              <w:rPr>
                <w:rFonts w:ascii="David" w:hAnsi="David"/>
                <w:sz w:val="26"/>
                <w:szCs w:val="26"/>
              </w:rPr>
            </w:pPr>
            <w:bookmarkStart w:id="2" w:name="FirstAppellant"/>
            <w:r w:rsidRPr="0031461D">
              <w:rPr>
                <w:rFonts w:ascii="David" w:hAnsi="David"/>
                <w:sz w:val="26"/>
                <w:szCs w:val="26"/>
                <w:rtl/>
              </w:rPr>
              <w:t>בעניין:</w:t>
            </w:r>
          </w:p>
        </w:tc>
        <w:tc>
          <w:tcPr>
            <w:tcW w:w="3219" w:type="dxa"/>
            <w:tcBorders>
              <w:top w:val="nil"/>
              <w:left w:val="nil"/>
              <w:bottom w:val="nil"/>
              <w:right w:val="nil"/>
            </w:tcBorders>
            <w:shd w:val="clear" w:color="auto" w:fill="auto"/>
          </w:tcPr>
          <w:p w14:paraId="5877D17D" w14:textId="77777777" w:rsidR="0046341C" w:rsidRPr="0031461D" w:rsidRDefault="0046341C" w:rsidP="0046341C">
            <w:pPr>
              <w:suppressLineNumbers/>
            </w:pPr>
            <w:r w:rsidRPr="0031461D">
              <w:rPr>
                <w:rFonts w:ascii="Arial" w:hAnsi="Arial" w:hint="cs"/>
                <w:b/>
                <w:bCs/>
                <w:sz w:val="26"/>
                <w:szCs w:val="26"/>
                <w:rtl/>
              </w:rPr>
              <w:t>ה</w:t>
            </w:r>
            <w:r w:rsidRPr="0031461D">
              <w:rPr>
                <w:rFonts w:ascii="Arial" w:hAnsi="Arial"/>
                <w:b/>
                <w:bCs/>
                <w:sz w:val="26"/>
                <w:szCs w:val="26"/>
                <w:rtl/>
              </w:rPr>
              <w:t>מאשימה</w:t>
            </w:r>
          </w:p>
          <w:p w14:paraId="07AC8F71" w14:textId="77777777" w:rsidR="0046341C" w:rsidRPr="0031461D" w:rsidRDefault="0046341C" w:rsidP="00D41D62">
            <w:pPr>
              <w:rPr>
                <w:rFonts w:ascii="David" w:hAnsi="David"/>
                <w:sz w:val="26"/>
                <w:szCs w:val="26"/>
              </w:rPr>
            </w:pPr>
          </w:p>
        </w:tc>
        <w:tc>
          <w:tcPr>
            <w:tcW w:w="4678" w:type="dxa"/>
            <w:tcBorders>
              <w:top w:val="nil"/>
              <w:left w:val="nil"/>
              <w:bottom w:val="nil"/>
              <w:right w:val="nil"/>
            </w:tcBorders>
            <w:shd w:val="clear" w:color="auto" w:fill="auto"/>
            <w:vAlign w:val="center"/>
          </w:tcPr>
          <w:p w14:paraId="02078C2A" w14:textId="77777777" w:rsidR="0046341C" w:rsidRPr="0031461D" w:rsidRDefault="0046341C" w:rsidP="0046341C">
            <w:pPr>
              <w:suppressLineNumbers/>
              <w:rPr>
                <w:rFonts w:ascii="Arial" w:hAnsi="Arial"/>
                <w:b/>
                <w:bCs/>
                <w:sz w:val="26"/>
                <w:szCs w:val="26"/>
                <w:rtl/>
              </w:rPr>
            </w:pPr>
            <w:r w:rsidRPr="0031461D">
              <w:rPr>
                <w:rFonts w:ascii="Arial" w:hAnsi="Arial"/>
                <w:b/>
                <w:bCs/>
                <w:sz w:val="26"/>
                <w:szCs w:val="26"/>
                <w:rtl/>
              </w:rPr>
              <w:t>מדינת ישראל</w:t>
            </w:r>
          </w:p>
          <w:p w14:paraId="7698DDE1" w14:textId="77777777" w:rsidR="0046341C" w:rsidRPr="0031461D" w:rsidRDefault="0046341C" w:rsidP="0046341C">
            <w:pPr>
              <w:suppressLineNumbers/>
            </w:pPr>
            <w:r w:rsidRPr="0031461D">
              <w:rPr>
                <w:rFonts w:ascii="Arial" w:hAnsi="Arial"/>
                <w:b/>
                <w:bCs/>
                <w:sz w:val="26"/>
                <w:szCs w:val="26"/>
                <w:rtl/>
              </w:rPr>
              <w:t xml:space="preserve">ע"י </w:t>
            </w:r>
            <w:r w:rsidRPr="0031461D">
              <w:rPr>
                <w:rFonts w:ascii="Arial" w:hAnsi="Arial" w:hint="cs"/>
                <w:b/>
                <w:bCs/>
                <w:sz w:val="26"/>
                <w:szCs w:val="26"/>
                <w:rtl/>
              </w:rPr>
              <w:t>פרקליטות מחוז ירושלים</w:t>
            </w:r>
          </w:p>
          <w:p w14:paraId="6184EA8A" w14:textId="77777777" w:rsidR="0046341C" w:rsidRPr="0031461D" w:rsidRDefault="0046341C" w:rsidP="00D41D62">
            <w:pPr>
              <w:rPr>
                <w:rFonts w:ascii="David" w:hAnsi="David"/>
                <w:sz w:val="26"/>
                <w:szCs w:val="26"/>
              </w:rPr>
            </w:pPr>
          </w:p>
        </w:tc>
      </w:tr>
      <w:bookmarkEnd w:id="2"/>
      <w:tr w:rsidR="0046341C" w:rsidRPr="0031461D" w14:paraId="259500C9" w14:textId="77777777" w:rsidTr="0046341C">
        <w:trPr>
          <w:trHeight w:val="355"/>
          <w:jc w:val="center"/>
        </w:trPr>
        <w:tc>
          <w:tcPr>
            <w:tcW w:w="923" w:type="dxa"/>
            <w:tcBorders>
              <w:top w:val="nil"/>
              <w:left w:val="nil"/>
              <w:bottom w:val="nil"/>
              <w:right w:val="nil"/>
            </w:tcBorders>
            <w:shd w:val="clear" w:color="auto" w:fill="auto"/>
          </w:tcPr>
          <w:p w14:paraId="38FAE1F5" w14:textId="77777777" w:rsidR="0046341C" w:rsidRPr="0031461D" w:rsidRDefault="0046341C" w:rsidP="0046341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BBB4202" w14:textId="77777777" w:rsidR="0046341C" w:rsidRPr="0031461D" w:rsidRDefault="0046341C" w:rsidP="0046341C">
            <w:pPr>
              <w:jc w:val="center"/>
              <w:rPr>
                <w:rFonts w:ascii="David" w:hAnsi="David"/>
                <w:b/>
                <w:bCs/>
                <w:sz w:val="26"/>
                <w:szCs w:val="26"/>
                <w:rtl/>
              </w:rPr>
            </w:pPr>
          </w:p>
          <w:p w14:paraId="29DFFD93" w14:textId="77777777" w:rsidR="0046341C" w:rsidRPr="0031461D" w:rsidRDefault="0046341C" w:rsidP="0046341C">
            <w:pPr>
              <w:jc w:val="center"/>
              <w:rPr>
                <w:rFonts w:ascii="David" w:hAnsi="David"/>
                <w:b/>
                <w:bCs/>
                <w:sz w:val="26"/>
                <w:szCs w:val="26"/>
                <w:rtl/>
              </w:rPr>
            </w:pPr>
            <w:r w:rsidRPr="0031461D">
              <w:rPr>
                <w:rFonts w:ascii="David" w:hAnsi="David"/>
                <w:b/>
                <w:bCs/>
                <w:sz w:val="26"/>
                <w:szCs w:val="26"/>
                <w:rtl/>
              </w:rPr>
              <w:t>נגד</w:t>
            </w:r>
          </w:p>
          <w:p w14:paraId="110FC8BF" w14:textId="77777777" w:rsidR="0046341C" w:rsidRPr="0031461D" w:rsidRDefault="0046341C" w:rsidP="0046341C">
            <w:pPr>
              <w:jc w:val="both"/>
              <w:rPr>
                <w:rFonts w:ascii="David" w:hAnsi="David"/>
                <w:sz w:val="26"/>
                <w:szCs w:val="26"/>
              </w:rPr>
            </w:pPr>
          </w:p>
        </w:tc>
      </w:tr>
      <w:tr w:rsidR="0046341C" w:rsidRPr="0031461D" w14:paraId="07472537" w14:textId="77777777" w:rsidTr="0046341C">
        <w:trPr>
          <w:trHeight w:val="355"/>
          <w:jc w:val="center"/>
        </w:trPr>
        <w:tc>
          <w:tcPr>
            <w:tcW w:w="923" w:type="dxa"/>
            <w:tcBorders>
              <w:top w:val="nil"/>
              <w:left w:val="nil"/>
              <w:bottom w:val="nil"/>
              <w:right w:val="nil"/>
            </w:tcBorders>
            <w:shd w:val="clear" w:color="auto" w:fill="auto"/>
          </w:tcPr>
          <w:p w14:paraId="604BD7BD" w14:textId="77777777" w:rsidR="0046341C" w:rsidRPr="0031461D" w:rsidRDefault="0046341C" w:rsidP="00D41D62">
            <w:pPr>
              <w:rPr>
                <w:rFonts w:ascii="David" w:hAnsi="David"/>
                <w:sz w:val="26"/>
                <w:szCs w:val="26"/>
                <w:rtl/>
              </w:rPr>
            </w:pPr>
          </w:p>
        </w:tc>
        <w:tc>
          <w:tcPr>
            <w:tcW w:w="3219" w:type="dxa"/>
            <w:tcBorders>
              <w:top w:val="nil"/>
              <w:left w:val="nil"/>
              <w:bottom w:val="nil"/>
              <w:right w:val="nil"/>
            </w:tcBorders>
            <w:shd w:val="clear" w:color="auto" w:fill="auto"/>
          </w:tcPr>
          <w:p w14:paraId="58A05AC1" w14:textId="77777777" w:rsidR="0046341C" w:rsidRPr="0031461D" w:rsidRDefault="0046341C" w:rsidP="00D41D62">
            <w:pPr>
              <w:rPr>
                <w:rFonts w:ascii="Arial" w:hAnsi="Arial"/>
                <w:b/>
                <w:bCs/>
                <w:sz w:val="26"/>
                <w:szCs w:val="26"/>
                <w:rtl/>
              </w:rPr>
            </w:pPr>
            <w:r w:rsidRPr="0031461D">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1AC689F0" w14:textId="77777777" w:rsidR="0046341C" w:rsidRPr="0031461D" w:rsidRDefault="0046341C" w:rsidP="0046341C">
            <w:pPr>
              <w:suppressLineNumbers/>
            </w:pPr>
            <w:r w:rsidRPr="0031461D">
              <w:rPr>
                <w:rFonts w:ascii="Arial" w:hAnsi="Arial"/>
                <w:b/>
                <w:bCs/>
                <w:sz w:val="26"/>
                <w:szCs w:val="26"/>
                <w:rtl/>
              </w:rPr>
              <w:t>יזן אבו עבסה</w:t>
            </w:r>
            <w:r w:rsidRPr="0031461D">
              <w:rPr>
                <w:rFonts w:ascii="Arial" w:hAnsi="Arial"/>
                <w:b/>
                <w:bCs/>
                <w:sz w:val="26"/>
                <w:szCs w:val="26"/>
                <w:rtl/>
              </w:rPr>
              <w:br/>
              <w:t>ע"י ב"כ עוה"ד</w:t>
            </w:r>
            <w:r w:rsidRPr="0031461D">
              <w:rPr>
                <w:rFonts w:hint="cs"/>
                <w:rtl/>
              </w:rPr>
              <w:t xml:space="preserve"> </w:t>
            </w:r>
            <w:r w:rsidRPr="0031461D">
              <w:rPr>
                <w:rFonts w:hint="cs"/>
                <w:b/>
                <w:bCs/>
                <w:rtl/>
              </w:rPr>
              <w:t>עיסא מוחמדיה</w:t>
            </w:r>
          </w:p>
          <w:p w14:paraId="4DA67E46" w14:textId="77777777" w:rsidR="0046341C" w:rsidRPr="0031461D" w:rsidRDefault="0046341C" w:rsidP="00D41D62">
            <w:pPr>
              <w:rPr>
                <w:rFonts w:ascii="David" w:hAnsi="David"/>
                <w:sz w:val="26"/>
                <w:szCs w:val="26"/>
              </w:rPr>
            </w:pPr>
          </w:p>
        </w:tc>
      </w:tr>
    </w:tbl>
    <w:p w14:paraId="4F6B6407" w14:textId="77777777" w:rsidR="00DD42FC" w:rsidRPr="00DD42FC" w:rsidRDefault="00DD42FC" w:rsidP="00DD42FC">
      <w:pPr>
        <w:spacing w:before="120" w:after="120" w:line="240" w:lineRule="exact"/>
        <w:ind w:left="283" w:hanging="283"/>
        <w:jc w:val="both"/>
        <w:rPr>
          <w:rFonts w:ascii="FrankRuehl" w:hAnsi="FrankRuehl" w:cs="FrankRuehl"/>
          <w:rtl/>
        </w:rPr>
      </w:pPr>
    </w:p>
    <w:p w14:paraId="65E95175" w14:textId="77777777" w:rsidR="00D749EC" w:rsidRDefault="00D749EC" w:rsidP="00D749EC">
      <w:pPr>
        <w:rPr>
          <w:rtl/>
        </w:rPr>
      </w:pPr>
      <w:bookmarkStart w:id="3" w:name="LawTable"/>
      <w:bookmarkEnd w:id="3"/>
    </w:p>
    <w:p w14:paraId="42E6EB71" w14:textId="77777777" w:rsidR="00D749EC" w:rsidRPr="00D749EC" w:rsidRDefault="00D749EC" w:rsidP="00D749EC">
      <w:pPr>
        <w:spacing w:before="120" w:after="120" w:line="240" w:lineRule="exact"/>
        <w:ind w:left="283" w:hanging="283"/>
        <w:jc w:val="both"/>
        <w:rPr>
          <w:rFonts w:ascii="FrankRuehl" w:hAnsi="FrankRuehl" w:cs="FrankRuehl"/>
          <w:rtl/>
        </w:rPr>
      </w:pPr>
    </w:p>
    <w:p w14:paraId="2FE32425" w14:textId="77777777" w:rsidR="00D749EC" w:rsidRPr="00D749EC" w:rsidRDefault="00D749EC" w:rsidP="00D749EC">
      <w:pPr>
        <w:spacing w:before="120" w:after="120" w:line="240" w:lineRule="exact"/>
        <w:ind w:left="283" w:hanging="283"/>
        <w:jc w:val="both"/>
        <w:rPr>
          <w:rFonts w:ascii="FrankRuehl" w:hAnsi="FrankRuehl" w:cs="FrankRuehl"/>
          <w:rtl/>
        </w:rPr>
      </w:pPr>
    </w:p>
    <w:p w14:paraId="37EE6DF8" w14:textId="77777777" w:rsidR="00D749EC" w:rsidRPr="00D749EC" w:rsidRDefault="00D749EC" w:rsidP="00D749EC">
      <w:pPr>
        <w:spacing w:before="120" w:after="120" w:line="240" w:lineRule="exact"/>
        <w:ind w:left="283" w:hanging="283"/>
        <w:jc w:val="both"/>
        <w:rPr>
          <w:rFonts w:ascii="FrankRuehl" w:hAnsi="FrankRuehl" w:cs="FrankRuehl"/>
          <w:rtl/>
        </w:rPr>
      </w:pPr>
      <w:r w:rsidRPr="00D749EC">
        <w:rPr>
          <w:rFonts w:ascii="FrankRuehl" w:hAnsi="FrankRuehl" w:cs="FrankRuehl"/>
          <w:rtl/>
        </w:rPr>
        <w:t xml:space="preserve">חקיקה שאוזכרה: </w:t>
      </w:r>
    </w:p>
    <w:p w14:paraId="50FD845B" w14:textId="77777777" w:rsidR="00D749EC" w:rsidRPr="00D749EC" w:rsidRDefault="00D749EC" w:rsidP="00D749EC">
      <w:pPr>
        <w:spacing w:before="120" w:after="120" w:line="240" w:lineRule="exact"/>
        <w:ind w:left="283" w:hanging="283"/>
        <w:jc w:val="both"/>
        <w:rPr>
          <w:rFonts w:ascii="FrankRuehl" w:hAnsi="FrankRuehl" w:cs="FrankRuehl"/>
          <w:rtl/>
        </w:rPr>
      </w:pPr>
      <w:hyperlink r:id="rId7" w:history="1">
        <w:r w:rsidRPr="00D749EC">
          <w:rPr>
            <w:rFonts w:ascii="FrankRuehl" w:hAnsi="FrankRuehl" w:cs="FrankRuehl"/>
            <w:color w:val="0000FF"/>
            <w:rtl/>
          </w:rPr>
          <w:t>חוק העונשין, תשל"ז-1977</w:t>
        </w:r>
      </w:hyperlink>
      <w:r w:rsidRPr="00D749EC">
        <w:rPr>
          <w:rFonts w:ascii="FrankRuehl" w:hAnsi="FrankRuehl" w:cs="FrankRuehl"/>
          <w:rtl/>
        </w:rPr>
        <w:t xml:space="preserve">: סע'  </w:t>
      </w:r>
      <w:hyperlink r:id="rId8" w:history="1">
        <w:r w:rsidRPr="00D749EC">
          <w:rPr>
            <w:rFonts w:ascii="FrankRuehl" w:hAnsi="FrankRuehl" w:cs="FrankRuehl"/>
            <w:color w:val="0000FF"/>
            <w:rtl/>
          </w:rPr>
          <w:t>144(א)</w:t>
        </w:r>
      </w:hyperlink>
      <w:r w:rsidRPr="00D749EC">
        <w:rPr>
          <w:rFonts w:ascii="FrankRuehl" w:hAnsi="FrankRuehl" w:cs="FrankRuehl"/>
          <w:rtl/>
        </w:rPr>
        <w:t xml:space="preserve">, </w:t>
      </w:r>
      <w:hyperlink r:id="rId9" w:history="1">
        <w:r w:rsidRPr="00D749EC">
          <w:rPr>
            <w:rFonts w:ascii="FrankRuehl" w:hAnsi="FrankRuehl" w:cs="FrankRuehl"/>
            <w:color w:val="0000FF"/>
            <w:rtl/>
          </w:rPr>
          <w:t>144(ג)(1)</w:t>
        </w:r>
      </w:hyperlink>
      <w:r w:rsidRPr="00D749EC">
        <w:rPr>
          <w:rFonts w:ascii="FrankRuehl" w:hAnsi="FrankRuehl" w:cs="FrankRuehl"/>
          <w:rtl/>
        </w:rPr>
        <w:t xml:space="preserve">, </w:t>
      </w:r>
      <w:hyperlink r:id="rId10" w:history="1">
        <w:r w:rsidRPr="00D749EC">
          <w:rPr>
            <w:rFonts w:ascii="FrankRuehl" w:hAnsi="FrankRuehl" w:cs="FrankRuehl"/>
            <w:color w:val="0000FF"/>
            <w:rtl/>
          </w:rPr>
          <w:t>244</w:t>
        </w:r>
      </w:hyperlink>
      <w:r w:rsidRPr="00D749EC">
        <w:rPr>
          <w:rFonts w:ascii="FrankRuehl" w:hAnsi="FrankRuehl" w:cs="FrankRuehl"/>
          <w:rtl/>
        </w:rPr>
        <w:t xml:space="preserve">, </w:t>
      </w:r>
      <w:hyperlink r:id="rId11" w:history="1">
        <w:r w:rsidRPr="00D749EC">
          <w:rPr>
            <w:rFonts w:ascii="FrankRuehl" w:hAnsi="FrankRuehl" w:cs="FrankRuehl"/>
            <w:color w:val="0000FF"/>
            <w:rtl/>
          </w:rPr>
          <w:t>40יג(א)</w:t>
        </w:r>
      </w:hyperlink>
    </w:p>
    <w:p w14:paraId="28CB78EB" w14:textId="77777777" w:rsidR="00D749EC" w:rsidRPr="00D749EC" w:rsidRDefault="00D749EC" w:rsidP="00D749EC">
      <w:pPr>
        <w:spacing w:before="120" w:after="120" w:line="240" w:lineRule="exact"/>
        <w:ind w:left="283" w:hanging="283"/>
        <w:jc w:val="both"/>
        <w:rPr>
          <w:rFonts w:ascii="FrankRuehl" w:hAnsi="FrankRuehl" w:cs="FrankRuehl"/>
          <w:rtl/>
        </w:rPr>
      </w:pPr>
      <w:hyperlink r:id="rId12" w:history="1">
        <w:r w:rsidRPr="00D749EC">
          <w:rPr>
            <w:rFonts w:ascii="FrankRuehl" w:hAnsi="FrankRuehl" w:cs="FrankRuehl"/>
            <w:color w:val="0000FF"/>
            <w:rtl/>
          </w:rPr>
          <w:t>פקודת הסמים המסוכנים [נוסח חדש], תשל"ג-1973</w:t>
        </w:r>
      </w:hyperlink>
      <w:r w:rsidRPr="00D749EC">
        <w:rPr>
          <w:rFonts w:ascii="FrankRuehl" w:hAnsi="FrankRuehl" w:cs="FrankRuehl"/>
          <w:rtl/>
        </w:rPr>
        <w:t xml:space="preserve">: סע'  </w:t>
      </w:r>
      <w:hyperlink r:id="rId13" w:history="1">
        <w:r w:rsidRPr="00D749EC">
          <w:rPr>
            <w:rFonts w:ascii="FrankRuehl" w:hAnsi="FrankRuehl" w:cs="FrankRuehl"/>
            <w:color w:val="0000FF"/>
            <w:rtl/>
          </w:rPr>
          <w:t>7(א)</w:t>
        </w:r>
      </w:hyperlink>
      <w:r w:rsidRPr="00D749EC">
        <w:rPr>
          <w:rFonts w:ascii="FrankRuehl" w:hAnsi="FrankRuehl" w:cs="FrankRuehl"/>
          <w:rtl/>
        </w:rPr>
        <w:t xml:space="preserve">, </w:t>
      </w:r>
      <w:hyperlink r:id="rId14" w:history="1">
        <w:r w:rsidRPr="00D749EC">
          <w:rPr>
            <w:rFonts w:ascii="FrankRuehl" w:hAnsi="FrankRuehl" w:cs="FrankRuehl"/>
            <w:color w:val="0000FF"/>
            <w:rtl/>
          </w:rPr>
          <w:t>7(ג)</w:t>
        </w:r>
      </w:hyperlink>
    </w:p>
    <w:p w14:paraId="20EA8B64" w14:textId="77777777" w:rsidR="00D749EC" w:rsidRPr="00D749EC" w:rsidRDefault="00D749EC" w:rsidP="00D749EC">
      <w:pPr>
        <w:rPr>
          <w:rtl/>
        </w:rPr>
      </w:pPr>
      <w:bookmarkStart w:id="4" w:name="LawTable_End"/>
      <w:bookmarkEnd w:id="4"/>
    </w:p>
    <w:p w14:paraId="60F241C2" w14:textId="77777777" w:rsidR="0031461D" w:rsidRPr="00DD42FC" w:rsidRDefault="0031461D" w:rsidP="00DD42F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6341C" w14:paraId="6DAE58EC" w14:textId="77777777" w:rsidTr="0046341C">
        <w:trPr>
          <w:trHeight w:val="355"/>
          <w:jc w:val="center"/>
        </w:trPr>
        <w:tc>
          <w:tcPr>
            <w:tcW w:w="8820" w:type="dxa"/>
            <w:tcBorders>
              <w:top w:val="nil"/>
              <w:left w:val="nil"/>
              <w:bottom w:val="nil"/>
              <w:right w:val="nil"/>
            </w:tcBorders>
            <w:shd w:val="clear" w:color="auto" w:fill="auto"/>
          </w:tcPr>
          <w:p w14:paraId="48D1A5CA" w14:textId="77777777" w:rsidR="0031461D" w:rsidRPr="0031461D" w:rsidRDefault="0031461D" w:rsidP="0031461D">
            <w:pPr>
              <w:jc w:val="center"/>
              <w:rPr>
                <w:rFonts w:ascii="David" w:hAnsi="David"/>
                <w:b/>
                <w:bCs/>
                <w:sz w:val="32"/>
                <w:szCs w:val="32"/>
                <w:u w:val="single"/>
                <w:rtl/>
              </w:rPr>
            </w:pPr>
            <w:bookmarkStart w:id="5" w:name="PsakDin" w:colFirst="0" w:colLast="0"/>
            <w:bookmarkEnd w:id="0"/>
            <w:bookmarkEnd w:id="1"/>
            <w:r w:rsidRPr="0031461D">
              <w:rPr>
                <w:rFonts w:ascii="David" w:hAnsi="David"/>
                <w:b/>
                <w:bCs/>
                <w:sz w:val="32"/>
                <w:szCs w:val="32"/>
                <w:u w:val="single"/>
                <w:rtl/>
              </w:rPr>
              <w:t>גזר דין</w:t>
            </w:r>
          </w:p>
          <w:p w14:paraId="2DD208F5" w14:textId="77777777" w:rsidR="0046341C" w:rsidRPr="0031461D" w:rsidRDefault="0046341C" w:rsidP="0031461D">
            <w:pPr>
              <w:jc w:val="center"/>
              <w:rPr>
                <w:rFonts w:ascii="David" w:hAnsi="David"/>
                <w:bCs/>
                <w:sz w:val="32"/>
                <w:szCs w:val="32"/>
                <w:u w:val="single"/>
                <w:rtl/>
              </w:rPr>
            </w:pPr>
          </w:p>
        </w:tc>
      </w:tr>
    </w:tbl>
    <w:bookmarkEnd w:id="5"/>
    <w:p w14:paraId="54963F3C" w14:textId="77777777" w:rsidR="0046341C" w:rsidRDefault="0046341C" w:rsidP="0046341C">
      <w:pPr>
        <w:spacing w:line="360" w:lineRule="auto"/>
        <w:jc w:val="both"/>
        <w:rPr>
          <w:sz w:val="26"/>
          <w:szCs w:val="26"/>
          <w:u w:val="single"/>
          <w:rtl/>
        </w:rPr>
      </w:pPr>
      <w:r>
        <w:rPr>
          <w:sz w:val="26"/>
          <w:szCs w:val="26"/>
          <w:u w:val="single"/>
          <w:rtl/>
        </w:rPr>
        <w:t>רקע</w:t>
      </w:r>
    </w:p>
    <w:p w14:paraId="2304B10C" w14:textId="77777777" w:rsidR="0046341C" w:rsidRDefault="0046341C" w:rsidP="0046341C">
      <w:pPr>
        <w:spacing w:line="360" w:lineRule="auto"/>
        <w:jc w:val="both"/>
        <w:rPr>
          <w:sz w:val="26"/>
          <w:szCs w:val="26"/>
          <w:u w:val="single"/>
          <w:rtl/>
        </w:rPr>
      </w:pPr>
    </w:p>
    <w:p w14:paraId="0608E172" w14:textId="77777777" w:rsidR="0046341C" w:rsidRDefault="0046341C" w:rsidP="0046341C">
      <w:pPr>
        <w:numPr>
          <w:ilvl w:val="0"/>
          <w:numId w:val="1"/>
        </w:numPr>
        <w:spacing w:line="360" w:lineRule="auto"/>
        <w:jc w:val="both"/>
        <w:rPr>
          <w:rFonts w:ascii="Arial" w:hAnsi="Arial"/>
          <w:rtl/>
        </w:rPr>
      </w:pPr>
      <w:bookmarkStart w:id="6" w:name="ABSTRACT_START"/>
      <w:bookmarkEnd w:id="6"/>
      <w:r>
        <w:rPr>
          <w:rFonts w:ascii="David" w:hAnsi="David"/>
          <w:rtl/>
        </w:rPr>
        <w:t xml:space="preserve">הנאשם הורשע  לאחר ניהול הוכחות </w:t>
      </w:r>
      <w:r>
        <w:rPr>
          <w:rFonts w:ascii="Arial" w:hAnsi="Arial"/>
          <w:rtl/>
        </w:rPr>
        <w:t xml:space="preserve">עבירות בנשק, לפי </w:t>
      </w:r>
      <w:hyperlink r:id="rId15" w:history="1">
        <w:r w:rsidR="00E32036" w:rsidRPr="00E32036">
          <w:rPr>
            <w:rStyle w:val="Hyperlink"/>
            <w:rFonts w:ascii="Arial" w:hAnsi="Arial"/>
            <w:rtl/>
          </w:rPr>
          <w:t>סעיף 144(א)</w:t>
        </w:r>
      </w:hyperlink>
      <w:r>
        <w:rPr>
          <w:rFonts w:ascii="Arial" w:hAnsi="Arial"/>
          <w:rtl/>
        </w:rPr>
        <w:t xml:space="preserve"> רישא בצירוף </w:t>
      </w:r>
      <w:hyperlink r:id="rId16" w:history="1">
        <w:r w:rsidR="00E32036" w:rsidRPr="00E32036">
          <w:rPr>
            <w:rStyle w:val="Hyperlink"/>
            <w:rFonts w:ascii="Arial" w:hAnsi="Arial"/>
            <w:rtl/>
          </w:rPr>
          <w:t>סעיף 144(ג)(1)</w:t>
        </w:r>
      </w:hyperlink>
      <w:r>
        <w:rPr>
          <w:rFonts w:ascii="Arial" w:hAnsi="Arial"/>
          <w:rtl/>
        </w:rPr>
        <w:t xml:space="preserve"> ל</w:t>
      </w:r>
      <w:hyperlink r:id="rId17" w:history="1">
        <w:r w:rsidR="0031461D" w:rsidRPr="0031461D">
          <w:rPr>
            <w:rFonts w:ascii="Arial" w:hAnsi="Arial"/>
            <w:color w:val="0000FF"/>
            <w:u w:val="single"/>
            <w:rtl/>
          </w:rPr>
          <w:t>חוק העונשין</w:t>
        </w:r>
      </w:hyperlink>
      <w:r>
        <w:rPr>
          <w:rFonts w:ascii="Arial" w:hAnsi="Arial"/>
          <w:rtl/>
        </w:rPr>
        <w:t xml:space="preserve">, התשל"ז-1977 (להלן- </w:t>
      </w:r>
      <w:r>
        <w:rPr>
          <w:rFonts w:ascii="Arial" w:hAnsi="Arial"/>
          <w:b/>
          <w:bCs/>
          <w:rtl/>
        </w:rPr>
        <w:t>חוק העונשין</w:t>
      </w:r>
      <w:r>
        <w:rPr>
          <w:rFonts w:ascii="Arial" w:hAnsi="Arial"/>
          <w:rtl/>
        </w:rPr>
        <w:t xml:space="preserve">); עבירות בנשק לפי </w:t>
      </w:r>
      <w:hyperlink r:id="rId18" w:history="1">
        <w:r w:rsidR="00E32036" w:rsidRPr="00E32036">
          <w:rPr>
            <w:rStyle w:val="Hyperlink"/>
            <w:rFonts w:ascii="Arial" w:hAnsi="Arial"/>
            <w:rtl/>
          </w:rPr>
          <w:t>סעיף 144(א)</w:t>
        </w:r>
      </w:hyperlink>
      <w:r>
        <w:rPr>
          <w:rFonts w:ascii="Arial" w:hAnsi="Arial"/>
          <w:rtl/>
        </w:rPr>
        <w:t xml:space="preserve"> סיפא בצירוף </w:t>
      </w:r>
      <w:hyperlink r:id="rId19" w:history="1">
        <w:r w:rsidR="00E32036" w:rsidRPr="00E32036">
          <w:rPr>
            <w:rStyle w:val="Hyperlink"/>
            <w:rFonts w:ascii="Arial" w:hAnsi="Arial"/>
            <w:rtl/>
          </w:rPr>
          <w:t>סעיף 144(ג)(1)</w:t>
        </w:r>
      </w:hyperlink>
      <w:r>
        <w:rPr>
          <w:rFonts w:ascii="Arial" w:hAnsi="Arial"/>
          <w:rtl/>
        </w:rPr>
        <w:t xml:space="preserve"> לחוק העונשין; עבירה של החזקה/שימוש בסמים שלא לצריכה עצמית, לפי </w:t>
      </w:r>
      <w:hyperlink r:id="rId20" w:history="1">
        <w:r w:rsidR="00E32036" w:rsidRPr="00E32036">
          <w:rPr>
            <w:rStyle w:val="Hyperlink"/>
            <w:rFonts w:ascii="Arial" w:hAnsi="Arial"/>
            <w:rtl/>
          </w:rPr>
          <w:t>סעיף 7(א)</w:t>
        </w:r>
      </w:hyperlink>
      <w:r>
        <w:rPr>
          <w:rFonts w:ascii="Arial" w:hAnsi="Arial"/>
          <w:rtl/>
        </w:rPr>
        <w:t xml:space="preserve"> בצירוף </w:t>
      </w:r>
      <w:hyperlink r:id="rId21" w:history="1">
        <w:r w:rsidR="00E32036" w:rsidRPr="00E32036">
          <w:rPr>
            <w:rStyle w:val="Hyperlink"/>
            <w:rFonts w:ascii="Arial" w:hAnsi="Arial"/>
            <w:rtl/>
          </w:rPr>
          <w:t>סעיף 7(ג)</w:t>
        </w:r>
      </w:hyperlink>
      <w:r>
        <w:rPr>
          <w:rFonts w:ascii="Arial" w:hAnsi="Arial"/>
          <w:rtl/>
        </w:rPr>
        <w:t xml:space="preserve"> רישא ל</w:t>
      </w:r>
      <w:hyperlink r:id="rId22" w:history="1">
        <w:r w:rsidR="0031461D" w:rsidRPr="0031461D">
          <w:rPr>
            <w:rFonts w:ascii="Arial" w:hAnsi="Arial"/>
            <w:color w:val="0000FF"/>
            <w:u w:val="single"/>
            <w:rtl/>
          </w:rPr>
          <w:t>פקודת הסמים המסוכנים</w:t>
        </w:r>
      </w:hyperlink>
      <w:r>
        <w:rPr>
          <w:rFonts w:ascii="Arial" w:hAnsi="Arial"/>
          <w:rtl/>
        </w:rPr>
        <w:t xml:space="preserve"> [נוסח חדש], התשל"ד-1972; ועבירה של שיבוש מהלכי משפט, לפי </w:t>
      </w:r>
      <w:hyperlink r:id="rId23" w:history="1">
        <w:r w:rsidR="00E32036" w:rsidRPr="00E32036">
          <w:rPr>
            <w:rStyle w:val="Hyperlink"/>
            <w:rFonts w:ascii="Arial" w:hAnsi="Arial"/>
            <w:rtl/>
          </w:rPr>
          <w:t>סעיף 244</w:t>
        </w:r>
      </w:hyperlink>
      <w:r>
        <w:rPr>
          <w:rFonts w:ascii="Arial" w:hAnsi="Arial"/>
          <w:rtl/>
        </w:rPr>
        <w:t xml:space="preserve"> לחוק העונשין, הכל כמפורט בהכרעת הדין</w:t>
      </w:r>
      <w:bookmarkStart w:id="7" w:name="ABSTRACT_END"/>
      <w:bookmarkEnd w:id="7"/>
      <w:r>
        <w:rPr>
          <w:rFonts w:ascii="Arial" w:hAnsi="Arial"/>
          <w:rtl/>
        </w:rPr>
        <w:t xml:space="preserve">. </w:t>
      </w:r>
    </w:p>
    <w:p w14:paraId="1DBD7BDA" w14:textId="77777777" w:rsidR="0046341C" w:rsidRDefault="0046341C" w:rsidP="0046341C">
      <w:pPr>
        <w:pStyle w:val="a9"/>
      </w:pPr>
    </w:p>
    <w:p w14:paraId="09451ED5" w14:textId="77777777" w:rsidR="0046341C" w:rsidRDefault="0046341C" w:rsidP="0046341C">
      <w:pPr>
        <w:pStyle w:val="aa"/>
        <w:numPr>
          <w:ilvl w:val="0"/>
          <w:numId w:val="1"/>
        </w:numPr>
        <w:tabs>
          <w:tab w:val="left" w:pos="4946"/>
        </w:tabs>
        <w:spacing w:line="360" w:lineRule="auto"/>
        <w:jc w:val="both"/>
        <w:rPr>
          <w:rFonts w:ascii="David" w:hAnsi="David" w:cs="David"/>
          <w:sz w:val="24"/>
          <w:szCs w:val="24"/>
          <w:rtl/>
        </w:rPr>
      </w:pPr>
      <w:r>
        <w:rPr>
          <w:rFonts w:ascii="David" w:hAnsi="David" w:cs="David"/>
          <w:sz w:val="24"/>
          <w:szCs w:val="24"/>
          <w:rtl/>
        </w:rPr>
        <w:t xml:space="preserve">ביום 8.2.23 טענו הצדדים לעונש. </w:t>
      </w:r>
    </w:p>
    <w:p w14:paraId="3BBC938B" w14:textId="77777777" w:rsidR="0046341C" w:rsidRDefault="0046341C" w:rsidP="0046341C">
      <w:pPr>
        <w:pStyle w:val="aa"/>
        <w:rPr>
          <w:rFonts w:ascii="David" w:hAnsi="David" w:cs="David"/>
          <w:sz w:val="24"/>
          <w:szCs w:val="24"/>
        </w:rPr>
      </w:pPr>
    </w:p>
    <w:p w14:paraId="4C74FDE2" w14:textId="77777777" w:rsidR="0046341C" w:rsidRDefault="0046341C" w:rsidP="0046341C">
      <w:pPr>
        <w:tabs>
          <w:tab w:val="left" w:pos="4946"/>
        </w:tabs>
        <w:spacing w:line="360" w:lineRule="auto"/>
        <w:jc w:val="both"/>
        <w:rPr>
          <w:rFonts w:ascii="David" w:hAnsi="David"/>
          <w:u w:val="single"/>
          <w:rtl/>
        </w:rPr>
      </w:pPr>
      <w:r>
        <w:rPr>
          <w:rFonts w:ascii="David" w:hAnsi="David"/>
          <w:u w:val="single"/>
          <w:rtl/>
        </w:rPr>
        <w:t xml:space="preserve">תסקיר שירות המבחן </w:t>
      </w:r>
    </w:p>
    <w:p w14:paraId="3F3C9E65" w14:textId="77777777" w:rsidR="0046341C" w:rsidRDefault="0046341C" w:rsidP="0046341C">
      <w:pPr>
        <w:tabs>
          <w:tab w:val="left" w:pos="4946"/>
        </w:tabs>
        <w:spacing w:line="360" w:lineRule="auto"/>
        <w:jc w:val="both"/>
        <w:rPr>
          <w:rFonts w:ascii="David" w:hAnsi="David"/>
          <w:u w:val="single"/>
          <w:rtl/>
        </w:rPr>
      </w:pPr>
    </w:p>
    <w:p w14:paraId="1395539F" w14:textId="77777777" w:rsidR="0046341C" w:rsidRDefault="0046341C" w:rsidP="0046341C">
      <w:pPr>
        <w:pStyle w:val="aa"/>
        <w:numPr>
          <w:ilvl w:val="0"/>
          <w:numId w:val="1"/>
        </w:numPr>
        <w:tabs>
          <w:tab w:val="left" w:pos="4946"/>
        </w:tabs>
        <w:spacing w:line="360" w:lineRule="auto"/>
        <w:jc w:val="both"/>
        <w:rPr>
          <w:rFonts w:ascii="David" w:hAnsi="David" w:cs="David"/>
          <w:sz w:val="24"/>
          <w:szCs w:val="24"/>
        </w:rPr>
      </w:pPr>
      <w:r>
        <w:rPr>
          <w:rFonts w:ascii="David" w:hAnsi="David" w:cs="David"/>
          <w:sz w:val="24"/>
          <w:szCs w:val="24"/>
          <w:rtl/>
        </w:rPr>
        <w:t>מתסקיר שירות המבחן מיום 4.9.2022 עולה שהנאשם בן 23, נשוי, חווה ילדות קשה – הכל כמפורט בתסקיר.</w:t>
      </w:r>
    </w:p>
    <w:p w14:paraId="62B5C6D0" w14:textId="77777777" w:rsidR="0046341C" w:rsidRDefault="0046341C" w:rsidP="0046341C">
      <w:pPr>
        <w:pStyle w:val="aa"/>
        <w:tabs>
          <w:tab w:val="left" w:pos="4946"/>
        </w:tabs>
        <w:spacing w:line="360" w:lineRule="auto"/>
        <w:jc w:val="both"/>
        <w:rPr>
          <w:rFonts w:ascii="David" w:hAnsi="David" w:cs="David"/>
          <w:sz w:val="24"/>
          <w:szCs w:val="24"/>
        </w:rPr>
      </w:pPr>
    </w:p>
    <w:p w14:paraId="72990169" w14:textId="77777777" w:rsidR="0046341C" w:rsidRDefault="0046341C" w:rsidP="0046341C">
      <w:pPr>
        <w:pStyle w:val="aa"/>
        <w:numPr>
          <w:ilvl w:val="0"/>
          <w:numId w:val="1"/>
        </w:numPr>
        <w:tabs>
          <w:tab w:val="left" w:pos="4946"/>
        </w:tabs>
        <w:spacing w:line="360" w:lineRule="auto"/>
        <w:jc w:val="both"/>
        <w:rPr>
          <w:rFonts w:ascii="David" w:hAnsi="David" w:cs="David"/>
          <w:sz w:val="24"/>
          <w:szCs w:val="24"/>
          <w:rtl/>
        </w:rPr>
      </w:pPr>
      <w:r>
        <w:rPr>
          <w:rFonts w:ascii="David" w:hAnsi="David" w:cs="David"/>
          <w:sz w:val="24"/>
          <w:szCs w:val="24"/>
          <w:rtl/>
        </w:rPr>
        <w:t xml:space="preserve">הנאשם שלל שימוש בחומרים פסיכו- אקטיביים, לרבות צריכת אלכוהול. </w:t>
      </w:r>
    </w:p>
    <w:p w14:paraId="72D80FE7" w14:textId="77777777" w:rsidR="0046341C" w:rsidRDefault="0046341C" w:rsidP="0046341C">
      <w:pPr>
        <w:pStyle w:val="aa"/>
        <w:rPr>
          <w:rFonts w:ascii="David" w:hAnsi="David" w:cs="David"/>
          <w:sz w:val="24"/>
          <w:szCs w:val="24"/>
        </w:rPr>
      </w:pPr>
    </w:p>
    <w:p w14:paraId="65E70D5F" w14:textId="77777777" w:rsidR="0046341C" w:rsidRDefault="0046341C" w:rsidP="0046341C">
      <w:pPr>
        <w:pStyle w:val="aa"/>
        <w:numPr>
          <w:ilvl w:val="0"/>
          <w:numId w:val="1"/>
        </w:numPr>
        <w:tabs>
          <w:tab w:val="left" w:pos="4946"/>
        </w:tabs>
        <w:spacing w:line="360" w:lineRule="auto"/>
        <w:jc w:val="both"/>
        <w:rPr>
          <w:rFonts w:ascii="David" w:hAnsi="David" w:cs="David"/>
          <w:sz w:val="24"/>
          <w:szCs w:val="24"/>
          <w:rtl/>
        </w:rPr>
      </w:pPr>
      <w:r>
        <w:rPr>
          <w:rFonts w:ascii="David" w:hAnsi="David" w:cs="David"/>
          <w:sz w:val="24"/>
          <w:szCs w:val="24"/>
          <w:rtl/>
        </w:rPr>
        <w:t xml:space="preserve">בהתייחס לעבירות מושא הדיון, הנאשם התקשה ליטול אחריות למיוחס לו. שירות המבחן התרשם שהנאשם נטה לאמץ עמדה קורבנית על רקע תחושתו שגורמי הסמכות התנכלו לו. </w:t>
      </w:r>
    </w:p>
    <w:p w14:paraId="6BF8EA79" w14:textId="77777777" w:rsidR="0046341C" w:rsidRDefault="0046341C" w:rsidP="0046341C">
      <w:pPr>
        <w:pStyle w:val="aa"/>
        <w:numPr>
          <w:ilvl w:val="0"/>
          <w:numId w:val="1"/>
        </w:numPr>
        <w:tabs>
          <w:tab w:val="left" w:pos="4946"/>
        </w:tabs>
        <w:spacing w:line="360" w:lineRule="auto"/>
        <w:jc w:val="both"/>
        <w:rPr>
          <w:rFonts w:ascii="David" w:hAnsi="David" w:cs="David"/>
          <w:sz w:val="24"/>
          <w:szCs w:val="24"/>
          <w:rtl/>
        </w:rPr>
      </w:pPr>
      <w:r>
        <w:rPr>
          <w:rFonts w:ascii="David" w:hAnsi="David" w:cs="David"/>
          <w:sz w:val="24"/>
          <w:szCs w:val="24"/>
          <w:rtl/>
        </w:rPr>
        <w:t xml:space="preserve">שירות המבחן נמנע מהמלצה שיקומית והמליץ על ענישה מוחשית אשר תהווה גורם מרתיע לעתיד. </w:t>
      </w:r>
    </w:p>
    <w:p w14:paraId="4748128D" w14:textId="77777777" w:rsidR="0046341C" w:rsidRDefault="0046341C" w:rsidP="0046341C">
      <w:pPr>
        <w:tabs>
          <w:tab w:val="left" w:pos="4946"/>
        </w:tabs>
        <w:spacing w:line="360" w:lineRule="auto"/>
        <w:jc w:val="both"/>
        <w:rPr>
          <w:rFonts w:ascii="David" w:hAnsi="David"/>
          <w:u w:val="single"/>
          <w:rtl/>
        </w:rPr>
      </w:pPr>
    </w:p>
    <w:p w14:paraId="32FC88F6" w14:textId="77777777" w:rsidR="0046341C" w:rsidRDefault="0046341C" w:rsidP="0046341C">
      <w:pPr>
        <w:tabs>
          <w:tab w:val="left" w:pos="4946"/>
        </w:tabs>
        <w:spacing w:line="360" w:lineRule="auto"/>
        <w:jc w:val="both"/>
        <w:rPr>
          <w:rFonts w:ascii="David" w:hAnsi="David"/>
          <w:u w:val="single"/>
          <w:rtl/>
        </w:rPr>
      </w:pPr>
      <w:r>
        <w:rPr>
          <w:rFonts w:ascii="David" w:hAnsi="David"/>
          <w:u w:val="single"/>
          <w:rtl/>
        </w:rPr>
        <w:t>טיעוני הצדדים וראיות לעונש</w:t>
      </w:r>
    </w:p>
    <w:p w14:paraId="1D1F01C3" w14:textId="77777777" w:rsidR="0046341C" w:rsidRDefault="0046341C" w:rsidP="0046341C">
      <w:pPr>
        <w:tabs>
          <w:tab w:val="left" w:pos="4946"/>
        </w:tabs>
        <w:spacing w:line="360" w:lineRule="auto"/>
        <w:jc w:val="both"/>
        <w:rPr>
          <w:rFonts w:ascii="David" w:hAnsi="David"/>
          <w:u w:val="single"/>
          <w:rtl/>
        </w:rPr>
      </w:pPr>
    </w:p>
    <w:p w14:paraId="499358C0" w14:textId="77777777" w:rsidR="0046341C" w:rsidRDefault="0046341C" w:rsidP="0046341C">
      <w:pPr>
        <w:pStyle w:val="aa"/>
        <w:numPr>
          <w:ilvl w:val="0"/>
          <w:numId w:val="1"/>
        </w:numPr>
        <w:tabs>
          <w:tab w:val="left" w:pos="4946"/>
        </w:tabs>
        <w:spacing w:line="360" w:lineRule="auto"/>
        <w:jc w:val="both"/>
        <w:rPr>
          <w:rFonts w:ascii="David" w:hAnsi="David" w:cs="David"/>
          <w:sz w:val="24"/>
          <w:szCs w:val="24"/>
          <w:rtl/>
        </w:rPr>
      </w:pPr>
      <w:r>
        <w:rPr>
          <w:rFonts w:ascii="David" w:hAnsi="David" w:cs="David"/>
          <w:sz w:val="24"/>
          <w:szCs w:val="24"/>
          <w:rtl/>
        </w:rPr>
        <w:t xml:space="preserve">ב"כ המאשימה עתרה לקבוע שני מתחמים נפרדים, האחד לעניין עבירות הנשק, והשני לעבירות הסמים והשיבוש. לעניין החזקת הנשק והתחמושת עתר למתחם שנע בין 24 ל – 48 חודשי מאסר, ולעניין עבירות הסמים עתרה למתחם שבין 10 ל-20 חודשי מאסר. לעניין הערכים המוגנים, הדגישה את ההחמרה במגמת הענישה בעבירות הנשק וההחזקה והפנתה לאסופת פסיקה. </w:t>
      </w:r>
    </w:p>
    <w:p w14:paraId="34C09F75" w14:textId="77777777" w:rsidR="0046341C" w:rsidRDefault="0046341C" w:rsidP="0046341C">
      <w:pPr>
        <w:pStyle w:val="aa"/>
        <w:tabs>
          <w:tab w:val="left" w:pos="4946"/>
        </w:tabs>
        <w:spacing w:line="360" w:lineRule="auto"/>
        <w:jc w:val="both"/>
        <w:rPr>
          <w:rFonts w:ascii="David" w:hAnsi="David" w:cs="David"/>
          <w:sz w:val="24"/>
          <w:szCs w:val="24"/>
        </w:rPr>
      </w:pPr>
    </w:p>
    <w:p w14:paraId="5CB21FF2" w14:textId="77777777" w:rsidR="0046341C" w:rsidRDefault="0046341C" w:rsidP="0046341C">
      <w:pPr>
        <w:pStyle w:val="aa"/>
        <w:numPr>
          <w:ilvl w:val="0"/>
          <w:numId w:val="1"/>
        </w:numPr>
        <w:tabs>
          <w:tab w:val="left" w:pos="4946"/>
        </w:tabs>
        <w:spacing w:line="360" w:lineRule="auto"/>
        <w:jc w:val="both"/>
        <w:rPr>
          <w:rFonts w:ascii="David" w:hAnsi="David" w:cs="David"/>
          <w:sz w:val="24"/>
          <w:szCs w:val="24"/>
          <w:rtl/>
        </w:rPr>
      </w:pPr>
      <w:r>
        <w:rPr>
          <w:rFonts w:ascii="David" w:hAnsi="David" w:cs="David"/>
          <w:sz w:val="24"/>
          <w:szCs w:val="24"/>
          <w:rtl/>
        </w:rPr>
        <w:t>ב"כ הנאשם עתר לקבוע מתחם ענישה אחד לכלל העבירות בהן הורשע הנאשם. לדידו, העובדה שמדובר בעבירות שונות אינה מצדיקה קביעת מתחמים נפרדים. באשר לתיקון 140 ל</w:t>
      </w:r>
      <w:hyperlink r:id="rId24" w:history="1">
        <w:r w:rsidR="0031461D" w:rsidRPr="0031461D">
          <w:rPr>
            <w:rFonts w:ascii="David" w:hAnsi="David" w:cs="David"/>
            <w:color w:val="0000FF"/>
            <w:sz w:val="24"/>
            <w:szCs w:val="24"/>
            <w:u w:val="single"/>
            <w:rtl/>
          </w:rPr>
          <w:t>חוק העונשין</w:t>
        </w:r>
      </w:hyperlink>
      <w:r>
        <w:rPr>
          <w:rFonts w:ascii="David" w:hAnsi="David" w:cs="David"/>
          <w:sz w:val="24"/>
          <w:szCs w:val="24"/>
          <w:rtl/>
        </w:rPr>
        <w:t xml:space="preserve">, טען שהתיקון נכנס לתוקפו ביום 8.12.21, כאשר ההחזקה המיוחסת לנאשם קודמת לכך. לפיכך, אין להחיל את הוראת החוק המחמירה עם הנאשם ויש להטיל ענישה מקילה יותר. עוד הצביע ב"כ הנאשם על כך שבניגוד לפסיקה שהוצגה ע"י ב"כ המאשימה,  בענייננו מדובר ברובה ציד ולא בנשק אוטומטי או סמי-אוטומטי, אין מדובר בתחמושת תואמת לנשק וגם הסמים שנתפסו (ושהנאשם עומד על טענתו שאינם שלו) הם מסוג רנאביס ו – </w:t>
      </w:r>
      <w:r>
        <w:rPr>
          <w:rFonts w:ascii="David" w:hAnsi="David" w:cs="David"/>
          <w:sz w:val="24"/>
          <w:szCs w:val="24"/>
        </w:rPr>
        <w:t xml:space="preserve">MDMA </w:t>
      </w:r>
      <w:r>
        <w:rPr>
          <w:rFonts w:ascii="David" w:hAnsi="David" w:cs="David"/>
          <w:sz w:val="24"/>
          <w:szCs w:val="24"/>
          <w:rtl/>
        </w:rPr>
        <w:t xml:space="preserve"> ולא סמים קשים, ע"פ הגדרתם. ב"כ נאשם בקש לקבוע מתחם הנע בין מאסר על תנאי ועד מס' חודשי מאסר שיכול וירוצו בעבודות שירות, ובענייננו בקש להשית על הנאשם מאסר קצר בעבודות שירות. גם ב"כ הנאשם הגיש אסופת פסיקה רלוונטית, לשיטתו. </w:t>
      </w:r>
    </w:p>
    <w:p w14:paraId="38807BF4" w14:textId="77777777" w:rsidR="0046341C" w:rsidRDefault="0046341C" w:rsidP="0046341C">
      <w:pPr>
        <w:spacing w:line="360" w:lineRule="auto"/>
        <w:jc w:val="both"/>
        <w:rPr>
          <w:u w:val="single"/>
          <w:rtl/>
        </w:rPr>
      </w:pPr>
    </w:p>
    <w:p w14:paraId="34200ED7" w14:textId="77777777" w:rsidR="0046341C" w:rsidRDefault="0046341C" w:rsidP="0046341C">
      <w:pPr>
        <w:spacing w:line="360" w:lineRule="auto"/>
        <w:jc w:val="both"/>
        <w:rPr>
          <w:u w:val="single"/>
          <w:rtl/>
        </w:rPr>
      </w:pPr>
      <w:r>
        <w:rPr>
          <w:u w:val="single"/>
          <w:rtl/>
        </w:rPr>
        <w:lastRenderedPageBreak/>
        <w:t xml:space="preserve">דיון והכרעה </w:t>
      </w:r>
    </w:p>
    <w:p w14:paraId="4CE627B8" w14:textId="77777777" w:rsidR="0046341C" w:rsidRDefault="0046341C" w:rsidP="0046341C">
      <w:pPr>
        <w:spacing w:line="360" w:lineRule="auto"/>
        <w:jc w:val="both"/>
        <w:rPr>
          <w:sz w:val="26"/>
          <w:szCs w:val="26"/>
          <w:u w:val="single"/>
          <w:rtl/>
        </w:rPr>
      </w:pPr>
    </w:p>
    <w:p w14:paraId="348EA0FA" w14:textId="77777777" w:rsidR="0046341C" w:rsidRDefault="0046341C" w:rsidP="0046341C">
      <w:pPr>
        <w:spacing w:line="360" w:lineRule="auto"/>
        <w:jc w:val="both"/>
        <w:rPr>
          <w:u w:val="single"/>
          <w:rtl/>
        </w:rPr>
      </w:pPr>
      <w:r>
        <w:rPr>
          <w:u w:val="single"/>
          <w:rtl/>
        </w:rPr>
        <w:t>מתחם עונש אחד או שני מתחמים?</w:t>
      </w:r>
    </w:p>
    <w:p w14:paraId="5EC25635" w14:textId="77777777" w:rsidR="0046341C" w:rsidRDefault="0046341C" w:rsidP="0046341C">
      <w:pPr>
        <w:spacing w:line="360" w:lineRule="auto"/>
        <w:jc w:val="both"/>
        <w:rPr>
          <w:u w:val="single"/>
          <w:rtl/>
        </w:rPr>
      </w:pPr>
    </w:p>
    <w:p w14:paraId="607222B7" w14:textId="77777777" w:rsidR="0046341C" w:rsidRDefault="0046341C" w:rsidP="0046341C">
      <w:pPr>
        <w:pStyle w:val="aa"/>
        <w:numPr>
          <w:ilvl w:val="0"/>
          <w:numId w:val="1"/>
        </w:numPr>
        <w:spacing w:line="360" w:lineRule="auto"/>
        <w:jc w:val="both"/>
        <w:rPr>
          <w:rFonts w:ascii="Arial" w:eastAsia="Times New Roman" w:hAnsi="Arial" w:cs="David"/>
          <w:sz w:val="24"/>
          <w:szCs w:val="24"/>
        </w:rPr>
      </w:pPr>
      <w:r>
        <w:rPr>
          <w:rFonts w:ascii="Arial" w:eastAsia="Times New Roman" w:hAnsi="Arial" w:cs="David"/>
          <w:sz w:val="24"/>
          <w:szCs w:val="24"/>
          <w:rtl/>
        </w:rPr>
        <w:t>בפתח</w:t>
      </w:r>
      <w:r>
        <w:rPr>
          <w:rFonts w:ascii="Arial" w:eastAsia="Times New Roman" w:hAnsi="Arial" w:cs="David"/>
          <w:sz w:val="24"/>
          <w:szCs w:val="24"/>
        </w:rPr>
        <w:t xml:space="preserve"> </w:t>
      </w:r>
      <w:r>
        <w:rPr>
          <w:rFonts w:ascii="Arial" w:eastAsia="Times New Roman" w:hAnsi="Arial" w:cs="David"/>
          <w:sz w:val="24"/>
          <w:szCs w:val="24"/>
          <w:rtl/>
        </w:rPr>
        <w:t>ראש</w:t>
      </w:r>
      <w:r>
        <w:rPr>
          <w:rFonts w:ascii="Arial" w:eastAsia="Times New Roman" w:hAnsi="Arial" w:cs="David"/>
          <w:sz w:val="24"/>
          <w:szCs w:val="24"/>
        </w:rPr>
        <w:t xml:space="preserve"> </w:t>
      </w:r>
      <w:r>
        <w:rPr>
          <w:rFonts w:ascii="Arial" w:eastAsia="Times New Roman" w:hAnsi="Arial" w:cs="David"/>
          <w:sz w:val="24"/>
          <w:szCs w:val="24"/>
          <w:rtl/>
        </w:rPr>
        <w:t>פרק</w:t>
      </w:r>
      <w:r>
        <w:rPr>
          <w:rFonts w:ascii="Arial" w:eastAsia="Times New Roman" w:hAnsi="Arial" w:cs="David"/>
          <w:sz w:val="24"/>
          <w:szCs w:val="24"/>
        </w:rPr>
        <w:t xml:space="preserve"> </w:t>
      </w:r>
      <w:r>
        <w:rPr>
          <w:rFonts w:ascii="Arial" w:eastAsia="Times New Roman" w:hAnsi="Arial" w:cs="David"/>
          <w:sz w:val="24"/>
          <w:szCs w:val="24"/>
          <w:rtl/>
        </w:rPr>
        <w:t>זה</w:t>
      </w:r>
      <w:r>
        <w:rPr>
          <w:rFonts w:ascii="Arial" w:eastAsia="Times New Roman" w:hAnsi="Arial" w:cs="David"/>
          <w:sz w:val="24"/>
          <w:szCs w:val="24"/>
        </w:rPr>
        <w:t xml:space="preserve"> </w:t>
      </w:r>
      <w:r>
        <w:rPr>
          <w:rFonts w:ascii="Arial" w:eastAsia="Times New Roman" w:hAnsi="Arial" w:cs="David"/>
          <w:sz w:val="24"/>
          <w:szCs w:val="24"/>
          <w:rtl/>
        </w:rPr>
        <w:t>וטרם</w:t>
      </w:r>
      <w:r>
        <w:rPr>
          <w:rFonts w:ascii="Arial" w:eastAsia="Times New Roman" w:hAnsi="Arial" w:cs="David"/>
          <w:sz w:val="24"/>
          <w:szCs w:val="24"/>
        </w:rPr>
        <w:t xml:space="preserve"> </w:t>
      </w:r>
      <w:r>
        <w:rPr>
          <w:rFonts w:ascii="Arial" w:eastAsia="Times New Roman" w:hAnsi="Arial" w:cs="David"/>
          <w:sz w:val="24"/>
          <w:szCs w:val="24"/>
          <w:rtl/>
        </w:rPr>
        <w:t>שאדרש</w:t>
      </w:r>
      <w:r>
        <w:rPr>
          <w:rFonts w:ascii="Arial" w:eastAsia="Times New Roman" w:hAnsi="Arial" w:cs="David"/>
          <w:sz w:val="24"/>
          <w:szCs w:val="24"/>
        </w:rPr>
        <w:t xml:space="preserve"> </w:t>
      </w:r>
      <w:r>
        <w:rPr>
          <w:rFonts w:ascii="Arial" w:eastAsia="Times New Roman" w:hAnsi="Arial" w:cs="David"/>
          <w:sz w:val="24"/>
          <w:szCs w:val="24"/>
          <w:rtl/>
        </w:rPr>
        <w:t>לערכים</w:t>
      </w:r>
      <w:r>
        <w:rPr>
          <w:rFonts w:ascii="Arial" w:eastAsia="Times New Roman" w:hAnsi="Arial" w:cs="David"/>
          <w:sz w:val="24"/>
          <w:szCs w:val="24"/>
        </w:rPr>
        <w:t xml:space="preserve"> </w:t>
      </w:r>
      <w:r>
        <w:rPr>
          <w:rFonts w:ascii="Arial" w:eastAsia="Times New Roman" w:hAnsi="Arial" w:cs="David"/>
          <w:sz w:val="24"/>
          <w:szCs w:val="24"/>
          <w:rtl/>
        </w:rPr>
        <w:t>המוגנים</w:t>
      </w:r>
      <w:r>
        <w:rPr>
          <w:rFonts w:ascii="Arial" w:eastAsia="Times New Roman" w:hAnsi="Arial" w:cs="David"/>
          <w:sz w:val="24"/>
          <w:szCs w:val="24"/>
        </w:rPr>
        <w:t xml:space="preserve"> </w:t>
      </w:r>
      <w:r>
        <w:rPr>
          <w:rFonts w:ascii="Arial" w:eastAsia="Times New Roman" w:hAnsi="Arial" w:cs="David"/>
          <w:sz w:val="24"/>
          <w:szCs w:val="24"/>
          <w:rtl/>
        </w:rPr>
        <w:t>ולמידת</w:t>
      </w:r>
      <w:r>
        <w:rPr>
          <w:rFonts w:ascii="Arial" w:eastAsia="Times New Roman" w:hAnsi="Arial" w:cs="David"/>
          <w:sz w:val="24"/>
          <w:szCs w:val="24"/>
        </w:rPr>
        <w:t xml:space="preserve"> </w:t>
      </w:r>
      <w:r>
        <w:rPr>
          <w:rFonts w:ascii="Arial" w:eastAsia="Times New Roman" w:hAnsi="Arial" w:cs="David"/>
          <w:sz w:val="24"/>
          <w:szCs w:val="24"/>
          <w:rtl/>
        </w:rPr>
        <w:t>הפגיעה</w:t>
      </w:r>
      <w:r>
        <w:rPr>
          <w:rFonts w:ascii="Arial" w:eastAsia="Times New Roman" w:hAnsi="Arial" w:cs="David"/>
          <w:sz w:val="24"/>
          <w:szCs w:val="24"/>
        </w:rPr>
        <w:t xml:space="preserve"> </w:t>
      </w:r>
      <w:r>
        <w:rPr>
          <w:rFonts w:ascii="Arial" w:eastAsia="Times New Roman" w:hAnsi="Arial" w:cs="David"/>
          <w:sz w:val="24"/>
          <w:szCs w:val="24"/>
          <w:rtl/>
        </w:rPr>
        <w:t>בהם</w:t>
      </w:r>
      <w:r>
        <w:rPr>
          <w:rFonts w:ascii="Arial" w:eastAsia="Times New Roman" w:hAnsi="Arial" w:cs="David"/>
          <w:sz w:val="24"/>
          <w:szCs w:val="24"/>
        </w:rPr>
        <w:t xml:space="preserve"> </w:t>
      </w:r>
      <w:r>
        <w:rPr>
          <w:rFonts w:ascii="Arial" w:eastAsia="Times New Roman" w:hAnsi="Arial" w:cs="David"/>
          <w:sz w:val="24"/>
          <w:szCs w:val="24"/>
          <w:rtl/>
        </w:rPr>
        <w:t>במקרה</w:t>
      </w:r>
      <w:r>
        <w:rPr>
          <w:rFonts w:ascii="Arial" w:eastAsia="Times New Roman" w:hAnsi="Arial" w:cs="David"/>
          <w:sz w:val="24"/>
          <w:szCs w:val="24"/>
        </w:rPr>
        <w:t xml:space="preserve"> </w:t>
      </w:r>
      <w:r>
        <w:rPr>
          <w:rFonts w:ascii="Arial" w:eastAsia="Times New Roman" w:hAnsi="Arial" w:cs="David"/>
          <w:sz w:val="24"/>
          <w:szCs w:val="24"/>
          <w:rtl/>
        </w:rPr>
        <w:t>בו</w:t>
      </w:r>
      <w:r>
        <w:rPr>
          <w:rFonts w:ascii="Arial" w:eastAsia="Times New Roman" w:hAnsi="Arial" w:cs="David"/>
          <w:sz w:val="24"/>
          <w:szCs w:val="24"/>
        </w:rPr>
        <w:t xml:space="preserve"> </w:t>
      </w:r>
      <w:r>
        <w:rPr>
          <w:rFonts w:ascii="Arial" w:eastAsia="Times New Roman" w:hAnsi="Arial" w:cs="David"/>
          <w:sz w:val="24"/>
          <w:szCs w:val="24"/>
          <w:rtl/>
        </w:rPr>
        <w:t>מדובר</w:t>
      </w:r>
      <w:r>
        <w:rPr>
          <w:rFonts w:ascii="Arial" w:eastAsia="Times New Roman" w:hAnsi="Arial" w:cs="David"/>
          <w:sz w:val="24"/>
          <w:szCs w:val="24"/>
        </w:rPr>
        <w:t xml:space="preserve"> </w:t>
      </w:r>
      <w:r>
        <w:rPr>
          <w:rFonts w:ascii="Arial" w:eastAsia="Times New Roman" w:hAnsi="Arial" w:cs="David"/>
          <w:sz w:val="24"/>
          <w:szCs w:val="24"/>
          <w:rtl/>
        </w:rPr>
        <w:t>במספר</w:t>
      </w:r>
      <w:r>
        <w:rPr>
          <w:rFonts w:ascii="Arial" w:eastAsia="Times New Roman" w:hAnsi="Arial" w:cs="David"/>
          <w:sz w:val="24"/>
          <w:szCs w:val="24"/>
        </w:rPr>
        <w:t xml:space="preserve"> </w:t>
      </w:r>
      <w:r>
        <w:rPr>
          <w:rFonts w:ascii="Arial" w:eastAsia="Times New Roman" w:hAnsi="Arial" w:cs="David"/>
          <w:sz w:val="24"/>
          <w:szCs w:val="24"/>
          <w:rtl/>
        </w:rPr>
        <w:t>אישומים, יש</w:t>
      </w:r>
      <w:r>
        <w:rPr>
          <w:rFonts w:ascii="Arial" w:eastAsia="Times New Roman" w:hAnsi="Arial" w:cs="David"/>
          <w:sz w:val="24"/>
          <w:szCs w:val="24"/>
        </w:rPr>
        <w:t xml:space="preserve"> </w:t>
      </w:r>
      <w:r>
        <w:rPr>
          <w:rFonts w:ascii="Arial" w:eastAsia="Times New Roman" w:hAnsi="Arial" w:cs="David"/>
          <w:sz w:val="24"/>
          <w:szCs w:val="24"/>
          <w:rtl/>
        </w:rPr>
        <w:t>לקבוע</w:t>
      </w:r>
      <w:r>
        <w:rPr>
          <w:rFonts w:ascii="Arial" w:eastAsia="Times New Roman" w:hAnsi="Arial" w:cs="David"/>
          <w:sz w:val="24"/>
          <w:szCs w:val="24"/>
        </w:rPr>
        <w:t xml:space="preserve"> </w:t>
      </w:r>
      <w:r>
        <w:rPr>
          <w:rFonts w:ascii="Arial" w:eastAsia="Times New Roman" w:hAnsi="Arial" w:cs="David"/>
          <w:sz w:val="24"/>
          <w:szCs w:val="24"/>
          <w:rtl/>
        </w:rPr>
        <w:t>האם</w:t>
      </w:r>
      <w:r>
        <w:rPr>
          <w:rFonts w:ascii="Arial" w:eastAsia="Times New Roman" w:hAnsi="Arial" w:cs="David"/>
          <w:sz w:val="24"/>
          <w:szCs w:val="24"/>
        </w:rPr>
        <w:t xml:space="preserve"> </w:t>
      </w:r>
      <w:r>
        <w:rPr>
          <w:rFonts w:ascii="Arial" w:eastAsia="Times New Roman" w:hAnsi="Arial" w:cs="David"/>
          <w:sz w:val="24"/>
          <w:szCs w:val="24"/>
          <w:rtl/>
        </w:rPr>
        <w:t>מדובר</w:t>
      </w:r>
      <w:r>
        <w:rPr>
          <w:rFonts w:ascii="Arial" w:eastAsia="Times New Roman" w:hAnsi="Arial" w:cs="David"/>
          <w:sz w:val="24"/>
          <w:szCs w:val="24"/>
        </w:rPr>
        <w:t xml:space="preserve"> </w:t>
      </w:r>
      <w:r>
        <w:rPr>
          <w:rFonts w:ascii="Arial" w:eastAsia="Times New Roman" w:hAnsi="Arial" w:cs="David"/>
          <w:sz w:val="24"/>
          <w:szCs w:val="24"/>
          <w:rtl/>
        </w:rPr>
        <w:t>באירוע</w:t>
      </w:r>
      <w:r>
        <w:rPr>
          <w:rFonts w:ascii="Arial" w:eastAsia="Times New Roman" w:hAnsi="Arial" w:cs="David"/>
          <w:sz w:val="24"/>
          <w:szCs w:val="24"/>
        </w:rPr>
        <w:t xml:space="preserve"> </w:t>
      </w:r>
      <w:r>
        <w:rPr>
          <w:rFonts w:ascii="Arial" w:eastAsia="Times New Roman" w:hAnsi="Arial" w:cs="David"/>
          <w:sz w:val="24"/>
          <w:szCs w:val="24"/>
          <w:rtl/>
        </w:rPr>
        <w:t>אחד</w:t>
      </w:r>
      <w:r>
        <w:rPr>
          <w:rFonts w:ascii="Arial" w:eastAsia="Times New Roman" w:hAnsi="Arial" w:cs="David"/>
          <w:sz w:val="24"/>
          <w:szCs w:val="24"/>
        </w:rPr>
        <w:t xml:space="preserve"> </w:t>
      </w:r>
      <w:r>
        <w:rPr>
          <w:rFonts w:ascii="Arial" w:eastAsia="Times New Roman" w:hAnsi="Arial" w:cs="David"/>
          <w:sz w:val="24"/>
          <w:szCs w:val="24"/>
          <w:rtl/>
        </w:rPr>
        <w:t>או</w:t>
      </w:r>
      <w:r>
        <w:rPr>
          <w:rFonts w:ascii="Arial" w:eastAsia="Times New Roman" w:hAnsi="Arial" w:cs="David"/>
          <w:sz w:val="24"/>
          <w:szCs w:val="24"/>
        </w:rPr>
        <w:t xml:space="preserve"> </w:t>
      </w:r>
      <w:r>
        <w:rPr>
          <w:rFonts w:ascii="Arial" w:eastAsia="Times New Roman" w:hAnsi="Arial" w:cs="David"/>
          <w:sz w:val="24"/>
          <w:szCs w:val="24"/>
          <w:rtl/>
        </w:rPr>
        <w:t>בכמה</w:t>
      </w:r>
      <w:r>
        <w:rPr>
          <w:rFonts w:ascii="Arial" w:eastAsia="Times New Roman" w:hAnsi="Arial" w:cs="David"/>
          <w:sz w:val="24"/>
          <w:szCs w:val="24"/>
        </w:rPr>
        <w:t xml:space="preserve"> </w:t>
      </w:r>
      <w:r>
        <w:rPr>
          <w:rFonts w:ascii="Arial" w:eastAsia="Times New Roman" w:hAnsi="Arial" w:cs="David"/>
          <w:sz w:val="24"/>
          <w:szCs w:val="24"/>
          <w:rtl/>
        </w:rPr>
        <w:t>אירועים</w:t>
      </w:r>
      <w:r>
        <w:rPr>
          <w:rFonts w:ascii="Arial" w:eastAsia="Times New Roman" w:hAnsi="Arial" w:cs="David"/>
          <w:sz w:val="24"/>
          <w:szCs w:val="24"/>
        </w:rPr>
        <w:t xml:space="preserve"> </w:t>
      </w:r>
      <w:r>
        <w:rPr>
          <w:rFonts w:ascii="Arial" w:eastAsia="Times New Roman" w:hAnsi="Arial" w:cs="David"/>
          <w:sz w:val="24"/>
          <w:szCs w:val="24"/>
          <w:rtl/>
        </w:rPr>
        <w:t xml:space="preserve">נפרדים. </w:t>
      </w:r>
    </w:p>
    <w:p w14:paraId="15AAC32A" w14:textId="77777777" w:rsidR="0046341C" w:rsidRDefault="0046341C" w:rsidP="0046341C">
      <w:pPr>
        <w:pStyle w:val="aa"/>
        <w:spacing w:line="360" w:lineRule="auto"/>
        <w:jc w:val="both"/>
        <w:rPr>
          <w:rFonts w:ascii="Arial" w:eastAsia="Times New Roman" w:hAnsi="Arial" w:cs="David"/>
          <w:sz w:val="24"/>
          <w:szCs w:val="24"/>
        </w:rPr>
      </w:pPr>
    </w:p>
    <w:p w14:paraId="530DDF53" w14:textId="77777777" w:rsidR="0046341C" w:rsidRDefault="0046341C" w:rsidP="0046341C">
      <w:pPr>
        <w:pStyle w:val="aa"/>
        <w:numPr>
          <w:ilvl w:val="0"/>
          <w:numId w:val="1"/>
        </w:numPr>
        <w:spacing w:line="360" w:lineRule="auto"/>
        <w:jc w:val="both"/>
        <w:rPr>
          <w:rFonts w:ascii="Arial" w:eastAsia="Times New Roman" w:hAnsi="Arial" w:cs="David"/>
          <w:sz w:val="24"/>
          <w:szCs w:val="24"/>
        </w:rPr>
      </w:pPr>
      <w:r>
        <w:rPr>
          <w:rFonts w:ascii="Arial" w:eastAsia="Times New Roman" w:hAnsi="Arial" w:cs="David"/>
          <w:sz w:val="24"/>
          <w:szCs w:val="24"/>
          <w:rtl/>
        </w:rPr>
        <w:t>בענייננו, נחלקו הצדדים באשר לקביעת מתחם העונש ההולם. כאמור, המאשימה ביקשה לקבוע שני מתחמי ענישה נפרדים, בעוד שההגנה ביקשה לקבוע מתחם אחד לכלל האירועים.</w:t>
      </w:r>
    </w:p>
    <w:p w14:paraId="563D4E6A" w14:textId="77777777" w:rsidR="0046341C" w:rsidRPr="00BD636A" w:rsidRDefault="0046341C" w:rsidP="0046341C">
      <w:pPr>
        <w:pStyle w:val="aa"/>
        <w:rPr>
          <w:rFonts w:ascii="Arial" w:eastAsia="Times New Roman" w:hAnsi="Arial" w:cs="David"/>
          <w:sz w:val="24"/>
          <w:szCs w:val="24"/>
          <w:rtl/>
        </w:rPr>
      </w:pPr>
    </w:p>
    <w:p w14:paraId="08F61B7E" w14:textId="77777777" w:rsidR="0046341C" w:rsidRDefault="0046341C" w:rsidP="0046341C">
      <w:pPr>
        <w:pStyle w:val="aa"/>
        <w:numPr>
          <w:ilvl w:val="0"/>
          <w:numId w:val="1"/>
        </w:numPr>
        <w:spacing w:line="360" w:lineRule="auto"/>
        <w:jc w:val="both"/>
        <w:rPr>
          <w:rFonts w:ascii="Arial" w:eastAsia="Times New Roman" w:hAnsi="Arial" w:cs="David"/>
          <w:sz w:val="24"/>
          <w:szCs w:val="24"/>
          <w:rtl/>
        </w:rPr>
      </w:pPr>
      <w:r>
        <w:rPr>
          <w:rFonts w:ascii="Arial" w:eastAsia="Times New Roman" w:hAnsi="Arial" w:cs="David"/>
          <w:sz w:val="24"/>
          <w:szCs w:val="24"/>
          <w:rtl/>
        </w:rPr>
        <w:t>כידוע, יש להבחין בין "עבירה", "מעשה" ו- "אירוע". יכול וכמה עבירות או כמה מעשים יהוו אירוע אחד, לצורך קביעת מתחם העונש ההולם, ויכול ויהוו כמה אירועים.</w:t>
      </w:r>
    </w:p>
    <w:p w14:paraId="64896239" w14:textId="77777777" w:rsidR="0046341C" w:rsidRDefault="0046341C" w:rsidP="0046341C">
      <w:pPr>
        <w:pStyle w:val="aa"/>
        <w:rPr>
          <w:rFonts w:ascii="Arial" w:eastAsia="Times New Roman" w:hAnsi="Arial" w:cs="David"/>
          <w:sz w:val="24"/>
          <w:szCs w:val="24"/>
        </w:rPr>
      </w:pPr>
    </w:p>
    <w:p w14:paraId="058A206B" w14:textId="77777777" w:rsidR="0046341C" w:rsidRDefault="0046341C" w:rsidP="0046341C">
      <w:pPr>
        <w:pStyle w:val="aa"/>
        <w:numPr>
          <w:ilvl w:val="0"/>
          <w:numId w:val="1"/>
        </w:numPr>
        <w:spacing w:after="0" w:line="360" w:lineRule="auto"/>
        <w:jc w:val="both"/>
        <w:rPr>
          <w:rFonts w:ascii="Arial" w:eastAsia="Times New Roman" w:hAnsi="Arial" w:cs="David"/>
          <w:sz w:val="24"/>
          <w:szCs w:val="24"/>
          <w:rtl/>
        </w:rPr>
      </w:pPr>
      <w:r>
        <w:rPr>
          <w:rFonts w:ascii="Arial" w:eastAsia="Times New Roman" w:hAnsi="Arial" w:cs="David"/>
          <w:sz w:val="24"/>
          <w:szCs w:val="24"/>
          <w:rtl/>
        </w:rPr>
        <w:t xml:space="preserve">אשר לשאלה אם מדובר ב"אירוע אחד" או "מספר אירועים" לצורך קביעת מתחם העונש ההולם, מאחר שלא מצאתי קשר בין העבירות, אני קובעת שיש לראות במכלול האירועים ובכלל העבירות כשני אירועים לצורך קביעת המתחם וזאת בהתאם </w:t>
      </w:r>
      <w:hyperlink r:id="rId25" w:history="1">
        <w:r w:rsidR="00E32036" w:rsidRPr="00E32036">
          <w:rPr>
            <w:rStyle w:val="Hyperlink"/>
            <w:rFonts w:ascii="Arial" w:eastAsia="Times New Roman" w:hAnsi="Arial" w:cs="David"/>
            <w:sz w:val="24"/>
            <w:szCs w:val="24"/>
            <w:rtl/>
          </w:rPr>
          <w:t>לסעיף 40יג(א)</w:t>
        </w:r>
      </w:hyperlink>
      <w:r>
        <w:rPr>
          <w:rFonts w:ascii="Arial" w:eastAsia="Times New Roman" w:hAnsi="Arial" w:cs="David"/>
          <w:sz w:val="24"/>
          <w:szCs w:val="24"/>
          <w:rtl/>
        </w:rPr>
        <w:t xml:space="preserve"> ל</w:t>
      </w:r>
      <w:hyperlink r:id="rId26" w:history="1">
        <w:r w:rsidR="0031461D" w:rsidRPr="0031461D">
          <w:rPr>
            <w:rFonts w:ascii="Arial" w:eastAsia="Times New Roman" w:hAnsi="Arial" w:cs="David"/>
            <w:color w:val="0000FF"/>
            <w:sz w:val="24"/>
            <w:szCs w:val="24"/>
            <w:u w:val="single"/>
            <w:rtl/>
          </w:rPr>
          <w:t>חוק העונשין</w:t>
        </w:r>
      </w:hyperlink>
      <w:r>
        <w:rPr>
          <w:rFonts w:ascii="Arial" w:eastAsia="Times New Roman" w:hAnsi="Arial" w:cs="David"/>
          <w:sz w:val="24"/>
          <w:szCs w:val="24"/>
          <w:rtl/>
        </w:rPr>
        <w:t xml:space="preserve">. </w:t>
      </w:r>
    </w:p>
    <w:p w14:paraId="1F0A5814" w14:textId="77777777" w:rsidR="0046341C" w:rsidRDefault="0046341C" w:rsidP="0046341C">
      <w:pPr>
        <w:pStyle w:val="aa"/>
        <w:rPr>
          <w:rFonts w:ascii="Arial" w:eastAsia="Times New Roman" w:hAnsi="Arial" w:cs="David"/>
          <w:sz w:val="24"/>
          <w:szCs w:val="24"/>
        </w:rPr>
      </w:pPr>
    </w:p>
    <w:p w14:paraId="6AE1BB60" w14:textId="77777777" w:rsidR="0046341C" w:rsidRDefault="0046341C" w:rsidP="0046341C">
      <w:pPr>
        <w:pStyle w:val="aa"/>
        <w:numPr>
          <w:ilvl w:val="0"/>
          <w:numId w:val="1"/>
        </w:numPr>
        <w:spacing w:line="360" w:lineRule="auto"/>
        <w:jc w:val="both"/>
        <w:rPr>
          <w:rFonts w:ascii="Arial" w:eastAsia="Times New Roman" w:hAnsi="Arial" w:cs="David"/>
          <w:sz w:val="24"/>
          <w:szCs w:val="24"/>
          <w:rtl/>
        </w:rPr>
      </w:pPr>
      <w:r>
        <w:rPr>
          <w:rFonts w:ascii="Arial" w:eastAsia="Times New Roman" w:hAnsi="Arial" w:cs="David"/>
          <w:sz w:val="24"/>
          <w:szCs w:val="24"/>
          <w:rtl/>
        </w:rPr>
        <w:t xml:space="preserve">העיקרון המנחה בענישה הוא עקרון ההלימה, היינו קיומו של יחס הולם בין חומרת מעשה העבירה בנסיבותיו ומידת אשמתו של הנאשם ובין סוג ומידת העונש המוטל עליו. לשם קביעת מתחם העונש ההולם, בהתאם לעקרון ההלימה, יש להתחשב </w:t>
      </w:r>
      <w:r>
        <w:rPr>
          <w:rFonts w:ascii="Arial" w:eastAsia="Times New Roman" w:hAnsi="Arial" w:cs="David"/>
          <w:b/>
          <w:bCs/>
          <w:sz w:val="24"/>
          <w:szCs w:val="24"/>
          <w:rtl/>
        </w:rPr>
        <w:t>בערך החברתי שנפגע, במידת הפגיעה בו, במדיניות הענישה הנוהגת ובנסיבות הקשורות בביצוע העבירה.</w:t>
      </w:r>
    </w:p>
    <w:p w14:paraId="70DE2FFB" w14:textId="77777777" w:rsidR="0046341C" w:rsidRDefault="0046341C" w:rsidP="0046341C">
      <w:pPr>
        <w:pStyle w:val="aa"/>
        <w:rPr>
          <w:rFonts w:ascii="Arial" w:eastAsia="Times New Roman" w:hAnsi="Arial" w:cs="David"/>
          <w:sz w:val="24"/>
          <w:szCs w:val="24"/>
        </w:rPr>
      </w:pPr>
    </w:p>
    <w:p w14:paraId="16E3B5C9" w14:textId="77777777" w:rsidR="0046341C" w:rsidRDefault="0046341C" w:rsidP="0046341C">
      <w:pPr>
        <w:pStyle w:val="aa"/>
        <w:numPr>
          <w:ilvl w:val="0"/>
          <w:numId w:val="1"/>
        </w:numPr>
        <w:spacing w:after="0" w:line="360" w:lineRule="auto"/>
        <w:jc w:val="both"/>
        <w:rPr>
          <w:rFonts w:ascii="Arial" w:eastAsia="Times New Roman" w:hAnsi="Arial" w:cs="David"/>
          <w:sz w:val="24"/>
          <w:szCs w:val="24"/>
          <w:rtl/>
        </w:rPr>
      </w:pPr>
      <w:r>
        <w:rPr>
          <w:rFonts w:ascii="Arial" w:eastAsia="Times New Roman" w:hAnsi="Arial" w:cs="David"/>
          <w:sz w:val="24"/>
          <w:szCs w:val="24"/>
          <w:rtl/>
        </w:rPr>
        <w:t xml:space="preserve">במעשיו פגע הנאשם במספר ערכים מוגנים. </w:t>
      </w:r>
      <w:r>
        <w:rPr>
          <w:rFonts w:ascii="David" w:hAnsi="David" w:cs="David"/>
          <w:color w:val="000000"/>
          <w:sz w:val="24"/>
          <w:szCs w:val="24"/>
          <w:rtl/>
        </w:rPr>
        <w:t>בהקשר של עבירות הסמים הערכים החברתיים המוגנים הם הגנה על</w:t>
      </w:r>
      <w:r w:rsidR="0031461D">
        <w:rPr>
          <w:rFonts w:ascii="David" w:hAnsi="David" w:cs="David"/>
          <w:color w:val="000000"/>
          <w:sz w:val="24"/>
          <w:szCs w:val="24"/>
          <w:rtl/>
        </w:rPr>
        <w:t xml:space="preserve"> </w:t>
      </w:r>
      <w:r>
        <w:rPr>
          <w:rFonts w:ascii="David" w:hAnsi="David" w:cs="David"/>
          <w:color w:val="000000"/>
          <w:sz w:val="24"/>
          <w:szCs w:val="24"/>
          <w:rtl/>
        </w:rPr>
        <w:t>חיי אדם, על בריאותו ועל שלמות גופו, כמו גם הגנה על שלום הציבור וביטחונו</w:t>
      </w:r>
      <w:r>
        <w:rPr>
          <w:rFonts w:ascii="David" w:hAnsi="David" w:cs="David"/>
          <w:color w:val="000000"/>
          <w:sz w:val="24"/>
          <w:szCs w:val="24"/>
        </w:rPr>
        <w:t>.</w:t>
      </w:r>
      <w:r>
        <w:rPr>
          <w:rFonts w:ascii="Arial" w:eastAsia="Times New Roman" w:hAnsi="Arial" w:cs="David"/>
          <w:sz w:val="24"/>
          <w:szCs w:val="24"/>
          <w:rtl/>
        </w:rPr>
        <w:t xml:space="preserve"> </w:t>
      </w:r>
    </w:p>
    <w:p w14:paraId="38C18E67" w14:textId="77777777" w:rsidR="0046341C" w:rsidRDefault="0046341C" w:rsidP="0046341C">
      <w:pPr>
        <w:spacing w:line="360" w:lineRule="auto"/>
        <w:ind w:left="720"/>
        <w:jc w:val="both"/>
        <w:rPr>
          <w:rFonts w:ascii="David" w:hAnsi="David"/>
          <w:color w:val="000000"/>
          <w:rtl/>
        </w:rPr>
      </w:pPr>
    </w:p>
    <w:p w14:paraId="7480C99A" w14:textId="77777777" w:rsidR="0046341C" w:rsidRDefault="0046341C" w:rsidP="0046341C">
      <w:pPr>
        <w:pStyle w:val="aa"/>
        <w:numPr>
          <w:ilvl w:val="0"/>
          <w:numId w:val="1"/>
        </w:numPr>
        <w:spacing w:line="360" w:lineRule="auto"/>
        <w:ind w:right="-142"/>
        <w:jc w:val="both"/>
        <w:rPr>
          <w:rFonts w:ascii="David" w:hAnsi="David" w:cs="David"/>
          <w:color w:val="000000"/>
          <w:sz w:val="24"/>
          <w:szCs w:val="24"/>
          <w:shd w:val="clear" w:color="auto" w:fill="FFFFFF"/>
          <w:rtl/>
        </w:rPr>
      </w:pPr>
      <w:r>
        <w:rPr>
          <w:rFonts w:ascii="Arial" w:eastAsia="Times New Roman" w:hAnsi="Arial" w:cs="David"/>
          <w:sz w:val="24"/>
          <w:szCs w:val="24"/>
          <w:rtl/>
        </w:rPr>
        <w:t xml:space="preserve">בעבירת החזקת נשק ותחמושת שלא כדין פגע הנאשם בערך של שמירה על שלום הציבור וביטחונו, ובתוך כך גם בסדר הציבורי, שמירה על שלמות גופו ורכושו של אדם ומניעת פגיעה משמעותית בו כתוצאה משימוש בנשק חם על ידי מי שאינו מורשה לכך. בית המשפט העליון חזר פעם אחר פעם על החומרה הגלומה בעבירות נשק ועל פוטנציאל הפגיעה בנפש וברכוש שעלולים להיגרם כתוצאה מהשימוש בו. </w:t>
      </w:r>
    </w:p>
    <w:p w14:paraId="0BC2FE07" w14:textId="77777777" w:rsidR="0046341C" w:rsidRDefault="0046341C" w:rsidP="0046341C">
      <w:pPr>
        <w:pStyle w:val="aa"/>
        <w:spacing w:line="360" w:lineRule="auto"/>
        <w:ind w:right="-142"/>
        <w:jc w:val="both"/>
        <w:rPr>
          <w:rFonts w:ascii="David" w:hAnsi="David" w:cs="David"/>
          <w:color w:val="000000"/>
          <w:sz w:val="24"/>
          <w:szCs w:val="24"/>
          <w:shd w:val="clear" w:color="auto" w:fill="FFFFFF"/>
        </w:rPr>
      </w:pPr>
    </w:p>
    <w:p w14:paraId="5298075E" w14:textId="77777777" w:rsidR="0046341C" w:rsidRDefault="0046341C" w:rsidP="0046341C">
      <w:pPr>
        <w:pStyle w:val="aa"/>
        <w:numPr>
          <w:ilvl w:val="0"/>
          <w:numId w:val="1"/>
        </w:numPr>
        <w:spacing w:line="360" w:lineRule="auto"/>
        <w:ind w:right="-142"/>
        <w:jc w:val="both"/>
        <w:rPr>
          <w:rFonts w:ascii="David" w:hAnsi="David" w:cs="David"/>
          <w:color w:val="000000"/>
          <w:sz w:val="24"/>
          <w:szCs w:val="24"/>
          <w:shd w:val="clear" w:color="auto" w:fill="FFFFFF"/>
        </w:rPr>
      </w:pPr>
      <w:r>
        <w:rPr>
          <w:rFonts w:ascii="David" w:hAnsi="David" w:cs="David"/>
          <w:color w:val="000000"/>
          <w:sz w:val="24"/>
          <w:szCs w:val="24"/>
          <w:shd w:val="clear" w:color="auto" w:fill="FFFFFF"/>
          <w:rtl/>
        </w:rPr>
        <w:t xml:space="preserve">ההחזקה והשימוש בכלי נשק שלא כדין עלולה לגרום לפגיעה פיזית בחייהם ובשלמות גופם של הסובבים. בנוסף לנזק הפיזי המיידי, שכיחות התופעה והימצאותם של כלי נשק רבים בידי גורמים בלתי מורשים גורמת לשינוי המרקם החברתי ולפגיעה חמורה בביטחונם של אזרחים תמימים. למרבה הצער בשנים האחרונות אנו עדים כמעט מידי יום לאירועים של ירי ושימוש בנשק המביאים לקיפוח חייהם של רבים. </w:t>
      </w:r>
    </w:p>
    <w:p w14:paraId="2D5F7D29" w14:textId="77777777" w:rsidR="0046341C" w:rsidRDefault="0046341C" w:rsidP="0046341C">
      <w:pPr>
        <w:pStyle w:val="aa"/>
        <w:rPr>
          <w:rFonts w:ascii="David" w:hAnsi="David" w:cs="David"/>
          <w:color w:val="000000"/>
          <w:sz w:val="24"/>
          <w:szCs w:val="24"/>
          <w:shd w:val="clear" w:color="auto" w:fill="FFFFFF"/>
        </w:rPr>
      </w:pPr>
    </w:p>
    <w:p w14:paraId="435169D5" w14:textId="77777777" w:rsidR="0046341C" w:rsidRDefault="0046341C" w:rsidP="0046341C">
      <w:pPr>
        <w:pStyle w:val="aa"/>
        <w:numPr>
          <w:ilvl w:val="0"/>
          <w:numId w:val="1"/>
        </w:numPr>
        <w:spacing w:line="360" w:lineRule="auto"/>
        <w:ind w:right="-142"/>
        <w:jc w:val="both"/>
        <w:rPr>
          <w:rFonts w:ascii="Arial" w:eastAsia="Times New Roman" w:hAnsi="Arial" w:cs="David"/>
          <w:sz w:val="24"/>
          <w:szCs w:val="24"/>
          <w:rtl/>
        </w:rPr>
      </w:pPr>
      <w:r>
        <w:rPr>
          <w:rFonts w:ascii="Arial" w:eastAsia="Times New Roman" w:hAnsi="Arial" w:cs="David"/>
          <w:sz w:val="24"/>
          <w:szCs w:val="24"/>
          <w:rtl/>
        </w:rPr>
        <w:t>לא זו אף זו, אך לאחרונה סבר המחוקק כי הגיעה העת להחמיר בענישה בכל הנוגע לאלה המורשעים בעבירות נשק. לפיכך, במסגרתו של תיקון מס' 140 ל</w:t>
      </w:r>
      <w:hyperlink r:id="rId27" w:history="1">
        <w:r w:rsidR="0031461D" w:rsidRPr="0031461D">
          <w:rPr>
            <w:rFonts w:ascii="Arial" w:eastAsia="Times New Roman" w:hAnsi="Arial" w:cs="David"/>
            <w:color w:val="0000FF"/>
            <w:sz w:val="24"/>
            <w:szCs w:val="24"/>
            <w:u w:val="single"/>
            <w:rtl/>
          </w:rPr>
          <w:t>חוק העונשין</w:t>
        </w:r>
      </w:hyperlink>
      <w:r w:rsidR="0031461D">
        <w:rPr>
          <w:rFonts w:ascii="Arial" w:eastAsia="Times New Roman" w:hAnsi="Arial" w:cs="David"/>
          <w:sz w:val="24"/>
          <w:szCs w:val="24"/>
        </w:rPr>
        <w:t xml:space="preserve"> </w:t>
      </w:r>
      <w:r>
        <w:rPr>
          <w:rFonts w:ascii="Arial" w:eastAsia="Times New Roman" w:hAnsi="Arial" w:cs="David"/>
          <w:sz w:val="24"/>
          <w:szCs w:val="24"/>
          <w:rtl/>
        </w:rPr>
        <w:t>(תיקון מס' 140 - הוראת שעה), התשפ"ב-2021, ס"ח 2938) עוגנו</w:t>
      </w:r>
      <w:r w:rsidR="0031461D">
        <w:rPr>
          <w:rFonts w:ascii="Arial" w:eastAsia="Times New Roman" w:hAnsi="Arial" w:cs="David"/>
          <w:sz w:val="24"/>
          <w:szCs w:val="24"/>
          <w:rtl/>
        </w:rPr>
        <w:t xml:space="preserve"> </w:t>
      </w:r>
      <w:r>
        <w:rPr>
          <w:rFonts w:ascii="Arial" w:eastAsia="Times New Roman" w:hAnsi="Arial" w:cs="David"/>
          <w:b/>
          <w:bCs/>
          <w:sz w:val="24"/>
          <w:szCs w:val="24"/>
          <w:rtl/>
        </w:rPr>
        <w:t>עונשי מינימום</w:t>
      </w:r>
      <w:r w:rsidR="0031461D">
        <w:rPr>
          <w:rFonts w:ascii="Arial" w:eastAsia="Times New Roman" w:hAnsi="Arial" w:cs="David"/>
          <w:b/>
          <w:bCs/>
          <w:sz w:val="24"/>
          <w:szCs w:val="24"/>
          <w:rtl/>
        </w:rPr>
        <w:t xml:space="preserve"> </w:t>
      </w:r>
      <w:r>
        <w:rPr>
          <w:rFonts w:ascii="Arial" w:eastAsia="Times New Roman" w:hAnsi="Arial" w:cs="David"/>
          <w:sz w:val="24"/>
          <w:szCs w:val="24"/>
          <w:rtl/>
        </w:rPr>
        <w:t>בכל הנוגע לעבירות שעניינן החזקה, הובלה או סחר בנשק שלא כדין. בתיקון נקבע, כי העונש שיוטל על העבריין במקרים אלו "לא יפחת עונשו מרבע העונש המרבי שנקבע לאותה עבירה, אלא אם כן החליט בית המשפט, מטעמים מיוחדים שיירשמו, להקל בעונשו; ...".</w:t>
      </w:r>
      <w:r w:rsidR="0031461D">
        <w:rPr>
          <w:rFonts w:ascii="Arial" w:eastAsia="Times New Roman" w:hAnsi="Arial" w:cs="David"/>
          <w:sz w:val="24"/>
          <w:szCs w:val="24"/>
          <w:rtl/>
        </w:rPr>
        <w:t xml:space="preserve"> </w:t>
      </w:r>
      <w:r>
        <w:rPr>
          <w:rFonts w:ascii="Arial" w:eastAsia="Times New Roman" w:hAnsi="Arial" w:cs="David"/>
          <w:sz w:val="24"/>
          <w:szCs w:val="24"/>
          <w:rtl/>
        </w:rPr>
        <w:t xml:space="preserve"> (הוראה זו נכנסה לתוקפה ביום 8.12.21,  וזאת לאחר הארועים נשוא כתב האישום. אף אם תיקון החוק אינו חל על העבירות בעניינו, אני סבורה שאין להתעלם</w:t>
      </w:r>
      <w:r w:rsidR="0031461D">
        <w:rPr>
          <w:rFonts w:ascii="Arial" w:eastAsia="Times New Roman" w:hAnsi="Arial" w:cs="David"/>
          <w:sz w:val="24"/>
          <w:szCs w:val="24"/>
          <w:rtl/>
        </w:rPr>
        <w:t xml:space="preserve"> </w:t>
      </w:r>
      <w:r>
        <w:rPr>
          <w:rFonts w:ascii="Arial" w:eastAsia="Times New Roman" w:hAnsi="Arial" w:cs="David"/>
          <w:b/>
          <w:bCs/>
          <w:sz w:val="24"/>
          <w:szCs w:val="24"/>
          <w:rtl/>
        </w:rPr>
        <w:t>מרוח המחוקק הנושבת ממנו</w:t>
      </w:r>
      <w:r w:rsidR="0031461D">
        <w:rPr>
          <w:rFonts w:ascii="Arial" w:eastAsia="Times New Roman" w:hAnsi="Arial" w:cs="David"/>
          <w:sz w:val="24"/>
          <w:szCs w:val="24"/>
          <w:rtl/>
        </w:rPr>
        <w:t xml:space="preserve"> </w:t>
      </w:r>
      <w:r>
        <w:rPr>
          <w:rFonts w:ascii="Arial" w:eastAsia="Times New Roman" w:hAnsi="Arial" w:cs="David"/>
          <w:sz w:val="24"/>
          <w:szCs w:val="24"/>
          <w:rtl/>
        </w:rPr>
        <w:t xml:space="preserve">והעולה מתכלית חקיקתו; מדובר בנדבך נוסף ומשמעותי במערכה למיגור תופעת ההחזקה המפושטת של נשק בלתי חוקי והשימוש בו. </w:t>
      </w:r>
    </w:p>
    <w:p w14:paraId="2555E559" w14:textId="77777777" w:rsidR="0046341C" w:rsidRDefault="0046341C" w:rsidP="0046341C">
      <w:pPr>
        <w:pStyle w:val="aa"/>
        <w:rPr>
          <w:rFonts w:ascii="Arial" w:eastAsia="Times New Roman" w:hAnsi="Arial" w:cs="David"/>
          <w:sz w:val="24"/>
          <w:szCs w:val="24"/>
        </w:rPr>
      </w:pPr>
    </w:p>
    <w:p w14:paraId="6B4C606B" w14:textId="77777777" w:rsidR="0046341C" w:rsidRDefault="0046341C" w:rsidP="0046341C">
      <w:pPr>
        <w:pStyle w:val="aa"/>
        <w:numPr>
          <w:ilvl w:val="0"/>
          <w:numId w:val="1"/>
        </w:numPr>
        <w:spacing w:line="360" w:lineRule="auto"/>
        <w:ind w:right="-142"/>
        <w:jc w:val="both"/>
        <w:rPr>
          <w:rFonts w:ascii="Arial" w:eastAsia="Times New Roman" w:hAnsi="Arial" w:cs="David"/>
          <w:sz w:val="24"/>
          <w:szCs w:val="24"/>
          <w:rtl/>
        </w:rPr>
      </w:pPr>
      <w:r>
        <w:rPr>
          <w:rFonts w:ascii="Arial" w:eastAsia="Times New Roman" w:hAnsi="Arial" w:cs="David"/>
          <w:sz w:val="24"/>
          <w:szCs w:val="24"/>
          <w:rtl/>
        </w:rPr>
        <w:t xml:space="preserve">הנשק שנתפס בביתו של הנאשם הוא רובה ציד ישן, שאמנם ע"פ חוות דעת בליסטית ניתן להשמשה, אולם לא נמצאה תחמושת התואמת לו. גם כמות התחמושת שנתפסה היא מועטה (3 כדורים) וכאמור, איננה תואמת את הנשק. בנסיבות אלה, מצאתי שמתחם העונש ההולם צריך להיות נמוך מן המתחם שהיה נקבע אילו מדובר היה בנשק פעיל ובתחמושת המתאימה לו. בהתאם לאסופת הפסיקה שהגיש הסניגור, אני קובעת שמתחם העונש ההולם נע בין מס' חודשי מאסר שיכול וירוצו בעבודות שירות ועד 12 חודשי מאסר בפועל.  </w:t>
      </w:r>
    </w:p>
    <w:p w14:paraId="6C1BE7F2" w14:textId="77777777" w:rsidR="0046341C" w:rsidRDefault="0046341C" w:rsidP="0046341C">
      <w:pPr>
        <w:pStyle w:val="aa"/>
        <w:rPr>
          <w:rFonts w:ascii="Arial" w:eastAsia="Times New Roman" w:hAnsi="Arial" w:cs="David"/>
          <w:sz w:val="24"/>
          <w:szCs w:val="24"/>
        </w:rPr>
      </w:pPr>
    </w:p>
    <w:p w14:paraId="059E3185" w14:textId="77777777" w:rsidR="0046341C" w:rsidRDefault="0046341C" w:rsidP="0046341C">
      <w:pPr>
        <w:pStyle w:val="aa"/>
        <w:numPr>
          <w:ilvl w:val="0"/>
          <w:numId w:val="1"/>
        </w:numPr>
        <w:spacing w:after="200" w:line="360" w:lineRule="auto"/>
        <w:jc w:val="both"/>
        <w:rPr>
          <w:rFonts w:cs="David"/>
          <w:sz w:val="24"/>
          <w:szCs w:val="24"/>
          <w:rtl/>
        </w:rPr>
      </w:pPr>
      <w:r>
        <w:rPr>
          <w:rFonts w:cs="David"/>
          <w:sz w:val="24"/>
          <w:szCs w:val="24"/>
          <w:rtl/>
        </w:rPr>
        <w:t xml:space="preserve">רבות נכתב על חומרתן של עבירות הסמים, ועל ההשפעה הקשה שיש לאלה על החברה כולה, כמו גם על הצורך בענישה מחמירה לסוחרי ומפיצי הסמים (ראו לדוגמה: </w:t>
      </w:r>
      <w:hyperlink r:id="rId28" w:history="1">
        <w:r w:rsidR="0031461D" w:rsidRPr="0031461D">
          <w:rPr>
            <w:rFonts w:ascii="David" w:hAnsi="David" w:cs="David"/>
            <w:color w:val="0000FF"/>
            <w:sz w:val="24"/>
            <w:szCs w:val="24"/>
            <w:u w:val="single"/>
            <w:rtl/>
          </w:rPr>
          <w:t>ע"פ 4522/18</w:t>
        </w:r>
      </w:hyperlink>
      <w:r>
        <w:rPr>
          <w:rFonts w:ascii="David" w:hAnsi="David" w:cs="David"/>
          <w:sz w:val="24"/>
          <w:szCs w:val="24"/>
          <w:rtl/>
        </w:rPr>
        <w:t xml:space="preserve"> </w:t>
      </w:r>
      <w:r>
        <w:rPr>
          <w:rFonts w:ascii="David" w:hAnsi="David" w:cs="David"/>
          <w:b/>
          <w:bCs/>
          <w:sz w:val="24"/>
          <w:szCs w:val="24"/>
          <w:rtl/>
        </w:rPr>
        <w:t>בנימין אסאבן נ' מדינת ישראל</w:t>
      </w:r>
      <w:r>
        <w:rPr>
          <w:rFonts w:ascii="David" w:hAnsi="David" w:cs="David"/>
          <w:sz w:val="24"/>
          <w:szCs w:val="24"/>
          <w:rtl/>
        </w:rPr>
        <w:t xml:space="preserve"> (פורסם בנבו, 11.11.18))</w:t>
      </w:r>
      <w:r w:rsidRPr="0046341C">
        <w:rPr>
          <w:rFonts w:ascii="Times New Roman" w:hAnsi="Times New Roman" w:cs="Times New Roman"/>
          <w:sz w:val="24"/>
          <w:szCs w:val="24"/>
          <w:rtl/>
        </w:rPr>
        <w:t xml:space="preserve">. </w:t>
      </w:r>
      <w:r>
        <w:rPr>
          <w:rFonts w:cs="David"/>
          <w:sz w:val="24"/>
          <w:szCs w:val="24"/>
          <w:rtl/>
        </w:rPr>
        <w:t>שוב ושוב חוזרת ההלכה הפסוקה על הצורך בענישה מרתיעה, אולם נדמה לעיתים כי הלחימה בנגע הסמים עוד בחיתוליה, וישנו צורך בריכוז מאמץ למיגורה של תופעה פסולה זו:</w:t>
      </w:r>
    </w:p>
    <w:p w14:paraId="20DE5F82" w14:textId="77777777" w:rsidR="0046341C" w:rsidRDefault="0046341C" w:rsidP="0046341C">
      <w:pPr>
        <w:spacing w:line="360" w:lineRule="auto"/>
        <w:ind w:left="2160" w:right="1701"/>
        <w:jc w:val="both"/>
        <w:rPr>
          <w:rFonts w:ascii="David" w:hAnsi="David"/>
          <w:rtl/>
        </w:rPr>
      </w:pPr>
      <w:r>
        <w:rPr>
          <w:rFonts w:ascii="David" w:hAnsi="David"/>
          <w:rtl/>
        </w:rPr>
        <w:t>"</w:t>
      </w:r>
      <w:r w:rsidRPr="0046341C">
        <w:rPr>
          <w:rFonts w:cs="Times New Roman"/>
          <w:rtl/>
        </w:rPr>
        <w:t>בית משפט זה שב והדגיש כי על מדיניות הענישה בגין סחר והפצה של סמים מסוכנים, ובכללן סמים הנחשבים ל"סמים קלים", להיות מרתיעה ומשמעותית, וכי יש לראות בחומרה ניסיונות לעשיית רווח כספי באמצעות סחר בסמים אלה [...] קל וחומר כי כאשר עסקינן בסמים סינתטיים שפגיעתם חמורה יותר, על הענישה להיות מרתיעה ומשמעותית</w:t>
      </w:r>
      <w:r>
        <w:rPr>
          <w:rFonts w:ascii="David" w:hAnsi="David"/>
          <w:rtl/>
        </w:rPr>
        <w:t>" (</w:t>
      </w:r>
      <w:hyperlink r:id="rId29" w:history="1">
        <w:r w:rsidR="0031461D" w:rsidRPr="0031461D">
          <w:rPr>
            <w:rFonts w:ascii="David" w:hAnsi="David"/>
            <w:color w:val="0000FF"/>
            <w:u w:val="single"/>
            <w:rtl/>
          </w:rPr>
          <w:t>רע"פ 2361/20</w:t>
        </w:r>
      </w:hyperlink>
      <w:r>
        <w:rPr>
          <w:rFonts w:ascii="David" w:hAnsi="David"/>
          <w:rtl/>
        </w:rPr>
        <w:t xml:space="preserve"> </w:t>
      </w:r>
      <w:r>
        <w:rPr>
          <w:rFonts w:ascii="David" w:hAnsi="David"/>
          <w:b/>
          <w:bCs/>
          <w:rtl/>
        </w:rPr>
        <w:t>משה בן אדרת נ' מדינת ישראל</w:t>
      </w:r>
      <w:r>
        <w:rPr>
          <w:rFonts w:ascii="David" w:hAnsi="David"/>
          <w:rtl/>
        </w:rPr>
        <w:t xml:space="preserve"> (פורסם בנבו, 06.04.2020), פס' 8).</w:t>
      </w:r>
    </w:p>
    <w:p w14:paraId="0E02CDCE" w14:textId="77777777" w:rsidR="0046341C" w:rsidRDefault="0046341C" w:rsidP="0046341C">
      <w:pPr>
        <w:spacing w:line="360" w:lineRule="auto"/>
        <w:ind w:left="2160" w:right="1701"/>
        <w:jc w:val="both"/>
        <w:rPr>
          <w:rFonts w:ascii="David" w:hAnsi="David"/>
        </w:rPr>
      </w:pPr>
    </w:p>
    <w:p w14:paraId="1C9E0791" w14:textId="77777777" w:rsidR="0046341C" w:rsidRDefault="0046341C" w:rsidP="0046341C">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כידוע, בהלכה הפסוקה נקבע לא אחת כי בהערכת חומרת נסיבות ביצוע עבירות סמים, ישנה חשיבות לבחינה סוג הסם וכמותו (ראו למשל: </w:t>
      </w:r>
      <w:hyperlink r:id="rId30" w:history="1">
        <w:r w:rsidR="0031461D" w:rsidRPr="0031461D">
          <w:rPr>
            <w:rFonts w:ascii="David" w:hAnsi="David" w:cs="David"/>
            <w:color w:val="0000FF"/>
            <w:sz w:val="24"/>
            <w:szCs w:val="24"/>
            <w:u w:val="single"/>
            <w:rtl/>
          </w:rPr>
          <w:t>ע"פ 1654/16</w:t>
        </w:r>
      </w:hyperlink>
      <w:r>
        <w:rPr>
          <w:rFonts w:ascii="David" w:hAnsi="David" w:cs="David"/>
          <w:sz w:val="24"/>
          <w:szCs w:val="24"/>
          <w:rtl/>
        </w:rPr>
        <w:t xml:space="preserve"> </w:t>
      </w:r>
      <w:r>
        <w:rPr>
          <w:rFonts w:ascii="David" w:hAnsi="David" w:cs="David"/>
          <w:b/>
          <w:bCs/>
          <w:sz w:val="24"/>
          <w:szCs w:val="24"/>
          <w:rtl/>
        </w:rPr>
        <w:t>גל שרר נ' מדינת ישראל</w:t>
      </w:r>
      <w:r>
        <w:rPr>
          <w:rFonts w:ascii="David" w:hAnsi="David" w:cs="David"/>
          <w:sz w:val="24"/>
          <w:szCs w:val="24"/>
          <w:rtl/>
        </w:rPr>
        <w:t xml:space="preserve"> (פורסם בנבו, 27.02.17)). בנסיבות המקרה דנא, כמות הסם שנתפסה איננה גדולה (171.20 גרם סם מסוג קנבוס, ו – 52 טבליות סם מסוג </w:t>
      </w:r>
      <w:r>
        <w:rPr>
          <w:rFonts w:ascii="David" w:hAnsi="David" w:cs="David"/>
          <w:sz w:val="24"/>
          <w:szCs w:val="24"/>
        </w:rPr>
        <w:t>MDMA</w:t>
      </w:r>
      <w:r>
        <w:rPr>
          <w:rFonts w:ascii="David" w:hAnsi="David" w:cs="David"/>
          <w:sz w:val="24"/>
          <w:szCs w:val="24"/>
          <w:rtl/>
        </w:rPr>
        <w:t xml:space="preserve">). </w:t>
      </w:r>
    </w:p>
    <w:p w14:paraId="75951433" w14:textId="77777777" w:rsidR="0046341C" w:rsidRDefault="0046341C" w:rsidP="0046341C">
      <w:pPr>
        <w:pStyle w:val="aa"/>
        <w:spacing w:line="360" w:lineRule="auto"/>
        <w:jc w:val="both"/>
        <w:rPr>
          <w:rFonts w:ascii="David" w:hAnsi="David" w:cs="David"/>
          <w:sz w:val="24"/>
          <w:szCs w:val="24"/>
          <w:rtl/>
        </w:rPr>
      </w:pPr>
    </w:p>
    <w:p w14:paraId="7334D026" w14:textId="77777777" w:rsidR="0046341C" w:rsidRDefault="0046341C" w:rsidP="0046341C">
      <w:pPr>
        <w:pStyle w:val="aa"/>
        <w:numPr>
          <w:ilvl w:val="0"/>
          <w:numId w:val="1"/>
        </w:numPr>
        <w:spacing w:line="360" w:lineRule="auto"/>
        <w:jc w:val="both"/>
        <w:rPr>
          <w:rFonts w:ascii="David" w:hAnsi="David" w:cs="David"/>
          <w:sz w:val="24"/>
          <w:szCs w:val="24"/>
          <w:rtl/>
        </w:rPr>
      </w:pPr>
      <w:r>
        <w:rPr>
          <w:rFonts w:ascii="David" w:hAnsi="David" w:cs="David"/>
          <w:sz w:val="24"/>
          <w:szCs w:val="24"/>
          <w:rtl/>
        </w:rPr>
        <w:t>עם זאת, יש לזכור ולהדגיש שהנאשם שבפניי הורשע אך בביצוע עבירה בודדת של החזקה שלא לצריכה עצמית, וללא עבירות סמים נלוות, ובמובן זה חומרת המעשים היא פחותה מביצוע עבירות סחר של ממש, המלמדות על הוצאה לפועל של הפצת הסם בציבור.</w:t>
      </w:r>
    </w:p>
    <w:p w14:paraId="4C224A19" w14:textId="77777777" w:rsidR="0046341C" w:rsidRDefault="0046341C" w:rsidP="0046341C">
      <w:pPr>
        <w:pStyle w:val="aa"/>
        <w:spacing w:line="360" w:lineRule="auto"/>
        <w:ind w:left="360"/>
        <w:jc w:val="both"/>
        <w:rPr>
          <w:rFonts w:ascii="David" w:hAnsi="David" w:cs="David"/>
          <w:sz w:val="24"/>
          <w:szCs w:val="24"/>
          <w:rtl/>
        </w:rPr>
      </w:pPr>
    </w:p>
    <w:p w14:paraId="5A818A81" w14:textId="77777777" w:rsidR="0046341C" w:rsidRDefault="0046341C" w:rsidP="0046341C">
      <w:pPr>
        <w:pStyle w:val="aa"/>
        <w:numPr>
          <w:ilvl w:val="0"/>
          <w:numId w:val="1"/>
        </w:numPr>
        <w:spacing w:after="200" w:line="360" w:lineRule="auto"/>
        <w:jc w:val="both"/>
        <w:rPr>
          <w:rFonts w:cs="David"/>
          <w:sz w:val="24"/>
          <w:szCs w:val="24"/>
          <w:rtl/>
        </w:rPr>
      </w:pPr>
      <w:r>
        <w:rPr>
          <w:rFonts w:cs="David"/>
          <w:sz w:val="24"/>
          <w:szCs w:val="24"/>
          <w:rtl/>
        </w:rPr>
        <w:t xml:space="preserve">בחינת מדיניות הענישה הנוהגת מעלה כי בגין העבירה בה הורשע הנאשם, משיתים בתי המשפט לרוב עונשים של מאסר בפועל, ואולם, כמצוין לעיל, ברור כי הדבר מושפע מסוג הסם, כמותו, נסיבות ביצוע המעשה והעושה. ראו בשינויים המחייבים, ענישה ומתחמי עונש הולם: </w:t>
      </w:r>
      <w:hyperlink r:id="rId31" w:history="1">
        <w:r w:rsidR="0031461D" w:rsidRPr="0031461D">
          <w:rPr>
            <w:rFonts w:ascii="Times New Roman" w:hAnsi="Times New Roman" w:cs="Times New Roman"/>
            <w:color w:val="0000FF"/>
            <w:sz w:val="24"/>
            <w:szCs w:val="24"/>
            <w:u w:val="single"/>
            <w:rtl/>
          </w:rPr>
          <w:t>רע"פ 1281/19</w:t>
        </w:r>
      </w:hyperlink>
      <w:r w:rsidRPr="0046341C">
        <w:rPr>
          <w:rFonts w:ascii="Times New Roman" w:hAnsi="Times New Roman" w:cs="Times New Roman"/>
          <w:sz w:val="24"/>
          <w:szCs w:val="24"/>
          <w:rtl/>
        </w:rPr>
        <w:t xml:space="preserve"> </w:t>
      </w:r>
      <w:r w:rsidRPr="0046341C">
        <w:rPr>
          <w:rFonts w:ascii="Times New Roman" w:hAnsi="Times New Roman" w:cs="Times New Roman"/>
          <w:b/>
          <w:bCs/>
          <w:sz w:val="24"/>
          <w:szCs w:val="24"/>
          <w:rtl/>
        </w:rPr>
        <w:t>אוחנה מישאל נ' מדינת ישראל</w:t>
      </w:r>
      <w:r w:rsidRPr="0046341C">
        <w:rPr>
          <w:rFonts w:ascii="Times New Roman" w:hAnsi="Times New Roman" w:cs="Times New Roman"/>
          <w:sz w:val="24"/>
          <w:szCs w:val="24"/>
          <w:rtl/>
        </w:rPr>
        <w:t xml:space="preserve"> (פורסם בנבו, 4.4.19); </w:t>
      </w:r>
      <w:hyperlink r:id="rId32" w:history="1">
        <w:r w:rsidR="0031461D" w:rsidRPr="0031461D">
          <w:rPr>
            <w:rFonts w:ascii="Times New Roman" w:hAnsi="Times New Roman" w:cs="Times New Roman"/>
            <w:color w:val="0000FF"/>
            <w:sz w:val="24"/>
            <w:szCs w:val="24"/>
            <w:u w:val="single"/>
            <w:rtl/>
          </w:rPr>
          <w:t>רע"פ 3807/18</w:t>
        </w:r>
      </w:hyperlink>
      <w:r w:rsidRPr="0046341C">
        <w:rPr>
          <w:rFonts w:ascii="Times New Roman" w:hAnsi="Times New Roman" w:cs="Times New Roman"/>
          <w:sz w:val="24"/>
          <w:szCs w:val="24"/>
          <w:rtl/>
        </w:rPr>
        <w:t xml:space="preserve"> </w:t>
      </w:r>
      <w:r w:rsidRPr="0046341C">
        <w:rPr>
          <w:rFonts w:ascii="Times New Roman" w:hAnsi="Times New Roman" w:cs="Times New Roman"/>
          <w:b/>
          <w:bCs/>
          <w:sz w:val="24"/>
          <w:szCs w:val="24"/>
          <w:rtl/>
        </w:rPr>
        <w:t>דמיטרי טרטיאקוב נ' מדינת ישראל</w:t>
      </w:r>
      <w:r w:rsidRPr="0046341C">
        <w:rPr>
          <w:rFonts w:ascii="Times New Roman" w:hAnsi="Times New Roman" w:cs="Times New Roman"/>
          <w:sz w:val="24"/>
          <w:szCs w:val="24"/>
          <w:rtl/>
        </w:rPr>
        <w:t xml:space="preserve"> (פורסם בנבו, 12.8.18); </w:t>
      </w:r>
      <w:hyperlink r:id="rId33" w:history="1">
        <w:r w:rsidR="0031461D" w:rsidRPr="0031461D">
          <w:rPr>
            <w:rFonts w:ascii="Times New Roman" w:hAnsi="Times New Roman" w:cs="Times New Roman"/>
            <w:color w:val="0000FF"/>
            <w:sz w:val="24"/>
            <w:szCs w:val="24"/>
            <w:u w:val="single"/>
            <w:rtl/>
          </w:rPr>
          <w:t>רע"פ 2870/18</w:t>
        </w:r>
      </w:hyperlink>
      <w:r w:rsidRPr="0046341C">
        <w:rPr>
          <w:rFonts w:ascii="Times New Roman" w:hAnsi="Times New Roman" w:cs="Times New Roman"/>
          <w:sz w:val="24"/>
          <w:szCs w:val="24"/>
          <w:rtl/>
        </w:rPr>
        <w:t xml:space="preserve"> </w:t>
      </w:r>
      <w:r w:rsidRPr="0046341C">
        <w:rPr>
          <w:rFonts w:ascii="Times New Roman" w:hAnsi="Times New Roman" w:cs="Times New Roman"/>
          <w:b/>
          <w:bCs/>
          <w:sz w:val="24"/>
          <w:szCs w:val="24"/>
          <w:rtl/>
        </w:rPr>
        <w:t>ניר כהן נ' מדינת ישראל</w:t>
      </w:r>
      <w:r w:rsidRPr="0046341C">
        <w:rPr>
          <w:rFonts w:ascii="Times New Roman" w:hAnsi="Times New Roman" w:cs="Times New Roman"/>
          <w:sz w:val="24"/>
          <w:szCs w:val="24"/>
          <w:rtl/>
        </w:rPr>
        <w:t xml:space="preserve"> (פורסם בנבו, 11.6.18);</w:t>
      </w:r>
      <w:r>
        <w:rPr>
          <w:rFonts w:cs="David"/>
          <w:sz w:val="24"/>
          <w:szCs w:val="24"/>
          <w:rtl/>
        </w:rPr>
        <w:t xml:space="preserve"> </w:t>
      </w:r>
      <w:hyperlink r:id="rId34" w:history="1">
        <w:r w:rsidR="0031461D" w:rsidRPr="0031461D">
          <w:rPr>
            <w:rFonts w:ascii="Times New Roman" w:hAnsi="Times New Roman" w:cs="Times New Roman"/>
            <w:color w:val="0000FF"/>
            <w:sz w:val="24"/>
            <w:szCs w:val="24"/>
            <w:u w:val="single"/>
            <w:rtl/>
          </w:rPr>
          <w:t>רע"פ 4512/15</w:t>
        </w:r>
      </w:hyperlink>
      <w:r w:rsidRPr="0046341C">
        <w:rPr>
          <w:rFonts w:ascii="Times New Roman" w:hAnsi="Times New Roman" w:cs="Times New Roman"/>
          <w:sz w:val="24"/>
          <w:szCs w:val="24"/>
          <w:rtl/>
        </w:rPr>
        <w:t xml:space="preserve"> </w:t>
      </w:r>
      <w:r w:rsidRPr="0046341C">
        <w:rPr>
          <w:rFonts w:ascii="Times New Roman" w:hAnsi="Times New Roman" w:cs="Times New Roman"/>
          <w:b/>
          <w:bCs/>
          <w:sz w:val="24"/>
          <w:szCs w:val="24"/>
          <w:rtl/>
        </w:rPr>
        <w:t>אברהם הרוש נ' מדינת ישראל</w:t>
      </w:r>
      <w:r w:rsidRPr="0046341C">
        <w:rPr>
          <w:rFonts w:ascii="Times New Roman" w:hAnsi="Times New Roman" w:cs="Times New Roman"/>
          <w:sz w:val="24"/>
          <w:szCs w:val="24"/>
          <w:rtl/>
        </w:rPr>
        <w:t xml:space="preserve"> (פורסם בנבו, 06.07.15)).</w:t>
      </w:r>
    </w:p>
    <w:p w14:paraId="36AB6682" w14:textId="77777777" w:rsidR="0046341C" w:rsidRDefault="0046341C" w:rsidP="0046341C">
      <w:pPr>
        <w:pStyle w:val="aa"/>
        <w:spacing w:line="360" w:lineRule="auto"/>
        <w:ind w:left="360"/>
        <w:jc w:val="both"/>
        <w:rPr>
          <w:rFonts w:cs="David"/>
          <w:sz w:val="24"/>
          <w:szCs w:val="24"/>
        </w:rPr>
      </w:pPr>
    </w:p>
    <w:p w14:paraId="6888556D" w14:textId="77777777" w:rsidR="0046341C" w:rsidRDefault="0046341C" w:rsidP="0046341C">
      <w:pPr>
        <w:pStyle w:val="aa"/>
        <w:numPr>
          <w:ilvl w:val="0"/>
          <w:numId w:val="1"/>
        </w:numPr>
        <w:spacing w:after="200" w:line="360" w:lineRule="auto"/>
        <w:jc w:val="both"/>
        <w:rPr>
          <w:rFonts w:cs="David"/>
          <w:sz w:val="24"/>
          <w:szCs w:val="24"/>
        </w:rPr>
      </w:pPr>
      <w:r>
        <w:rPr>
          <w:rFonts w:cs="David"/>
          <w:sz w:val="24"/>
          <w:szCs w:val="24"/>
          <w:rtl/>
        </w:rPr>
        <w:t>בנסיבות האמורות אני סבורה כי מתחם העונש ההולם את העבירה, בשים לב לסוג הסם שנתפס, כמות הסם ויתר נסיבות ביצועה, נע בין מספר חודשי מאסר בפועל, אשר במקרים המתאימים יכול וירוצו בעבודות שירות, לבין 16 חודשי מאסר בפועל.</w:t>
      </w:r>
    </w:p>
    <w:p w14:paraId="51422C62" w14:textId="77777777" w:rsidR="0046341C" w:rsidRDefault="0046341C" w:rsidP="0046341C">
      <w:pPr>
        <w:pStyle w:val="aa"/>
        <w:rPr>
          <w:rFonts w:cs="David"/>
          <w:sz w:val="24"/>
          <w:szCs w:val="24"/>
        </w:rPr>
      </w:pPr>
    </w:p>
    <w:p w14:paraId="72AD9A1E" w14:textId="77777777" w:rsidR="0046341C" w:rsidRDefault="0046341C" w:rsidP="0046341C">
      <w:pPr>
        <w:pStyle w:val="aa"/>
        <w:numPr>
          <w:ilvl w:val="0"/>
          <w:numId w:val="1"/>
        </w:numPr>
        <w:spacing w:line="360" w:lineRule="auto"/>
        <w:jc w:val="both"/>
        <w:rPr>
          <w:rFonts w:cs="David"/>
          <w:sz w:val="24"/>
          <w:szCs w:val="24"/>
          <w:rtl/>
        </w:rPr>
      </w:pPr>
      <w:r>
        <w:rPr>
          <w:rFonts w:cs="David"/>
          <w:sz w:val="24"/>
          <w:szCs w:val="24"/>
          <w:rtl/>
        </w:rPr>
        <w:t>טענת ההגנה לפיה מתחם העונש ההולם צריך להתחיל ממאסר מותנה איננה סבירה בנסיבות העניין, ואינה עולה בקנה אחד עם מדיניות הענישה המרתיעה בעבירות הסמים. אין לכחד, כי כל עבירת סמים שונה מן השנייה, אולם במסגרת הניסיון להביא לחדילה מפעילות עבריינית בתחום הסמים, יש להשית ענישה בעלת רכיב מוחשי וקונקרטי.</w:t>
      </w:r>
    </w:p>
    <w:p w14:paraId="08FE6E08" w14:textId="77777777" w:rsidR="0046341C" w:rsidRDefault="0046341C" w:rsidP="0046341C">
      <w:pPr>
        <w:pStyle w:val="aa"/>
        <w:spacing w:line="360" w:lineRule="auto"/>
        <w:ind w:left="360"/>
        <w:jc w:val="both"/>
        <w:rPr>
          <w:rFonts w:cs="David"/>
          <w:sz w:val="24"/>
          <w:szCs w:val="24"/>
          <w:rtl/>
        </w:rPr>
      </w:pPr>
    </w:p>
    <w:p w14:paraId="23CFE992" w14:textId="77777777" w:rsidR="0046341C" w:rsidRDefault="0046341C" w:rsidP="0046341C">
      <w:pPr>
        <w:pStyle w:val="aa"/>
        <w:numPr>
          <w:ilvl w:val="0"/>
          <w:numId w:val="1"/>
        </w:numPr>
        <w:spacing w:line="360" w:lineRule="auto"/>
        <w:ind w:right="-142"/>
        <w:jc w:val="both"/>
        <w:rPr>
          <w:rFonts w:ascii="Arial" w:eastAsia="Times New Roman" w:hAnsi="Arial" w:cs="David"/>
          <w:sz w:val="24"/>
          <w:szCs w:val="24"/>
          <w:rtl/>
        </w:rPr>
      </w:pPr>
      <w:r>
        <w:rPr>
          <w:rFonts w:ascii="Arial" w:eastAsia="Times New Roman" w:hAnsi="Arial" w:cs="David"/>
          <w:sz w:val="24"/>
          <w:szCs w:val="24"/>
          <w:rtl/>
        </w:rPr>
        <w:t xml:space="preserve">באשר </w:t>
      </w:r>
      <w:r>
        <w:rPr>
          <w:rFonts w:ascii="Arial" w:eastAsia="Times New Roman" w:hAnsi="Arial" w:cs="David"/>
          <w:sz w:val="24"/>
          <w:szCs w:val="24"/>
          <w:u w:val="single"/>
          <w:rtl/>
        </w:rPr>
        <w:t>לנסיבות ביצוע העבירה</w:t>
      </w:r>
      <w:r>
        <w:rPr>
          <w:rFonts w:ascii="Arial" w:eastAsia="Times New Roman" w:hAnsi="Arial" w:cs="David"/>
          <w:sz w:val="24"/>
          <w:szCs w:val="24"/>
          <w:rtl/>
        </w:rPr>
        <w:t xml:space="preserve">, לא השתכנעתי שהתקיימו תכנון מוקדם והיערכות מוקדמת, וזאת הן ביחס לעבירות הסמים והן ביחס לאחזקת הנשק והתחמושת. לדברי הנאשם – שלא נסתרו – המדובר ברובה ציד ישן של אביו. לעניין הסמים מדובר בכמות לא גדולה. </w:t>
      </w:r>
    </w:p>
    <w:p w14:paraId="7A405682" w14:textId="77777777" w:rsidR="0046341C" w:rsidRDefault="0046341C" w:rsidP="0046341C">
      <w:pPr>
        <w:spacing w:line="360" w:lineRule="auto"/>
        <w:ind w:left="720" w:right="-142"/>
        <w:jc w:val="both"/>
        <w:rPr>
          <w:rFonts w:ascii="Arial" w:hAnsi="Arial"/>
          <w:rtl/>
        </w:rPr>
      </w:pPr>
      <w:r>
        <w:rPr>
          <w:rFonts w:ascii="Arial" w:hAnsi="Arial"/>
          <w:rtl/>
        </w:rPr>
        <w:t xml:space="preserve">מכל האמור לעיל, אני קובעת שמידת הפגיעה בערכים המוגנים היא </w:t>
      </w:r>
      <w:r>
        <w:rPr>
          <w:rFonts w:ascii="Arial" w:hAnsi="Arial"/>
          <w:u w:val="single"/>
          <w:rtl/>
        </w:rPr>
        <w:t>נמוכה</w:t>
      </w:r>
      <w:r>
        <w:rPr>
          <w:rFonts w:ascii="Arial" w:hAnsi="Arial"/>
          <w:rtl/>
        </w:rPr>
        <w:t>.</w:t>
      </w:r>
    </w:p>
    <w:p w14:paraId="1143BC94" w14:textId="77777777" w:rsidR="0046341C" w:rsidRDefault="0046341C" w:rsidP="0046341C">
      <w:pPr>
        <w:spacing w:line="360" w:lineRule="auto"/>
        <w:ind w:left="720" w:right="-142"/>
        <w:jc w:val="both"/>
        <w:rPr>
          <w:rFonts w:ascii="Arial" w:hAnsi="Arial"/>
          <w:rtl/>
        </w:rPr>
      </w:pPr>
    </w:p>
    <w:p w14:paraId="6EA63D46" w14:textId="77777777" w:rsidR="0046341C" w:rsidRDefault="0046341C" w:rsidP="0046341C">
      <w:pPr>
        <w:spacing w:line="360" w:lineRule="auto"/>
        <w:ind w:right="-142"/>
        <w:jc w:val="both"/>
        <w:rPr>
          <w:rFonts w:ascii="Arial" w:hAnsi="Arial"/>
          <w:u w:val="single"/>
          <w:rtl/>
        </w:rPr>
      </w:pPr>
      <w:r>
        <w:rPr>
          <w:rFonts w:ascii="Arial" w:hAnsi="Arial"/>
          <w:u w:val="single"/>
          <w:rtl/>
        </w:rPr>
        <w:t>העונש המתאים לנאשם</w:t>
      </w:r>
    </w:p>
    <w:p w14:paraId="7A899984" w14:textId="77777777" w:rsidR="0046341C" w:rsidRDefault="0046341C" w:rsidP="0046341C">
      <w:pPr>
        <w:spacing w:line="360" w:lineRule="auto"/>
        <w:ind w:right="-142"/>
        <w:jc w:val="both"/>
        <w:rPr>
          <w:rFonts w:ascii="Arial" w:hAnsi="Arial"/>
          <w:u w:val="single"/>
          <w:rtl/>
        </w:rPr>
      </w:pPr>
    </w:p>
    <w:p w14:paraId="0BD35D29" w14:textId="77777777" w:rsidR="0046341C" w:rsidRDefault="0046341C" w:rsidP="0046341C">
      <w:pPr>
        <w:pStyle w:val="aa"/>
        <w:numPr>
          <w:ilvl w:val="0"/>
          <w:numId w:val="1"/>
        </w:numPr>
        <w:spacing w:line="360" w:lineRule="auto"/>
        <w:ind w:right="-142"/>
        <w:jc w:val="both"/>
        <w:rPr>
          <w:rFonts w:ascii="Arial" w:eastAsia="Times New Roman" w:hAnsi="Arial" w:cs="David"/>
          <w:sz w:val="24"/>
          <w:szCs w:val="24"/>
          <w:u w:val="single"/>
          <w:rtl/>
        </w:rPr>
      </w:pPr>
      <w:r>
        <w:rPr>
          <w:rFonts w:ascii="Arial" w:eastAsia="Times New Roman" w:hAnsi="Arial" w:cs="David"/>
          <w:sz w:val="24"/>
          <w:szCs w:val="24"/>
          <w:rtl/>
        </w:rPr>
        <w:t xml:space="preserve">משקבעתי את מתחם העונש ההולם, יש לגזור את העונש המתאים לנאשם, בהתחשב </w:t>
      </w:r>
      <w:r>
        <w:rPr>
          <w:rFonts w:ascii="Arial" w:eastAsia="Times New Roman" w:hAnsi="Arial" w:cs="David"/>
          <w:sz w:val="24"/>
          <w:szCs w:val="24"/>
          <w:u w:val="single"/>
          <w:rtl/>
        </w:rPr>
        <w:t>בנסיבות שאינן קשורות בביצוע העבירה.</w:t>
      </w:r>
    </w:p>
    <w:p w14:paraId="46A99947" w14:textId="77777777" w:rsidR="0046341C" w:rsidRDefault="0046341C" w:rsidP="0046341C">
      <w:pPr>
        <w:pStyle w:val="aa"/>
        <w:numPr>
          <w:ilvl w:val="0"/>
          <w:numId w:val="1"/>
        </w:numPr>
        <w:spacing w:line="360" w:lineRule="auto"/>
        <w:ind w:right="-142"/>
        <w:jc w:val="both"/>
        <w:rPr>
          <w:rFonts w:ascii="David" w:eastAsia="Times New Roman" w:hAnsi="David" w:cs="David"/>
          <w:sz w:val="24"/>
          <w:szCs w:val="24"/>
          <w:rtl/>
        </w:rPr>
      </w:pPr>
      <w:r>
        <w:rPr>
          <w:rFonts w:ascii="David" w:eastAsia="Times New Roman" w:hAnsi="David" w:cs="David"/>
          <w:sz w:val="24"/>
          <w:szCs w:val="24"/>
          <w:rtl/>
        </w:rPr>
        <w:t>מדובר בנאשם צעיר ונעדר עבר פלילי, וזאת יש לזקוף לזכותו. גם נסיבות חייו הקשות מהוות משקל בבואי לקבוע את העונש הראוי.</w:t>
      </w:r>
    </w:p>
    <w:p w14:paraId="736A1926" w14:textId="77777777" w:rsidR="0046341C" w:rsidRDefault="0046341C" w:rsidP="0046341C">
      <w:pPr>
        <w:pStyle w:val="aa"/>
        <w:rPr>
          <w:rFonts w:ascii="David" w:eastAsia="Times New Roman" w:hAnsi="David" w:cs="David"/>
          <w:sz w:val="24"/>
          <w:szCs w:val="24"/>
        </w:rPr>
      </w:pPr>
    </w:p>
    <w:p w14:paraId="4853B746" w14:textId="77777777" w:rsidR="0046341C" w:rsidRDefault="0046341C" w:rsidP="0046341C">
      <w:pPr>
        <w:pStyle w:val="aa"/>
        <w:numPr>
          <w:ilvl w:val="0"/>
          <w:numId w:val="1"/>
        </w:numPr>
        <w:spacing w:line="360" w:lineRule="auto"/>
        <w:ind w:right="-142"/>
        <w:jc w:val="both"/>
        <w:rPr>
          <w:rFonts w:ascii="Arial" w:eastAsia="Times New Roman" w:hAnsi="Arial" w:cs="David"/>
          <w:sz w:val="24"/>
          <w:szCs w:val="24"/>
          <w:rtl/>
        </w:rPr>
      </w:pPr>
      <w:r>
        <w:rPr>
          <w:rFonts w:ascii="Arial" w:eastAsia="Times New Roman" w:hAnsi="Arial" w:cs="David"/>
          <w:sz w:val="24"/>
          <w:szCs w:val="24"/>
          <w:rtl/>
        </w:rPr>
        <w:t xml:space="preserve">מכלול הנסיבות שאינן קשורות לביצוע עבירה מחייב לגזור על הנאשם עונש המצוי בחלקו התחתון של מתחמי העונשים שקבעתי. </w:t>
      </w:r>
    </w:p>
    <w:p w14:paraId="4EAAC4A2" w14:textId="77777777" w:rsidR="0046341C" w:rsidRDefault="0046341C" w:rsidP="0046341C">
      <w:pPr>
        <w:pStyle w:val="aa"/>
        <w:rPr>
          <w:rFonts w:ascii="Arial" w:eastAsia="Times New Roman" w:hAnsi="Arial" w:cs="David"/>
          <w:sz w:val="24"/>
          <w:szCs w:val="24"/>
        </w:rPr>
      </w:pPr>
    </w:p>
    <w:p w14:paraId="08464A47" w14:textId="77777777" w:rsidR="0046341C" w:rsidRDefault="0046341C" w:rsidP="0046341C">
      <w:pPr>
        <w:pStyle w:val="aa"/>
        <w:numPr>
          <w:ilvl w:val="0"/>
          <w:numId w:val="1"/>
        </w:numPr>
        <w:spacing w:line="360" w:lineRule="auto"/>
        <w:ind w:right="-142"/>
        <w:jc w:val="both"/>
        <w:rPr>
          <w:rFonts w:ascii="Arial" w:eastAsia="Times New Roman" w:hAnsi="Arial" w:cs="David"/>
          <w:sz w:val="24"/>
          <w:szCs w:val="24"/>
          <w:rtl/>
        </w:rPr>
      </w:pPr>
      <w:r>
        <w:rPr>
          <w:rFonts w:ascii="Arial" w:eastAsia="Times New Roman" w:hAnsi="Arial" w:cs="David"/>
          <w:sz w:val="24"/>
          <w:szCs w:val="24"/>
          <w:rtl/>
        </w:rPr>
        <w:t xml:space="preserve">לעניין עבירת הנשק אני סבורה שהעונש המתאים הוא חמישה חודשי מאסר שיכול וירוצו בעבודות שירות. </w:t>
      </w:r>
    </w:p>
    <w:p w14:paraId="0B9C4DF4" w14:textId="77777777" w:rsidR="0046341C" w:rsidRDefault="0046341C" w:rsidP="0046341C">
      <w:pPr>
        <w:pStyle w:val="aa"/>
        <w:rPr>
          <w:rFonts w:ascii="Arial" w:eastAsia="Times New Roman" w:hAnsi="Arial" w:cs="David"/>
          <w:sz w:val="24"/>
          <w:szCs w:val="24"/>
        </w:rPr>
      </w:pPr>
    </w:p>
    <w:p w14:paraId="06673A0C" w14:textId="77777777" w:rsidR="0046341C" w:rsidRDefault="0046341C" w:rsidP="0046341C">
      <w:pPr>
        <w:pStyle w:val="aa"/>
        <w:numPr>
          <w:ilvl w:val="0"/>
          <w:numId w:val="1"/>
        </w:numPr>
        <w:spacing w:line="360" w:lineRule="auto"/>
        <w:ind w:right="-142"/>
        <w:jc w:val="both"/>
        <w:rPr>
          <w:rFonts w:ascii="Arial" w:eastAsia="Times New Roman" w:hAnsi="Arial" w:cs="David"/>
          <w:sz w:val="24"/>
          <w:szCs w:val="24"/>
          <w:rtl/>
        </w:rPr>
      </w:pPr>
      <w:r>
        <w:rPr>
          <w:rFonts w:ascii="Arial" w:eastAsia="Times New Roman" w:hAnsi="Arial" w:cs="David"/>
          <w:sz w:val="24"/>
          <w:szCs w:val="24"/>
          <w:rtl/>
        </w:rPr>
        <w:t xml:space="preserve">לעניין עבירת הסמים (לרבות השיבוש) אני סבורה שהעונש המתאים הוא ארבעה חודשי מאסר שיכול וירוצו בעבודות שירות. </w:t>
      </w:r>
    </w:p>
    <w:p w14:paraId="412A9EDF" w14:textId="77777777" w:rsidR="0046341C" w:rsidRDefault="0046341C" w:rsidP="0046341C">
      <w:pPr>
        <w:pStyle w:val="aa"/>
        <w:rPr>
          <w:rFonts w:ascii="Arial" w:eastAsia="Times New Roman" w:hAnsi="Arial" w:cs="David"/>
          <w:sz w:val="24"/>
          <w:szCs w:val="24"/>
        </w:rPr>
      </w:pPr>
    </w:p>
    <w:p w14:paraId="1B1DB9EA" w14:textId="77777777" w:rsidR="0046341C" w:rsidRDefault="0046341C" w:rsidP="0046341C">
      <w:pPr>
        <w:spacing w:line="360" w:lineRule="auto"/>
        <w:ind w:right="-142"/>
        <w:jc w:val="both"/>
        <w:rPr>
          <w:rFonts w:ascii="Arial" w:hAnsi="Arial"/>
          <w:b/>
          <w:bCs/>
          <w:u w:val="single"/>
          <w:rtl/>
        </w:rPr>
      </w:pPr>
      <w:r>
        <w:rPr>
          <w:rFonts w:ascii="Arial" w:hAnsi="Arial"/>
          <w:b/>
          <w:bCs/>
          <w:u w:val="single"/>
          <w:rtl/>
        </w:rPr>
        <w:t>נוכח כל האמור לעיל, אני גוזרת על הנאשם את העונשים הבאים:</w:t>
      </w:r>
    </w:p>
    <w:p w14:paraId="5E7204DF" w14:textId="77777777" w:rsidR="0046341C" w:rsidRDefault="0046341C" w:rsidP="0046341C">
      <w:pPr>
        <w:spacing w:line="360" w:lineRule="auto"/>
        <w:ind w:right="-142"/>
        <w:jc w:val="both"/>
        <w:rPr>
          <w:rFonts w:ascii="Arial" w:hAnsi="Arial"/>
          <w:b/>
          <w:bCs/>
          <w:u w:val="single"/>
          <w:rtl/>
        </w:rPr>
      </w:pPr>
    </w:p>
    <w:p w14:paraId="5731C80F" w14:textId="77777777" w:rsidR="0046341C" w:rsidRDefault="0046341C" w:rsidP="0046341C">
      <w:pPr>
        <w:pStyle w:val="aa"/>
        <w:numPr>
          <w:ilvl w:val="0"/>
          <w:numId w:val="2"/>
        </w:numPr>
        <w:spacing w:line="360" w:lineRule="auto"/>
        <w:ind w:right="-142"/>
        <w:jc w:val="both"/>
        <w:rPr>
          <w:rFonts w:ascii="Arial" w:eastAsia="Times New Roman" w:hAnsi="Arial" w:cs="David"/>
          <w:sz w:val="24"/>
          <w:szCs w:val="24"/>
          <w:rtl/>
        </w:rPr>
      </w:pPr>
      <w:r>
        <w:rPr>
          <w:rFonts w:ascii="Arial" w:eastAsia="Times New Roman" w:hAnsi="Arial" w:cs="David"/>
          <w:sz w:val="24"/>
          <w:szCs w:val="24"/>
          <w:rtl/>
        </w:rPr>
        <w:t xml:space="preserve">9 חודשי מאסר שירוצו בעבודות שירות. הנאשם יתייצב לתחילת ריצוי ביום 21.3.23 בשעה 8:00 בפני הממונה על עבודות שירות, כלא באר שבע. </w:t>
      </w:r>
    </w:p>
    <w:p w14:paraId="2BD4DA9E" w14:textId="77777777" w:rsidR="0046341C" w:rsidRDefault="0046341C" w:rsidP="0046341C">
      <w:pPr>
        <w:pStyle w:val="aa"/>
        <w:numPr>
          <w:ilvl w:val="0"/>
          <w:numId w:val="2"/>
        </w:numPr>
        <w:spacing w:line="360" w:lineRule="auto"/>
        <w:ind w:right="-142"/>
        <w:jc w:val="both"/>
        <w:rPr>
          <w:rFonts w:ascii="Arial" w:eastAsia="Times New Roman" w:hAnsi="Arial" w:cs="David"/>
          <w:sz w:val="24"/>
          <w:szCs w:val="24"/>
        </w:rPr>
      </w:pPr>
      <w:r>
        <w:rPr>
          <w:rFonts w:ascii="Arial" w:eastAsia="Times New Roman" w:hAnsi="Arial" w:cs="David"/>
          <w:sz w:val="24"/>
          <w:szCs w:val="24"/>
          <w:rtl/>
        </w:rPr>
        <w:t xml:space="preserve">מאסר למשך 12 חודשים, אותו לא יישא הנאשם זולת אם יעבור בתוך תקופה של 3 שנים מהיום עבירות לפי </w:t>
      </w:r>
      <w:hyperlink r:id="rId35" w:history="1">
        <w:r w:rsidR="0031461D" w:rsidRPr="0031461D">
          <w:rPr>
            <w:rFonts w:ascii="Arial" w:eastAsia="Times New Roman" w:hAnsi="Arial" w:cs="David"/>
            <w:color w:val="0000FF"/>
            <w:sz w:val="24"/>
            <w:szCs w:val="24"/>
            <w:u w:val="single"/>
            <w:rtl/>
          </w:rPr>
          <w:t>פקודת הסמים המסוכנים</w:t>
        </w:r>
      </w:hyperlink>
      <w:r>
        <w:rPr>
          <w:rFonts w:ascii="Arial" w:eastAsia="Times New Roman" w:hAnsi="Arial" w:cs="David"/>
          <w:sz w:val="24"/>
          <w:szCs w:val="24"/>
          <w:rtl/>
        </w:rPr>
        <w:t xml:space="preserve"> או החזקת נשק ותחמושת  מסוג פשע.</w:t>
      </w:r>
    </w:p>
    <w:p w14:paraId="1FD399D8" w14:textId="77777777" w:rsidR="0046341C" w:rsidRDefault="0046341C" w:rsidP="0046341C">
      <w:pPr>
        <w:pStyle w:val="aa"/>
        <w:numPr>
          <w:ilvl w:val="0"/>
          <w:numId w:val="2"/>
        </w:numPr>
        <w:spacing w:line="360" w:lineRule="auto"/>
        <w:ind w:right="-142"/>
        <w:jc w:val="both"/>
        <w:rPr>
          <w:rFonts w:ascii="Arial" w:eastAsia="Times New Roman" w:hAnsi="Arial" w:cs="David"/>
          <w:sz w:val="24"/>
          <w:szCs w:val="24"/>
        </w:rPr>
      </w:pPr>
      <w:r>
        <w:rPr>
          <w:rFonts w:ascii="Arial" w:eastAsia="Times New Roman" w:hAnsi="Arial" w:cs="David"/>
          <w:sz w:val="24"/>
          <w:szCs w:val="24"/>
          <w:rtl/>
        </w:rPr>
        <w:t xml:space="preserve">מאסר למשך 4 חודשים, אותו לא יישא הנאשם אלא אם יעבור בתוך תקופה של 3 שנים מהיום עבירות לפי </w:t>
      </w:r>
      <w:hyperlink r:id="rId36" w:history="1">
        <w:r w:rsidR="0031461D" w:rsidRPr="0031461D">
          <w:rPr>
            <w:rFonts w:ascii="Arial" w:eastAsia="Times New Roman" w:hAnsi="Arial" w:cs="David"/>
            <w:color w:val="0000FF"/>
            <w:sz w:val="24"/>
            <w:szCs w:val="24"/>
            <w:u w:val="single"/>
            <w:rtl/>
          </w:rPr>
          <w:t>פקודת הסמים המסוכנים</w:t>
        </w:r>
      </w:hyperlink>
      <w:r>
        <w:rPr>
          <w:rFonts w:ascii="Arial" w:eastAsia="Times New Roman" w:hAnsi="Arial" w:cs="David"/>
          <w:sz w:val="24"/>
          <w:szCs w:val="24"/>
          <w:rtl/>
        </w:rPr>
        <w:t xml:space="preserve"> מסוג עוון.</w:t>
      </w:r>
    </w:p>
    <w:p w14:paraId="13C1C106" w14:textId="77777777" w:rsidR="0046341C" w:rsidRDefault="0031461D" w:rsidP="0046341C">
      <w:pPr>
        <w:pStyle w:val="aa"/>
        <w:numPr>
          <w:ilvl w:val="0"/>
          <w:numId w:val="2"/>
        </w:numPr>
        <w:spacing w:line="360" w:lineRule="auto"/>
        <w:ind w:right="-142"/>
        <w:jc w:val="both"/>
        <w:rPr>
          <w:rFonts w:ascii="Arial" w:eastAsia="Times New Roman" w:hAnsi="Arial" w:cs="David"/>
          <w:sz w:val="24"/>
          <w:szCs w:val="24"/>
        </w:rPr>
      </w:pPr>
      <w:r w:rsidRPr="0031461D">
        <w:rPr>
          <w:rFonts w:ascii="Arial" w:eastAsia="Times New Roman" w:hAnsi="Arial" w:cs="David"/>
          <w:color w:val="FFFFFF"/>
          <w:sz w:val="2"/>
          <w:szCs w:val="2"/>
          <w:rtl/>
        </w:rPr>
        <w:t>5129371</w:t>
      </w:r>
      <w:r w:rsidR="0046341C">
        <w:rPr>
          <w:rFonts w:ascii="Arial" w:eastAsia="Times New Roman" w:hAnsi="Arial" w:cs="David"/>
          <w:sz w:val="24"/>
          <w:szCs w:val="24"/>
          <w:rtl/>
        </w:rPr>
        <w:t xml:space="preserve">קנב בסך 1,000 ₪ שיסולק ב – 4 תשלומים שווים ורצופים החל מיום 1.4.23. ככל שקיים פקדון בתיק – יקוזז הקנס מן הפקדון. ככל שתיוותר יתרה – תושב לנאשם. </w:t>
      </w:r>
    </w:p>
    <w:p w14:paraId="0B16B696" w14:textId="77777777" w:rsidR="0046341C" w:rsidRDefault="0031461D" w:rsidP="0046341C">
      <w:pPr>
        <w:spacing w:line="360" w:lineRule="auto"/>
        <w:jc w:val="both"/>
        <w:rPr>
          <w:b/>
          <w:bCs/>
          <w:u w:val="single"/>
        </w:rPr>
      </w:pPr>
      <w:r w:rsidRPr="0031461D">
        <w:rPr>
          <w:b/>
          <w:bCs/>
          <w:color w:val="FFFFFF"/>
          <w:sz w:val="2"/>
          <w:szCs w:val="2"/>
          <w:u w:val="single"/>
          <w:rtl/>
        </w:rPr>
        <w:t>54678313</w:t>
      </w:r>
      <w:r w:rsidR="0046341C">
        <w:rPr>
          <w:b/>
          <w:bCs/>
          <w:u w:val="single"/>
          <w:rtl/>
        </w:rPr>
        <w:t>אני מורה על חילוט/השמדת המוצגים, ע"פ העניין.</w:t>
      </w:r>
    </w:p>
    <w:p w14:paraId="01673CD6" w14:textId="77777777" w:rsidR="0046341C" w:rsidRDefault="0046341C" w:rsidP="0046341C">
      <w:pPr>
        <w:spacing w:line="360" w:lineRule="auto"/>
        <w:jc w:val="both"/>
        <w:rPr>
          <w:b/>
          <w:bCs/>
          <w:rtl/>
        </w:rPr>
      </w:pPr>
      <w:r>
        <w:rPr>
          <w:b/>
          <w:bCs/>
          <w:rtl/>
        </w:rPr>
        <w:t xml:space="preserve">זכות ערעור לבית המשפט המחוזי בירושלים בתוך 45 ימים מהיום. </w:t>
      </w:r>
    </w:p>
    <w:p w14:paraId="709594E3" w14:textId="77777777" w:rsidR="0046341C" w:rsidRPr="000F2247" w:rsidRDefault="0031461D" w:rsidP="00E3203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ח' אדר תשפ"ג, 01 מרץ 2023, בנוכחות הצדדים. </w:t>
      </w:r>
      <w:bookmarkEnd w:id="8"/>
      <w:r w:rsidR="0046341C">
        <w:rPr>
          <w:rFonts w:ascii="Arial" w:hAnsi="Arial"/>
          <w:b/>
          <w:bCs/>
          <w:sz w:val="26"/>
          <w:szCs w:val="26"/>
          <w:rtl/>
        </w:rPr>
        <w:tab/>
      </w:r>
      <w:r w:rsidR="0046341C">
        <w:rPr>
          <w:rFonts w:ascii="Arial" w:hAnsi="Arial"/>
          <w:b/>
          <w:bCs/>
          <w:sz w:val="26"/>
          <w:szCs w:val="26"/>
          <w:rtl/>
        </w:rPr>
        <w:tab/>
      </w:r>
      <w:r w:rsidR="0046341C">
        <w:rPr>
          <w:rFonts w:ascii="Arial" w:hAnsi="Arial"/>
          <w:b/>
          <w:bCs/>
          <w:sz w:val="26"/>
          <w:szCs w:val="26"/>
          <w:rtl/>
        </w:rPr>
        <w:tab/>
      </w:r>
      <w:r w:rsidR="0046341C">
        <w:rPr>
          <w:rFonts w:ascii="Arial" w:hAnsi="Arial"/>
          <w:b/>
          <w:bCs/>
          <w:sz w:val="26"/>
          <w:szCs w:val="26"/>
          <w:rtl/>
        </w:rPr>
        <w:tab/>
      </w:r>
      <w:r w:rsidR="0046341C">
        <w:rPr>
          <w:rFonts w:ascii="Arial" w:hAnsi="Arial"/>
          <w:b/>
          <w:bCs/>
          <w:sz w:val="26"/>
          <w:szCs w:val="26"/>
          <w:rtl/>
        </w:rPr>
        <w:tab/>
      </w:r>
      <w:r w:rsidR="0046341C">
        <w:rPr>
          <w:rFonts w:ascii="Arial" w:hAnsi="Arial" w:hint="cs"/>
          <w:b/>
          <w:bCs/>
          <w:sz w:val="26"/>
          <w:szCs w:val="26"/>
          <w:rtl/>
        </w:rPr>
        <w:t xml:space="preserve">         </w:t>
      </w:r>
    </w:p>
    <w:p w14:paraId="357DBCAE" w14:textId="77777777" w:rsidR="0046341C" w:rsidRPr="000F2247" w:rsidRDefault="0046341C" w:rsidP="0031461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3BC3A1A" w14:textId="77777777" w:rsidR="0046341C" w:rsidRPr="00E32036" w:rsidRDefault="00E32036" w:rsidP="0046341C">
      <w:pPr>
        <w:jc w:val="center"/>
        <w:rPr>
          <w:rFonts w:ascii="Arial" w:hAnsi="Arial"/>
          <w:b/>
          <w:bCs/>
          <w:color w:val="FFFFFF"/>
          <w:sz w:val="2"/>
          <w:szCs w:val="2"/>
          <w:rtl/>
        </w:rPr>
      </w:pPr>
      <w:r w:rsidRPr="00E32036">
        <w:rPr>
          <w:rFonts w:ascii="Arial" w:hAnsi="Arial"/>
          <w:b/>
          <w:bCs/>
          <w:color w:val="FFFFFF"/>
          <w:sz w:val="2"/>
          <w:szCs w:val="2"/>
          <w:rtl/>
        </w:rPr>
        <w:t>5129371</w:t>
      </w:r>
    </w:p>
    <w:p w14:paraId="570DB795" w14:textId="77777777" w:rsidR="00431797" w:rsidRPr="00E32036" w:rsidRDefault="00E32036" w:rsidP="0031461D">
      <w:pPr>
        <w:keepNext/>
        <w:rPr>
          <w:rFonts w:ascii="David" w:hAnsi="David"/>
          <w:color w:val="FFFFFF"/>
          <w:sz w:val="2"/>
          <w:szCs w:val="2"/>
          <w:rtl/>
        </w:rPr>
      </w:pPr>
      <w:r w:rsidRPr="00E32036">
        <w:rPr>
          <w:rFonts w:ascii="David" w:hAnsi="David"/>
          <w:color w:val="FFFFFF"/>
          <w:sz w:val="2"/>
          <w:szCs w:val="2"/>
          <w:rtl/>
        </w:rPr>
        <w:t>54678313</w:t>
      </w:r>
    </w:p>
    <w:p w14:paraId="4448BB8D" w14:textId="77777777" w:rsidR="0031461D" w:rsidRPr="0031461D" w:rsidRDefault="0031461D" w:rsidP="0031461D">
      <w:pPr>
        <w:keepNext/>
        <w:rPr>
          <w:rFonts w:ascii="David" w:hAnsi="David"/>
          <w:color w:val="000000"/>
          <w:sz w:val="22"/>
          <w:szCs w:val="22"/>
          <w:rtl/>
        </w:rPr>
      </w:pPr>
      <w:r w:rsidRPr="0031461D">
        <w:rPr>
          <w:rFonts w:ascii="David" w:hAnsi="David"/>
          <w:color w:val="000000"/>
          <w:sz w:val="22"/>
          <w:szCs w:val="22"/>
          <w:rtl/>
        </w:rPr>
        <w:t>שרון לארי בבלי 54678313</w:t>
      </w:r>
    </w:p>
    <w:p w14:paraId="354FE3B2" w14:textId="77777777" w:rsidR="0031461D" w:rsidRDefault="0031461D" w:rsidP="0031461D">
      <w:r w:rsidRPr="0031461D">
        <w:rPr>
          <w:color w:val="000000"/>
          <w:rtl/>
        </w:rPr>
        <w:t>נוסח מסמך זה כפוף לשינויי ניסוח ועריכה</w:t>
      </w:r>
    </w:p>
    <w:p w14:paraId="54DEE47A" w14:textId="77777777" w:rsidR="0031461D" w:rsidRDefault="0031461D" w:rsidP="0031461D">
      <w:pPr>
        <w:rPr>
          <w:rtl/>
        </w:rPr>
      </w:pPr>
    </w:p>
    <w:p w14:paraId="05EFFABC" w14:textId="77777777" w:rsidR="0031461D" w:rsidRDefault="0031461D" w:rsidP="0031461D">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sectPr w:rsidR="0031461D" w:rsidSect="00E32036">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22BAD" w14:textId="77777777" w:rsidR="002E1680" w:rsidRDefault="002E1680" w:rsidP="00827474">
      <w:r>
        <w:separator/>
      </w:r>
    </w:p>
  </w:endnote>
  <w:endnote w:type="continuationSeparator" w:id="0">
    <w:p w14:paraId="7B0AEDE0" w14:textId="77777777" w:rsidR="002E1680" w:rsidRDefault="002E1680" w:rsidP="00827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DDB2C" w14:textId="77777777" w:rsidR="00E32036" w:rsidRDefault="00E32036" w:rsidP="00E3203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92DE40D" w14:textId="77777777" w:rsidR="00D41D62" w:rsidRPr="00E32036" w:rsidRDefault="00E32036" w:rsidP="00E32036">
    <w:pPr>
      <w:pStyle w:val="a5"/>
      <w:pBdr>
        <w:top w:val="single" w:sz="4" w:space="1" w:color="auto"/>
        <w:between w:val="single" w:sz="4" w:space="0" w:color="auto"/>
      </w:pBdr>
      <w:spacing w:after="60"/>
      <w:jc w:val="center"/>
      <w:rPr>
        <w:rFonts w:ascii="FrankRuehl" w:hAnsi="FrankRuehl" w:cs="FrankRuehl"/>
        <w:color w:val="000000"/>
      </w:rPr>
    </w:pPr>
    <w:r w:rsidRPr="00E3203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D2387" w14:textId="77777777" w:rsidR="00E32036" w:rsidRDefault="00E32036" w:rsidP="00E3203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60BBB">
      <w:rPr>
        <w:rFonts w:ascii="FrankRuehl" w:hAnsi="FrankRuehl" w:cs="FrankRuehl"/>
        <w:noProof/>
        <w:rtl/>
      </w:rPr>
      <w:t>1</w:t>
    </w:r>
    <w:r>
      <w:rPr>
        <w:rFonts w:ascii="FrankRuehl" w:hAnsi="FrankRuehl" w:cs="FrankRuehl"/>
        <w:rtl/>
      </w:rPr>
      <w:fldChar w:fldCharType="end"/>
    </w:r>
  </w:p>
  <w:p w14:paraId="2428C9DC" w14:textId="77777777" w:rsidR="00D41D62" w:rsidRPr="00E32036" w:rsidRDefault="00E32036" w:rsidP="00E32036">
    <w:pPr>
      <w:pStyle w:val="a5"/>
      <w:pBdr>
        <w:top w:val="single" w:sz="4" w:space="1" w:color="auto"/>
        <w:between w:val="single" w:sz="4" w:space="0" w:color="auto"/>
      </w:pBdr>
      <w:spacing w:after="60"/>
      <w:jc w:val="center"/>
      <w:rPr>
        <w:rFonts w:ascii="FrankRuehl" w:hAnsi="FrankRuehl" w:cs="FrankRuehl"/>
        <w:color w:val="000000"/>
      </w:rPr>
    </w:pPr>
    <w:r w:rsidRPr="00E32036">
      <w:rPr>
        <w:rFonts w:ascii="FrankRuehl" w:hAnsi="FrankRuehl" w:cs="FrankRuehl"/>
        <w:color w:val="000000"/>
      </w:rPr>
      <w:pict w14:anchorId="347B5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75365" w14:textId="77777777" w:rsidR="002E1680" w:rsidRDefault="002E1680" w:rsidP="00827474">
      <w:r>
        <w:separator/>
      </w:r>
    </w:p>
  </w:footnote>
  <w:footnote w:type="continuationSeparator" w:id="0">
    <w:p w14:paraId="4B3A16AE" w14:textId="77777777" w:rsidR="002E1680" w:rsidRDefault="002E1680" w:rsidP="00827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C621A" w14:textId="77777777" w:rsidR="0031461D" w:rsidRPr="00E32036" w:rsidRDefault="00E32036" w:rsidP="00E3203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28173-07-20</w:t>
    </w:r>
    <w:r>
      <w:rPr>
        <w:rFonts w:ascii="David" w:hAnsi="David"/>
        <w:color w:val="000000"/>
        <w:sz w:val="22"/>
        <w:szCs w:val="22"/>
        <w:rtl/>
      </w:rPr>
      <w:tab/>
      <w:t xml:space="preserve"> מדינת ישראל נ' יזן אבו עבסה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E8727" w14:textId="77777777" w:rsidR="0031461D" w:rsidRPr="00E32036" w:rsidRDefault="00E32036" w:rsidP="00E3203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28173-07-20</w:t>
    </w:r>
    <w:r>
      <w:rPr>
        <w:rFonts w:ascii="David" w:hAnsi="David"/>
        <w:color w:val="000000"/>
        <w:sz w:val="22"/>
        <w:szCs w:val="22"/>
        <w:rtl/>
      </w:rPr>
      <w:tab/>
      <w:t xml:space="preserve"> מדינת ישראל נ' יזן אבו עבסה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7281F"/>
    <w:multiLevelType w:val="hybridMultilevel"/>
    <w:tmpl w:val="6EB0EA6A"/>
    <w:lvl w:ilvl="0" w:tplc="EB9A2914">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6BF278AE"/>
    <w:multiLevelType w:val="hybridMultilevel"/>
    <w:tmpl w:val="86F25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987708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97494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341C"/>
    <w:rsid w:val="001053DB"/>
    <w:rsid w:val="001B5A3B"/>
    <w:rsid w:val="002E1680"/>
    <w:rsid w:val="0031461D"/>
    <w:rsid w:val="00431797"/>
    <w:rsid w:val="0046341C"/>
    <w:rsid w:val="00614945"/>
    <w:rsid w:val="00827474"/>
    <w:rsid w:val="00860BBB"/>
    <w:rsid w:val="0097633F"/>
    <w:rsid w:val="009B4854"/>
    <w:rsid w:val="00D41D62"/>
    <w:rsid w:val="00D749EC"/>
    <w:rsid w:val="00DA4512"/>
    <w:rsid w:val="00DD42FC"/>
    <w:rsid w:val="00E32036"/>
    <w:rsid w:val="00F806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AD9EC2"/>
  <w15:chartTrackingRefBased/>
  <w15:docId w15:val="{0C360748-ECED-49ED-9A96-131BF229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341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6341C"/>
    <w:pPr>
      <w:tabs>
        <w:tab w:val="center" w:pos="4153"/>
        <w:tab w:val="right" w:pos="8306"/>
      </w:tabs>
    </w:pPr>
  </w:style>
  <w:style w:type="character" w:customStyle="1" w:styleId="a4">
    <w:name w:val="כותרת עליונה תו"/>
    <w:link w:val="a3"/>
    <w:rsid w:val="0046341C"/>
    <w:rPr>
      <w:rFonts w:ascii="Times New Roman" w:eastAsia="Times New Roman" w:hAnsi="Times New Roman" w:cs="David"/>
      <w:sz w:val="24"/>
      <w:szCs w:val="24"/>
    </w:rPr>
  </w:style>
  <w:style w:type="paragraph" w:styleId="a5">
    <w:name w:val="footer"/>
    <w:basedOn w:val="a"/>
    <w:link w:val="a6"/>
    <w:rsid w:val="0046341C"/>
    <w:pPr>
      <w:tabs>
        <w:tab w:val="center" w:pos="4153"/>
        <w:tab w:val="right" w:pos="8306"/>
      </w:tabs>
    </w:pPr>
  </w:style>
  <w:style w:type="character" w:customStyle="1" w:styleId="a6">
    <w:name w:val="כותרת תחתונה תו"/>
    <w:link w:val="a5"/>
    <w:rsid w:val="0046341C"/>
    <w:rPr>
      <w:rFonts w:ascii="Times New Roman" w:eastAsia="Times New Roman" w:hAnsi="Times New Roman" w:cs="David"/>
      <w:sz w:val="24"/>
      <w:szCs w:val="24"/>
    </w:rPr>
  </w:style>
  <w:style w:type="table" w:styleId="a7">
    <w:name w:val="Table Grid"/>
    <w:basedOn w:val="a1"/>
    <w:rsid w:val="0046341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6341C"/>
  </w:style>
  <w:style w:type="character" w:styleId="Hyperlink">
    <w:name w:val="Hyperlink"/>
    <w:rsid w:val="0046341C"/>
    <w:rPr>
      <w:color w:val="0000FF"/>
      <w:u w:val="single"/>
    </w:rPr>
  </w:style>
  <w:style w:type="paragraph" w:styleId="a9">
    <w:name w:val="No Spacing"/>
    <w:qFormat/>
    <w:rsid w:val="0046341C"/>
    <w:pPr>
      <w:bidi/>
    </w:pPr>
    <w:rPr>
      <w:sz w:val="22"/>
      <w:szCs w:val="22"/>
    </w:rPr>
  </w:style>
  <w:style w:type="paragraph" w:styleId="aa">
    <w:name w:val="List Paragraph"/>
    <w:basedOn w:val="a"/>
    <w:qFormat/>
    <w:rsid w:val="0046341C"/>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 TargetMode="External"/><Relationship Id="rId39" Type="http://schemas.openxmlformats.org/officeDocument/2006/relationships/header" Target="header2.xml"/><Relationship Id="rId21" Type="http://schemas.openxmlformats.org/officeDocument/2006/relationships/hyperlink" Target="http://www.nevo.co.il/law/4216/7.c" TargetMode="External"/><Relationship Id="rId34" Type="http://schemas.openxmlformats.org/officeDocument/2006/relationships/hyperlink" Target="http://www.nevo.co.il/case/20402486"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c.1" TargetMode="External"/><Relationship Id="rId20" Type="http://schemas.openxmlformats.org/officeDocument/2006/relationships/hyperlink" Target="http://www.nevo.co.il/law/4216/7.a" TargetMode="External"/><Relationship Id="rId29" Type="http://schemas.openxmlformats.org/officeDocument/2006/relationships/hyperlink" Target="http://www.nevo.co.il/case/2657484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4263098"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law/70301/244" TargetMode="External"/><Relationship Id="rId28" Type="http://schemas.openxmlformats.org/officeDocument/2006/relationships/hyperlink" Target="http://www.nevo.co.il/case/24287803"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244" TargetMode="External"/><Relationship Id="rId19" Type="http://schemas.openxmlformats.org/officeDocument/2006/relationships/hyperlink" Target="http://www.nevo.co.il/law/70301/144.c.1" TargetMode="External"/><Relationship Id="rId31" Type="http://schemas.openxmlformats.org/officeDocument/2006/relationships/hyperlink" Target="http://www.nevo.co.il/case/25463674" TargetMode="External"/><Relationship Id="rId4" Type="http://schemas.openxmlformats.org/officeDocument/2006/relationships/webSettings" Target="webSettings.xml"/><Relationship Id="rId9" Type="http://schemas.openxmlformats.org/officeDocument/2006/relationships/hyperlink" Target="http://www.nevo.co.il/law/70301/144.c.1"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1015131"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jc.a" TargetMode="External"/><Relationship Id="rId33" Type="http://schemas.openxmlformats.org/officeDocument/2006/relationships/hyperlink" Target="http://www.nevo.co.il/case/23858961"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1851</Words>
  <Characters>9260</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11089</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3932272</vt:i4>
      </vt:variant>
      <vt:variant>
        <vt:i4>81</vt:i4>
      </vt:variant>
      <vt:variant>
        <vt:i4>0</vt:i4>
      </vt:variant>
      <vt:variant>
        <vt:i4>5</vt:i4>
      </vt:variant>
      <vt:variant>
        <vt:lpwstr>http://www.nevo.co.il/case/20402486</vt:lpwstr>
      </vt:variant>
      <vt:variant>
        <vt:lpwstr/>
      </vt:variant>
      <vt:variant>
        <vt:i4>3407995</vt:i4>
      </vt:variant>
      <vt:variant>
        <vt:i4>78</vt:i4>
      </vt:variant>
      <vt:variant>
        <vt:i4>0</vt:i4>
      </vt:variant>
      <vt:variant>
        <vt:i4>5</vt:i4>
      </vt:variant>
      <vt:variant>
        <vt:lpwstr>http://www.nevo.co.il/case/23858961</vt:lpwstr>
      </vt:variant>
      <vt:variant>
        <vt:lpwstr/>
      </vt:variant>
      <vt:variant>
        <vt:i4>3801206</vt:i4>
      </vt:variant>
      <vt:variant>
        <vt:i4>75</vt:i4>
      </vt:variant>
      <vt:variant>
        <vt:i4>0</vt:i4>
      </vt:variant>
      <vt:variant>
        <vt:i4>5</vt:i4>
      </vt:variant>
      <vt:variant>
        <vt:lpwstr>http://www.nevo.co.il/case/24263098</vt:lpwstr>
      </vt:variant>
      <vt:variant>
        <vt:lpwstr/>
      </vt:variant>
      <vt:variant>
        <vt:i4>3276913</vt:i4>
      </vt:variant>
      <vt:variant>
        <vt:i4>72</vt:i4>
      </vt:variant>
      <vt:variant>
        <vt:i4>0</vt:i4>
      </vt:variant>
      <vt:variant>
        <vt:i4>5</vt:i4>
      </vt:variant>
      <vt:variant>
        <vt:lpwstr>http://www.nevo.co.il/case/25463674</vt:lpwstr>
      </vt:variant>
      <vt:variant>
        <vt:lpwstr/>
      </vt:variant>
      <vt:variant>
        <vt:i4>3407989</vt:i4>
      </vt:variant>
      <vt:variant>
        <vt:i4>69</vt:i4>
      </vt:variant>
      <vt:variant>
        <vt:i4>0</vt:i4>
      </vt:variant>
      <vt:variant>
        <vt:i4>5</vt:i4>
      </vt:variant>
      <vt:variant>
        <vt:lpwstr>http://www.nevo.co.il/case/21015131</vt:lpwstr>
      </vt:variant>
      <vt:variant>
        <vt:lpwstr/>
      </vt:variant>
      <vt:variant>
        <vt:i4>3604605</vt:i4>
      </vt:variant>
      <vt:variant>
        <vt:i4>66</vt:i4>
      </vt:variant>
      <vt:variant>
        <vt:i4>0</vt:i4>
      </vt:variant>
      <vt:variant>
        <vt:i4>5</vt:i4>
      </vt:variant>
      <vt:variant>
        <vt:lpwstr>http://www.nevo.co.il/case/26574841</vt:lpwstr>
      </vt:variant>
      <vt:variant>
        <vt:lpwstr/>
      </vt:variant>
      <vt:variant>
        <vt:i4>3604592</vt:i4>
      </vt:variant>
      <vt:variant>
        <vt:i4>63</vt:i4>
      </vt:variant>
      <vt:variant>
        <vt:i4>0</vt:i4>
      </vt:variant>
      <vt:variant>
        <vt:i4>5</vt:i4>
      </vt:variant>
      <vt:variant>
        <vt:lpwstr>http://www.nevo.co.il/case/24287803</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6750245</vt:i4>
      </vt:variant>
      <vt:variant>
        <vt:i4>54</vt:i4>
      </vt:variant>
      <vt:variant>
        <vt:i4>0</vt:i4>
      </vt:variant>
      <vt:variant>
        <vt:i4>5</vt:i4>
      </vt:variant>
      <vt:variant>
        <vt:lpwstr>http://www.nevo.co.il/law/70301/40jc.a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6357095</vt:i4>
      </vt:variant>
      <vt:variant>
        <vt:i4>48</vt:i4>
      </vt:variant>
      <vt:variant>
        <vt:i4>0</vt:i4>
      </vt:variant>
      <vt:variant>
        <vt:i4>5</vt:i4>
      </vt:variant>
      <vt:variant>
        <vt:lpwstr>http://www.nevo.co.il/law/70301/244</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6357043</vt:i4>
      </vt:variant>
      <vt:variant>
        <vt:i4>36</vt:i4>
      </vt:variant>
      <vt:variant>
        <vt:i4>0</vt:i4>
      </vt:variant>
      <vt:variant>
        <vt:i4>5</vt:i4>
      </vt:variant>
      <vt:variant>
        <vt:lpwstr>http://www.nevo.co.il/law/70301/144.c.1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6357043</vt:i4>
      </vt:variant>
      <vt:variant>
        <vt:i4>27</vt:i4>
      </vt:variant>
      <vt:variant>
        <vt:i4>0</vt:i4>
      </vt:variant>
      <vt:variant>
        <vt:i4>5</vt:i4>
      </vt:variant>
      <vt:variant>
        <vt:lpwstr>http://www.nevo.co.il/law/70301/144.c.1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6750245</vt:i4>
      </vt:variant>
      <vt:variant>
        <vt:i4>12</vt:i4>
      </vt:variant>
      <vt:variant>
        <vt:i4>0</vt:i4>
      </vt:variant>
      <vt:variant>
        <vt:i4>5</vt:i4>
      </vt:variant>
      <vt:variant>
        <vt:lpwstr>http://www.nevo.co.il/law/70301/40jc.a</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6357043</vt:i4>
      </vt:variant>
      <vt:variant>
        <vt:i4>6</vt:i4>
      </vt:variant>
      <vt:variant>
        <vt:i4>0</vt:i4>
      </vt:variant>
      <vt:variant>
        <vt:i4>5</vt:i4>
      </vt:variant>
      <vt:variant>
        <vt:lpwstr>http://www.nevo.co.il/law/70301/144.c.1</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2025-01-19T17:44:00Z</dcterms:created>
  <dcterms:modified xsi:type="dcterms:W3CDTF">2025-01-19T17:44:00Z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28173</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יזן אבו עבסה</vt:lpwstr>
  </property>
  <property fmtid="{D5CDD505-2E9C-101B-9397-08002B2CF9AE}" pid="10" name="LAWYER">
    <vt:lpwstr>עיסא מוחמדיה</vt:lpwstr>
  </property>
  <property fmtid="{D5CDD505-2E9C-101B-9397-08002B2CF9AE}" pid="11" name="JUDGE">
    <vt:lpwstr>שרון לארי בבלי</vt:lpwstr>
  </property>
  <property fmtid="{D5CDD505-2E9C-101B-9397-08002B2CF9AE}" pid="12" name="CITY">
    <vt:lpwstr>י-ם</vt:lpwstr>
  </property>
  <property fmtid="{D5CDD505-2E9C-101B-9397-08002B2CF9AE}" pid="13" name="DATE">
    <vt:lpwstr>20230301</vt:lpwstr>
  </property>
  <property fmtid="{D5CDD505-2E9C-101B-9397-08002B2CF9AE}" pid="14" name="TYPE_N_DATE">
    <vt:lpwstr>38020230301</vt:lpwstr>
  </property>
  <property fmtid="{D5CDD505-2E9C-101B-9397-08002B2CF9AE}" pid="15" name="WORDNUMPAGES">
    <vt:lpwstr>6</vt:lpwstr>
  </property>
  <property fmtid="{D5CDD505-2E9C-101B-9397-08002B2CF9AE}" pid="16" name="TYPE_ABS_DATE">
    <vt:lpwstr>380020230301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24287803;26574841;21015131;25463674;24263098;23858961;20402486</vt:lpwstr>
  </property>
  <property fmtid="{D5CDD505-2E9C-101B-9397-08002B2CF9AE}" pid="36" name="LAWLISTTMP1">
    <vt:lpwstr>70301/144.a:2;144.c.1:2;244;40jc.a</vt:lpwstr>
  </property>
  <property fmtid="{D5CDD505-2E9C-101B-9397-08002B2CF9AE}" pid="37" name="LAWLISTTMP2">
    <vt:lpwstr>4216/007.a;007.c</vt:lpwstr>
  </property>
</Properties>
</file>