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473"/>
        <w:gridCol w:w="4248"/>
      </w:tblGrid>
      <w:tr w:rsidR="00F04FE5" w:rsidRPr="00D90352" w14:paraId="5038BBC4" w14:textId="77777777" w:rsidTr="00822991">
        <w:trPr>
          <w:trHeight w:hRule="exact" w:val="704"/>
          <w:jc w:val="center"/>
        </w:trPr>
        <w:tc>
          <w:tcPr>
            <w:tcW w:w="8721" w:type="dxa"/>
            <w:gridSpan w:val="2"/>
          </w:tcPr>
          <w:p w14:paraId="402E088B" w14:textId="77777777" w:rsidR="00F04FE5" w:rsidRPr="00D90352" w:rsidRDefault="00F04FE5" w:rsidP="00822991">
            <w:pPr>
              <w:pStyle w:val="a3"/>
              <w:jc w:val="center"/>
              <w:rPr>
                <w:rFonts w:ascii="Tahoma" w:hAnsi="Tahoma" w:cs="Tahoma"/>
                <w:b/>
                <w:bCs/>
                <w:noProof w:val="0"/>
                <w:color w:val="000080"/>
                <w:rtl/>
              </w:rPr>
            </w:pPr>
            <w:bookmarkStart w:id="0" w:name="FirstLawyer"/>
            <w:bookmarkStart w:id="1" w:name="LastJudge"/>
            <w:r w:rsidRPr="00D90352">
              <w:rPr>
                <w:rFonts w:ascii="Tahoma" w:hAnsi="Tahoma" w:cs="Tahoma"/>
                <w:b/>
                <w:bCs/>
                <w:noProof w:val="0"/>
                <w:color w:val="000080"/>
                <w:rtl/>
              </w:rPr>
              <w:t>בית משפט השלום בבאר שבע</w:t>
            </w:r>
          </w:p>
          <w:p w14:paraId="410AA3BF" w14:textId="77777777" w:rsidR="00F04FE5" w:rsidRPr="00D90352" w:rsidRDefault="00F04FE5" w:rsidP="00822991">
            <w:pPr>
              <w:pStyle w:val="a3"/>
              <w:jc w:val="center"/>
              <w:rPr>
                <w:rFonts w:ascii="Tahoma" w:hAnsi="Tahoma" w:cs="Tahoma"/>
                <w:noProof w:val="0"/>
                <w:color w:val="000080"/>
                <w:rtl/>
              </w:rPr>
            </w:pPr>
          </w:p>
        </w:tc>
      </w:tr>
      <w:tr w:rsidR="00F04FE5" w:rsidRPr="00D90352" w14:paraId="7E8512DF" w14:textId="77777777" w:rsidTr="00822991">
        <w:trPr>
          <w:trHeight w:val="337"/>
          <w:jc w:val="center"/>
        </w:trPr>
        <w:tc>
          <w:tcPr>
            <w:tcW w:w="4473" w:type="dxa"/>
          </w:tcPr>
          <w:p w14:paraId="2B881ED4" w14:textId="77777777" w:rsidR="00F04FE5" w:rsidRPr="00D90352" w:rsidRDefault="00F04FE5" w:rsidP="00822991">
            <w:pPr>
              <w:rPr>
                <w:b/>
                <w:bCs/>
                <w:noProof w:val="0"/>
                <w:sz w:val="26"/>
                <w:szCs w:val="26"/>
                <w:rtl/>
              </w:rPr>
            </w:pPr>
          </w:p>
        </w:tc>
        <w:tc>
          <w:tcPr>
            <w:tcW w:w="4248" w:type="dxa"/>
          </w:tcPr>
          <w:p w14:paraId="20136F94" w14:textId="77777777" w:rsidR="00F04FE5" w:rsidRPr="00D90352" w:rsidRDefault="00F04FE5" w:rsidP="00822991">
            <w:pPr>
              <w:pStyle w:val="a3"/>
              <w:jc w:val="right"/>
              <w:rPr>
                <w:b/>
                <w:bCs/>
                <w:noProof w:val="0"/>
                <w:sz w:val="26"/>
                <w:szCs w:val="26"/>
                <w:rtl/>
              </w:rPr>
            </w:pPr>
            <w:r w:rsidRPr="00D90352">
              <w:rPr>
                <w:rFonts w:hint="cs"/>
                <w:b/>
                <w:bCs/>
                <w:noProof w:val="0"/>
                <w:sz w:val="26"/>
                <w:szCs w:val="26"/>
                <w:rtl/>
              </w:rPr>
              <w:t>י' אדר א' תשפ"ד</w:t>
            </w:r>
          </w:p>
          <w:p w14:paraId="24AC3BF6" w14:textId="77777777" w:rsidR="00F04FE5" w:rsidRPr="00D90352" w:rsidRDefault="00F04FE5" w:rsidP="00822991">
            <w:pPr>
              <w:pStyle w:val="a3"/>
              <w:jc w:val="right"/>
              <w:rPr>
                <w:b/>
                <w:bCs/>
                <w:noProof w:val="0"/>
                <w:sz w:val="26"/>
                <w:szCs w:val="26"/>
                <w:rtl/>
              </w:rPr>
            </w:pPr>
            <w:r w:rsidRPr="00D90352">
              <w:rPr>
                <w:rFonts w:hint="cs"/>
                <w:b/>
                <w:bCs/>
                <w:noProof w:val="0"/>
                <w:sz w:val="26"/>
                <w:szCs w:val="26"/>
                <w:rtl/>
              </w:rPr>
              <w:t>19 פברואר 2024</w:t>
            </w:r>
          </w:p>
        </w:tc>
      </w:tr>
      <w:tr w:rsidR="00F04FE5" w:rsidRPr="00D90352" w14:paraId="286EC5C5" w14:textId="77777777" w:rsidTr="00822991">
        <w:trPr>
          <w:trHeight w:val="337"/>
          <w:jc w:val="center"/>
        </w:trPr>
        <w:tc>
          <w:tcPr>
            <w:tcW w:w="8721" w:type="dxa"/>
            <w:gridSpan w:val="2"/>
          </w:tcPr>
          <w:p w14:paraId="5231F24B" w14:textId="77777777" w:rsidR="00F04FE5" w:rsidRPr="00D90352" w:rsidRDefault="00D90352" w:rsidP="00822991">
            <w:pPr>
              <w:rPr>
                <w:b/>
                <w:bCs/>
                <w:noProof w:val="0"/>
                <w:sz w:val="26"/>
                <w:szCs w:val="26"/>
                <w:rtl/>
              </w:rPr>
            </w:pPr>
            <w:hyperlink r:id="rId7" w:history="1">
              <w:r w:rsidRPr="00D90352">
                <w:rPr>
                  <w:b/>
                  <w:bCs/>
                  <w:noProof w:val="0"/>
                  <w:color w:val="0000FF"/>
                  <w:sz w:val="26"/>
                  <w:szCs w:val="26"/>
                  <w:u w:val="single"/>
                  <w:rtl/>
                </w:rPr>
                <w:t>ת"פ 17057-08-20</w:t>
              </w:r>
            </w:hyperlink>
            <w:r w:rsidR="00F04FE5" w:rsidRPr="00D90352">
              <w:rPr>
                <w:b/>
                <w:bCs/>
                <w:noProof w:val="0"/>
                <w:sz w:val="26"/>
                <w:szCs w:val="26"/>
                <w:rtl/>
              </w:rPr>
              <w:t xml:space="preserve"> מדינת ישראל נ' אבו עראר</w:t>
            </w:r>
          </w:p>
          <w:p w14:paraId="6128F5B2" w14:textId="77777777" w:rsidR="00F04FE5" w:rsidRPr="00D90352" w:rsidRDefault="00F04FE5" w:rsidP="00822991">
            <w:pPr>
              <w:rPr>
                <w:rtl/>
              </w:rPr>
            </w:pPr>
          </w:p>
          <w:p w14:paraId="7B668E51" w14:textId="77777777" w:rsidR="00F04FE5" w:rsidRPr="00D90352" w:rsidRDefault="00F04FE5" w:rsidP="00822991">
            <w:pPr>
              <w:rPr>
                <w:rtl/>
              </w:rPr>
            </w:pPr>
            <w:r w:rsidRPr="00D90352">
              <w:rPr>
                <w:rFonts w:hint="cs"/>
                <w:sz w:val="20"/>
                <w:szCs w:val="20"/>
                <w:rtl/>
              </w:rPr>
              <w:t>תיק חיצוני</w:t>
            </w:r>
            <w:r w:rsidRPr="00D90352">
              <w:rPr>
                <w:rFonts w:hint="cs"/>
                <w:rtl/>
              </w:rPr>
              <w:t xml:space="preserve">: </w:t>
            </w:r>
            <w:r w:rsidRPr="00D90352">
              <w:rPr>
                <w:sz w:val="20"/>
                <w:szCs w:val="20"/>
              </w:rPr>
              <w:t>434190/2020</w:t>
            </w:r>
          </w:p>
        </w:tc>
      </w:tr>
    </w:tbl>
    <w:p w14:paraId="3CA5D249" w14:textId="77777777" w:rsidR="00F04FE5" w:rsidRPr="00D90352" w:rsidRDefault="00F04FE5" w:rsidP="00F04FE5">
      <w:pPr>
        <w:pStyle w:val="a3"/>
        <w:rPr>
          <w:noProof w:val="0"/>
          <w:rtl/>
        </w:rPr>
      </w:pPr>
      <w:r w:rsidRPr="00D90352">
        <w:rPr>
          <w:noProof w:val="0"/>
          <w:rtl/>
        </w:rPr>
        <w:t xml:space="preserve"> </w:t>
      </w:r>
    </w:p>
    <w:p w14:paraId="40810B71" w14:textId="77777777" w:rsidR="00F04FE5" w:rsidRPr="00D90352" w:rsidRDefault="00F04FE5" w:rsidP="00F04FE5">
      <w:pPr>
        <w:suppressLineNumbers/>
        <w:rPr>
          <w:rtl/>
        </w:rPr>
      </w:pPr>
    </w:p>
    <w:p w14:paraId="31A0CE7C" w14:textId="77777777" w:rsidR="00F04FE5" w:rsidRPr="00D90352" w:rsidRDefault="00F04FE5" w:rsidP="00F04FE5">
      <w:pPr>
        <w:suppressLineNumbers/>
        <w:rPr>
          <w:rtl/>
        </w:rPr>
      </w:pPr>
    </w:p>
    <w:tbl>
      <w:tblPr>
        <w:bidiVisual/>
        <w:tblW w:w="8820" w:type="dxa"/>
        <w:jc w:val="center"/>
        <w:tblLook w:val="01E0" w:firstRow="1" w:lastRow="1" w:firstColumn="1" w:lastColumn="1" w:noHBand="0" w:noVBand="0"/>
      </w:tblPr>
      <w:tblGrid>
        <w:gridCol w:w="743"/>
        <w:gridCol w:w="2506"/>
        <w:gridCol w:w="5571"/>
      </w:tblGrid>
      <w:tr w:rsidR="00F04FE5" w:rsidRPr="00D90352" w14:paraId="6ACE4FD9" w14:textId="77777777" w:rsidTr="00F04FE5">
        <w:trPr>
          <w:jc w:val="center"/>
        </w:trPr>
        <w:tc>
          <w:tcPr>
            <w:tcW w:w="743" w:type="dxa"/>
            <w:shd w:val="clear" w:color="auto" w:fill="auto"/>
          </w:tcPr>
          <w:p w14:paraId="011E3C20" w14:textId="77777777" w:rsidR="00F04FE5" w:rsidRPr="00D90352" w:rsidRDefault="00F04FE5" w:rsidP="00F04FE5">
            <w:pPr>
              <w:jc w:val="both"/>
              <w:rPr>
                <w:rFonts w:ascii="Arial" w:hAnsi="Arial"/>
                <w:b/>
                <w:bCs/>
              </w:rPr>
            </w:pPr>
            <w:r w:rsidRPr="00D90352">
              <w:rPr>
                <w:rFonts w:ascii="Arial" w:hAnsi="Arial" w:hint="cs"/>
                <w:b/>
                <w:bCs/>
                <w:rtl/>
              </w:rPr>
              <w:t>לפני</w:t>
            </w:r>
          </w:p>
        </w:tc>
        <w:tc>
          <w:tcPr>
            <w:tcW w:w="8077" w:type="dxa"/>
            <w:gridSpan w:val="2"/>
            <w:shd w:val="clear" w:color="auto" w:fill="auto"/>
          </w:tcPr>
          <w:p w14:paraId="7FF53944" w14:textId="77777777" w:rsidR="00F04FE5" w:rsidRPr="00D90352" w:rsidRDefault="00F04FE5" w:rsidP="00822991">
            <w:pPr>
              <w:rPr>
                <w:rFonts w:ascii="Arial" w:hAnsi="Arial"/>
                <w:b/>
                <w:bCs/>
                <w:rtl/>
              </w:rPr>
            </w:pPr>
            <w:r w:rsidRPr="00D90352">
              <w:rPr>
                <w:rFonts w:ascii="Arial" w:hAnsi="Arial" w:hint="cs"/>
                <w:b/>
                <w:bCs/>
                <w:rtl/>
              </w:rPr>
              <w:t>כב' ה</w:t>
            </w:r>
            <w:r w:rsidRPr="00D90352">
              <w:rPr>
                <w:rFonts w:ascii="Arial" w:hAnsi="Arial"/>
                <w:b/>
                <w:bCs/>
                <w:rtl/>
              </w:rPr>
              <w:t>שופט</w:t>
            </w:r>
            <w:r w:rsidRPr="00D90352">
              <w:rPr>
                <w:rFonts w:ascii="Arial" w:hAnsi="Arial" w:hint="cs"/>
                <w:b/>
                <w:bCs/>
                <w:rtl/>
              </w:rPr>
              <w:t xml:space="preserve">  </w:t>
            </w:r>
            <w:r w:rsidRPr="00D90352">
              <w:rPr>
                <w:rFonts w:ascii="Arial" w:hAnsi="Arial"/>
                <w:b/>
                <w:bCs/>
                <w:rtl/>
              </w:rPr>
              <w:t>רון סולקין</w:t>
            </w:r>
          </w:p>
          <w:p w14:paraId="7DA2D4E5" w14:textId="77777777" w:rsidR="00F04FE5" w:rsidRPr="00D90352" w:rsidRDefault="00F04FE5" w:rsidP="00822991">
            <w:pPr>
              <w:rPr>
                <w:rFonts w:ascii="Arial" w:hAnsi="Arial" w:cs="FrankRuehl"/>
                <w:sz w:val="28"/>
                <w:szCs w:val="28"/>
                <w:highlight w:val="yellow"/>
              </w:rPr>
            </w:pPr>
          </w:p>
        </w:tc>
      </w:tr>
      <w:tr w:rsidR="00F04FE5" w:rsidRPr="00D90352" w14:paraId="111B0002" w14:textId="77777777" w:rsidTr="00F04FE5">
        <w:trPr>
          <w:jc w:val="center"/>
        </w:trPr>
        <w:tc>
          <w:tcPr>
            <w:tcW w:w="3249" w:type="dxa"/>
            <w:gridSpan w:val="2"/>
            <w:shd w:val="clear" w:color="auto" w:fill="auto"/>
          </w:tcPr>
          <w:p w14:paraId="07DA1F03" w14:textId="77777777" w:rsidR="00F04FE5" w:rsidRPr="00D90352" w:rsidRDefault="00F04FE5" w:rsidP="00F04FE5">
            <w:pPr>
              <w:bidi w:val="0"/>
              <w:jc w:val="right"/>
              <w:rPr>
                <w:rFonts w:ascii="Arial" w:hAnsi="Arial"/>
                <w:b/>
                <w:bCs/>
                <w:noProof w:val="0"/>
                <w:sz w:val="26"/>
                <w:szCs w:val="26"/>
              </w:rPr>
            </w:pPr>
            <w:bookmarkStart w:id="2" w:name="FirstAppellant"/>
          </w:p>
          <w:p w14:paraId="55E46E36" w14:textId="77777777" w:rsidR="00F04FE5" w:rsidRPr="00D90352" w:rsidRDefault="00F04FE5" w:rsidP="00F04FE5">
            <w:pPr>
              <w:bidi w:val="0"/>
              <w:jc w:val="right"/>
              <w:rPr>
                <w:rFonts w:ascii="Arial" w:hAnsi="Arial"/>
                <w:b/>
                <w:bCs/>
                <w:noProof w:val="0"/>
                <w:sz w:val="26"/>
                <w:szCs w:val="26"/>
                <w:rtl/>
              </w:rPr>
            </w:pPr>
            <w:r w:rsidRPr="00D90352">
              <w:rPr>
                <w:rFonts w:ascii="Arial" w:hAnsi="Arial" w:hint="cs"/>
                <w:b/>
                <w:bCs/>
                <w:noProof w:val="0"/>
                <w:sz w:val="26"/>
                <w:szCs w:val="26"/>
                <w:rtl/>
              </w:rPr>
              <w:t>המאשימה</w:t>
            </w:r>
          </w:p>
        </w:tc>
        <w:tc>
          <w:tcPr>
            <w:tcW w:w="5571" w:type="dxa"/>
            <w:shd w:val="clear" w:color="auto" w:fill="auto"/>
          </w:tcPr>
          <w:p w14:paraId="3764E955" w14:textId="77777777" w:rsidR="00F04FE5" w:rsidRPr="00D90352" w:rsidRDefault="00F04FE5" w:rsidP="00822991">
            <w:pPr>
              <w:rPr>
                <w:rFonts w:ascii="Arial" w:hAnsi="Arial"/>
                <w:b/>
                <w:bCs/>
                <w:noProof w:val="0"/>
                <w:sz w:val="26"/>
                <w:szCs w:val="26"/>
                <w:rtl/>
              </w:rPr>
            </w:pPr>
          </w:p>
          <w:p w14:paraId="355821F2" w14:textId="77777777" w:rsidR="00F04FE5" w:rsidRPr="00D90352" w:rsidRDefault="00F04FE5" w:rsidP="00822991">
            <w:pPr>
              <w:rPr>
                <w:b/>
                <w:bCs/>
                <w:noProof w:val="0"/>
                <w:sz w:val="26"/>
                <w:szCs w:val="26"/>
              </w:rPr>
            </w:pPr>
            <w:r w:rsidRPr="00D90352">
              <w:rPr>
                <w:rFonts w:ascii="Arial" w:hAnsi="Arial"/>
                <w:b/>
                <w:bCs/>
                <w:noProof w:val="0"/>
                <w:sz w:val="26"/>
                <w:szCs w:val="26"/>
                <w:rtl/>
              </w:rPr>
              <w:t xml:space="preserve">מדינת ישראל – תביעות </w:t>
            </w:r>
            <w:r w:rsidRPr="00D90352">
              <w:rPr>
                <w:rFonts w:ascii="Arial" w:hAnsi="Arial" w:hint="cs"/>
                <w:b/>
                <w:bCs/>
                <w:noProof w:val="0"/>
                <w:sz w:val="26"/>
                <w:szCs w:val="26"/>
                <w:rtl/>
              </w:rPr>
              <w:t>נגב</w:t>
            </w:r>
            <w:r w:rsidRPr="00D90352">
              <w:rPr>
                <w:rFonts w:ascii="Arial" w:hAnsi="Arial"/>
                <w:b/>
                <w:bCs/>
                <w:noProof w:val="0"/>
                <w:sz w:val="26"/>
                <w:szCs w:val="26"/>
                <w:rtl/>
              </w:rPr>
              <w:br/>
            </w:r>
            <w:r w:rsidRPr="00D90352">
              <w:rPr>
                <w:rFonts w:hint="cs"/>
                <w:rtl/>
              </w:rPr>
              <w:t>ע"י ב"כ עו"ד גנית אטיאס</w:t>
            </w:r>
          </w:p>
        </w:tc>
      </w:tr>
      <w:bookmarkEnd w:id="2"/>
      <w:tr w:rsidR="00F04FE5" w:rsidRPr="00D90352" w14:paraId="118C7689" w14:textId="77777777" w:rsidTr="00F04FE5">
        <w:trPr>
          <w:jc w:val="center"/>
        </w:trPr>
        <w:tc>
          <w:tcPr>
            <w:tcW w:w="8820" w:type="dxa"/>
            <w:gridSpan w:val="3"/>
            <w:shd w:val="clear" w:color="auto" w:fill="auto"/>
          </w:tcPr>
          <w:p w14:paraId="53DBFDF4" w14:textId="77777777" w:rsidR="00F04FE5" w:rsidRPr="00D90352" w:rsidRDefault="00F04FE5" w:rsidP="00822991">
            <w:pPr>
              <w:rPr>
                <w:rFonts w:ascii="Arial" w:hAnsi="Arial"/>
                <w:b/>
                <w:bCs/>
                <w:noProof w:val="0"/>
                <w:sz w:val="26"/>
                <w:szCs w:val="26"/>
                <w:rtl/>
              </w:rPr>
            </w:pPr>
          </w:p>
          <w:p w14:paraId="39AA6071" w14:textId="77777777" w:rsidR="00F04FE5" w:rsidRPr="00D90352" w:rsidRDefault="00F04FE5" w:rsidP="00F04FE5">
            <w:pPr>
              <w:jc w:val="center"/>
              <w:rPr>
                <w:rFonts w:ascii="Arial" w:hAnsi="Arial"/>
                <w:b/>
                <w:bCs/>
                <w:noProof w:val="0"/>
                <w:sz w:val="26"/>
                <w:szCs w:val="26"/>
                <w:rtl/>
              </w:rPr>
            </w:pPr>
            <w:r w:rsidRPr="00D90352">
              <w:rPr>
                <w:rFonts w:ascii="Arial" w:hAnsi="Arial"/>
                <w:b/>
                <w:bCs/>
                <w:noProof w:val="0"/>
                <w:sz w:val="26"/>
                <w:szCs w:val="26"/>
                <w:rtl/>
              </w:rPr>
              <w:t>נגד</w:t>
            </w:r>
          </w:p>
          <w:p w14:paraId="5842B0FB" w14:textId="77777777" w:rsidR="00F04FE5" w:rsidRPr="00D90352" w:rsidRDefault="00F04FE5" w:rsidP="00822991">
            <w:pPr>
              <w:rPr>
                <w:rFonts w:ascii="Arial" w:hAnsi="Arial"/>
                <w:b/>
                <w:bCs/>
                <w:noProof w:val="0"/>
                <w:sz w:val="26"/>
                <w:szCs w:val="26"/>
              </w:rPr>
            </w:pPr>
          </w:p>
        </w:tc>
      </w:tr>
      <w:tr w:rsidR="00F04FE5" w:rsidRPr="00D90352" w14:paraId="4EC6B710" w14:textId="77777777" w:rsidTr="00F04FE5">
        <w:trPr>
          <w:jc w:val="center"/>
        </w:trPr>
        <w:tc>
          <w:tcPr>
            <w:tcW w:w="3249" w:type="dxa"/>
            <w:gridSpan w:val="2"/>
            <w:shd w:val="clear" w:color="auto" w:fill="auto"/>
          </w:tcPr>
          <w:p w14:paraId="54AC2815" w14:textId="77777777" w:rsidR="00F04FE5" w:rsidRPr="00D90352" w:rsidRDefault="00F04FE5" w:rsidP="00822991">
            <w:pPr>
              <w:rPr>
                <w:rFonts w:ascii="Arial" w:hAnsi="Arial"/>
                <w:b/>
                <w:bCs/>
                <w:noProof w:val="0"/>
                <w:sz w:val="26"/>
                <w:szCs w:val="26"/>
                <w:rtl/>
              </w:rPr>
            </w:pPr>
          </w:p>
          <w:p w14:paraId="6B8A7DF3" w14:textId="77777777" w:rsidR="00F04FE5" w:rsidRPr="00D90352" w:rsidRDefault="00F04FE5" w:rsidP="00822991">
            <w:pPr>
              <w:rPr>
                <w:rFonts w:ascii="Arial" w:hAnsi="Arial"/>
                <w:b/>
                <w:bCs/>
                <w:noProof w:val="0"/>
                <w:sz w:val="26"/>
                <w:szCs w:val="26"/>
              </w:rPr>
            </w:pPr>
            <w:r w:rsidRPr="00D90352">
              <w:rPr>
                <w:rFonts w:ascii="Arial" w:hAnsi="Arial" w:hint="cs"/>
                <w:b/>
                <w:bCs/>
                <w:noProof w:val="0"/>
                <w:sz w:val="26"/>
                <w:szCs w:val="26"/>
                <w:rtl/>
              </w:rPr>
              <w:t>הנאשם</w:t>
            </w:r>
          </w:p>
        </w:tc>
        <w:tc>
          <w:tcPr>
            <w:tcW w:w="5571" w:type="dxa"/>
            <w:shd w:val="clear" w:color="auto" w:fill="auto"/>
          </w:tcPr>
          <w:p w14:paraId="3B0EC8B1" w14:textId="77777777" w:rsidR="00F04FE5" w:rsidRPr="00D90352" w:rsidRDefault="00F04FE5" w:rsidP="00822991">
            <w:pPr>
              <w:rPr>
                <w:rFonts w:ascii="Arial" w:hAnsi="Arial"/>
                <w:b/>
                <w:bCs/>
                <w:noProof w:val="0"/>
                <w:sz w:val="26"/>
                <w:szCs w:val="26"/>
                <w:rtl/>
              </w:rPr>
            </w:pPr>
          </w:p>
          <w:p w14:paraId="4135FA0E" w14:textId="77777777" w:rsidR="00F04FE5" w:rsidRPr="00D90352" w:rsidRDefault="00F04FE5" w:rsidP="00822991">
            <w:pPr>
              <w:rPr>
                <w:b/>
                <w:bCs/>
                <w:noProof w:val="0"/>
                <w:sz w:val="26"/>
                <w:szCs w:val="26"/>
                <w:rtl/>
              </w:rPr>
            </w:pPr>
            <w:r w:rsidRPr="00D90352">
              <w:rPr>
                <w:rFonts w:ascii="Arial" w:hAnsi="Arial"/>
                <w:b/>
                <w:bCs/>
                <w:noProof w:val="0"/>
                <w:sz w:val="26"/>
                <w:szCs w:val="26"/>
                <w:rtl/>
              </w:rPr>
              <w:t xml:space="preserve">נאיף </w:t>
            </w:r>
            <w:r w:rsidRPr="00D90352">
              <w:rPr>
                <w:rFonts w:ascii="Arial" w:hAnsi="Arial" w:hint="cs"/>
                <w:b/>
                <w:bCs/>
                <w:noProof w:val="0"/>
                <w:sz w:val="26"/>
                <w:szCs w:val="26"/>
                <w:rtl/>
              </w:rPr>
              <w:t xml:space="preserve">בן מוחמד </w:t>
            </w:r>
            <w:r w:rsidRPr="00D90352">
              <w:rPr>
                <w:rFonts w:ascii="Arial" w:hAnsi="Arial"/>
                <w:b/>
                <w:bCs/>
                <w:noProof w:val="0"/>
                <w:sz w:val="26"/>
                <w:szCs w:val="26"/>
                <w:rtl/>
              </w:rPr>
              <w:t>אבו עראר</w:t>
            </w:r>
            <w:r w:rsidRPr="00D90352">
              <w:rPr>
                <w:rFonts w:ascii="Arial" w:hAnsi="Arial"/>
                <w:b/>
                <w:bCs/>
                <w:noProof w:val="0"/>
                <w:sz w:val="26"/>
                <w:szCs w:val="26"/>
                <w:rtl/>
              </w:rPr>
              <w:br/>
            </w:r>
            <w:r w:rsidRPr="00D90352">
              <w:rPr>
                <w:rFonts w:hint="cs"/>
                <w:rtl/>
              </w:rPr>
              <w:t>ע"י ב"כ עו"ד נאצר אלעטאונה</w:t>
            </w:r>
          </w:p>
        </w:tc>
      </w:tr>
    </w:tbl>
    <w:p w14:paraId="3869C1B2" w14:textId="77777777" w:rsidR="00D90352" w:rsidRPr="00D90352" w:rsidRDefault="00D90352" w:rsidP="00D90352">
      <w:pPr>
        <w:suppressLineNumbers/>
        <w:spacing w:before="120" w:after="120" w:line="240" w:lineRule="exact"/>
        <w:ind w:left="283" w:hanging="283"/>
        <w:jc w:val="both"/>
        <w:rPr>
          <w:rFonts w:ascii="FrankRuehl" w:hAnsi="FrankRuehl" w:cs="FrankRuehl"/>
          <w:rtl/>
        </w:rPr>
      </w:pPr>
    </w:p>
    <w:p w14:paraId="4C389E2F" w14:textId="77777777" w:rsidR="00D90352" w:rsidRPr="00D90352" w:rsidRDefault="00D90352" w:rsidP="00D90352">
      <w:pPr>
        <w:suppressLineNumbers/>
        <w:rPr>
          <w:rtl/>
        </w:rPr>
      </w:pPr>
    </w:p>
    <w:p w14:paraId="331946B8" w14:textId="77777777" w:rsidR="002F0E2D" w:rsidRPr="002F0E2D" w:rsidRDefault="002F0E2D" w:rsidP="002F0E2D">
      <w:pPr>
        <w:suppressLineNumbers/>
        <w:spacing w:before="120" w:after="120" w:line="240" w:lineRule="exact"/>
        <w:ind w:left="283" w:hanging="283"/>
        <w:jc w:val="both"/>
        <w:rPr>
          <w:rFonts w:ascii="FrankRuehl" w:hAnsi="FrankRuehl" w:cs="FrankRuehl"/>
          <w:rtl/>
        </w:rPr>
      </w:pPr>
      <w:bookmarkStart w:id="3" w:name="LawTable"/>
      <w:bookmarkEnd w:id="3"/>
    </w:p>
    <w:p w14:paraId="6BBACBEB" w14:textId="77777777" w:rsidR="002F0E2D" w:rsidRPr="002F0E2D" w:rsidRDefault="002F0E2D" w:rsidP="002F0E2D">
      <w:pPr>
        <w:suppressLineNumbers/>
        <w:spacing w:before="120" w:after="120" w:line="240" w:lineRule="exact"/>
        <w:ind w:left="283" w:hanging="283"/>
        <w:jc w:val="both"/>
        <w:rPr>
          <w:rFonts w:ascii="FrankRuehl" w:hAnsi="FrankRuehl" w:cs="FrankRuehl"/>
          <w:rtl/>
        </w:rPr>
      </w:pPr>
      <w:r w:rsidRPr="002F0E2D">
        <w:rPr>
          <w:rFonts w:ascii="FrankRuehl" w:hAnsi="FrankRuehl" w:cs="FrankRuehl"/>
          <w:rtl/>
        </w:rPr>
        <w:t xml:space="preserve">חקיקה שאוזכרה: </w:t>
      </w:r>
    </w:p>
    <w:p w14:paraId="782DF6B8" w14:textId="77777777" w:rsidR="002F0E2D" w:rsidRPr="002F0E2D" w:rsidRDefault="002F0E2D" w:rsidP="002F0E2D">
      <w:pPr>
        <w:suppressLineNumbers/>
        <w:spacing w:before="120" w:after="120" w:line="240" w:lineRule="exact"/>
        <w:ind w:left="283" w:hanging="283"/>
        <w:jc w:val="both"/>
        <w:rPr>
          <w:rFonts w:ascii="FrankRuehl" w:hAnsi="FrankRuehl" w:cs="FrankRuehl"/>
          <w:color w:val="0000FF"/>
          <w:rtl/>
        </w:rPr>
      </w:pPr>
      <w:hyperlink r:id="rId8" w:history="1">
        <w:r w:rsidRPr="002F0E2D">
          <w:rPr>
            <w:rStyle w:val="Hyperlink"/>
            <w:rFonts w:ascii="FrankRuehl" w:hAnsi="FrankRuehl" w:cs="FrankRuehl"/>
            <w:u w:val="none"/>
            <w:rtl/>
          </w:rPr>
          <w:t>חוק העונשין, תשל"ז-1977</w:t>
        </w:r>
      </w:hyperlink>
      <w:r w:rsidRPr="002F0E2D">
        <w:rPr>
          <w:rFonts w:ascii="FrankRuehl" w:hAnsi="FrankRuehl" w:cs="FrankRuehl"/>
          <w:color w:val="0000FF"/>
          <w:rtl/>
        </w:rPr>
        <w:t xml:space="preserve">: סע'  </w:t>
      </w:r>
      <w:hyperlink r:id="rId9" w:history="1">
        <w:r w:rsidRPr="002F0E2D">
          <w:rPr>
            <w:rStyle w:val="Hyperlink"/>
            <w:rFonts w:ascii="FrankRuehl" w:hAnsi="FrankRuehl" w:cs="FrankRuehl"/>
            <w:u w:val="none"/>
          </w:rPr>
          <w:t>144</w:t>
        </w:r>
      </w:hyperlink>
      <w:r w:rsidRPr="002F0E2D">
        <w:rPr>
          <w:rFonts w:ascii="FrankRuehl" w:hAnsi="FrankRuehl" w:cs="FrankRuehl"/>
          <w:color w:val="0000FF"/>
          <w:rtl/>
        </w:rPr>
        <w:t xml:space="preserve">, </w:t>
      </w:r>
      <w:hyperlink r:id="rId10" w:history="1">
        <w:r w:rsidRPr="002F0E2D">
          <w:rPr>
            <w:rStyle w:val="Hyperlink"/>
            <w:rFonts w:ascii="FrankRuehl" w:hAnsi="FrankRuehl" w:cs="FrankRuehl"/>
            <w:u w:val="none"/>
          </w:rPr>
          <w:t>144</w:t>
        </w:r>
      </w:hyperlink>
      <w:r w:rsidRPr="002F0E2D">
        <w:rPr>
          <w:rFonts w:ascii="FrankRuehl" w:hAnsi="FrankRuehl" w:cs="FrankRuehl"/>
          <w:color w:val="0000FF"/>
          <w:rtl/>
        </w:rPr>
        <w:t xml:space="preserve">(א), </w:t>
      </w:r>
      <w:hyperlink r:id="rId11" w:history="1">
        <w:r w:rsidRPr="002F0E2D">
          <w:rPr>
            <w:rStyle w:val="Hyperlink"/>
            <w:rFonts w:ascii="FrankRuehl" w:hAnsi="FrankRuehl" w:cs="FrankRuehl"/>
            <w:u w:val="none"/>
          </w:rPr>
          <w:t>144</w:t>
        </w:r>
      </w:hyperlink>
      <w:r w:rsidRPr="002F0E2D">
        <w:rPr>
          <w:rFonts w:ascii="FrankRuehl" w:hAnsi="FrankRuehl" w:cs="FrankRuehl"/>
          <w:color w:val="0000FF"/>
          <w:rtl/>
        </w:rPr>
        <w:t xml:space="preserve">(ב), </w:t>
      </w:r>
      <w:hyperlink r:id="rId12" w:history="1">
        <w:r w:rsidRPr="002F0E2D">
          <w:rPr>
            <w:rStyle w:val="Hyperlink"/>
            <w:rFonts w:ascii="FrankRuehl" w:hAnsi="FrankRuehl" w:cs="FrankRuehl"/>
            <w:u w:val="none"/>
          </w:rPr>
          <w:t>186</w:t>
        </w:r>
      </w:hyperlink>
    </w:p>
    <w:p w14:paraId="165EF6E5" w14:textId="77777777" w:rsidR="00F04FE5" w:rsidRDefault="00F04FE5" w:rsidP="002F0E2D">
      <w:pPr>
        <w:suppressLineNumbers/>
        <w:rPr>
          <w:rFonts w:hint="cs"/>
          <w:rtl/>
        </w:rPr>
      </w:pPr>
      <w:bookmarkStart w:id="4" w:name="LawTable_End"/>
      <w:bookmarkEnd w:id="4"/>
    </w:p>
    <w:p w14:paraId="54326105" w14:textId="77777777" w:rsidR="002F0E2D" w:rsidRDefault="002F0E2D" w:rsidP="002F0E2D">
      <w:pPr>
        <w:suppressLineNumbers/>
        <w:rPr>
          <w:rFonts w:hint="cs"/>
          <w:rtl/>
        </w:rPr>
      </w:pPr>
    </w:p>
    <w:p w14:paraId="2BC0CEA4" w14:textId="77777777" w:rsidR="002F0E2D" w:rsidRPr="002F0E2D" w:rsidRDefault="002F0E2D" w:rsidP="002F0E2D">
      <w:pPr>
        <w:suppressLineNumbers/>
        <w:rPr>
          <w:rFonts w:hint="cs"/>
        </w:rPr>
      </w:pPr>
    </w:p>
    <w:tbl>
      <w:tblPr>
        <w:bidiVisual/>
        <w:tblW w:w="8820" w:type="dxa"/>
        <w:jc w:val="center"/>
        <w:tblLook w:val="01E0" w:firstRow="1" w:lastRow="1" w:firstColumn="1" w:lastColumn="1" w:noHBand="0" w:noVBand="0"/>
      </w:tblPr>
      <w:tblGrid>
        <w:gridCol w:w="8820"/>
      </w:tblGrid>
      <w:tr w:rsidR="00F04FE5" w14:paraId="4437272F" w14:textId="77777777" w:rsidTr="00F04FE5">
        <w:trPr>
          <w:jc w:val="center"/>
        </w:trPr>
        <w:tc>
          <w:tcPr>
            <w:tcW w:w="8820" w:type="dxa"/>
            <w:shd w:val="clear" w:color="auto" w:fill="auto"/>
          </w:tcPr>
          <w:p w14:paraId="1EC42A8B" w14:textId="77777777" w:rsidR="00D90352" w:rsidRPr="00D90352" w:rsidRDefault="00D90352" w:rsidP="00D90352">
            <w:pPr>
              <w:bidi w:val="0"/>
              <w:jc w:val="center"/>
              <w:rPr>
                <w:rFonts w:ascii="Arial" w:hAnsi="Arial"/>
                <w:b/>
                <w:bCs/>
                <w:noProof w:val="0"/>
                <w:sz w:val="28"/>
                <w:szCs w:val="28"/>
                <w:u w:val="single"/>
              </w:rPr>
            </w:pPr>
            <w:bookmarkStart w:id="5" w:name="PsakDin" w:colFirst="0" w:colLast="0"/>
            <w:bookmarkEnd w:id="0"/>
            <w:bookmarkEnd w:id="1"/>
            <w:r w:rsidRPr="00D90352">
              <w:rPr>
                <w:rFonts w:ascii="Arial" w:hAnsi="Arial"/>
                <w:b/>
                <w:bCs/>
                <w:noProof w:val="0"/>
                <w:sz w:val="28"/>
                <w:szCs w:val="28"/>
                <w:u w:val="single"/>
                <w:rtl/>
              </w:rPr>
              <w:t>גזר דין</w:t>
            </w:r>
          </w:p>
          <w:p w14:paraId="66A0DC7A" w14:textId="77777777" w:rsidR="00F04FE5" w:rsidRPr="00D90352" w:rsidRDefault="00F04FE5" w:rsidP="00D90352">
            <w:pPr>
              <w:bidi w:val="0"/>
              <w:jc w:val="center"/>
              <w:rPr>
                <w:rFonts w:ascii="Arial" w:hAnsi="Arial"/>
                <w:b/>
                <w:bCs/>
                <w:noProof w:val="0"/>
                <w:sz w:val="28"/>
                <w:szCs w:val="28"/>
                <w:u w:val="single"/>
              </w:rPr>
            </w:pPr>
          </w:p>
        </w:tc>
      </w:tr>
      <w:bookmarkEnd w:id="5"/>
    </w:tbl>
    <w:p w14:paraId="12E72160" w14:textId="77777777" w:rsidR="00F04FE5" w:rsidRDefault="00F04FE5" w:rsidP="00F04FE5">
      <w:pPr>
        <w:spacing w:line="360" w:lineRule="auto"/>
        <w:jc w:val="both"/>
        <w:rPr>
          <w:rFonts w:ascii="Arial" w:hAnsi="Arial"/>
          <w:noProof w:val="0"/>
          <w:rtl/>
        </w:rPr>
      </w:pPr>
    </w:p>
    <w:p w14:paraId="47F8178C" w14:textId="77777777" w:rsidR="00F04FE5" w:rsidRDefault="00F04FE5" w:rsidP="00F04FE5">
      <w:pPr>
        <w:spacing w:line="360" w:lineRule="auto"/>
        <w:jc w:val="both"/>
        <w:rPr>
          <w:rFonts w:ascii="Arial" w:hAnsi="Arial"/>
          <w:rtl/>
        </w:rPr>
      </w:pPr>
      <w:r>
        <w:rPr>
          <w:rFonts w:ascii="Arial" w:hAnsi="Arial" w:hint="cs"/>
          <w:b/>
          <w:bCs/>
          <w:rtl/>
        </w:rPr>
        <w:t>כתב האישום והשתלשלות ההליך</w:t>
      </w:r>
    </w:p>
    <w:p w14:paraId="13AC2E21" w14:textId="77777777" w:rsidR="00F04FE5" w:rsidRPr="007253F9" w:rsidRDefault="00F04FE5" w:rsidP="00F04FE5">
      <w:pPr>
        <w:spacing w:line="360" w:lineRule="auto"/>
        <w:jc w:val="both"/>
        <w:rPr>
          <w:rFonts w:ascii="Arial" w:hAnsi="Arial"/>
          <w:rtl/>
        </w:rPr>
      </w:pPr>
    </w:p>
    <w:p w14:paraId="4F725A6A" w14:textId="77777777" w:rsidR="00F04FE5" w:rsidRDefault="00F04FE5" w:rsidP="00F04FE5">
      <w:pPr>
        <w:spacing w:line="360" w:lineRule="auto"/>
        <w:jc w:val="both"/>
        <w:rPr>
          <w:noProof w:val="0"/>
        </w:rPr>
      </w:pPr>
      <w:bookmarkStart w:id="6" w:name="ABSTRACT_START"/>
      <w:bookmarkEnd w:id="6"/>
      <w:r>
        <w:rPr>
          <w:rFonts w:ascii="Arial" w:hAnsi="Arial" w:hint="cs"/>
          <w:rtl/>
        </w:rPr>
        <w:t xml:space="preserve">הנאשם שלפני נותן את הדין בגין </w:t>
      </w:r>
      <w:r>
        <w:rPr>
          <w:rFonts w:ascii="Arial" w:hAnsi="Arial"/>
          <w:rtl/>
        </w:rPr>
        <w:t xml:space="preserve">עבירות של החזקת נשק חם שלא כדין וכן החזקת חלקי נשק או תחמושת שלא כדין, בניגוד </w:t>
      </w:r>
      <w:hyperlink r:id="rId13" w:history="1">
        <w:r w:rsidR="002F0E2D" w:rsidRPr="002F0E2D">
          <w:rPr>
            <w:rStyle w:val="Hyperlink"/>
            <w:rFonts w:ascii="Arial" w:hAnsi="Arial"/>
            <w:color w:val="0000FF"/>
            <w:rtl/>
          </w:rPr>
          <w:t>לסעיפים 144(א)</w:t>
        </w:r>
      </w:hyperlink>
      <w:r>
        <w:rPr>
          <w:rFonts w:ascii="Arial" w:hAnsi="Arial"/>
          <w:rtl/>
        </w:rPr>
        <w:t xml:space="preserve"> רישא וסיפא </w:t>
      </w:r>
      <w:r>
        <w:rPr>
          <w:rtl/>
        </w:rPr>
        <w:t>ל</w:t>
      </w:r>
      <w:hyperlink r:id="rId14" w:history="1">
        <w:r w:rsidR="00D90352" w:rsidRPr="00D90352">
          <w:rPr>
            <w:color w:val="0000FF"/>
            <w:u w:val="single"/>
            <w:rtl/>
          </w:rPr>
          <w:t>חוק העונשין</w:t>
        </w:r>
      </w:hyperlink>
      <w:r>
        <w:rPr>
          <w:rtl/>
        </w:rPr>
        <w:t xml:space="preserve">, תשל"ז – 1977. </w:t>
      </w:r>
    </w:p>
    <w:p w14:paraId="710377B6" w14:textId="77777777" w:rsidR="00F04FE5" w:rsidRDefault="00F04FE5" w:rsidP="00F04FE5">
      <w:pPr>
        <w:spacing w:line="360" w:lineRule="auto"/>
        <w:jc w:val="both"/>
        <w:rPr>
          <w:rtl/>
        </w:rPr>
      </w:pPr>
    </w:p>
    <w:p w14:paraId="2D146DD7" w14:textId="77777777" w:rsidR="00F04FE5" w:rsidRDefault="00F04FE5" w:rsidP="00F04FE5">
      <w:pPr>
        <w:spacing w:line="360" w:lineRule="auto"/>
        <w:jc w:val="both"/>
        <w:rPr>
          <w:rtl/>
        </w:rPr>
      </w:pPr>
      <w:r>
        <w:rPr>
          <w:rFonts w:ascii="Calibri" w:hAnsi="Calibri"/>
          <w:rtl/>
        </w:rPr>
        <w:t xml:space="preserve">בהתאם לעובדות כתב האישום המתוקן ת/15 (תיקון טכני), החזיק הנאשם, בתאריך 16.07.20 וכחודשיים לפני מועד זה, בביתו, בשכונה 2, בית 184 בערוער, בתוך שקית שחורה, אקדח הזנקה מסוג </w:t>
      </w:r>
      <w:r>
        <w:rPr>
          <w:rFonts w:ascii="Calibri" w:hAnsi="Calibri"/>
        </w:rPr>
        <w:t>RETAY</w:t>
      </w:r>
      <w:r>
        <w:rPr>
          <w:rFonts w:ascii="Calibri" w:hAnsi="Calibri"/>
          <w:rtl/>
        </w:rPr>
        <w:t xml:space="preserve"> מודל </w:t>
      </w:r>
      <w:r>
        <w:rPr>
          <w:rFonts w:ascii="Calibri" w:hAnsi="Calibri"/>
        </w:rPr>
        <w:t>X1</w:t>
      </w:r>
      <w:r>
        <w:rPr>
          <w:rFonts w:ascii="Calibri" w:hAnsi="Calibri"/>
          <w:rtl/>
        </w:rPr>
        <w:t xml:space="preserve"> , בקוטר 9 מ"מ, אשר הוסב לירי תחמושת קליעית בקליבר 9 מ"מ, שלא כדין. </w:t>
      </w:r>
    </w:p>
    <w:p w14:paraId="03C69A2A" w14:textId="77777777" w:rsidR="00F04FE5" w:rsidRDefault="00F04FE5" w:rsidP="00F04FE5">
      <w:pPr>
        <w:spacing w:line="360" w:lineRule="auto"/>
        <w:jc w:val="both"/>
        <w:rPr>
          <w:rtl/>
        </w:rPr>
      </w:pPr>
      <w:bookmarkStart w:id="7" w:name="ABSTRACT_END"/>
      <w:bookmarkEnd w:id="7"/>
    </w:p>
    <w:p w14:paraId="7514F48D" w14:textId="77777777" w:rsidR="00F04FE5" w:rsidRDefault="00F04FE5" w:rsidP="00F04FE5">
      <w:pPr>
        <w:spacing w:line="360" w:lineRule="auto"/>
        <w:jc w:val="both"/>
        <w:rPr>
          <w:rtl/>
        </w:rPr>
      </w:pPr>
      <w:r>
        <w:rPr>
          <w:rtl/>
        </w:rPr>
        <w:lastRenderedPageBreak/>
        <w:t>בנוסף, החזיק הנאשם, גם זאת שלא כדין, מחסנית ובה 8 כדורים וכן 26 כדורים נוספים בתפזורת, שהיו באותה שקית בה הוחזק האקדח.</w:t>
      </w:r>
    </w:p>
    <w:p w14:paraId="3FF6C760" w14:textId="77777777" w:rsidR="00F04FE5" w:rsidRDefault="00F04FE5" w:rsidP="00F04FE5">
      <w:pPr>
        <w:spacing w:line="360" w:lineRule="auto"/>
        <w:jc w:val="both"/>
        <w:rPr>
          <w:rtl/>
        </w:rPr>
      </w:pPr>
    </w:p>
    <w:p w14:paraId="794B74FB" w14:textId="77777777" w:rsidR="00F04FE5" w:rsidRDefault="00F04FE5" w:rsidP="00F04FE5">
      <w:pPr>
        <w:spacing w:line="360" w:lineRule="auto"/>
        <w:jc w:val="both"/>
        <w:rPr>
          <w:rtl/>
        </w:rPr>
      </w:pPr>
      <w:r>
        <w:rPr>
          <w:rFonts w:hint="cs"/>
          <w:rtl/>
        </w:rPr>
        <w:t>ההגנה כפרה בעובדות ובעבירות שבכתב האישום.</w:t>
      </w:r>
    </w:p>
    <w:p w14:paraId="5ED3A97B" w14:textId="77777777" w:rsidR="00F04FE5" w:rsidRDefault="00F04FE5" w:rsidP="00F04FE5">
      <w:pPr>
        <w:spacing w:line="360" w:lineRule="auto"/>
        <w:jc w:val="both"/>
        <w:rPr>
          <w:rtl/>
        </w:rPr>
      </w:pPr>
    </w:p>
    <w:p w14:paraId="7919CDE3" w14:textId="77777777" w:rsidR="00F04FE5" w:rsidRDefault="00F04FE5" w:rsidP="00F04FE5">
      <w:pPr>
        <w:spacing w:line="360" w:lineRule="auto"/>
        <w:jc w:val="both"/>
        <w:rPr>
          <w:rtl/>
        </w:rPr>
      </w:pPr>
      <w:r>
        <w:rPr>
          <w:rFonts w:hint="cs"/>
          <w:rtl/>
        </w:rPr>
        <w:t xml:space="preserve">לאחר שהסתיימה שמיעת כלל הראיות והוגשו סיכומי הצדדים </w:t>
      </w:r>
      <w:r>
        <w:rPr>
          <w:rtl/>
        </w:rPr>
        <w:t>–</w:t>
      </w:r>
      <w:r>
        <w:rPr>
          <w:rFonts w:hint="cs"/>
          <w:rtl/>
        </w:rPr>
        <w:t xml:space="preserve"> הרשיע בית המשפט את הנאשם בעובדות ובעבירות שבכתב האישום.</w:t>
      </w:r>
    </w:p>
    <w:p w14:paraId="6DFC877B" w14:textId="77777777" w:rsidR="00F04FE5" w:rsidRDefault="00F04FE5" w:rsidP="00F04FE5">
      <w:pPr>
        <w:spacing w:line="360" w:lineRule="auto"/>
        <w:jc w:val="both"/>
        <w:rPr>
          <w:rtl/>
        </w:rPr>
      </w:pPr>
    </w:p>
    <w:p w14:paraId="0BE66A01" w14:textId="77777777" w:rsidR="00F04FE5" w:rsidRDefault="00F04FE5" w:rsidP="00F04FE5">
      <w:pPr>
        <w:spacing w:line="360" w:lineRule="auto"/>
        <w:jc w:val="both"/>
        <w:rPr>
          <w:rtl/>
        </w:rPr>
      </w:pPr>
      <w:r>
        <w:rPr>
          <w:rFonts w:hint="cs"/>
          <w:rtl/>
        </w:rPr>
        <w:t xml:space="preserve">מכאן </w:t>
      </w:r>
      <w:r>
        <w:rPr>
          <w:rtl/>
        </w:rPr>
        <w:t>–</w:t>
      </w:r>
      <w:r>
        <w:rPr>
          <w:rFonts w:hint="cs"/>
          <w:rtl/>
        </w:rPr>
        <w:t xml:space="preserve"> גזר דין זה.</w:t>
      </w:r>
    </w:p>
    <w:p w14:paraId="217D66A2" w14:textId="77777777" w:rsidR="00F04FE5" w:rsidRDefault="00F04FE5" w:rsidP="00F04FE5">
      <w:pPr>
        <w:spacing w:line="360" w:lineRule="auto"/>
        <w:jc w:val="both"/>
        <w:rPr>
          <w:rtl/>
        </w:rPr>
      </w:pPr>
      <w:r>
        <w:rPr>
          <w:rFonts w:hint="cs"/>
          <w:b/>
          <w:bCs/>
          <w:rtl/>
        </w:rPr>
        <w:t>ראיות לעונש</w:t>
      </w:r>
    </w:p>
    <w:p w14:paraId="62D70627" w14:textId="77777777" w:rsidR="00F04FE5" w:rsidRDefault="00F04FE5" w:rsidP="00F04FE5">
      <w:pPr>
        <w:spacing w:line="360" w:lineRule="auto"/>
        <w:jc w:val="both"/>
        <w:rPr>
          <w:rtl/>
        </w:rPr>
      </w:pPr>
    </w:p>
    <w:p w14:paraId="6E13F3EF" w14:textId="77777777" w:rsidR="00F04FE5" w:rsidRDefault="00F04FE5" w:rsidP="00F04FE5">
      <w:pPr>
        <w:spacing w:line="360" w:lineRule="auto"/>
        <w:jc w:val="both"/>
        <w:rPr>
          <w:rtl/>
        </w:rPr>
      </w:pPr>
      <w:r>
        <w:rPr>
          <w:rFonts w:hint="cs"/>
          <w:u w:val="single"/>
          <w:rtl/>
        </w:rPr>
        <w:t>התביעה</w:t>
      </w:r>
      <w:r>
        <w:rPr>
          <w:rFonts w:hint="cs"/>
          <w:rtl/>
        </w:rPr>
        <w:t xml:space="preserve"> הגישה, לענין העונש, ראיות כדלקמן:</w:t>
      </w:r>
    </w:p>
    <w:p w14:paraId="0E821C00" w14:textId="77777777" w:rsidR="00F04FE5" w:rsidRDefault="00F04FE5" w:rsidP="00F04FE5">
      <w:pPr>
        <w:spacing w:line="360" w:lineRule="auto"/>
        <w:jc w:val="both"/>
        <w:rPr>
          <w:rtl/>
        </w:rPr>
      </w:pPr>
    </w:p>
    <w:p w14:paraId="3078EF5D" w14:textId="77777777" w:rsidR="00F04FE5" w:rsidRDefault="00F04FE5" w:rsidP="00F04FE5">
      <w:pPr>
        <w:pStyle w:val="a9"/>
        <w:numPr>
          <w:ilvl w:val="0"/>
          <w:numId w:val="1"/>
        </w:numPr>
        <w:spacing w:line="360" w:lineRule="auto"/>
        <w:jc w:val="both"/>
      </w:pPr>
      <w:r>
        <w:rPr>
          <w:rFonts w:hint="cs"/>
          <w:rtl/>
        </w:rPr>
        <w:t xml:space="preserve">גיליון רישום פלילי של הנאשם (ת/18) </w:t>
      </w:r>
      <w:r>
        <w:rPr>
          <w:rtl/>
        </w:rPr>
        <w:t>–</w:t>
      </w:r>
      <w:r>
        <w:rPr>
          <w:rFonts w:hint="cs"/>
          <w:rtl/>
        </w:rPr>
        <w:t xml:space="preserve"> לחובת הנאשם, הרשעה מיום 06.12.22, בגין ארבע עבירות של הזדהות עם ארגון טרור והסתה לטרור, בגינן נדון הנאשם ל-6 חודשי מאסר וכן ל-6 חודשי מאסר על תנאי, שלא יעבור עבירת ביטחון;</w:t>
      </w:r>
    </w:p>
    <w:p w14:paraId="2A838194" w14:textId="77777777" w:rsidR="00F04FE5" w:rsidRDefault="00F04FE5" w:rsidP="00F04FE5">
      <w:pPr>
        <w:pStyle w:val="a9"/>
        <w:numPr>
          <w:ilvl w:val="0"/>
          <w:numId w:val="1"/>
        </w:numPr>
        <w:spacing w:line="360" w:lineRule="auto"/>
        <w:jc w:val="both"/>
      </w:pPr>
      <w:r>
        <w:rPr>
          <w:rFonts w:hint="cs"/>
          <w:rtl/>
        </w:rPr>
        <w:t xml:space="preserve">כתב אישום וגזר הדין של השותף לעבירה, עמראן אבו שהאב, בנו של הנאשם, מיום 03.03.21, במסגרת </w:t>
      </w:r>
      <w:hyperlink r:id="rId15" w:history="1">
        <w:r w:rsidR="00D90352" w:rsidRPr="00D90352">
          <w:rPr>
            <w:color w:val="0000FF"/>
            <w:u w:val="single"/>
            <w:rtl/>
          </w:rPr>
          <w:t>ת"פ 13473-08-20</w:t>
        </w:r>
      </w:hyperlink>
      <w:r>
        <w:rPr>
          <w:rFonts w:hint="cs"/>
          <w:rtl/>
        </w:rPr>
        <w:t xml:space="preserve"> (ת/19א' </w:t>
      </w:r>
      <w:r>
        <w:rPr>
          <w:rtl/>
        </w:rPr>
        <w:t>–</w:t>
      </w:r>
      <w:r>
        <w:rPr>
          <w:rFonts w:hint="cs"/>
          <w:rtl/>
        </w:rPr>
        <w:t xml:space="preserve"> ב') </w:t>
      </w:r>
      <w:r>
        <w:rPr>
          <w:rtl/>
        </w:rPr>
        <w:t>–</w:t>
      </w:r>
      <w:r>
        <w:rPr>
          <w:rFonts w:hint="cs"/>
          <w:rtl/>
        </w:rPr>
        <w:t xml:space="preserve"> על השותף, אשר נעדר הרשעות קודמות, נגזרו, במסגרת הסדר טיעון כולל, 12 חודשי מאסר בפועל, לצד מאסר על תנאי, קנס, והתחייבות להימנע מעבירה;</w:t>
      </w:r>
    </w:p>
    <w:p w14:paraId="120EC67D" w14:textId="77777777" w:rsidR="00F04FE5" w:rsidRDefault="00F04FE5" w:rsidP="00F04FE5">
      <w:pPr>
        <w:pStyle w:val="a9"/>
        <w:numPr>
          <w:ilvl w:val="0"/>
          <w:numId w:val="1"/>
        </w:numPr>
        <w:spacing w:line="360" w:lineRule="auto"/>
        <w:jc w:val="both"/>
      </w:pPr>
      <w:r>
        <w:rPr>
          <w:rFonts w:hint="cs"/>
          <w:rtl/>
        </w:rPr>
        <w:t xml:space="preserve">כתב אישום מתוקן בשנית במסגרת </w:t>
      </w:r>
      <w:hyperlink r:id="rId16" w:history="1">
        <w:r w:rsidR="00D90352" w:rsidRPr="00D90352">
          <w:rPr>
            <w:color w:val="0000FF"/>
            <w:u w:val="single"/>
            <w:rtl/>
          </w:rPr>
          <w:t>ת"פ 40971-11-20</w:t>
        </w:r>
      </w:hyperlink>
      <w:r>
        <w:rPr>
          <w:rFonts w:hint="cs"/>
          <w:rtl/>
        </w:rPr>
        <w:t xml:space="preserve">, בגינו הורשע הנאשם, כמפורט במוצג ת/18 שלעיל (ת/20) </w:t>
      </w:r>
      <w:r>
        <w:rPr>
          <w:rtl/>
        </w:rPr>
        <w:t>–</w:t>
      </w:r>
      <w:r>
        <w:rPr>
          <w:rFonts w:hint="cs"/>
          <w:rtl/>
        </w:rPr>
        <w:t xml:space="preserve"> הנאשם שיתף, בחשבון הפייסבוק שלו, סרטון, ובו תמונות של המחבל אחמד ג'ראר עם כלי נשק והסמל של ארגון הטרור חמאס תוך דברי שבח והזדהות עם המחבל. </w:t>
      </w:r>
    </w:p>
    <w:p w14:paraId="5BE153F8" w14:textId="77777777" w:rsidR="00F04FE5" w:rsidRDefault="00F04FE5" w:rsidP="00F04FE5">
      <w:pPr>
        <w:spacing w:line="360" w:lineRule="auto"/>
        <w:jc w:val="both"/>
        <w:rPr>
          <w:u w:val="single"/>
          <w:rtl/>
        </w:rPr>
      </w:pPr>
    </w:p>
    <w:p w14:paraId="6E5F3186" w14:textId="77777777" w:rsidR="00F04FE5" w:rsidRDefault="00F04FE5" w:rsidP="00F04FE5">
      <w:pPr>
        <w:spacing w:line="360" w:lineRule="auto"/>
        <w:jc w:val="both"/>
        <w:rPr>
          <w:rtl/>
        </w:rPr>
      </w:pPr>
      <w:r>
        <w:rPr>
          <w:rFonts w:hint="cs"/>
          <w:u w:val="single"/>
          <w:rtl/>
        </w:rPr>
        <w:t>ההגנה</w:t>
      </w:r>
      <w:r>
        <w:rPr>
          <w:rFonts w:hint="cs"/>
          <w:rtl/>
        </w:rPr>
        <w:t xml:space="preserve"> לא הגישה ראיות לענין העונש.</w:t>
      </w:r>
    </w:p>
    <w:p w14:paraId="54FBD91D" w14:textId="77777777" w:rsidR="00F04FE5" w:rsidRDefault="00F04FE5" w:rsidP="00F04FE5">
      <w:pPr>
        <w:spacing w:line="360" w:lineRule="auto"/>
        <w:jc w:val="both"/>
        <w:rPr>
          <w:rtl/>
        </w:rPr>
      </w:pPr>
    </w:p>
    <w:p w14:paraId="5CC51C0E" w14:textId="77777777" w:rsidR="00F04FE5" w:rsidRDefault="00F04FE5" w:rsidP="00F04FE5">
      <w:pPr>
        <w:spacing w:line="360" w:lineRule="auto"/>
        <w:jc w:val="both"/>
        <w:rPr>
          <w:rtl/>
        </w:rPr>
      </w:pPr>
    </w:p>
    <w:p w14:paraId="10D21BDB" w14:textId="77777777" w:rsidR="00F04FE5" w:rsidRDefault="00F04FE5" w:rsidP="00F04FE5">
      <w:pPr>
        <w:spacing w:line="360" w:lineRule="auto"/>
        <w:jc w:val="both"/>
        <w:rPr>
          <w:rtl/>
        </w:rPr>
      </w:pPr>
      <w:r>
        <w:rPr>
          <w:rFonts w:hint="cs"/>
          <w:b/>
          <w:bCs/>
          <w:rtl/>
        </w:rPr>
        <w:t>טענות הצדדים</w:t>
      </w:r>
    </w:p>
    <w:p w14:paraId="67836112" w14:textId="77777777" w:rsidR="00F04FE5" w:rsidRDefault="00F04FE5" w:rsidP="00F04FE5">
      <w:pPr>
        <w:spacing w:line="360" w:lineRule="auto"/>
        <w:jc w:val="both"/>
        <w:rPr>
          <w:rtl/>
        </w:rPr>
      </w:pPr>
    </w:p>
    <w:p w14:paraId="362FD871" w14:textId="77777777" w:rsidR="00F04FE5" w:rsidRDefault="00F04FE5" w:rsidP="00F04FE5">
      <w:pPr>
        <w:spacing w:line="360" w:lineRule="auto"/>
        <w:jc w:val="both"/>
        <w:rPr>
          <w:rtl/>
        </w:rPr>
      </w:pPr>
      <w:r>
        <w:rPr>
          <w:rFonts w:hint="cs"/>
          <w:u w:val="single"/>
          <w:rtl/>
        </w:rPr>
        <w:t>התביעה</w:t>
      </w:r>
      <w:r>
        <w:rPr>
          <w:rFonts w:hint="cs"/>
          <w:rtl/>
        </w:rPr>
        <w:t xml:space="preserve"> הגישה טיעוניה בכתב (ת/21) והשלימה אותן על פה.</w:t>
      </w:r>
    </w:p>
    <w:p w14:paraId="648F25EA" w14:textId="77777777" w:rsidR="00F04FE5" w:rsidRDefault="00F04FE5" w:rsidP="00F04FE5">
      <w:pPr>
        <w:spacing w:line="360" w:lineRule="auto"/>
        <w:jc w:val="both"/>
        <w:rPr>
          <w:rtl/>
        </w:rPr>
      </w:pPr>
    </w:p>
    <w:p w14:paraId="62AE6B0E" w14:textId="77777777" w:rsidR="00F04FE5" w:rsidRDefault="00F04FE5" w:rsidP="00F04FE5">
      <w:pPr>
        <w:spacing w:line="360" w:lineRule="auto"/>
        <w:jc w:val="both"/>
        <w:rPr>
          <w:rtl/>
        </w:rPr>
      </w:pPr>
      <w:r>
        <w:rPr>
          <w:rFonts w:hint="cs"/>
          <w:rtl/>
        </w:rPr>
        <w:t>התביעה טענה, כי העבירות אותן עבר הנאשם מעלות חשש ממשי לפגיעה בחפים מפשע; הסלמת אלימות עבריינית; ערעור הביטחון האישי; והפרת הסדר הציבורי.</w:t>
      </w:r>
    </w:p>
    <w:p w14:paraId="584DEB40" w14:textId="77777777" w:rsidR="00F04FE5" w:rsidRDefault="00F04FE5" w:rsidP="00F04FE5">
      <w:pPr>
        <w:spacing w:line="360" w:lineRule="auto"/>
        <w:jc w:val="both"/>
        <w:rPr>
          <w:rtl/>
        </w:rPr>
      </w:pPr>
    </w:p>
    <w:p w14:paraId="4046D70F" w14:textId="77777777" w:rsidR="00F04FE5" w:rsidRDefault="00F04FE5" w:rsidP="00F04FE5">
      <w:pPr>
        <w:spacing w:line="360" w:lineRule="auto"/>
        <w:jc w:val="both"/>
        <w:rPr>
          <w:rtl/>
        </w:rPr>
      </w:pPr>
      <w:r>
        <w:rPr>
          <w:rFonts w:hint="cs"/>
          <w:rtl/>
        </w:rPr>
        <w:lastRenderedPageBreak/>
        <w:t>התביעה טענה, כי מידת הפגיעה בערכים המוגנים הינה קשה עד הרסנית והיקפיה נרחבים.</w:t>
      </w:r>
    </w:p>
    <w:p w14:paraId="78B527FF" w14:textId="77777777" w:rsidR="00F04FE5" w:rsidRDefault="00F04FE5" w:rsidP="00F04FE5">
      <w:pPr>
        <w:spacing w:line="360" w:lineRule="auto"/>
        <w:jc w:val="both"/>
        <w:rPr>
          <w:rtl/>
        </w:rPr>
      </w:pPr>
    </w:p>
    <w:p w14:paraId="58CC61C3" w14:textId="77777777" w:rsidR="00F04FE5" w:rsidRDefault="00F04FE5" w:rsidP="00F04FE5">
      <w:pPr>
        <w:spacing w:line="360" w:lineRule="auto"/>
        <w:jc w:val="both"/>
        <w:rPr>
          <w:rtl/>
        </w:rPr>
      </w:pPr>
      <w:r>
        <w:rPr>
          <w:rFonts w:hint="cs"/>
          <w:rtl/>
        </w:rPr>
        <w:t>התביעה טענה, כי בעבירות נשק, קיים פוטנציאל לשימוש עברייני או לאומני.</w:t>
      </w:r>
    </w:p>
    <w:p w14:paraId="33CF670F" w14:textId="77777777" w:rsidR="00F04FE5" w:rsidRDefault="00F04FE5" w:rsidP="00F04FE5">
      <w:pPr>
        <w:spacing w:line="360" w:lineRule="auto"/>
        <w:jc w:val="both"/>
        <w:rPr>
          <w:rtl/>
        </w:rPr>
      </w:pPr>
    </w:p>
    <w:p w14:paraId="36B16F89" w14:textId="77777777" w:rsidR="00F04FE5" w:rsidRDefault="00F04FE5" w:rsidP="00F04FE5">
      <w:pPr>
        <w:spacing w:line="360" w:lineRule="auto"/>
        <w:jc w:val="both"/>
        <w:rPr>
          <w:rtl/>
        </w:rPr>
      </w:pPr>
      <w:r>
        <w:rPr>
          <w:rFonts w:hint="cs"/>
          <w:rtl/>
        </w:rPr>
        <w:t>התביעה טענה, כי נקודת המוצא היא, כי ענישה בגין עבירות נשק צריכה לכלול רכיב של מאסר בפועל לתקופה ממושכת.</w:t>
      </w:r>
    </w:p>
    <w:p w14:paraId="5010A061" w14:textId="77777777" w:rsidR="00F04FE5" w:rsidRDefault="00F04FE5" w:rsidP="00F04FE5">
      <w:pPr>
        <w:spacing w:line="360" w:lineRule="auto"/>
        <w:jc w:val="both"/>
        <w:rPr>
          <w:rtl/>
        </w:rPr>
      </w:pPr>
    </w:p>
    <w:p w14:paraId="28E57943" w14:textId="77777777" w:rsidR="00F04FE5" w:rsidRDefault="00F04FE5" w:rsidP="00F04FE5">
      <w:pPr>
        <w:spacing w:line="360" w:lineRule="auto"/>
        <w:jc w:val="both"/>
        <w:rPr>
          <w:rtl/>
        </w:rPr>
      </w:pPr>
      <w:r>
        <w:rPr>
          <w:rFonts w:hint="cs"/>
          <w:rtl/>
        </w:rPr>
        <w:t xml:space="preserve">התביעה טענה, כי הגם שהנשק אותו החזיק הנאשם הינו אקדח הזנקה מסוג </w:t>
      </w:r>
      <w:r>
        <w:rPr>
          <w:rFonts w:hint="cs"/>
        </w:rPr>
        <w:t>RETAY</w:t>
      </w:r>
      <w:r>
        <w:rPr>
          <w:rFonts w:hint="cs"/>
          <w:rtl/>
        </w:rPr>
        <w:t xml:space="preserve"> מודל </w:t>
      </w:r>
      <w:r>
        <w:rPr>
          <w:rFonts w:hint="cs"/>
        </w:rPr>
        <w:t>X</w:t>
      </w:r>
      <w:r>
        <w:t>1</w:t>
      </w:r>
      <w:r>
        <w:rPr>
          <w:rFonts w:hint="cs"/>
          <w:rtl/>
        </w:rPr>
        <w:t xml:space="preserve"> אשר נועד לירי כדורים חסרי קליע, הרי בוצע שינוי בייעודו המקורי, והוא הוסב לירי תחמושת קליעית בקליבר 9 מ"מ. </w:t>
      </w:r>
    </w:p>
    <w:p w14:paraId="0669D8E2" w14:textId="77777777" w:rsidR="00F04FE5" w:rsidRDefault="00F04FE5" w:rsidP="00F04FE5">
      <w:pPr>
        <w:spacing w:line="360" w:lineRule="auto"/>
        <w:jc w:val="both"/>
        <w:rPr>
          <w:rtl/>
        </w:rPr>
      </w:pPr>
    </w:p>
    <w:p w14:paraId="25B20BE7" w14:textId="77777777" w:rsidR="00F04FE5" w:rsidRDefault="00F04FE5" w:rsidP="00F04FE5">
      <w:pPr>
        <w:spacing w:line="360" w:lineRule="auto"/>
        <w:jc w:val="both"/>
        <w:rPr>
          <w:rtl/>
        </w:rPr>
      </w:pPr>
      <w:r>
        <w:rPr>
          <w:rFonts w:hint="cs"/>
          <w:rtl/>
        </w:rPr>
        <w:t>התביעה טענה, כי ביצוע שינוי הייעוד של הנשק על מנת לאפשר ירי תחמושת קליעית מצביעה על תחכום רב ועל כוונה מובהקת של החזקתו למטרת ירי מסכן חיים.</w:t>
      </w:r>
    </w:p>
    <w:p w14:paraId="3A7F606E" w14:textId="77777777" w:rsidR="00F04FE5" w:rsidRDefault="00F04FE5" w:rsidP="00F04FE5">
      <w:pPr>
        <w:spacing w:line="360" w:lineRule="auto"/>
        <w:jc w:val="both"/>
        <w:rPr>
          <w:rtl/>
        </w:rPr>
      </w:pPr>
    </w:p>
    <w:p w14:paraId="43A328B0" w14:textId="77777777" w:rsidR="00F04FE5" w:rsidRDefault="00F04FE5" w:rsidP="00F04FE5">
      <w:pPr>
        <w:spacing w:line="360" w:lineRule="auto"/>
        <w:jc w:val="both"/>
        <w:rPr>
          <w:rtl/>
        </w:rPr>
      </w:pPr>
      <w:r>
        <w:rPr>
          <w:rFonts w:hint="cs"/>
          <w:rtl/>
        </w:rPr>
        <w:t>התביעה טענה, כי משנה חומרה לדברים, העובדה, כי בסמוך לנשק, החזיק הנאשם במחסנית ובה תחמושת התואמת את סוג הנשק, דבר המצביע על מוכנות הנשק לירי.</w:t>
      </w:r>
    </w:p>
    <w:p w14:paraId="655CC1C6" w14:textId="77777777" w:rsidR="00F04FE5" w:rsidRDefault="00F04FE5" w:rsidP="00F04FE5">
      <w:pPr>
        <w:spacing w:line="360" w:lineRule="auto"/>
        <w:jc w:val="both"/>
        <w:rPr>
          <w:rtl/>
        </w:rPr>
      </w:pPr>
    </w:p>
    <w:p w14:paraId="3282C0F7" w14:textId="77777777" w:rsidR="00F04FE5" w:rsidRDefault="00F04FE5" w:rsidP="00F04FE5">
      <w:pPr>
        <w:spacing w:line="360" w:lineRule="auto"/>
        <w:jc w:val="both"/>
        <w:rPr>
          <w:rtl/>
        </w:rPr>
      </w:pPr>
      <w:r>
        <w:rPr>
          <w:rFonts w:hint="cs"/>
          <w:rtl/>
        </w:rPr>
        <w:t>התביעה טענה, כי מחוות הדעת שהוגשה בתיק עולה, כי הנשק נבדק ונעשה בו ירי והוברר, כי הוא יורה ובכוחו להמית.</w:t>
      </w:r>
    </w:p>
    <w:p w14:paraId="5D319D1E" w14:textId="77777777" w:rsidR="00F04FE5" w:rsidRDefault="00F04FE5" w:rsidP="00F04FE5">
      <w:pPr>
        <w:spacing w:line="360" w:lineRule="auto"/>
        <w:jc w:val="both"/>
        <w:rPr>
          <w:rtl/>
        </w:rPr>
      </w:pPr>
    </w:p>
    <w:p w14:paraId="53657C7C" w14:textId="77777777" w:rsidR="00F04FE5" w:rsidRDefault="00F04FE5" w:rsidP="00F04FE5">
      <w:pPr>
        <w:spacing w:line="360" w:lineRule="auto"/>
        <w:jc w:val="both"/>
        <w:rPr>
          <w:rtl/>
        </w:rPr>
      </w:pPr>
      <w:r>
        <w:rPr>
          <w:rFonts w:hint="cs"/>
          <w:rtl/>
        </w:rPr>
        <w:t>התביעה טענה, כי הנשק הוסלק בביתו של הנאשם, במקום הצמוד למתחם המגורים, בתוך גרב שנמצאת בשקית, אשר הוחבאו במחסן בחצר הבית בתוך כלי חקלאי, הנועדה להקשות על גילוי הנשק.</w:t>
      </w:r>
    </w:p>
    <w:p w14:paraId="77659329" w14:textId="77777777" w:rsidR="00F04FE5" w:rsidRDefault="00F04FE5" w:rsidP="00F04FE5">
      <w:pPr>
        <w:spacing w:line="360" w:lineRule="auto"/>
        <w:jc w:val="both"/>
        <w:rPr>
          <w:rtl/>
        </w:rPr>
      </w:pPr>
    </w:p>
    <w:p w14:paraId="0ECB7E3D" w14:textId="77777777" w:rsidR="00F04FE5" w:rsidRDefault="00F04FE5" w:rsidP="00F04FE5">
      <w:pPr>
        <w:spacing w:line="360" w:lineRule="auto"/>
        <w:jc w:val="both"/>
        <w:rPr>
          <w:rtl/>
        </w:rPr>
      </w:pPr>
      <w:r>
        <w:rPr>
          <w:rFonts w:hint="cs"/>
          <w:rtl/>
        </w:rPr>
        <w:t xml:space="preserve">התביעה טענה, כי מחומר הראיות עולה, כי הנאשם ובנו התכוונו לסחור בנשק על מנת לקבל בתמורה נשק טוב יותר, והפנתה לשיחות 3 </w:t>
      </w:r>
      <w:r>
        <w:rPr>
          <w:rtl/>
        </w:rPr>
        <w:t>–</w:t>
      </w:r>
      <w:r>
        <w:rPr>
          <w:rFonts w:hint="cs"/>
          <w:rtl/>
        </w:rPr>
        <w:t xml:space="preserve"> 4 לחיזוק טענתה זו.</w:t>
      </w:r>
    </w:p>
    <w:p w14:paraId="2FB6A4D5" w14:textId="77777777" w:rsidR="00F04FE5" w:rsidRDefault="00F04FE5" w:rsidP="00F04FE5">
      <w:pPr>
        <w:spacing w:line="360" w:lineRule="auto"/>
        <w:jc w:val="both"/>
        <w:rPr>
          <w:rtl/>
        </w:rPr>
      </w:pPr>
    </w:p>
    <w:p w14:paraId="0CDE3B7A" w14:textId="77777777" w:rsidR="00F04FE5" w:rsidRDefault="00F04FE5" w:rsidP="00F04FE5">
      <w:pPr>
        <w:spacing w:line="360" w:lineRule="auto"/>
        <w:jc w:val="both"/>
        <w:rPr>
          <w:rtl/>
        </w:rPr>
      </w:pPr>
      <w:r>
        <w:rPr>
          <w:rFonts w:hint="cs"/>
          <w:rtl/>
        </w:rPr>
        <w:t>התביעה טענה, כי משנה חומרה לדברים, שהעבירה נעברה בצוותא חדא עם שניים נוספים.</w:t>
      </w:r>
    </w:p>
    <w:p w14:paraId="449C5E5C" w14:textId="77777777" w:rsidR="00F04FE5" w:rsidRDefault="00F04FE5" w:rsidP="00F04FE5">
      <w:pPr>
        <w:spacing w:line="360" w:lineRule="auto"/>
        <w:jc w:val="both"/>
        <w:rPr>
          <w:rtl/>
        </w:rPr>
      </w:pPr>
    </w:p>
    <w:p w14:paraId="3DDCBB40" w14:textId="77777777" w:rsidR="00F04FE5" w:rsidRDefault="00F04FE5" w:rsidP="00F04FE5">
      <w:pPr>
        <w:spacing w:line="360" w:lineRule="auto"/>
        <w:jc w:val="both"/>
        <w:rPr>
          <w:rtl/>
        </w:rPr>
      </w:pPr>
      <w:r>
        <w:rPr>
          <w:rFonts w:hint="cs"/>
          <w:rtl/>
        </w:rPr>
        <w:t>התביעה הפנתה להרשעתו הקודמת של הנאשם, בארבע עבירות של הזדהות עם ארגון טרור והסתה לטרור, בגינה ריצה עונש מאסר מאחורי סורג ובריח, וטענה, כי הרשעה זו מתיישבת עם פסיקות בתי המשפט בנוגע לכך שלעבירות נשק סיכון בטחוני.</w:t>
      </w:r>
    </w:p>
    <w:p w14:paraId="58085932" w14:textId="77777777" w:rsidR="00F04FE5" w:rsidRDefault="00F04FE5" w:rsidP="00F04FE5">
      <w:pPr>
        <w:spacing w:line="360" w:lineRule="auto"/>
        <w:jc w:val="both"/>
        <w:rPr>
          <w:rtl/>
        </w:rPr>
      </w:pPr>
    </w:p>
    <w:p w14:paraId="5352AFED" w14:textId="77777777" w:rsidR="00F04FE5" w:rsidRDefault="00F04FE5" w:rsidP="00F04FE5">
      <w:pPr>
        <w:spacing w:line="360" w:lineRule="auto"/>
        <w:jc w:val="both"/>
        <w:rPr>
          <w:rtl/>
        </w:rPr>
      </w:pPr>
      <w:r>
        <w:rPr>
          <w:rFonts w:hint="cs"/>
          <w:rtl/>
        </w:rPr>
        <w:t>התביעה טענה, כי הנאשם ניהל הוכחות ולכן אינו זכאי להקלות להן זוכה מי שנוטל אחריות על מעשיו.</w:t>
      </w:r>
    </w:p>
    <w:p w14:paraId="2633EBFE" w14:textId="77777777" w:rsidR="00F04FE5" w:rsidRDefault="00F04FE5" w:rsidP="00F04FE5">
      <w:pPr>
        <w:spacing w:line="360" w:lineRule="auto"/>
        <w:jc w:val="both"/>
        <w:rPr>
          <w:rtl/>
        </w:rPr>
      </w:pPr>
    </w:p>
    <w:p w14:paraId="30F14165" w14:textId="77777777" w:rsidR="00F04FE5" w:rsidRDefault="00F04FE5" w:rsidP="00F04FE5">
      <w:pPr>
        <w:spacing w:line="360" w:lineRule="auto"/>
        <w:jc w:val="both"/>
        <w:rPr>
          <w:rtl/>
        </w:rPr>
      </w:pPr>
      <w:r>
        <w:rPr>
          <w:rFonts w:hint="cs"/>
          <w:rtl/>
        </w:rPr>
        <w:t>התביעה טענה, כי עניינו של עמראן הסתיים בהסדר "סגור" ולכן אין בכך כדי להשליך על הענישה בענינו של הנאשם.</w:t>
      </w:r>
    </w:p>
    <w:p w14:paraId="32669C87" w14:textId="77777777" w:rsidR="00F04FE5" w:rsidRDefault="00F04FE5" w:rsidP="00F04FE5">
      <w:pPr>
        <w:spacing w:line="360" w:lineRule="auto"/>
        <w:jc w:val="both"/>
        <w:rPr>
          <w:rtl/>
        </w:rPr>
      </w:pPr>
    </w:p>
    <w:p w14:paraId="258FC2E8" w14:textId="77777777" w:rsidR="00F04FE5" w:rsidRDefault="00F04FE5" w:rsidP="00F04FE5">
      <w:pPr>
        <w:spacing w:line="360" w:lineRule="auto"/>
        <w:jc w:val="both"/>
        <w:rPr>
          <w:rtl/>
        </w:rPr>
      </w:pPr>
      <w:r>
        <w:rPr>
          <w:rFonts w:hint="cs"/>
          <w:rtl/>
        </w:rPr>
        <w:t xml:space="preserve">התביעה עתרה למתחם ענישה הנע בין 22 </w:t>
      </w:r>
      <w:r>
        <w:rPr>
          <w:rtl/>
        </w:rPr>
        <w:t>–</w:t>
      </w:r>
      <w:r>
        <w:rPr>
          <w:rFonts w:hint="cs"/>
          <w:rtl/>
        </w:rPr>
        <w:t xml:space="preserve"> 46 חודשי מאסר בפועל.</w:t>
      </w:r>
    </w:p>
    <w:p w14:paraId="17350C49" w14:textId="77777777" w:rsidR="00F04FE5" w:rsidRDefault="00F04FE5" w:rsidP="00F04FE5">
      <w:pPr>
        <w:spacing w:line="360" w:lineRule="auto"/>
        <w:jc w:val="both"/>
        <w:rPr>
          <w:rtl/>
        </w:rPr>
      </w:pPr>
    </w:p>
    <w:p w14:paraId="6925035D" w14:textId="77777777" w:rsidR="00F04FE5" w:rsidRDefault="00F04FE5" w:rsidP="00F04FE5">
      <w:pPr>
        <w:spacing w:line="360" w:lineRule="auto"/>
        <w:jc w:val="both"/>
        <w:rPr>
          <w:rtl/>
        </w:rPr>
      </w:pPr>
      <w:r>
        <w:rPr>
          <w:rFonts w:hint="cs"/>
          <w:rtl/>
        </w:rPr>
        <w:t>התביעה עתרה למקם את עונשו של הנאשם בשליש התחתון של מתחם הענישה, אך לא בתחתיתו, ולהטיל עליו מאסר מותנה ארוך ומרתיע, קנס, והתחייבות להימנע מעבירה.</w:t>
      </w:r>
    </w:p>
    <w:p w14:paraId="4BFF057D" w14:textId="77777777" w:rsidR="00F04FE5" w:rsidRDefault="00F04FE5" w:rsidP="00F04FE5">
      <w:pPr>
        <w:spacing w:line="360" w:lineRule="auto"/>
        <w:jc w:val="both"/>
        <w:rPr>
          <w:rtl/>
        </w:rPr>
      </w:pPr>
    </w:p>
    <w:p w14:paraId="11826C2C" w14:textId="77777777" w:rsidR="00F04FE5" w:rsidRDefault="00F04FE5" w:rsidP="00F04FE5">
      <w:pPr>
        <w:spacing w:line="360" w:lineRule="auto"/>
        <w:jc w:val="both"/>
        <w:rPr>
          <w:rtl/>
        </w:rPr>
      </w:pPr>
      <w:r>
        <w:rPr>
          <w:rFonts w:hint="cs"/>
          <w:u w:val="single"/>
          <w:rtl/>
        </w:rPr>
        <w:t>ההגנה</w:t>
      </w:r>
      <w:r>
        <w:rPr>
          <w:rFonts w:hint="cs"/>
          <w:rtl/>
        </w:rPr>
        <w:t xml:space="preserve"> טענה, כי טיעוני המאשימה הינם סטנדרטיים שמוגשים בכל התיקים שלה, ומתעלמים מעיקרון האינדיבידואליות, וככל שהדבר תלוי במאשימה, יש לשפוט את כל מי שמובא לבית המשפט על פי תעריפים גבוהים ללא התדיינות סביב המעשה והעושה.</w:t>
      </w:r>
    </w:p>
    <w:p w14:paraId="537C8CB4" w14:textId="77777777" w:rsidR="00F04FE5" w:rsidRDefault="00F04FE5" w:rsidP="00F04FE5">
      <w:pPr>
        <w:spacing w:line="360" w:lineRule="auto"/>
        <w:jc w:val="both"/>
        <w:rPr>
          <w:rtl/>
        </w:rPr>
      </w:pPr>
    </w:p>
    <w:p w14:paraId="6C2EC27C" w14:textId="77777777" w:rsidR="00F04FE5" w:rsidRDefault="00F04FE5" w:rsidP="00F04FE5">
      <w:pPr>
        <w:spacing w:line="360" w:lineRule="auto"/>
        <w:jc w:val="both"/>
        <w:rPr>
          <w:rtl/>
        </w:rPr>
      </w:pPr>
      <w:r>
        <w:rPr>
          <w:rFonts w:hint="cs"/>
          <w:rtl/>
        </w:rPr>
        <w:t>ההגנה טענה, כי העבירה בה הורשע הנאשם נעברה בשנת 2020, בטרם חקיקת התיקון לעניין החמרה בעבירות נשק.</w:t>
      </w:r>
    </w:p>
    <w:p w14:paraId="58E7FADE" w14:textId="77777777" w:rsidR="00F04FE5" w:rsidRDefault="00F04FE5" w:rsidP="00F04FE5">
      <w:pPr>
        <w:spacing w:line="360" w:lineRule="auto"/>
        <w:jc w:val="both"/>
        <w:rPr>
          <w:rtl/>
        </w:rPr>
      </w:pPr>
    </w:p>
    <w:p w14:paraId="568FFF2C" w14:textId="77777777" w:rsidR="00F04FE5" w:rsidRDefault="00F04FE5" w:rsidP="00F04FE5">
      <w:pPr>
        <w:spacing w:line="360" w:lineRule="auto"/>
        <w:jc w:val="both"/>
        <w:rPr>
          <w:rtl/>
        </w:rPr>
      </w:pPr>
      <w:r>
        <w:rPr>
          <w:rFonts w:hint="cs"/>
          <w:rtl/>
        </w:rPr>
        <w:t>ההגנה טענה, כי מתחם העונש אליו עתרה התביעה חורג מעבר למדיניות בנוגע לענישה בעבירה של החזקת אקדח, כפי שהובאה בהנחיות פרקליט המדינה.</w:t>
      </w:r>
    </w:p>
    <w:p w14:paraId="6D3D23BB" w14:textId="77777777" w:rsidR="00F04FE5" w:rsidRDefault="00F04FE5" w:rsidP="00F04FE5">
      <w:pPr>
        <w:spacing w:line="360" w:lineRule="auto"/>
        <w:jc w:val="both"/>
        <w:rPr>
          <w:rtl/>
        </w:rPr>
      </w:pPr>
    </w:p>
    <w:p w14:paraId="5D90BA96" w14:textId="77777777" w:rsidR="00F04FE5" w:rsidRDefault="00F04FE5" w:rsidP="00F04FE5">
      <w:pPr>
        <w:spacing w:line="360" w:lineRule="auto"/>
        <w:jc w:val="both"/>
        <w:rPr>
          <w:rtl/>
        </w:rPr>
      </w:pPr>
      <w:r>
        <w:rPr>
          <w:rFonts w:hint="cs"/>
          <w:rtl/>
        </w:rPr>
        <w:t>ההגנה טענה, כי היא מכבדת את ממצאי הכרעת הדין, אך בפועל לא הוכח, כי הנאשם החזיק פיזית באקדח, אלא, הבן שלו הוא שהחזיק באקדח, והנאשם הורשע כיוון שידע, שהוא מחזיק את האקדח בבית, ולכן זו נסיבה לקולה.</w:t>
      </w:r>
    </w:p>
    <w:p w14:paraId="1452FDDD" w14:textId="77777777" w:rsidR="00F04FE5" w:rsidRDefault="00F04FE5" w:rsidP="00F04FE5">
      <w:pPr>
        <w:spacing w:line="360" w:lineRule="auto"/>
        <w:jc w:val="both"/>
        <w:rPr>
          <w:rtl/>
        </w:rPr>
      </w:pPr>
    </w:p>
    <w:p w14:paraId="4EE1B3F1" w14:textId="77777777" w:rsidR="00F04FE5" w:rsidRDefault="00F04FE5" w:rsidP="00F04FE5">
      <w:pPr>
        <w:spacing w:line="360" w:lineRule="auto"/>
        <w:jc w:val="both"/>
        <w:rPr>
          <w:rtl/>
        </w:rPr>
      </w:pPr>
      <w:r>
        <w:rPr>
          <w:rFonts w:hint="cs"/>
          <w:rtl/>
        </w:rPr>
        <w:t xml:space="preserve">ההגנה טענה, כי על האקדח נמצא </w:t>
      </w:r>
      <w:r>
        <w:t>D.N.A</w:t>
      </w:r>
      <w:r>
        <w:rPr>
          <w:rFonts w:hint="cs"/>
          <w:rtl/>
        </w:rPr>
        <w:t xml:space="preserve"> של עמראן, בנו של הנאשם ושותפו לעבירה, אשר במסגרת הסדר, הוטלה עליו שנת מאסר אחת בלבד.</w:t>
      </w:r>
    </w:p>
    <w:p w14:paraId="43C10848" w14:textId="77777777" w:rsidR="00F04FE5" w:rsidRDefault="00F04FE5" w:rsidP="00F04FE5">
      <w:pPr>
        <w:spacing w:line="360" w:lineRule="auto"/>
        <w:jc w:val="both"/>
        <w:rPr>
          <w:rtl/>
        </w:rPr>
      </w:pPr>
    </w:p>
    <w:p w14:paraId="5F6782ED" w14:textId="77777777" w:rsidR="00F04FE5" w:rsidRDefault="00F04FE5" w:rsidP="00F04FE5">
      <w:pPr>
        <w:spacing w:line="360" w:lineRule="auto"/>
        <w:jc w:val="both"/>
        <w:rPr>
          <w:rtl/>
        </w:rPr>
      </w:pPr>
      <w:r>
        <w:rPr>
          <w:rFonts w:hint="cs"/>
          <w:rtl/>
        </w:rPr>
        <w:t>ההגנה טענה, כי זכותו של הנאשם לנהל הליך משפטי ולטעון לחפותו,  ובסופו של יום, הרשעתו נסובה על כך שהוא היה מודע לקיומו של האקדח שעמראן מחזיק בבית.</w:t>
      </w:r>
    </w:p>
    <w:p w14:paraId="2116B6F6" w14:textId="77777777" w:rsidR="00F04FE5" w:rsidRDefault="00F04FE5" w:rsidP="00F04FE5">
      <w:pPr>
        <w:spacing w:line="360" w:lineRule="auto"/>
        <w:jc w:val="both"/>
        <w:rPr>
          <w:rtl/>
        </w:rPr>
      </w:pPr>
    </w:p>
    <w:p w14:paraId="7F75AE51" w14:textId="77777777" w:rsidR="00F04FE5" w:rsidRDefault="00F04FE5" w:rsidP="00F04FE5">
      <w:pPr>
        <w:spacing w:line="360" w:lineRule="auto"/>
        <w:jc w:val="both"/>
        <w:rPr>
          <w:rtl/>
        </w:rPr>
      </w:pPr>
      <w:r>
        <w:rPr>
          <w:rFonts w:hint="cs"/>
          <w:rtl/>
        </w:rPr>
        <w:t>ההגנה טענה, כי אין נסיבה המצדיקה להטיל על הנאשם ענישה חמורה יותר מזו שהוטלה על עמראן.</w:t>
      </w:r>
    </w:p>
    <w:p w14:paraId="60AD470B" w14:textId="77777777" w:rsidR="00F04FE5" w:rsidRDefault="00F04FE5" w:rsidP="00F04FE5">
      <w:pPr>
        <w:spacing w:line="360" w:lineRule="auto"/>
        <w:jc w:val="both"/>
        <w:rPr>
          <w:rtl/>
        </w:rPr>
      </w:pPr>
    </w:p>
    <w:p w14:paraId="728B674E" w14:textId="77777777" w:rsidR="00F04FE5" w:rsidRDefault="00F04FE5" w:rsidP="00F04FE5">
      <w:pPr>
        <w:spacing w:line="360" w:lineRule="auto"/>
        <w:jc w:val="both"/>
        <w:rPr>
          <w:rtl/>
        </w:rPr>
      </w:pPr>
      <w:r>
        <w:rPr>
          <w:rFonts w:hint="cs"/>
          <w:rtl/>
        </w:rPr>
        <w:t>ההגנה טענה, כי הנאשם כבן 63, אשר סובל מבעיות בריאותיות ומקבל טיפול קבוע, אב לילדים, ובנו כבר שילם את המחיר על החזקת הנשק.</w:t>
      </w:r>
    </w:p>
    <w:p w14:paraId="69071445" w14:textId="77777777" w:rsidR="00F04FE5" w:rsidRDefault="00F04FE5" w:rsidP="00F04FE5">
      <w:pPr>
        <w:spacing w:line="360" w:lineRule="auto"/>
        <w:jc w:val="both"/>
        <w:rPr>
          <w:rtl/>
        </w:rPr>
      </w:pPr>
    </w:p>
    <w:p w14:paraId="4FA17B80" w14:textId="77777777" w:rsidR="00F04FE5" w:rsidRDefault="00F04FE5" w:rsidP="00F04FE5">
      <w:pPr>
        <w:spacing w:line="360" w:lineRule="auto"/>
        <w:jc w:val="both"/>
        <w:rPr>
          <w:rtl/>
        </w:rPr>
      </w:pPr>
      <w:r>
        <w:rPr>
          <w:rFonts w:hint="cs"/>
          <w:rtl/>
        </w:rPr>
        <w:t>ההגנה טענה, כי במקרה דנן, ניתן להסתפק בענישה צופה פני עתיד ולחלופין, מאסר בעבודות שירות, גם אם ברף הגבוה.</w:t>
      </w:r>
    </w:p>
    <w:p w14:paraId="010BAE94" w14:textId="77777777" w:rsidR="00F04FE5" w:rsidRDefault="00F04FE5" w:rsidP="00F04FE5">
      <w:pPr>
        <w:spacing w:line="360" w:lineRule="auto"/>
        <w:jc w:val="both"/>
        <w:rPr>
          <w:rtl/>
        </w:rPr>
      </w:pPr>
    </w:p>
    <w:p w14:paraId="38350569" w14:textId="77777777" w:rsidR="00F04FE5" w:rsidRDefault="00F04FE5" w:rsidP="00F04FE5">
      <w:pPr>
        <w:spacing w:line="360" w:lineRule="auto"/>
        <w:jc w:val="both"/>
        <w:rPr>
          <w:rtl/>
        </w:rPr>
      </w:pPr>
      <w:r>
        <w:rPr>
          <w:rFonts w:hint="cs"/>
          <w:rtl/>
        </w:rPr>
        <w:t>ההגנה עתרה לנהוג בנאשם במידת רחמים ולא למצות איתו את הדין.</w:t>
      </w:r>
    </w:p>
    <w:p w14:paraId="651D55F9" w14:textId="77777777" w:rsidR="00F04FE5" w:rsidRDefault="00F04FE5" w:rsidP="00F04FE5">
      <w:pPr>
        <w:spacing w:line="360" w:lineRule="auto"/>
        <w:jc w:val="both"/>
        <w:rPr>
          <w:rtl/>
        </w:rPr>
      </w:pPr>
    </w:p>
    <w:p w14:paraId="31782C0A" w14:textId="77777777" w:rsidR="00F04FE5" w:rsidRPr="00F572A6" w:rsidRDefault="00F04FE5" w:rsidP="00F04FE5">
      <w:pPr>
        <w:spacing w:line="360" w:lineRule="auto"/>
        <w:jc w:val="both"/>
        <w:rPr>
          <w:rtl/>
        </w:rPr>
      </w:pPr>
      <w:r>
        <w:rPr>
          <w:rFonts w:hint="cs"/>
          <w:u w:val="single"/>
          <w:rtl/>
        </w:rPr>
        <w:t>בדברו האחרון של הנאשם</w:t>
      </w:r>
      <w:r>
        <w:rPr>
          <w:rFonts w:hint="cs"/>
          <w:rtl/>
        </w:rPr>
        <w:t xml:space="preserve"> מסר, כי הוא חף מפשע ונעשה לו עוול.</w:t>
      </w:r>
    </w:p>
    <w:p w14:paraId="6A3E5BC3" w14:textId="77777777" w:rsidR="00F04FE5" w:rsidRDefault="00F04FE5" w:rsidP="00F04FE5">
      <w:pPr>
        <w:spacing w:line="360" w:lineRule="auto"/>
        <w:jc w:val="both"/>
        <w:rPr>
          <w:rtl/>
        </w:rPr>
      </w:pPr>
    </w:p>
    <w:p w14:paraId="755349C3" w14:textId="77777777" w:rsidR="00F04FE5" w:rsidRDefault="00F04FE5" w:rsidP="00F04FE5">
      <w:pPr>
        <w:spacing w:line="360" w:lineRule="auto"/>
        <w:jc w:val="both"/>
        <w:rPr>
          <w:rtl/>
        </w:rPr>
      </w:pPr>
    </w:p>
    <w:p w14:paraId="1741BCB2" w14:textId="77777777" w:rsidR="00F04FE5" w:rsidRDefault="00F04FE5" w:rsidP="00F04FE5">
      <w:pPr>
        <w:spacing w:line="360" w:lineRule="auto"/>
        <w:jc w:val="both"/>
        <w:rPr>
          <w:rtl/>
        </w:rPr>
      </w:pPr>
      <w:r>
        <w:rPr>
          <w:rFonts w:hint="cs"/>
          <w:b/>
          <w:bCs/>
          <w:rtl/>
        </w:rPr>
        <w:t>דיון והכרעה</w:t>
      </w:r>
    </w:p>
    <w:p w14:paraId="4FF0C012" w14:textId="77777777" w:rsidR="00F04FE5" w:rsidRDefault="00F04FE5" w:rsidP="00F04FE5">
      <w:pPr>
        <w:spacing w:line="360" w:lineRule="auto"/>
        <w:jc w:val="both"/>
        <w:rPr>
          <w:rtl/>
        </w:rPr>
      </w:pPr>
    </w:p>
    <w:p w14:paraId="62055059" w14:textId="77777777" w:rsidR="00F04FE5" w:rsidRPr="002D4B7F" w:rsidRDefault="00F04FE5" w:rsidP="00F04FE5">
      <w:pPr>
        <w:spacing w:line="360" w:lineRule="auto"/>
        <w:jc w:val="both"/>
        <w:rPr>
          <w:rFonts w:ascii="David" w:hAnsi="David"/>
          <w:noProof w:val="0"/>
        </w:rPr>
      </w:pPr>
      <w:r w:rsidRPr="002D4B7F">
        <w:rPr>
          <w:rFonts w:ascii="David" w:hAnsi="David"/>
          <w:noProof w:val="0"/>
          <w:rtl/>
        </w:rPr>
        <w:t>אין צורך להכביר מילים על פוטנציאל הסיכון הנובע מהחזקת נשק חם קטלני, שלא כדין. כלי הנשק עלול למצוא דרכו לפעילות שלילית, אם פלילית ואם נגד בטחון המדינה.</w:t>
      </w:r>
    </w:p>
    <w:p w14:paraId="00E8500F" w14:textId="77777777" w:rsidR="00F04FE5" w:rsidRPr="002D4B7F" w:rsidRDefault="00F04FE5" w:rsidP="00F04FE5">
      <w:pPr>
        <w:spacing w:line="360" w:lineRule="auto"/>
        <w:jc w:val="both"/>
        <w:rPr>
          <w:rFonts w:ascii="David" w:hAnsi="David"/>
          <w:noProof w:val="0"/>
          <w:rtl/>
        </w:rPr>
      </w:pPr>
    </w:p>
    <w:p w14:paraId="6B540E3D" w14:textId="77777777" w:rsidR="00F04FE5" w:rsidRPr="002D4B7F" w:rsidRDefault="00F04FE5" w:rsidP="00F04FE5">
      <w:pPr>
        <w:spacing w:line="360" w:lineRule="auto"/>
        <w:jc w:val="both"/>
        <w:rPr>
          <w:rFonts w:ascii="Arial" w:hAnsi="Arial" w:cs="Arial"/>
          <w:noProof w:val="0"/>
          <w:rtl/>
        </w:rPr>
      </w:pPr>
      <w:r w:rsidRPr="002D4B7F">
        <w:rPr>
          <w:rFonts w:ascii="David" w:hAnsi="David"/>
          <w:noProof w:val="0"/>
          <w:rtl/>
        </w:rPr>
        <w:t>החזקת נשק על ידי מי שלא נבדק, לא נמצא מתאים ולא הוכשר לכך, בתנאים שאינם מבטיחים בידודו של הנשק מהסביבה (כיום, מי שמחזיק נשק ברישיון נדרש לאפסנו בכספת מאובטחת, מאחורי שני מנעולים), עלולה להביא לסיכון שלום הציבור, גם אם אין ראיות שהוחזק לצורך פעילות שלילית.</w:t>
      </w:r>
    </w:p>
    <w:p w14:paraId="12B31C3F" w14:textId="77777777" w:rsidR="00F04FE5" w:rsidRPr="002D4B7F" w:rsidRDefault="00F04FE5" w:rsidP="00F04FE5">
      <w:pPr>
        <w:spacing w:line="360" w:lineRule="auto"/>
        <w:jc w:val="both"/>
        <w:rPr>
          <w:rFonts w:cs="Times New Roman"/>
          <w:noProof w:val="0"/>
        </w:rPr>
      </w:pPr>
    </w:p>
    <w:p w14:paraId="7C4F530E" w14:textId="77777777" w:rsidR="00F04FE5" w:rsidRPr="002D4B7F" w:rsidRDefault="00F04FE5" w:rsidP="00F04FE5">
      <w:pPr>
        <w:spacing w:line="360" w:lineRule="auto"/>
        <w:jc w:val="both"/>
        <w:rPr>
          <w:rFonts w:ascii="David" w:hAnsi="David"/>
          <w:noProof w:val="0"/>
          <w:rtl/>
        </w:rPr>
      </w:pPr>
      <w:r w:rsidRPr="002D4B7F">
        <w:rPr>
          <w:rFonts w:ascii="David" w:hAnsi="David"/>
          <w:noProof w:val="0"/>
          <w:rtl/>
        </w:rPr>
        <w:t>בנוסף, החזקת נשק כאמור עלולה להביא לפגיעה בשלטון החוק ובנושאי שלטון החוק, המבצעים את תפקידם.</w:t>
      </w:r>
    </w:p>
    <w:p w14:paraId="0A324CCE" w14:textId="77777777" w:rsidR="00F04FE5" w:rsidRPr="002D4B7F" w:rsidRDefault="00F04FE5" w:rsidP="00F04FE5">
      <w:pPr>
        <w:spacing w:line="360" w:lineRule="auto"/>
        <w:jc w:val="both"/>
        <w:rPr>
          <w:rFonts w:ascii="David" w:hAnsi="David"/>
          <w:noProof w:val="0"/>
          <w:rtl/>
        </w:rPr>
      </w:pPr>
    </w:p>
    <w:p w14:paraId="46B9331B" w14:textId="77777777" w:rsidR="00F04FE5" w:rsidRPr="002D4B7F" w:rsidRDefault="00F04FE5" w:rsidP="00F04FE5">
      <w:pPr>
        <w:spacing w:line="360" w:lineRule="auto"/>
        <w:jc w:val="both"/>
        <w:rPr>
          <w:rFonts w:ascii="David" w:hAnsi="David"/>
          <w:noProof w:val="0"/>
          <w:rtl/>
        </w:rPr>
      </w:pPr>
      <w:r w:rsidRPr="002D4B7F">
        <w:rPr>
          <w:rFonts w:ascii="David" w:hAnsi="David"/>
          <w:noProof w:val="0"/>
          <w:rtl/>
        </w:rPr>
        <w:t xml:space="preserve">ראו פסק הדין </w:t>
      </w:r>
      <w:hyperlink r:id="rId17" w:history="1">
        <w:r w:rsidR="00D90352" w:rsidRPr="00D90352">
          <w:rPr>
            <w:rFonts w:ascii="David" w:hAnsi="David"/>
            <w:noProof w:val="0"/>
            <w:color w:val="0000FF"/>
            <w:u w:val="single"/>
            <w:rtl/>
          </w:rPr>
          <w:t>ע"פ 2482/22</w:t>
        </w:r>
      </w:hyperlink>
      <w:r w:rsidRPr="002D4B7F">
        <w:rPr>
          <w:rFonts w:ascii="David" w:hAnsi="David"/>
          <w:noProof w:val="0"/>
          <w:rtl/>
        </w:rPr>
        <w:t xml:space="preserve"> </w:t>
      </w:r>
      <w:r w:rsidRPr="002D4B7F">
        <w:rPr>
          <w:rFonts w:ascii="David" w:hAnsi="David"/>
          <w:b/>
          <w:bCs/>
          <w:noProof w:val="0"/>
          <w:rtl/>
        </w:rPr>
        <w:t>מדינת ישראל נ' קדורה</w:t>
      </w:r>
      <w:r w:rsidRPr="002D4B7F">
        <w:rPr>
          <w:rFonts w:ascii="David" w:hAnsi="David"/>
          <w:noProof w:val="0"/>
          <w:rtl/>
        </w:rPr>
        <w:t xml:space="preserve"> (פורסם במאגרים), אשר ניתן לאחרונה ממש:</w:t>
      </w:r>
    </w:p>
    <w:p w14:paraId="49EA7C75" w14:textId="77777777" w:rsidR="00F04FE5" w:rsidRPr="002D4B7F" w:rsidRDefault="00F04FE5" w:rsidP="00F04FE5">
      <w:pPr>
        <w:spacing w:line="360" w:lineRule="auto"/>
        <w:jc w:val="both"/>
        <w:rPr>
          <w:rFonts w:ascii="David" w:hAnsi="David"/>
          <w:noProof w:val="0"/>
          <w:rtl/>
        </w:rPr>
      </w:pPr>
    </w:p>
    <w:p w14:paraId="43B572B0" w14:textId="77777777" w:rsidR="00F04FE5" w:rsidRPr="002D4B7F" w:rsidRDefault="00F04FE5" w:rsidP="00F04FE5">
      <w:pPr>
        <w:tabs>
          <w:tab w:val="left" w:pos="800"/>
        </w:tabs>
        <w:overflowPunct w:val="0"/>
        <w:autoSpaceDE w:val="0"/>
        <w:autoSpaceDN w:val="0"/>
        <w:adjustRightInd w:val="0"/>
        <w:spacing w:line="360" w:lineRule="auto"/>
        <w:jc w:val="both"/>
        <w:rPr>
          <w:rFonts w:ascii="Aharoni" w:hAnsi="Aharoni" w:cs="Aharoni"/>
          <w:noProof w:val="0"/>
          <w:spacing w:val="10"/>
          <w:rtl/>
        </w:rPr>
      </w:pPr>
      <w:r w:rsidRPr="002D4B7F">
        <w:rPr>
          <w:rFonts w:ascii="Aharoni" w:hAnsi="Aharoni" w:cs="Aharoni"/>
          <w:noProof w:val="0"/>
          <w:color w:val="000000"/>
          <w:spacing w:val="10"/>
          <w:rtl/>
        </w:rPr>
        <w:t xml:space="preserve">החזקת נשק שלא כדין מאיימת על שלום הציבור ובטחונו. </w:t>
      </w:r>
      <w:r w:rsidRPr="002D4B7F">
        <w:rPr>
          <w:rFonts w:ascii="Aharoni" w:hAnsi="Aharoni" w:cs="Aharoni"/>
          <w:noProof w:val="0"/>
          <w:spacing w:val="10"/>
          <w:rtl/>
        </w:rPr>
        <w:t>ל</w:t>
      </w:r>
      <w:r w:rsidRPr="002D4B7F">
        <w:rPr>
          <w:rFonts w:ascii="Aharoni" w:hAnsi="Aharoni" w:cs="Aharoni"/>
          <w:noProof w:val="0"/>
          <w:color w:val="000000"/>
          <w:spacing w:val="10"/>
          <w:shd w:val="clear" w:color="auto" w:fill="FFFFFF"/>
          <w:rtl/>
        </w:rPr>
        <w:t xml:space="preserve">נוכח היקפן המתרחב של עבירות המבוצעות בנשק, הזמינות הבלתי נסבלת של נשק בידי מי שאינו מורשה לכך, מהווה כאמור סיכון של ממש ומגבירה את הסיכון לביצוע עבירות חמורות נוספות כמו </w:t>
      </w:r>
      <w:r w:rsidRPr="002D4B7F">
        <w:rPr>
          <w:rFonts w:ascii="Aharoni" w:hAnsi="Aharoni" w:cs="Aharoni"/>
          <w:noProof w:val="0"/>
          <w:spacing w:val="10"/>
          <w:rtl/>
        </w:rPr>
        <w:t>גם לאסונות נוראיים.</w:t>
      </w:r>
    </w:p>
    <w:p w14:paraId="22FDB024" w14:textId="77777777" w:rsidR="00F04FE5" w:rsidRPr="002D4B7F" w:rsidRDefault="00F04FE5" w:rsidP="00F04FE5">
      <w:pPr>
        <w:tabs>
          <w:tab w:val="left" w:pos="800"/>
        </w:tabs>
        <w:overflowPunct w:val="0"/>
        <w:autoSpaceDE w:val="0"/>
        <w:autoSpaceDN w:val="0"/>
        <w:adjustRightInd w:val="0"/>
        <w:spacing w:line="360" w:lineRule="auto"/>
        <w:jc w:val="both"/>
        <w:rPr>
          <w:rFonts w:ascii="Aharoni" w:hAnsi="Aharoni" w:cs="Aharoni"/>
          <w:noProof w:val="0"/>
          <w:spacing w:val="10"/>
          <w:sz w:val="12"/>
          <w:szCs w:val="12"/>
          <w:rtl/>
        </w:rPr>
      </w:pPr>
      <w:r w:rsidRPr="002D4B7F">
        <w:rPr>
          <w:rFonts w:ascii="Aharoni" w:hAnsi="Aharoni" w:cs="Aharoni"/>
          <w:noProof w:val="0"/>
          <w:spacing w:val="10"/>
          <w:sz w:val="12"/>
          <w:szCs w:val="12"/>
          <w:rtl/>
        </w:rPr>
        <w:t>.</w:t>
      </w:r>
    </w:p>
    <w:p w14:paraId="795B259F" w14:textId="77777777" w:rsidR="00F04FE5" w:rsidRPr="002D4B7F" w:rsidRDefault="00F04FE5" w:rsidP="00F04FE5">
      <w:pPr>
        <w:tabs>
          <w:tab w:val="left" w:pos="800"/>
        </w:tabs>
        <w:overflowPunct w:val="0"/>
        <w:autoSpaceDE w:val="0"/>
        <w:autoSpaceDN w:val="0"/>
        <w:adjustRightInd w:val="0"/>
        <w:spacing w:line="360" w:lineRule="auto"/>
        <w:jc w:val="both"/>
        <w:rPr>
          <w:rFonts w:ascii="Aharoni" w:hAnsi="Aharoni" w:cs="Aharoni"/>
          <w:noProof w:val="0"/>
          <w:spacing w:val="10"/>
          <w:sz w:val="12"/>
          <w:szCs w:val="12"/>
          <w:rtl/>
        </w:rPr>
      </w:pPr>
      <w:r w:rsidRPr="002D4B7F">
        <w:rPr>
          <w:rFonts w:ascii="Aharoni" w:hAnsi="Aharoni" w:cs="Aharoni"/>
          <w:noProof w:val="0"/>
          <w:spacing w:val="10"/>
          <w:sz w:val="12"/>
          <w:szCs w:val="12"/>
          <w:rtl/>
        </w:rPr>
        <w:t>.</w:t>
      </w:r>
    </w:p>
    <w:p w14:paraId="38BF4F15" w14:textId="77777777" w:rsidR="00F04FE5" w:rsidRPr="002D4B7F" w:rsidRDefault="00F04FE5" w:rsidP="00F04FE5">
      <w:pPr>
        <w:tabs>
          <w:tab w:val="left" w:pos="800"/>
        </w:tabs>
        <w:overflowPunct w:val="0"/>
        <w:autoSpaceDE w:val="0"/>
        <w:autoSpaceDN w:val="0"/>
        <w:adjustRightInd w:val="0"/>
        <w:spacing w:line="360" w:lineRule="auto"/>
        <w:jc w:val="both"/>
        <w:rPr>
          <w:rFonts w:ascii="Aharoni" w:hAnsi="Aharoni" w:cs="Aharoni"/>
          <w:noProof w:val="0"/>
          <w:spacing w:val="10"/>
          <w:sz w:val="12"/>
          <w:szCs w:val="12"/>
          <w:rtl/>
        </w:rPr>
      </w:pPr>
      <w:r w:rsidRPr="002D4B7F">
        <w:rPr>
          <w:rFonts w:ascii="Aharoni" w:hAnsi="Aharoni" w:cs="Aharoni"/>
          <w:noProof w:val="0"/>
          <w:spacing w:val="10"/>
          <w:sz w:val="12"/>
          <w:szCs w:val="12"/>
          <w:rtl/>
        </w:rPr>
        <w:t>.</w:t>
      </w:r>
    </w:p>
    <w:p w14:paraId="1E499818" w14:textId="77777777" w:rsidR="00F04FE5" w:rsidRPr="002D4B7F" w:rsidRDefault="00F04FE5" w:rsidP="00F04FE5">
      <w:pPr>
        <w:tabs>
          <w:tab w:val="left" w:pos="800"/>
        </w:tabs>
        <w:overflowPunct w:val="0"/>
        <w:autoSpaceDE w:val="0"/>
        <w:autoSpaceDN w:val="0"/>
        <w:adjustRightInd w:val="0"/>
        <w:spacing w:line="360" w:lineRule="auto"/>
        <w:jc w:val="both"/>
        <w:rPr>
          <w:rFonts w:ascii="Aharoni" w:hAnsi="Aharoni" w:cs="Aharoni"/>
          <w:noProof w:val="0"/>
          <w:spacing w:val="10"/>
          <w:rtl/>
        </w:rPr>
      </w:pPr>
      <w:r w:rsidRPr="002D4B7F">
        <w:rPr>
          <w:rFonts w:ascii="Aharoni" w:hAnsi="Aharoni" w:cs="Aharoni"/>
          <w:noProof w:val="0"/>
          <w:spacing w:val="10"/>
          <w:rtl/>
        </w:rPr>
        <w:t xml:space="preserve">מציאות קשה זו מחייבת </w:t>
      </w:r>
      <w:r w:rsidRPr="002D4B7F">
        <w:rPr>
          <w:rFonts w:ascii="Aharoni" w:hAnsi="Aharoni" w:cs="Aharoni"/>
          <w:noProof w:val="0"/>
          <w:spacing w:val="10"/>
          <w:u w:val="single"/>
          <w:rtl/>
        </w:rPr>
        <w:t>לנקוט ביד מחמירה</w:t>
      </w:r>
      <w:r w:rsidRPr="002D4B7F">
        <w:rPr>
          <w:rFonts w:ascii="Aharoni" w:hAnsi="Aharoni" w:cs="Aharoni"/>
          <w:noProof w:val="0"/>
          <w:spacing w:val="10"/>
          <w:rtl/>
        </w:rPr>
        <w:t xml:space="preserve"> כלפי מעורבים בעבירות נשק, אף אם הם נעדרי עבר פלילי. </w:t>
      </w:r>
      <w:r w:rsidRPr="002D4B7F">
        <w:rPr>
          <w:rFonts w:ascii="Aharoni" w:hAnsi="Aharoni" w:cs="Aharoni"/>
          <w:noProof w:val="0"/>
          <w:color w:val="000000"/>
          <w:spacing w:val="10"/>
          <w:rtl/>
        </w:rPr>
        <w:t xml:space="preserve">ענייננו ב"מכת מדינה" שהצורך להילחם בה על מנת להגן על הציבור, מצריך מענה הולם </w:t>
      </w:r>
      <w:r w:rsidRPr="002D4B7F">
        <w:rPr>
          <w:rFonts w:ascii="Aharoni" w:hAnsi="Aharoni" w:cs="Aharoni"/>
          <w:noProof w:val="0"/>
          <w:color w:val="000000"/>
          <w:spacing w:val="10"/>
          <w:u w:val="single"/>
          <w:rtl/>
        </w:rPr>
        <w:t>והטלת עונשי מאסר משמעותיים</w:t>
      </w:r>
      <w:r w:rsidRPr="002D4B7F">
        <w:rPr>
          <w:rFonts w:ascii="Aharoni" w:hAnsi="Aharoni" w:cs="Aharoni"/>
          <w:noProof w:val="0"/>
          <w:color w:val="000000"/>
          <w:spacing w:val="10"/>
          <w:rtl/>
        </w:rPr>
        <w:t xml:space="preserve">. </w:t>
      </w:r>
      <w:r w:rsidRPr="002D4B7F">
        <w:rPr>
          <w:rFonts w:ascii="Aharoni" w:hAnsi="Aharoni" w:cs="Aharoni"/>
          <w:noProof w:val="0"/>
          <w:spacing w:val="10"/>
          <w:rtl/>
        </w:rPr>
        <w:t xml:space="preserve">ידע כל מי שמחזיק בנשק בלתי חוקי כי צפוי הוא להיענש בחומרה, בבחינת </w:t>
      </w:r>
      <w:r w:rsidRPr="002D4B7F">
        <w:rPr>
          <w:rFonts w:ascii="Aharoni" w:hAnsi="Aharoni" w:cs="Aharoni"/>
          <w:b/>
          <w:bCs/>
          <w:noProof w:val="0"/>
          <w:spacing w:val="10"/>
          <w:u w:val="single"/>
          <w:rtl/>
        </w:rPr>
        <w:t>"אם מחזיקים – למאסר נשלחים".</w:t>
      </w:r>
      <w:r w:rsidRPr="002D4B7F">
        <w:rPr>
          <w:rFonts w:ascii="Aharoni" w:hAnsi="Aharoni" w:cs="Aharoni"/>
          <w:noProof w:val="0"/>
          <w:spacing w:val="10"/>
          <w:rtl/>
        </w:rPr>
        <w:t xml:space="preserve"> </w:t>
      </w:r>
    </w:p>
    <w:p w14:paraId="085CA4CB" w14:textId="77777777" w:rsidR="00F04FE5" w:rsidRPr="002D4B7F" w:rsidRDefault="00F04FE5" w:rsidP="00F04FE5">
      <w:pPr>
        <w:tabs>
          <w:tab w:val="left" w:pos="800"/>
        </w:tabs>
        <w:overflowPunct w:val="0"/>
        <w:autoSpaceDE w:val="0"/>
        <w:autoSpaceDN w:val="0"/>
        <w:adjustRightInd w:val="0"/>
        <w:spacing w:line="360" w:lineRule="auto"/>
        <w:jc w:val="both"/>
        <w:rPr>
          <w:rFonts w:ascii="Aharoni" w:hAnsi="Aharoni" w:cs="Aharoni"/>
          <w:noProof w:val="0"/>
          <w:spacing w:val="10"/>
          <w:rtl/>
        </w:rPr>
      </w:pPr>
      <w:r w:rsidRPr="002D4B7F">
        <w:rPr>
          <w:rFonts w:ascii="Aharoni" w:hAnsi="Aharoni" w:cs="Aharoni"/>
          <w:noProof w:val="0"/>
          <w:spacing w:val="10"/>
          <w:rtl/>
        </w:rPr>
        <w:t>(ההדגשות אינן במקור).</w:t>
      </w:r>
    </w:p>
    <w:p w14:paraId="652AAB94" w14:textId="77777777" w:rsidR="00F04FE5" w:rsidRPr="002D4B7F" w:rsidRDefault="00F04FE5" w:rsidP="00F04FE5">
      <w:pPr>
        <w:spacing w:line="360" w:lineRule="auto"/>
        <w:jc w:val="both"/>
        <w:rPr>
          <w:rFonts w:ascii="David" w:hAnsi="David"/>
          <w:noProof w:val="0"/>
        </w:rPr>
      </w:pPr>
    </w:p>
    <w:p w14:paraId="31053092" w14:textId="77777777" w:rsidR="00F04FE5" w:rsidRPr="002D4B7F" w:rsidRDefault="00F04FE5" w:rsidP="00F04FE5">
      <w:pPr>
        <w:spacing w:line="360" w:lineRule="auto"/>
        <w:jc w:val="both"/>
        <w:rPr>
          <w:rFonts w:ascii="David" w:hAnsi="David"/>
          <w:noProof w:val="0"/>
        </w:rPr>
      </w:pPr>
    </w:p>
    <w:p w14:paraId="2F2528C8" w14:textId="77777777" w:rsidR="00F04FE5" w:rsidRPr="002D4B7F" w:rsidRDefault="00F04FE5" w:rsidP="00F04FE5">
      <w:pPr>
        <w:spacing w:line="360" w:lineRule="auto"/>
        <w:jc w:val="both"/>
        <w:rPr>
          <w:rFonts w:ascii="David" w:hAnsi="David"/>
          <w:noProof w:val="0"/>
        </w:rPr>
      </w:pPr>
      <w:r w:rsidRPr="002D4B7F">
        <w:rPr>
          <w:rFonts w:ascii="David" w:hAnsi="David"/>
          <w:noProof w:val="0"/>
          <w:rtl/>
        </w:rPr>
        <w:t xml:space="preserve">כן, ראו פסק הדין </w:t>
      </w:r>
      <w:hyperlink r:id="rId18" w:history="1">
        <w:r w:rsidR="00D90352" w:rsidRPr="00D90352">
          <w:rPr>
            <w:rFonts w:ascii="David" w:hAnsi="David"/>
            <w:noProof w:val="0"/>
            <w:color w:val="0000FF"/>
            <w:u w:val="single"/>
            <w:rtl/>
          </w:rPr>
          <w:t>ע"פ 3288/14</w:t>
        </w:r>
      </w:hyperlink>
      <w:r w:rsidRPr="002D4B7F">
        <w:rPr>
          <w:rFonts w:ascii="David" w:hAnsi="David"/>
          <w:noProof w:val="0"/>
          <w:rtl/>
        </w:rPr>
        <w:t xml:space="preserve"> </w:t>
      </w:r>
      <w:r w:rsidRPr="002D4B7F">
        <w:rPr>
          <w:rFonts w:ascii="David" w:hAnsi="David"/>
          <w:b/>
          <w:bCs/>
          <w:noProof w:val="0"/>
          <w:rtl/>
        </w:rPr>
        <w:t>מדינת ישראל נ' קריספל</w:t>
      </w:r>
      <w:r w:rsidRPr="002D4B7F">
        <w:rPr>
          <w:rFonts w:ascii="David" w:hAnsi="David"/>
          <w:noProof w:val="0"/>
          <w:rtl/>
        </w:rPr>
        <w:t xml:space="preserve"> (פורסם במאגרים), שם נאמר: </w:t>
      </w:r>
    </w:p>
    <w:p w14:paraId="3F9A4F08" w14:textId="77777777" w:rsidR="00F04FE5" w:rsidRPr="002D4B7F" w:rsidRDefault="00F04FE5" w:rsidP="00F04FE5">
      <w:pPr>
        <w:spacing w:line="360" w:lineRule="auto"/>
        <w:jc w:val="both"/>
        <w:rPr>
          <w:rFonts w:ascii="David" w:hAnsi="David"/>
          <w:noProof w:val="0"/>
          <w:rtl/>
        </w:rPr>
      </w:pPr>
    </w:p>
    <w:p w14:paraId="1DD6BF99" w14:textId="77777777" w:rsidR="00F04FE5" w:rsidRPr="002D4B7F" w:rsidRDefault="00F04FE5" w:rsidP="00F04FE5">
      <w:pPr>
        <w:spacing w:line="360" w:lineRule="auto"/>
        <w:jc w:val="both"/>
        <w:rPr>
          <w:rFonts w:ascii="Aharoni" w:hAnsi="Aharoni" w:cs="Aharoni"/>
          <w:noProof w:val="0"/>
        </w:rPr>
      </w:pPr>
      <w:r w:rsidRPr="002D4B7F">
        <w:rPr>
          <w:rFonts w:ascii="Aharoni" w:hAnsi="Aharoni" w:cs="Aharoni"/>
          <w:noProof w:val="0"/>
          <w:rtl/>
        </w:rPr>
        <w:t>בשל פוטנציאל ההרס הטמון בכלי נשק, הכולל גם אפשרות לפגיעה עיוורת באנשים מן הישוב, מתפקידו של בית המשפט להרתיע אף מפני עבירת החזקת נשק שלא כדין. זאת, כדי לבלום את שרשרת העבירות בשלב ראשוני.</w:t>
      </w:r>
    </w:p>
    <w:p w14:paraId="52811451" w14:textId="77777777" w:rsidR="00F04FE5" w:rsidRPr="002D4B7F" w:rsidRDefault="00F04FE5" w:rsidP="00F04FE5">
      <w:pPr>
        <w:spacing w:line="360" w:lineRule="auto"/>
        <w:jc w:val="both"/>
        <w:rPr>
          <w:rFonts w:ascii="Aharoni" w:hAnsi="Aharoni" w:cs="Aharoni"/>
          <w:noProof w:val="0"/>
          <w:rtl/>
        </w:rPr>
      </w:pPr>
    </w:p>
    <w:p w14:paraId="3CF5490F" w14:textId="77777777" w:rsidR="00F04FE5" w:rsidRPr="002D4B7F" w:rsidRDefault="00F04FE5" w:rsidP="00F04FE5">
      <w:pPr>
        <w:spacing w:line="360" w:lineRule="auto"/>
        <w:jc w:val="both"/>
        <w:rPr>
          <w:rFonts w:ascii="David" w:hAnsi="David"/>
          <w:noProof w:val="0"/>
          <w:rtl/>
        </w:rPr>
      </w:pPr>
    </w:p>
    <w:p w14:paraId="290091ED" w14:textId="77777777" w:rsidR="00F04FE5" w:rsidRPr="002D4B7F" w:rsidRDefault="00F04FE5" w:rsidP="00F04FE5">
      <w:pPr>
        <w:spacing w:line="360" w:lineRule="auto"/>
        <w:jc w:val="both"/>
        <w:rPr>
          <w:rFonts w:ascii="David" w:hAnsi="David"/>
          <w:noProof w:val="0"/>
        </w:rPr>
      </w:pPr>
      <w:r w:rsidRPr="002D4B7F">
        <w:rPr>
          <w:rFonts w:ascii="David" w:hAnsi="David"/>
          <w:noProof w:val="0"/>
          <w:rtl/>
        </w:rPr>
        <w:t xml:space="preserve">בפסק הדין </w:t>
      </w:r>
      <w:hyperlink r:id="rId19" w:history="1">
        <w:r w:rsidR="00D90352" w:rsidRPr="00D90352">
          <w:rPr>
            <w:rFonts w:ascii="David" w:hAnsi="David"/>
            <w:noProof w:val="0"/>
            <w:color w:val="0000FF"/>
            <w:u w:val="single"/>
            <w:rtl/>
          </w:rPr>
          <w:t>ע"פ 4945/13</w:t>
        </w:r>
      </w:hyperlink>
      <w:r w:rsidRPr="002D4B7F">
        <w:rPr>
          <w:rFonts w:ascii="David" w:hAnsi="David"/>
          <w:noProof w:val="0"/>
          <w:rtl/>
        </w:rPr>
        <w:t xml:space="preserve"> </w:t>
      </w:r>
      <w:r w:rsidRPr="002D4B7F">
        <w:rPr>
          <w:rFonts w:ascii="David" w:hAnsi="David"/>
          <w:b/>
          <w:bCs/>
          <w:noProof w:val="0"/>
          <w:rtl/>
        </w:rPr>
        <w:t>סלימאן, נ' מדינת ישראל</w:t>
      </w:r>
      <w:r w:rsidRPr="002D4B7F">
        <w:rPr>
          <w:rFonts w:ascii="David" w:hAnsi="David"/>
          <w:noProof w:val="0"/>
          <w:rtl/>
        </w:rPr>
        <w:t xml:space="preserve"> (פורסם במאגרים), נאמר:</w:t>
      </w:r>
    </w:p>
    <w:p w14:paraId="15EB03E5" w14:textId="77777777" w:rsidR="00F04FE5" w:rsidRPr="002D4B7F" w:rsidRDefault="00F04FE5" w:rsidP="00F04FE5">
      <w:pPr>
        <w:spacing w:line="360" w:lineRule="auto"/>
        <w:jc w:val="both"/>
        <w:rPr>
          <w:rFonts w:ascii="David" w:hAnsi="David"/>
          <w:noProof w:val="0"/>
          <w:rtl/>
        </w:rPr>
      </w:pPr>
    </w:p>
    <w:p w14:paraId="74013703" w14:textId="77777777" w:rsidR="00F04FE5" w:rsidRPr="002D4B7F" w:rsidRDefault="00F04FE5" w:rsidP="00F04FE5">
      <w:pPr>
        <w:spacing w:line="360" w:lineRule="auto"/>
        <w:jc w:val="both"/>
        <w:rPr>
          <w:rFonts w:ascii="Calibri" w:hAnsi="Calibri" w:cs="Calibri"/>
          <w:noProof w:val="0"/>
        </w:rPr>
      </w:pPr>
      <w:r w:rsidRPr="002D4B7F">
        <w:rPr>
          <w:rFonts w:ascii="Aharoni" w:hAnsi="Aharoni" w:cs="Aharoni"/>
          <w:noProof w:val="0"/>
          <w:rtl/>
        </w:rPr>
        <w:t>התגלגלותם של כלי נשק מיד ליד ללא פיקוח עלולה להוביל להגעתם בדרך לא דרך לגורמים פליליים ועוינים. אין לדעת מה יעלה בגורלם של</w:t>
      </w:r>
      <w:r w:rsidR="00D90352">
        <w:rPr>
          <w:rFonts w:ascii="Aharoni" w:hAnsi="Aharoni" w:cs="Aharoni"/>
          <w:noProof w:val="0"/>
          <w:rtl/>
        </w:rPr>
        <w:t xml:space="preserve"> </w:t>
      </w:r>
      <w:r w:rsidRPr="002D4B7F">
        <w:rPr>
          <w:rFonts w:ascii="Aharoni" w:hAnsi="Aharoni" w:cs="Aharoni"/>
          <w:noProof w:val="0"/>
          <w:rtl/>
        </w:rPr>
        <w:t xml:space="preserve"> ולאלו תוצאות הרסניות יובילו. ודוק: הסיכון שנשקף לשלום הציבור צריך להילקח בחשבון על ידי כל מי שמחזיק בידו נשק שלא כדין, </w:t>
      </w:r>
      <w:r w:rsidRPr="002D4B7F">
        <w:rPr>
          <w:rFonts w:ascii="Aharoni" w:hAnsi="Aharoni" w:cs="Aharoni"/>
          <w:noProof w:val="0"/>
          <w:u w:val="single"/>
          <w:rtl/>
        </w:rPr>
        <w:t>גם אם אינו מחזיק בו למטרת ביצוען של עבירות אחרות</w:t>
      </w:r>
      <w:r w:rsidRPr="002D4B7F">
        <w:rPr>
          <w:rFonts w:ascii="Aharoni" w:hAnsi="Aharoni" w:cs="Aharoni"/>
          <w:noProof w:val="0"/>
          <w:rtl/>
        </w:rPr>
        <w:t>. עצם החזקת נשק בעל פוטנציאל קטילה מבלי שיש עליו ועל בעליו פיקוח מוסדר של הרשויות טומן בחובו סיכון, באשר המחזיק בו נתון תמיד לחשש שיתפתה לעשות בו שימוש, ולו ברגעי לחץ ופחד.</w:t>
      </w:r>
    </w:p>
    <w:p w14:paraId="6DA87196" w14:textId="77777777" w:rsidR="00F04FE5" w:rsidRPr="002D4B7F" w:rsidRDefault="00F04FE5" w:rsidP="00F04FE5">
      <w:pPr>
        <w:spacing w:line="360" w:lineRule="auto"/>
        <w:jc w:val="both"/>
        <w:rPr>
          <w:rFonts w:ascii="David" w:hAnsi="David"/>
          <w:noProof w:val="0"/>
          <w:rtl/>
        </w:rPr>
      </w:pPr>
      <w:r w:rsidRPr="002D4B7F">
        <w:rPr>
          <w:rFonts w:ascii="David" w:hAnsi="David"/>
          <w:noProof w:val="0"/>
          <w:rtl/>
        </w:rPr>
        <w:t>[ההדגשה אינה במקור].</w:t>
      </w:r>
    </w:p>
    <w:p w14:paraId="721A7F4D" w14:textId="77777777" w:rsidR="00F04FE5" w:rsidRPr="002D4B7F" w:rsidRDefault="00F04FE5" w:rsidP="00F04FE5">
      <w:pPr>
        <w:spacing w:line="360" w:lineRule="auto"/>
        <w:jc w:val="both"/>
        <w:rPr>
          <w:rFonts w:ascii="David" w:hAnsi="David"/>
          <w:noProof w:val="0"/>
          <w:rtl/>
        </w:rPr>
      </w:pPr>
    </w:p>
    <w:p w14:paraId="7D9297E4" w14:textId="77777777" w:rsidR="00F04FE5" w:rsidRDefault="00F04FE5" w:rsidP="00F04FE5">
      <w:pPr>
        <w:spacing w:line="360" w:lineRule="auto"/>
        <w:jc w:val="both"/>
        <w:rPr>
          <w:rFonts w:ascii="David" w:hAnsi="David"/>
          <w:noProof w:val="0"/>
          <w:rtl/>
        </w:rPr>
      </w:pPr>
      <w:r w:rsidRPr="00F4364D">
        <w:rPr>
          <w:rFonts w:ascii="David" w:hAnsi="David"/>
          <w:noProof w:val="0"/>
          <w:u w:val="single"/>
          <w:rtl/>
        </w:rPr>
        <w:t xml:space="preserve">בשורה של פסקי דין נקבע, כי חומרת הסיכון הנשקף מעבירות אלה, מחייבת השתת עונשי מאסר בפועל בגין עבירות אלה </w:t>
      </w:r>
      <w:r w:rsidRPr="00F4364D">
        <w:rPr>
          <w:rFonts w:ascii="David" w:hAnsi="David" w:hint="cs"/>
          <w:noProof w:val="0"/>
          <w:u w:val="single"/>
          <w:rtl/>
        </w:rPr>
        <w:t>והנסיבות האישיות נסוגות אחור מול האינטרס הציבורי</w:t>
      </w:r>
      <w:r>
        <w:rPr>
          <w:rFonts w:ascii="David" w:hAnsi="David" w:hint="cs"/>
          <w:noProof w:val="0"/>
          <w:rtl/>
        </w:rPr>
        <w:t xml:space="preserve">. </w:t>
      </w:r>
    </w:p>
    <w:p w14:paraId="7BDA0DD2" w14:textId="77777777" w:rsidR="00F04FE5" w:rsidRDefault="00F04FE5" w:rsidP="00F04FE5">
      <w:pPr>
        <w:spacing w:line="360" w:lineRule="auto"/>
        <w:jc w:val="both"/>
        <w:rPr>
          <w:rFonts w:ascii="David" w:hAnsi="David"/>
          <w:noProof w:val="0"/>
          <w:rtl/>
        </w:rPr>
      </w:pPr>
    </w:p>
    <w:p w14:paraId="77512533" w14:textId="77777777" w:rsidR="00F04FE5" w:rsidRPr="002D4B7F" w:rsidRDefault="00F04FE5" w:rsidP="00F04FE5">
      <w:pPr>
        <w:spacing w:line="360" w:lineRule="auto"/>
        <w:jc w:val="both"/>
        <w:rPr>
          <w:rFonts w:ascii="David" w:hAnsi="David"/>
          <w:noProof w:val="0"/>
        </w:rPr>
      </w:pPr>
      <w:r w:rsidRPr="002D4B7F">
        <w:rPr>
          <w:rFonts w:ascii="David" w:hAnsi="David"/>
          <w:noProof w:val="0"/>
          <w:rtl/>
        </w:rPr>
        <w:t xml:space="preserve">ראו </w:t>
      </w:r>
      <w:hyperlink r:id="rId20" w:history="1">
        <w:r w:rsidR="00D90352" w:rsidRPr="00D90352">
          <w:rPr>
            <w:rFonts w:ascii="David" w:hAnsi="David"/>
            <w:noProof w:val="0"/>
            <w:color w:val="0000FF"/>
            <w:u w:val="single"/>
            <w:rtl/>
          </w:rPr>
          <w:t>רע"פ 2718/04</w:t>
        </w:r>
      </w:hyperlink>
      <w:r w:rsidRPr="002D4B7F">
        <w:rPr>
          <w:rFonts w:ascii="David" w:hAnsi="David"/>
          <w:noProof w:val="0"/>
          <w:rtl/>
        </w:rPr>
        <w:t xml:space="preserve"> </w:t>
      </w:r>
      <w:r w:rsidRPr="002D4B7F">
        <w:rPr>
          <w:rFonts w:ascii="David" w:hAnsi="David"/>
          <w:b/>
          <w:bCs/>
          <w:noProof w:val="0"/>
          <w:rtl/>
        </w:rPr>
        <w:t>אבו דאחל נ' מדינת ישראל</w:t>
      </w:r>
      <w:r w:rsidRPr="002D4B7F">
        <w:rPr>
          <w:rFonts w:ascii="David" w:hAnsi="David"/>
          <w:noProof w:val="0"/>
          <w:rtl/>
        </w:rPr>
        <w:t xml:space="preserve"> (פורסם במאגרים):</w:t>
      </w:r>
    </w:p>
    <w:p w14:paraId="7F0D15BA" w14:textId="77777777" w:rsidR="00F04FE5" w:rsidRPr="002D4B7F" w:rsidRDefault="00F04FE5" w:rsidP="00F04FE5">
      <w:pPr>
        <w:spacing w:line="360" w:lineRule="auto"/>
        <w:jc w:val="both"/>
        <w:rPr>
          <w:rFonts w:ascii="David" w:hAnsi="David"/>
          <w:noProof w:val="0"/>
        </w:rPr>
      </w:pPr>
    </w:p>
    <w:p w14:paraId="340778AE" w14:textId="77777777" w:rsidR="00F04FE5" w:rsidRPr="002D4B7F" w:rsidRDefault="00F04FE5" w:rsidP="00F04FE5">
      <w:pPr>
        <w:spacing w:line="360" w:lineRule="auto"/>
        <w:jc w:val="both"/>
        <w:rPr>
          <w:rFonts w:ascii="Aharoni" w:hAnsi="Aharoni" w:cs="Aharoni"/>
          <w:noProof w:val="0"/>
        </w:rPr>
      </w:pPr>
      <w:r w:rsidRPr="002D4B7F">
        <w:rPr>
          <w:rFonts w:ascii="Aharoni" w:hAnsi="Aharoni" w:cs="Aharoni"/>
          <w:noProof w:val="0"/>
          <w:rtl/>
        </w:rPr>
        <w:t xml:space="preserve">יוער כי הסכנה הטמונה בעבירה החמורה של החזקת נשק מצדיקה הטלת עונשי מאסר לריצוי בפועל גם על מי שזו עבירתו הראשונה. בבוא בית המשפט לשקול את הענישה בעבירות מסוג זה, עליו לתת </w:t>
      </w:r>
      <w:r w:rsidRPr="002D4B7F">
        <w:rPr>
          <w:rFonts w:ascii="Aharoni" w:hAnsi="Aharoni" w:cs="Aharoni"/>
          <w:noProof w:val="0"/>
          <w:u w:val="single"/>
          <w:rtl/>
        </w:rPr>
        <w:t>משקל נכבד יותר לאינטרס הציבורי</w:t>
      </w:r>
      <w:r w:rsidRPr="002D4B7F">
        <w:rPr>
          <w:rFonts w:ascii="Aharoni" w:hAnsi="Aharoni" w:cs="Aharoni"/>
          <w:noProof w:val="0"/>
          <w:rtl/>
        </w:rPr>
        <w:t xml:space="preserve"> ולצורך להרתיע עבריינים בכוח מלבצע עבירות דומות, על פני הנסיבות האישיות של העבריין. (ההדגשה אינה במקור)</w:t>
      </w:r>
    </w:p>
    <w:p w14:paraId="1DAD8BA5" w14:textId="77777777" w:rsidR="00F04FE5" w:rsidRPr="002D4B7F" w:rsidRDefault="00F04FE5" w:rsidP="00F04FE5">
      <w:pPr>
        <w:spacing w:line="360" w:lineRule="auto"/>
        <w:jc w:val="both"/>
        <w:rPr>
          <w:rFonts w:ascii="David" w:hAnsi="David"/>
          <w:noProof w:val="0"/>
        </w:rPr>
      </w:pPr>
    </w:p>
    <w:p w14:paraId="25D30A04" w14:textId="77777777" w:rsidR="00F04FE5" w:rsidRPr="002D4B7F" w:rsidRDefault="00F04FE5" w:rsidP="00F04FE5">
      <w:pPr>
        <w:spacing w:line="360" w:lineRule="auto"/>
        <w:jc w:val="both"/>
        <w:rPr>
          <w:rFonts w:ascii="David" w:hAnsi="David"/>
          <w:noProof w:val="0"/>
          <w:rtl/>
        </w:rPr>
      </w:pPr>
      <w:r w:rsidRPr="002D4B7F">
        <w:rPr>
          <w:rFonts w:ascii="David" w:hAnsi="David"/>
          <w:noProof w:val="0"/>
          <w:rtl/>
        </w:rPr>
        <w:t xml:space="preserve">עוד ראו </w:t>
      </w:r>
      <w:hyperlink r:id="rId21" w:history="1">
        <w:r w:rsidR="00D90352" w:rsidRPr="00D90352">
          <w:rPr>
            <w:rFonts w:ascii="David" w:hAnsi="David"/>
            <w:noProof w:val="0"/>
            <w:color w:val="0000FF"/>
            <w:u w:val="single"/>
            <w:rtl/>
          </w:rPr>
          <w:t>ע"פ 5220/09</w:t>
        </w:r>
      </w:hyperlink>
      <w:r w:rsidRPr="002D4B7F">
        <w:rPr>
          <w:rFonts w:ascii="David" w:hAnsi="David"/>
          <w:noProof w:val="0"/>
          <w:rtl/>
        </w:rPr>
        <w:t xml:space="preserve"> </w:t>
      </w:r>
      <w:r w:rsidRPr="002D4B7F">
        <w:rPr>
          <w:rFonts w:ascii="David" w:hAnsi="David"/>
          <w:b/>
          <w:bCs/>
          <w:noProof w:val="0"/>
          <w:rtl/>
        </w:rPr>
        <w:t xml:space="preserve">עוואודה נ' מדינת ישראל </w:t>
      </w:r>
      <w:r w:rsidRPr="002D4B7F">
        <w:rPr>
          <w:rFonts w:ascii="David" w:hAnsi="David"/>
          <w:noProof w:val="0"/>
          <w:rtl/>
        </w:rPr>
        <w:t>(פורסם במאגרים):</w:t>
      </w:r>
    </w:p>
    <w:p w14:paraId="2C340376" w14:textId="77777777" w:rsidR="00F04FE5" w:rsidRPr="002D4B7F" w:rsidRDefault="00F04FE5" w:rsidP="00F04FE5">
      <w:pPr>
        <w:spacing w:line="360" w:lineRule="auto"/>
        <w:jc w:val="both"/>
        <w:rPr>
          <w:rFonts w:ascii="David" w:hAnsi="David"/>
          <w:noProof w:val="0"/>
          <w:rtl/>
        </w:rPr>
      </w:pPr>
    </w:p>
    <w:p w14:paraId="62758EB2" w14:textId="77777777" w:rsidR="00F04FE5" w:rsidRPr="002D4B7F" w:rsidRDefault="00F04FE5" w:rsidP="00F04FE5">
      <w:pPr>
        <w:spacing w:line="360" w:lineRule="auto"/>
        <w:jc w:val="both"/>
        <w:rPr>
          <w:rFonts w:ascii="David" w:hAnsi="David"/>
          <w:noProof w:val="0"/>
          <w:rtl/>
        </w:rPr>
      </w:pPr>
      <w:r w:rsidRPr="002D4B7F">
        <w:rPr>
          <w:rFonts w:ascii="Aharoni" w:hAnsi="Aharoni" w:cs="Aharoni"/>
          <w:noProof w:val="0"/>
          <w:rtl/>
        </w:rPr>
        <w:t xml:space="preserve">אשר על כן משכבר נקבע הכלל לפיו </w:t>
      </w:r>
      <w:r w:rsidRPr="002D4B7F">
        <w:rPr>
          <w:rFonts w:ascii="Aharoni" w:hAnsi="Aharoni" w:cs="Aharoni"/>
          <w:noProof w:val="0"/>
          <w:u w:val="single"/>
          <w:rtl/>
        </w:rPr>
        <w:t xml:space="preserve">ככלל יש לאסור את המבצעים עבירה זו, </w:t>
      </w:r>
      <w:r w:rsidRPr="00404A63">
        <w:rPr>
          <w:rFonts w:ascii="Aharoni" w:hAnsi="Aharoni" w:cs="Aharoni"/>
          <w:noProof w:val="0"/>
          <w:rtl/>
        </w:rPr>
        <w:t>גם אם מדובר בעבירה ראשונה</w:t>
      </w:r>
      <w:r w:rsidRPr="002D4B7F">
        <w:rPr>
          <w:rFonts w:ascii="Aharoni" w:hAnsi="Aharoni" w:cs="Aharoni"/>
          <w:noProof w:val="0"/>
          <w:rtl/>
        </w:rPr>
        <w:t xml:space="preserve">, </w:t>
      </w:r>
      <w:r w:rsidRPr="00404A63">
        <w:rPr>
          <w:rFonts w:ascii="Aharoni" w:hAnsi="Aharoni" w:cs="Aharoni"/>
          <w:noProof w:val="0"/>
          <w:u w:val="single"/>
          <w:rtl/>
        </w:rPr>
        <w:t>מאחורי סורג ובריח</w:t>
      </w:r>
      <w:r w:rsidRPr="002D4B7F">
        <w:rPr>
          <w:rFonts w:ascii="Aharoni" w:hAnsi="Aharoni" w:cs="Aharoni"/>
          <w:noProof w:val="0"/>
          <w:rtl/>
        </w:rPr>
        <w:t>, ואילו אורך התקופה כלול בנסיבות הספציפיות של העושה והמעשה.</w:t>
      </w:r>
    </w:p>
    <w:p w14:paraId="52F031C8" w14:textId="77777777" w:rsidR="00F04FE5" w:rsidRPr="002D4B7F" w:rsidRDefault="00F04FE5" w:rsidP="00F04FE5">
      <w:pPr>
        <w:spacing w:line="360" w:lineRule="auto"/>
        <w:jc w:val="both"/>
        <w:rPr>
          <w:rFonts w:ascii="David" w:hAnsi="David" w:cs="Aharoni"/>
          <w:noProof w:val="0"/>
          <w:rtl/>
        </w:rPr>
      </w:pPr>
      <w:r w:rsidRPr="002D4B7F">
        <w:rPr>
          <w:rFonts w:ascii="David" w:hAnsi="David" w:cs="Aharoni"/>
          <w:noProof w:val="0"/>
          <w:rtl/>
        </w:rPr>
        <w:t>[ההדגשה אינה במקור].</w:t>
      </w:r>
    </w:p>
    <w:p w14:paraId="63B2ADCE" w14:textId="77777777" w:rsidR="00F04FE5" w:rsidRPr="002D4B7F" w:rsidRDefault="00F04FE5" w:rsidP="00F04FE5">
      <w:pPr>
        <w:spacing w:line="360" w:lineRule="auto"/>
        <w:jc w:val="both"/>
        <w:rPr>
          <w:rFonts w:ascii="David" w:hAnsi="David" w:cs="Aharoni"/>
          <w:noProof w:val="0"/>
          <w:rtl/>
        </w:rPr>
      </w:pPr>
    </w:p>
    <w:p w14:paraId="58C2A41B" w14:textId="77777777" w:rsidR="00F04FE5" w:rsidRPr="00A85AF3" w:rsidRDefault="00F04FE5" w:rsidP="00F04FE5">
      <w:pPr>
        <w:spacing w:line="360" w:lineRule="auto"/>
        <w:jc w:val="both"/>
        <w:rPr>
          <w:rFonts w:ascii="David" w:hAnsi="David"/>
          <w:noProof w:val="0"/>
        </w:rPr>
      </w:pPr>
      <w:r w:rsidRPr="00A85AF3">
        <w:rPr>
          <w:rFonts w:ascii="David" w:hAnsi="David"/>
          <w:noProof w:val="0"/>
          <w:rtl/>
        </w:rPr>
        <w:t xml:space="preserve">הסכנות הטמונות בעבירות הנשק, ביחד עם התפוצה הרחבה של כלי נשק בלתי חוקיים בשנים האחרונות, הובילו להבנה, כי יש צורך של ממש להחמיר בענישה בעבירות מסוג זה. לפיכך, ביום 07.08.16, פורסמה הנחיית פרקליט המדינה מס' 9.16, בנוגע למדיניות הענישה בעבירות נשק, במסגרתה הונחתה התביעה הכללית לפעול לכיוון החמרת הענישה בעבירות אלה, לנוכח הסיכון הרב הנשקף מהן והאינטרס הציבורי במיגורן. התביעה הכללית הונחתה לדרוש מאסר בפועל לתקופה ממשית, גם כאשר המדובר בעבירה ראשונה. לנוכח הפסיקה, שפורטה באותה הנחיה, הונחתה התביעה הכללית לטעון </w:t>
      </w:r>
      <w:r>
        <w:rPr>
          <w:rFonts w:ascii="David" w:hAnsi="David" w:hint="cs"/>
          <w:noProof w:val="0"/>
          <w:rtl/>
        </w:rPr>
        <w:t>למתחמי ענישה גבוהים בגין עבירות של אחזקת נשק חם ותחמושת, שלא כדין</w:t>
      </w:r>
      <w:r w:rsidRPr="00A85AF3">
        <w:rPr>
          <w:rFonts w:ascii="David" w:hAnsi="David"/>
          <w:noProof w:val="0"/>
          <w:rtl/>
        </w:rPr>
        <w:t>.</w:t>
      </w:r>
    </w:p>
    <w:p w14:paraId="3E1E8BB5" w14:textId="77777777" w:rsidR="00F04FE5" w:rsidRDefault="00F04FE5" w:rsidP="00F04FE5">
      <w:pPr>
        <w:spacing w:line="360" w:lineRule="auto"/>
        <w:jc w:val="both"/>
        <w:rPr>
          <w:rFonts w:ascii="David" w:hAnsi="David"/>
          <w:noProof w:val="0"/>
          <w:rtl/>
        </w:rPr>
      </w:pPr>
    </w:p>
    <w:p w14:paraId="34E267CF" w14:textId="77777777" w:rsidR="00F04FE5" w:rsidRPr="00734038" w:rsidRDefault="00F04FE5" w:rsidP="00F04FE5">
      <w:pPr>
        <w:spacing w:line="360" w:lineRule="auto"/>
        <w:jc w:val="both"/>
        <w:rPr>
          <w:rFonts w:ascii="David" w:hAnsi="David"/>
          <w:noProof w:val="0"/>
          <w:rtl/>
        </w:rPr>
      </w:pPr>
      <w:r w:rsidRPr="00734038">
        <w:rPr>
          <w:rFonts w:ascii="David" w:hAnsi="David"/>
          <w:noProof w:val="0"/>
          <w:rtl/>
        </w:rPr>
        <w:t>הצורך בהחמרת הענישה נומק במספר הרב של העבירות, אם פליליות ואם כאלה נגד בטחון המדינה, שנעברו לאחרונה, באמצעות כלי נשק, ואף הביאו, לעיתים מזומנות, לפגיעה באזרחים בלתי מעורבים. לשם המחשה, כפי המפורט בנתונים שהובאו במסגרת ההנחיה, בשנת 2013, אירעו בישראל 563 אירועים של פיגועים פליליים באמצעות נשק חם. זאת, מבלי לקחת בחשבון פיגועים על רקע בטחוני או עבירות שנאה.</w:t>
      </w:r>
    </w:p>
    <w:p w14:paraId="6CB54DDB" w14:textId="77777777" w:rsidR="00F04FE5" w:rsidRDefault="00F04FE5" w:rsidP="00F04FE5">
      <w:pPr>
        <w:spacing w:line="360" w:lineRule="auto"/>
        <w:jc w:val="both"/>
        <w:rPr>
          <w:rFonts w:ascii="David" w:hAnsi="David"/>
          <w:noProof w:val="0"/>
          <w:rtl/>
        </w:rPr>
      </w:pPr>
    </w:p>
    <w:p w14:paraId="0278CCB7" w14:textId="77777777" w:rsidR="00F04FE5" w:rsidRDefault="00F04FE5" w:rsidP="00F04FE5">
      <w:pPr>
        <w:spacing w:line="360" w:lineRule="auto"/>
        <w:jc w:val="both"/>
        <w:rPr>
          <w:rFonts w:ascii="David" w:hAnsi="David"/>
          <w:noProof w:val="0"/>
          <w:rtl/>
        </w:rPr>
      </w:pPr>
      <w:r w:rsidRPr="00734038">
        <w:rPr>
          <w:rFonts w:ascii="David" w:hAnsi="David"/>
          <w:noProof w:val="0"/>
          <w:rtl/>
        </w:rPr>
        <w:t xml:space="preserve">אשר למתחם הענישה, </w:t>
      </w:r>
      <w:r>
        <w:rPr>
          <w:rFonts w:ascii="David" w:hAnsi="David" w:hint="cs"/>
          <w:noProof w:val="0"/>
          <w:rtl/>
        </w:rPr>
        <w:t>תובא להלן פסיקה, הנוגעת לאחזקת כלי נשק חם בכלל, ובהמשך, תובא פסיקה בנוגע לאחזקת כלי נשק חם מסוג אקדח, וכן תחמושת.</w:t>
      </w:r>
    </w:p>
    <w:p w14:paraId="6F522939" w14:textId="77777777" w:rsidR="00F04FE5" w:rsidRDefault="00F04FE5" w:rsidP="00F04FE5">
      <w:pPr>
        <w:spacing w:line="360" w:lineRule="auto"/>
        <w:jc w:val="both"/>
        <w:rPr>
          <w:rFonts w:ascii="David" w:hAnsi="David"/>
          <w:noProof w:val="0"/>
          <w:rtl/>
        </w:rPr>
      </w:pPr>
    </w:p>
    <w:p w14:paraId="3E045803" w14:textId="77777777" w:rsidR="00F04FE5" w:rsidRPr="00734038" w:rsidRDefault="00F04FE5" w:rsidP="00F04FE5">
      <w:pPr>
        <w:spacing w:line="360" w:lineRule="auto"/>
        <w:jc w:val="both"/>
        <w:rPr>
          <w:rFonts w:ascii="David" w:hAnsi="David"/>
          <w:noProof w:val="0"/>
          <w:rtl/>
        </w:rPr>
      </w:pPr>
      <w:r w:rsidRPr="00734038">
        <w:rPr>
          <w:rFonts w:ascii="David" w:hAnsi="David"/>
          <w:noProof w:val="0"/>
          <w:rtl/>
        </w:rPr>
        <w:t xml:space="preserve">בפסק הדין </w:t>
      </w:r>
      <w:hyperlink r:id="rId22" w:history="1">
        <w:r w:rsidR="00D90352" w:rsidRPr="00D90352">
          <w:rPr>
            <w:rFonts w:ascii="David" w:hAnsi="David"/>
            <w:noProof w:val="0"/>
            <w:color w:val="0000FF"/>
            <w:u w:val="single"/>
            <w:rtl/>
          </w:rPr>
          <w:t>עפ"ג 23419-01-17</w:t>
        </w:r>
      </w:hyperlink>
      <w:r w:rsidRPr="00734038">
        <w:rPr>
          <w:rFonts w:ascii="David" w:hAnsi="David"/>
          <w:noProof w:val="0"/>
          <w:rtl/>
        </w:rPr>
        <w:t xml:space="preserve"> </w:t>
      </w:r>
      <w:r w:rsidRPr="00734038">
        <w:rPr>
          <w:rFonts w:ascii="David" w:hAnsi="David"/>
          <w:b/>
          <w:bCs/>
          <w:noProof w:val="0"/>
          <w:rtl/>
        </w:rPr>
        <w:t>מדינת ישראל נ' זניד ואח'</w:t>
      </w:r>
      <w:r w:rsidRPr="00734038">
        <w:rPr>
          <w:rFonts w:ascii="David" w:hAnsi="David"/>
          <w:noProof w:val="0"/>
          <w:rtl/>
        </w:rPr>
        <w:t xml:space="preserve"> (פורסם במאגרים), נדון ערעור המדינה בעניינם של שני משיבים, האחד - נתפס מחזיק אקדח בקוטר 9 מ"מ ביחד עם מחסנית ובה 17  כדורים; וכן רובה סער מאולתר דמוי </w:t>
      </w:r>
      <w:r w:rsidRPr="00734038">
        <w:rPr>
          <w:rFonts w:ascii="David" w:hAnsi="David"/>
          <w:noProof w:val="0"/>
        </w:rPr>
        <w:t>M16</w:t>
      </w:r>
      <w:r w:rsidRPr="00734038">
        <w:rPr>
          <w:rFonts w:ascii="David" w:hAnsi="David"/>
          <w:noProof w:val="0"/>
          <w:rtl/>
        </w:rPr>
        <w:t xml:space="preserve"> עם מחסנית ובה 28 כדורים; השני - נתפס מחזיק בשני אקדחים, גם כן בצירוף תחמושת. בית משפט קמא קבע מתחם ענישה שינוע בין 13 עד 30 חדשי מאסר בפועל בנוגע למשיב שהחזיק את שני האקדחים ומתחם שינוע בין 16 עד 36 חדשי מאסר בפועל בנוגע למשיב שהחזיק אקדח ורובה סער מאולתר. </w:t>
      </w:r>
    </w:p>
    <w:p w14:paraId="47B12FA6" w14:textId="77777777" w:rsidR="00F04FE5" w:rsidRPr="00734038" w:rsidRDefault="00F04FE5" w:rsidP="00F04FE5">
      <w:pPr>
        <w:spacing w:line="360" w:lineRule="auto"/>
        <w:jc w:val="both"/>
        <w:rPr>
          <w:rFonts w:ascii="David" w:hAnsi="David"/>
          <w:noProof w:val="0"/>
          <w:rtl/>
        </w:rPr>
      </w:pPr>
    </w:p>
    <w:p w14:paraId="737DD4DC" w14:textId="77777777" w:rsidR="00F04FE5" w:rsidRPr="00734038" w:rsidRDefault="00F04FE5" w:rsidP="00F04FE5">
      <w:pPr>
        <w:spacing w:line="360" w:lineRule="auto"/>
        <w:jc w:val="both"/>
        <w:rPr>
          <w:rFonts w:ascii="David" w:hAnsi="David"/>
          <w:noProof w:val="0"/>
          <w:rtl/>
        </w:rPr>
      </w:pPr>
      <w:r w:rsidRPr="00734038">
        <w:rPr>
          <w:rFonts w:ascii="David" w:hAnsi="David"/>
          <w:noProof w:val="0"/>
          <w:rtl/>
        </w:rPr>
        <w:t xml:space="preserve">ערעור המדינה התקבל בהסכמת הצדדים, תוך שהוחמרו עונשי המאסר שהושתו על המשיבים ל-26 ו-31 חדשי מאסר בפועל (בהתאמה). בית המשפט המחוזי, בשבתו כבית משפט לערעורים פליליים, אף מצא לציין, כי </w:t>
      </w:r>
      <w:r w:rsidRPr="00734038">
        <w:rPr>
          <w:rFonts w:ascii="David" w:hAnsi="David"/>
          <w:noProof w:val="0"/>
          <w:u w:val="single"/>
          <w:rtl/>
        </w:rPr>
        <w:t>המתחמים שנקבעו על ידי בית משפט השלום נמוכים יתר על המידה</w:t>
      </w:r>
      <w:r w:rsidRPr="00734038">
        <w:rPr>
          <w:rFonts w:ascii="David" w:hAnsi="David"/>
          <w:noProof w:val="0"/>
          <w:rtl/>
        </w:rPr>
        <w:t xml:space="preserve">. </w:t>
      </w:r>
    </w:p>
    <w:p w14:paraId="3D5BE8CB" w14:textId="77777777" w:rsidR="00F04FE5" w:rsidRPr="00734038" w:rsidRDefault="00F04FE5" w:rsidP="00F04FE5">
      <w:pPr>
        <w:spacing w:line="360" w:lineRule="auto"/>
        <w:jc w:val="both"/>
        <w:rPr>
          <w:rFonts w:ascii="David" w:hAnsi="David"/>
          <w:noProof w:val="0"/>
          <w:rtl/>
        </w:rPr>
      </w:pPr>
    </w:p>
    <w:p w14:paraId="09FE8ABE" w14:textId="77777777" w:rsidR="00F04FE5" w:rsidRPr="00734038" w:rsidRDefault="00F04FE5" w:rsidP="00F04FE5">
      <w:pPr>
        <w:spacing w:line="360" w:lineRule="auto"/>
        <w:jc w:val="both"/>
        <w:rPr>
          <w:rFonts w:ascii="David" w:hAnsi="David"/>
          <w:noProof w:val="0"/>
          <w:rtl/>
        </w:rPr>
      </w:pPr>
      <w:r w:rsidRPr="00734038">
        <w:rPr>
          <w:rFonts w:ascii="David" w:hAnsi="David"/>
          <w:noProof w:val="0"/>
          <w:rtl/>
        </w:rPr>
        <w:t xml:space="preserve">בעקבות החלטת בית המשפט המחוזי בערעור זה, במקרה נוסף שנדון בסמוך לאחר מכן, קבע בית משפט השלום מתחם ענישה שינוע בין 13 עד 36 חדשי מאסר בפועל בגין החזקת כלי נשק מאולתר אחד מסוג תת מקלע בצירוף מחסנית ובה 10 כדורים. ראו </w:t>
      </w:r>
      <w:hyperlink r:id="rId23" w:history="1">
        <w:r w:rsidR="00D90352" w:rsidRPr="00D90352">
          <w:rPr>
            <w:rFonts w:ascii="David" w:hAnsi="David"/>
            <w:noProof w:val="0"/>
            <w:color w:val="0000FF"/>
            <w:u w:val="single"/>
            <w:rtl/>
          </w:rPr>
          <w:t>ת.פ 7544-11-16</w:t>
        </w:r>
      </w:hyperlink>
      <w:r w:rsidRPr="00734038">
        <w:rPr>
          <w:rFonts w:ascii="David" w:hAnsi="David"/>
          <w:noProof w:val="0"/>
          <w:rtl/>
        </w:rPr>
        <w:t xml:space="preserve"> </w:t>
      </w:r>
      <w:r w:rsidRPr="00734038">
        <w:rPr>
          <w:rFonts w:ascii="David" w:hAnsi="David"/>
          <w:b/>
          <w:bCs/>
          <w:noProof w:val="0"/>
          <w:rtl/>
        </w:rPr>
        <w:t>מדינת ישראל נ' אלאסד</w:t>
      </w:r>
      <w:r w:rsidRPr="00734038">
        <w:rPr>
          <w:rFonts w:ascii="David" w:hAnsi="David"/>
          <w:noProof w:val="0"/>
          <w:rtl/>
        </w:rPr>
        <w:t xml:space="preserve"> (פורסם במאגרים). באותו מקרה, הושת על הנאשם, בעל עבר פלילי שאינו מכביד, עונש מאסר בפועל בן 21 חדשים. ערעור שהוגש על גזר הדין – נדחה; ואף נקבע על ידי בית המשפט המחוזי, בשבתו כבית משפט לערעורים פליליים, כי העונש עומד במתחם ענישה ראוי. ראו </w:t>
      </w:r>
      <w:hyperlink r:id="rId24" w:history="1">
        <w:r w:rsidR="00D90352" w:rsidRPr="00D90352">
          <w:rPr>
            <w:rFonts w:ascii="David" w:hAnsi="David"/>
            <w:noProof w:val="0"/>
            <w:color w:val="0000FF"/>
            <w:u w:val="single"/>
            <w:rtl/>
          </w:rPr>
          <w:t>עפ"ג 22885-05-17</w:t>
        </w:r>
      </w:hyperlink>
      <w:r w:rsidRPr="00734038">
        <w:rPr>
          <w:rFonts w:ascii="David" w:hAnsi="David"/>
          <w:noProof w:val="0"/>
          <w:rtl/>
        </w:rPr>
        <w:t xml:space="preserve"> </w:t>
      </w:r>
      <w:r w:rsidRPr="00734038">
        <w:rPr>
          <w:rFonts w:ascii="David" w:hAnsi="David"/>
          <w:b/>
          <w:bCs/>
          <w:noProof w:val="0"/>
          <w:rtl/>
        </w:rPr>
        <w:t>אלאסד נ' מדינת ישראל</w:t>
      </w:r>
      <w:r w:rsidRPr="00734038">
        <w:rPr>
          <w:rFonts w:ascii="David" w:hAnsi="David"/>
          <w:noProof w:val="0"/>
          <w:rtl/>
        </w:rPr>
        <w:t xml:space="preserve"> (פורסם במאגרים).</w:t>
      </w:r>
    </w:p>
    <w:p w14:paraId="051D4A15" w14:textId="77777777" w:rsidR="00F04FE5" w:rsidRPr="00734038" w:rsidRDefault="00F04FE5" w:rsidP="00F04FE5">
      <w:pPr>
        <w:spacing w:line="360" w:lineRule="auto"/>
        <w:jc w:val="both"/>
        <w:rPr>
          <w:rFonts w:ascii="David" w:hAnsi="David"/>
          <w:noProof w:val="0"/>
          <w:rtl/>
        </w:rPr>
      </w:pPr>
    </w:p>
    <w:p w14:paraId="4FAFBDCD" w14:textId="77777777" w:rsidR="00F04FE5" w:rsidRDefault="00F04FE5" w:rsidP="00F04FE5">
      <w:pPr>
        <w:spacing w:line="360" w:lineRule="auto"/>
        <w:jc w:val="both"/>
        <w:rPr>
          <w:rFonts w:ascii="David" w:hAnsi="David"/>
          <w:noProof w:val="0"/>
          <w:rtl/>
        </w:rPr>
      </w:pPr>
      <w:r w:rsidRPr="00734038">
        <w:rPr>
          <w:rFonts w:ascii="David" w:hAnsi="David"/>
          <w:noProof w:val="0"/>
          <w:rtl/>
        </w:rPr>
        <w:t xml:space="preserve">בפסק הדין </w:t>
      </w:r>
      <w:hyperlink r:id="rId25" w:history="1">
        <w:r w:rsidR="00D90352" w:rsidRPr="00D90352">
          <w:rPr>
            <w:rFonts w:ascii="David" w:hAnsi="David"/>
            <w:noProof w:val="0"/>
            <w:color w:val="0000FF"/>
            <w:u w:val="single"/>
            <w:rtl/>
          </w:rPr>
          <w:t>ע"פ 4945/13</w:t>
        </w:r>
      </w:hyperlink>
      <w:r w:rsidRPr="00734038">
        <w:rPr>
          <w:rFonts w:ascii="David" w:hAnsi="David"/>
          <w:noProof w:val="0"/>
          <w:rtl/>
        </w:rPr>
        <w:t xml:space="preserve"> </w:t>
      </w:r>
      <w:r w:rsidRPr="00734038">
        <w:rPr>
          <w:rFonts w:ascii="David" w:hAnsi="David"/>
          <w:b/>
          <w:bCs/>
          <w:noProof w:val="0"/>
          <w:rtl/>
        </w:rPr>
        <w:t>מדינת ישראל נ' סלימאן</w:t>
      </w:r>
      <w:r w:rsidRPr="00734038">
        <w:rPr>
          <w:rFonts w:ascii="David" w:hAnsi="David"/>
          <w:noProof w:val="0"/>
          <w:rtl/>
        </w:rPr>
        <w:t xml:space="preserve"> (פורסם במאגרים), אושר מתחם ענישה שינוע בין שנה ועד שלוש שנות מאסר, בגין החזקת כלי נשק  בודד מסוג קרל גוסטב וכן מחסנית וכדורים. אף באותו מקרה, המדובר היה בצעיר, אשר ניהל אורח חיים נורמטיבי, כולל לימודים אקדמאיים בפקולטה לאדריכלות, ללא עבר פלילי. גם באותו מקרה, המליץ שירות המבחן להסתפק בעונש מאסר בפועל לריצוי בדרך של עבודות שירות. </w:t>
      </w:r>
    </w:p>
    <w:p w14:paraId="241147D4" w14:textId="77777777" w:rsidR="00F04FE5" w:rsidRPr="00734038" w:rsidRDefault="00F04FE5" w:rsidP="00F04FE5">
      <w:pPr>
        <w:spacing w:line="360" w:lineRule="auto"/>
        <w:jc w:val="both"/>
        <w:rPr>
          <w:rFonts w:ascii="David" w:hAnsi="David"/>
          <w:noProof w:val="0"/>
          <w:rtl/>
        </w:rPr>
      </w:pPr>
    </w:p>
    <w:p w14:paraId="45FD4823" w14:textId="77777777" w:rsidR="00F04FE5" w:rsidRPr="00734038" w:rsidRDefault="00F04FE5" w:rsidP="00F04FE5">
      <w:pPr>
        <w:spacing w:line="360" w:lineRule="auto"/>
        <w:jc w:val="both"/>
        <w:rPr>
          <w:rFonts w:ascii="David" w:hAnsi="David"/>
          <w:noProof w:val="0"/>
          <w:rtl/>
        </w:rPr>
      </w:pPr>
      <w:r w:rsidRPr="00734038">
        <w:rPr>
          <w:rFonts w:ascii="David" w:hAnsi="David"/>
          <w:noProof w:val="0"/>
          <w:rtl/>
        </w:rPr>
        <w:t xml:space="preserve">בית המשפט העליון ציין, כי ראוי לקבוע עונשים מרתיעים בגין עבירות אלה והעמיד המתחם שם בין 12 ועד 36 חדשי מאסר בפועל. אמנם, באותו מקרה הורשע המשיב גם בעבירה חמורה יותר, של נשיאת נשק, בניגוד </w:t>
      </w:r>
      <w:hyperlink r:id="rId26" w:history="1">
        <w:r w:rsidR="002F0E2D" w:rsidRPr="002F0E2D">
          <w:rPr>
            <w:rStyle w:val="Hyperlink"/>
            <w:rFonts w:ascii="David" w:hAnsi="David"/>
            <w:noProof w:val="0"/>
            <w:color w:val="0000FF"/>
            <w:rtl/>
          </w:rPr>
          <w:t>לסעיף 144(ב)</w:t>
        </w:r>
      </w:hyperlink>
      <w:r w:rsidRPr="00734038">
        <w:rPr>
          <w:rFonts w:ascii="David" w:hAnsi="David"/>
          <w:noProof w:val="0"/>
          <w:rtl/>
        </w:rPr>
        <w:t xml:space="preserve"> ל</w:t>
      </w:r>
      <w:hyperlink r:id="rId27" w:history="1">
        <w:r w:rsidR="00D90352" w:rsidRPr="00D90352">
          <w:rPr>
            <w:rFonts w:ascii="David" w:hAnsi="David"/>
            <w:noProof w:val="0"/>
            <w:color w:val="0000FF"/>
            <w:u w:val="single"/>
            <w:rtl/>
          </w:rPr>
          <w:t>חוק העונשין</w:t>
        </w:r>
      </w:hyperlink>
      <w:r w:rsidRPr="00734038">
        <w:rPr>
          <w:rFonts w:ascii="David" w:hAnsi="David"/>
          <w:noProof w:val="0"/>
          <w:rtl/>
        </w:rPr>
        <w:t>, תשל"ז-1977.</w:t>
      </w:r>
    </w:p>
    <w:p w14:paraId="20C5426E" w14:textId="77777777" w:rsidR="00F04FE5" w:rsidRPr="00734038" w:rsidRDefault="00F04FE5" w:rsidP="00F04FE5">
      <w:pPr>
        <w:spacing w:line="360" w:lineRule="auto"/>
        <w:jc w:val="both"/>
        <w:rPr>
          <w:rFonts w:ascii="David" w:hAnsi="David"/>
          <w:noProof w:val="0"/>
          <w:rtl/>
        </w:rPr>
      </w:pPr>
    </w:p>
    <w:p w14:paraId="4A923606" w14:textId="77777777" w:rsidR="00F04FE5" w:rsidRPr="00734038" w:rsidRDefault="00F04FE5" w:rsidP="00F04FE5">
      <w:pPr>
        <w:spacing w:line="360" w:lineRule="auto"/>
        <w:jc w:val="both"/>
        <w:rPr>
          <w:rFonts w:ascii="David" w:hAnsi="David"/>
          <w:noProof w:val="0"/>
          <w:rtl/>
        </w:rPr>
      </w:pPr>
      <w:r>
        <w:rPr>
          <w:rFonts w:ascii="David" w:hAnsi="David" w:hint="cs"/>
          <w:noProof w:val="0"/>
          <w:rtl/>
        </w:rPr>
        <w:t>ב</w:t>
      </w:r>
      <w:r w:rsidRPr="00734038">
        <w:rPr>
          <w:rFonts w:ascii="David" w:hAnsi="David"/>
          <w:noProof w:val="0"/>
          <w:rtl/>
        </w:rPr>
        <w:t xml:space="preserve">גזר </w:t>
      </w:r>
      <w:r>
        <w:rPr>
          <w:rFonts w:ascii="David" w:hAnsi="David" w:hint="cs"/>
          <w:noProof w:val="0"/>
          <w:rtl/>
        </w:rPr>
        <w:t>ה</w:t>
      </w:r>
      <w:r w:rsidRPr="00734038">
        <w:rPr>
          <w:rFonts w:ascii="David" w:hAnsi="David"/>
          <w:noProof w:val="0"/>
          <w:rtl/>
        </w:rPr>
        <w:t xml:space="preserve">דין, </w:t>
      </w:r>
      <w:hyperlink r:id="rId28" w:history="1">
        <w:r w:rsidR="00D90352" w:rsidRPr="00D90352">
          <w:rPr>
            <w:rFonts w:ascii="David" w:hAnsi="David"/>
            <w:noProof w:val="0"/>
            <w:color w:val="0000FF"/>
            <w:u w:val="single"/>
            <w:rtl/>
          </w:rPr>
          <w:t>ת"פ 32560-12-16</w:t>
        </w:r>
      </w:hyperlink>
      <w:r w:rsidRPr="00734038">
        <w:rPr>
          <w:rFonts w:ascii="David" w:hAnsi="David"/>
          <w:noProof w:val="0"/>
          <w:rtl/>
        </w:rPr>
        <w:t xml:space="preserve"> </w:t>
      </w:r>
      <w:r w:rsidRPr="00734038">
        <w:rPr>
          <w:rFonts w:ascii="David" w:hAnsi="David"/>
          <w:b/>
          <w:bCs/>
          <w:noProof w:val="0"/>
          <w:rtl/>
        </w:rPr>
        <w:t>מדינת ישראל נ' אלסאריעה</w:t>
      </w:r>
      <w:r w:rsidRPr="00734038">
        <w:rPr>
          <w:rFonts w:ascii="David" w:hAnsi="David"/>
          <w:noProof w:val="0"/>
          <w:rtl/>
        </w:rPr>
        <w:t xml:space="preserve"> (פורסם במאגרים</w:t>
      </w:r>
      <w:r>
        <w:rPr>
          <w:rFonts w:ascii="David" w:hAnsi="David" w:hint="cs"/>
          <w:noProof w:val="0"/>
          <w:rtl/>
        </w:rPr>
        <w:t>),</w:t>
      </w:r>
      <w:r w:rsidRPr="00734038">
        <w:rPr>
          <w:rFonts w:ascii="David" w:hAnsi="David"/>
          <w:noProof w:val="0"/>
          <w:rtl/>
        </w:rPr>
        <w:t xml:space="preserve"> נדון נאשם בגין עבירה של נסיון להחזקת אקדח מסוג ברטה (העבירה תוקנה לנסיון, במסגרת הסדר טעון, בשל כך שהנשק לא היה תקין), וכן תת מקלע מאולתר, כשכלי הנשק הוחזקו בביתו של הנאשם שם, לעונש מאסר בן 20 חדשים בפועל. זאת, במסגרת מתחם כולל שנע בין 18 עד 42 חדשי מאסר.</w:t>
      </w:r>
    </w:p>
    <w:p w14:paraId="662F69A1" w14:textId="77777777" w:rsidR="00F04FE5" w:rsidRPr="00734038" w:rsidRDefault="00F04FE5" w:rsidP="00F04FE5">
      <w:pPr>
        <w:spacing w:line="360" w:lineRule="auto"/>
        <w:jc w:val="both"/>
        <w:rPr>
          <w:rFonts w:ascii="David" w:hAnsi="David"/>
          <w:noProof w:val="0"/>
          <w:rtl/>
        </w:rPr>
      </w:pPr>
      <w:r w:rsidRPr="00734038">
        <w:rPr>
          <w:rFonts w:ascii="David" w:hAnsi="David"/>
          <w:noProof w:val="0"/>
          <w:rtl/>
        </w:rPr>
        <w:t>בשבתו כבית משפט לערעורים פליליים, דחה בית המשפט המחוזי, הרכב אב"ד כב' הנשיאה ר' יפה-כץ, ערעור ההגנה על חומרת העונש, תוך שמצא, כי חרף העדר אינדיקציה על שימוש פלילי או אחר המתוכן בנשק, ועל אף נסיבותיו האישיות של המערער שם (צעיר ללא עבר פלילי) – הרי הנסיבות האישיות ואינטרס השיקום, נדחים מפני האינטרס הציבורי של מיגור עבירות מסוג זה.</w:t>
      </w:r>
    </w:p>
    <w:p w14:paraId="43F44371" w14:textId="77777777" w:rsidR="00F04FE5" w:rsidRPr="00734038" w:rsidRDefault="00F04FE5" w:rsidP="00F04FE5">
      <w:pPr>
        <w:spacing w:line="360" w:lineRule="auto"/>
        <w:jc w:val="both"/>
        <w:rPr>
          <w:rFonts w:ascii="David" w:hAnsi="David"/>
          <w:noProof w:val="0"/>
          <w:rtl/>
        </w:rPr>
      </w:pPr>
    </w:p>
    <w:p w14:paraId="0CCC2CDB" w14:textId="77777777" w:rsidR="00F04FE5" w:rsidRPr="00734038" w:rsidRDefault="00F04FE5" w:rsidP="00F04FE5">
      <w:pPr>
        <w:spacing w:line="360" w:lineRule="auto"/>
        <w:jc w:val="both"/>
        <w:rPr>
          <w:rFonts w:ascii="David" w:hAnsi="David"/>
          <w:noProof w:val="0"/>
          <w:rtl/>
        </w:rPr>
      </w:pPr>
      <w:r w:rsidRPr="00734038">
        <w:rPr>
          <w:rFonts w:ascii="David" w:hAnsi="David"/>
          <w:noProof w:val="0"/>
          <w:rtl/>
        </w:rPr>
        <w:t>בפסק דין נוסף, העמיד בית המשפט המחוזי, בשבתו כבית משפט לערעורים פליליים, העונש על אחזקת רובה סער בודד על 22 חדשי מאסר בפועל, כשאחת מחברי ההרכב, בדעת מיעוט, הציעה להעמידו על 28 חדשי מאסר בפועל. אכן, באותו מקרה (</w:t>
      </w:r>
      <w:hyperlink r:id="rId29" w:history="1">
        <w:r w:rsidR="00D90352" w:rsidRPr="00D90352">
          <w:rPr>
            <w:rFonts w:ascii="David" w:hAnsi="David"/>
            <w:noProof w:val="0"/>
            <w:color w:val="0000FF"/>
            <w:u w:val="single"/>
            <w:rtl/>
          </w:rPr>
          <w:t>עפ"ג 32503-04-19</w:t>
        </w:r>
      </w:hyperlink>
      <w:r w:rsidRPr="00734038">
        <w:rPr>
          <w:rFonts w:ascii="David" w:hAnsi="David"/>
          <w:noProof w:val="0"/>
          <w:rtl/>
        </w:rPr>
        <w:t xml:space="preserve"> </w:t>
      </w:r>
      <w:r w:rsidRPr="00734038">
        <w:rPr>
          <w:rFonts w:ascii="David" w:hAnsi="David"/>
          <w:b/>
          <w:bCs/>
          <w:noProof w:val="0"/>
          <w:rtl/>
        </w:rPr>
        <w:t>אלקורעאן נ'  מדינת ישראל</w:t>
      </w:r>
      <w:r w:rsidRPr="00734038">
        <w:rPr>
          <w:rFonts w:ascii="David" w:hAnsi="David"/>
          <w:noProof w:val="0"/>
          <w:rtl/>
        </w:rPr>
        <w:t>, פסק הדין מיום 12.06.19) היו נתונים לחומרה (המדובר היה בכלי נשק צה"לי תקני, שנעשה בו שימוש פלילי בעבר, ולנאשם שם גם היה עבר פלילי, אם כי לא מכביד), אך גם שם, נקבע, בבית משפט השלום, מתחם ענישה זהה ולא היה שינוי במתחם.</w:t>
      </w:r>
    </w:p>
    <w:p w14:paraId="0FE18921" w14:textId="77777777" w:rsidR="00F04FE5" w:rsidRPr="00734038" w:rsidRDefault="00F04FE5" w:rsidP="00F04FE5">
      <w:pPr>
        <w:spacing w:line="360" w:lineRule="auto"/>
        <w:jc w:val="both"/>
        <w:rPr>
          <w:rFonts w:ascii="David" w:hAnsi="David"/>
          <w:noProof w:val="0"/>
          <w:rtl/>
        </w:rPr>
      </w:pPr>
    </w:p>
    <w:p w14:paraId="5A5679F9" w14:textId="77777777" w:rsidR="00F04FE5" w:rsidRDefault="00F04FE5" w:rsidP="00F04FE5">
      <w:pPr>
        <w:spacing w:line="360" w:lineRule="auto"/>
        <w:jc w:val="both"/>
        <w:rPr>
          <w:rFonts w:ascii="David" w:hAnsi="David"/>
          <w:noProof w:val="0"/>
          <w:rtl/>
        </w:rPr>
      </w:pPr>
      <w:r w:rsidRPr="00734038">
        <w:rPr>
          <w:rFonts w:ascii="David" w:hAnsi="David"/>
          <w:noProof w:val="0"/>
          <w:rtl/>
        </w:rPr>
        <w:t>בפסק דין נוסף, נדחה ערעור ההגנה על עונש בפועל בין 18 חודשים בתוספת מאסר מותנה וקנס בסך 12,000 ₪, שהושתו על צעיר שהחזיק כלי נשק מסוג תת מקלע מאולתר.</w:t>
      </w:r>
    </w:p>
    <w:p w14:paraId="42922E22" w14:textId="77777777" w:rsidR="00F04FE5" w:rsidRPr="00734038" w:rsidRDefault="00F04FE5" w:rsidP="00F04FE5">
      <w:pPr>
        <w:spacing w:line="360" w:lineRule="auto"/>
        <w:jc w:val="both"/>
        <w:rPr>
          <w:rFonts w:ascii="David" w:hAnsi="David"/>
          <w:noProof w:val="0"/>
          <w:rtl/>
        </w:rPr>
      </w:pPr>
      <w:r w:rsidRPr="00734038">
        <w:rPr>
          <w:rFonts w:ascii="David" w:hAnsi="David"/>
          <w:noProof w:val="0"/>
          <w:rtl/>
        </w:rPr>
        <w:t>אותו מער</w:t>
      </w:r>
      <w:r>
        <w:rPr>
          <w:rFonts w:ascii="David" w:hAnsi="David" w:hint="cs"/>
          <w:noProof w:val="0"/>
          <w:rtl/>
        </w:rPr>
        <w:t>ע</w:t>
      </w:r>
      <w:r w:rsidRPr="00734038">
        <w:rPr>
          <w:rFonts w:ascii="David" w:hAnsi="David"/>
          <w:noProof w:val="0"/>
          <w:rtl/>
        </w:rPr>
        <w:t>ר החזיק בנשק למשך עשרה ימים בלבד ואף הוסכם, כי החזיקו בעבור אחר.</w:t>
      </w:r>
    </w:p>
    <w:p w14:paraId="7D009EAC" w14:textId="77777777" w:rsidR="00F04FE5" w:rsidRPr="00734038" w:rsidRDefault="00F04FE5" w:rsidP="00F04FE5">
      <w:pPr>
        <w:spacing w:line="360" w:lineRule="auto"/>
        <w:jc w:val="both"/>
        <w:rPr>
          <w:rFonts w:ascii="David" w:hAnsi="David"/>
          <w:noProof w:val="0"/>
          <w:rtl/>
        </w:rPr>
      </w:pPr>
      <w:r w:rsidRPr="00734038">
        <w:rPr>
          <w:rFonts w:ascii="David" w:hAnsi="David"/>
          <w:noProof w:val="0"/>
          <w:rtl/>
        </w:rPr>
        <w:t xml:space="preserve">בית המשפט המחוזי, בשבתו כבית משפט לערעורים פליליים, הרכב בראשות הנשיאה כב' השופטת ר' יפה-כץ, ציין: </w:t>
      </w:r>
    </w:p>
    <w:p w14:paraId="1BD421E6" w14:textId="77777777" w:rsidR="00F04FE5" w:rsidRPr="00734038" w:rsidRDefault="00F04FE5" w:rsidP="00F04FE5">
      <w:pPr>
        <w:spacing w:line="360" w:lineRule="auto"/>
        <w:jc w:val="both"/>
        <w:rPr>
          <w:rFonts w:ascii="Aharoni" w:hAnsi="Aharoni" w:cs="Aharoni"/>
          <w:noProof w:val="0"/>
          <w:rtl/>
        </w:rPr>
      </w:pPr>
      <w:r>
        <w:rPr>
          <w:rFonts w:ascii="Aharoni" w:hAnsi="Aharoni" w:cs="Aharoni" w:hint="cs"/>
          <w:noProof w:val="0"/>
          <w:rtl/>
        </w:rPr>
        <w:t>"</w:t>
      </w:r>
      <w:r w:rsidRPr="00734038">
        <w:rPr>
          <w:rFonts w:ascii="Aharoni" w:hAnsi="Aharoni" w:cs="Aharoni"/>
          <w:noProof w:val="0"/>
          <w:rtl/>
        </w:rPr>
        <w:t>בית המשפט קמה ציין ובצדק, את החומרה הרבה שיש לראות בעבירות הקשורות בנשק, ואף בצדק ציין, כי בית המשפט מצווה להחמיר את הענישה בעבירות כגון אלה, כדי להגן על הציבור. כך צדק גם בית המשפט בעת שקבע מתחם עונש כפי שקבע...</w:t>
      </w:r>
    </w:p>
    <w:p w14:paraId="3425404F" w14:textId="77777777" w:rsidR="00F04FE5" w:rsidRPr="00734038" w:rsidRDefault="00F04FE5" w:rsidP="00F04FE5">
      <w:pPr>
        <w:spacing w:line="360" w:lineRule="auto"/>
        <w:jc w:val="both"/>
        <w:rPr>
          <w:rFonts w:ascii="Aharoni" w:hAnsi="Aharoni" w:cs="Aharoni"/>
          <w:noProof w:val="0"/>
          <w:rtl/>
        </w:rPr>
      </w:pPr>
      <w:r w:rsidRPr="00734038">
        <w:rPr>
          <w:rFonts w:ascii="Aharoni" w:hAnsi="Aharoni" w:cs="Aharoni"/>
          <w:noProof w:val="0"/>
          <w:rtl/>
        </w:rPr>
        <w:t>בית משפט קמה הדגיש את העובדה כי העבירה של החזקת נשק הפכה למכה של  אזור הדרום, ואף צדק, כאשר קבע שלא ניתן להתעלם מנסיבה זו בעת קביעת העונש הראוי למערער</w:t>
      </w:r>
      <w:r>
        <w:rPr>
          <w:rFonts w:ascii="Aharoni" w:hAnsi="Aharoni" w:cs="Aharoni" w:hint="cs"/>
          <w:noProof w:val="0"/>
          <w:rtl/>
        </w:rPr>
        <w:t>"</w:t>
      </w:r>
      <w:r w:rsidRPr="00734038">
        <w:rPr>
          <w:rFonts w:ascii="Aharoni" w:hAnsi="Aharoni" w:cs="Aharoni"/>
          <w:noProof w:val="0"/>
          <w:rtl/>
        </w:rPr>
        <w:t>.</w:t>
      </w:r>
    </w:p>
    <w:p w14:paraId="1420E2AE" w14:textId="77777777" w:rsidR="00F04FE5" w:rsidRPr="00734038" w:rsidRDefault="00F04FE5" w:rsidP="00F04FE5">
      <w:pPr>
        <w:spacing w:line="360" w:lineRule="auto"/>
        <w:jc w:val="both"/>
        <w:rPr>
          <w:rFonts w:ascii="David" w:hAnsi="David"/>
          <w:noProof w:val="0"/>
          <w:rtl/>
        </w:rPr>
      </w:pPr>
      <w:r w:rsidRPr="00734038">
        <w:rPr>
          <w:rFonts w:ascii="David" w:hAnsi="David"/>
          <w:noProof w:val="0"/>
          <w:rtl/>
        </w:rPr>
        <w:t xml:space="preserve">ראו </w:t>
      </w:r>
      <w:hyperlink r:id="rId30" w:history="1">
        <w:r w:rsidR="00D90352" w:rsidRPr="00D90352">
          <w:rPr>
            <w:rFonts w:ascii="David" w:hAnsi="David"/>
            <w:noProof w:val="0"/>
            <w:color w:val="0000FF"/>
            <w:u w:val="single"/>
            <w:rtl/>
          </w:rPr>
          <w:t>עפ"ג 4673-08-19</w:t>
        </w:r>
      </w:hyperlink>
      <w:r w:rsidRPr="00734038">
        <w:rPr>
          <w:rFonts w:ascii="David" w:hAnsi="David"/>
          <w:noProof w:val="0"/>
          <w:rtl/>
        </w:rPr>
        <w:t xml:space="preserve"> </w:t>
      </w:r>
      <w:r w:rsidRPr="00734038">
        <w:rPr>
          <w:rFonts w:ascii="David" w:hAnsi="David"/>
          <w:b/>
          <w:bCs/>
          <w:noProof w:val="0"/>
          <w:rtl/>
        </w:rPr>
        <w:t>אבו מוסא נ' מדינת ישראל</w:t>
      </w:r>
      <w:r w:rsidRPr="00734038">
        <w:rPr>
          <w:rFonts w:ascii="David" w:hAnsi="David"/>
          <w:noProof w:val="0"/>
          <w:rtl/>
        </w:rPr>
        <w:t xml:space="preserve"> (פורסם במאגרים).</w:t>
      </w:r>
    </w:p>
    <w:p w14:paraId="4CA4E7BB" w14:textId="77777777" w:rsidR="00F04FE5" w:rsidRPr="00734038" w:rsidRDefault="00F04FE5" w:rsidP="00F04FE5">
      <w:pPr>
        <w:spacing w:line="360" w:lineRule="auto"/>
        <w:jc w:val="both"/>
        <w:rPr>
          <w:rFonts w:ascii="David" w:hAnsi="David"/>
          <w:noProof w:val="0"/>
          <w:rtl/>
        </w:rPr>
      </w:pPr>
    </w:p>
    <w:p w14:paraId="6D5AC573" w14:textId="77777777" w:rsidR="00F04FE5" w:rsidRPr="00734038" w:rsidRDefault="00F04FE5" w:rsidP="00F04FE5">
      <w:pPr>
        <w:spacing w:line="360" w:lineRule="auto"/>
        <w:jc w:val="both"/>
        <w:rPr>
          <w:rFonts w:ascii="David" w:hAnsi="David"/>
          <w:noProof w:val="0"/>
          <w:rtl/>
        </w:rPr>
      </w:pPr>
      <w:r w:rsidRPr="00734038">
        <w:rPr>
          <w:rFonts w:ascii="David" w:hAnsi="David"/>
          <w:noProof w:val="0"/>
          <w:rtl/>
        </w:rPr>
        <w:t xml:space="preserve">עוד ראו, לעניין מתחם הענישה, מספר גזרי דין שניתנו </w:t>
      </w:r>
      <w:r>
        <w:rPr>
          <w:rFonts w:ascii="David" w:hAnsi="David" w:hint="cs"/>
          <w:noProof w:val="0"/>
          <w:rtl/>
        </w:rPr>
        <w:t>בשנים האחרונות</w:t>
      </w:r>
      <w:r w:rsidRPr="00734038">
        <w:rPr>
          <w:rFonts w:ascii="David" w:hAnsi="David"/>
          <w:noProof w:val="0"/>
          <w:rtl/>
        </w:rPr>
        <w:t xml:space="preserve">: </w:t>
      </w:r>
      <w:hyperlink r:id="rId31" w:history="1">
        <w:r w:rsidR="00D90352" w:rsidRPr="00D90352">
          <w:rPr>
            <w:rFonts w:ascii="David" w:hAnsi="David"/>
            <w:noProof w:val="0"/>
            <w:color w:val="0000FF"/>
            <w:u w:val="single"/>
            <w:rtl/>
          </w:rPr>
          <w:t>ת.פ. 30406-04-16</w:t>
        </w:r>
      </w:hyperlink>
      <w:r w:rsidRPr="00734038">
        <w:rPr>
          <w:rFonts w:ascii="David" w:hAnsi="David"/>
          <w:noProof w:val="0"/>
          <w:rtl/>
        </w:rPr>
        <w:t xml:space="preserve"> </w:t>
      </w:r>
      <w:r w:rsidRPr="00734038">
        <w:rPr>
          <w:rFonts w:ascii="David" w:hAnsi="David"/>
          <w:b/>
          <w:bCs/>
          <w:noProof w:val="0"/>
          <w:rtl/>
        </w:rPr>
        <w:t>מדינת ישראל נ' אבו עאמר</w:t>
      </w:r>
      <w:r w:rsidRPr="00734038">
        <w:rPr>
          <w:rFonts w:ascii="David" w:hAnsi="David"/>
          <w:noProof w:val="0"/>
          <w:rtl/>
        </w:rPr>
        <w:t xml:space="preserve">; </w:t>
      </w:r>
      <w:hyperlink r:id="rId32" w:history="1">
        <w:r w:rsidR="00D90352" w:rsidRPr="00D90352">
          <w:rPr>
            <w:rFonts w:ascii="David" w:hAnsi="David"/>
            <w:noProof w:val="0"/>
            <w:color w:val="0000FF"/>
            <w:u w:val="single"/>
            <w:rtl/>
          </w:rPr>
          <w:t>ת.פ. 65912-01-18</w:t>
        </w:r>
      </w:hyperlink>
      <w:r w:rsidRPr="00734038">
        <w:rPr>
          <w:rFonts w:ascii="David" w:hAnsi="David"/>
          <w:noProof w:val="0"/>
          <w:rtl/>
        </w:rPr>
        <w:t xml:space="preserve"> </w:t>
      </w:r>
      <w:r w:rsidRPr="00734038">
        <w:rPr>
          <w:rFonts w:ascii="David" w:hAnsi="David"/>
          <w:b/>
          <w:bCs/>
          <w:noProof w:val="0"/>
          <w:rtl/>
        </w:rPr>
        <w:t>מדינת ישראל נ' אבו מדעם ואח'</w:t>
      </w:r>
      <w:r w:rsidRPr="00734038">
        <w:rPr>
          <w:rFonts w:ascii="David" w:hAnsi="David"/>
          <w:noProof w:val="0"/>
          <w:rtl/>
        </w:rPr>
        <w:t xml:space="preserve"> (גזרי הדין פורסמו במאגרים). בגזר הדין האחרון – </w:t>
      </w:r>
      <w:r w:rsidRPr="00734038">
        <w:rPr>
          <w:rFonts w:ascii="David" w:hAnsi="David"/>
          <w:noProof w:val="0"/>
          <w:u w:val="single"/>
          <w:rtl/>
        </w:rPr>
        <w:t>נדון אחד הנאשמים, שהורשע, על פי הודאתו,</w:t>
      </w:r>
      <w:r w:rsidRPr="00630BFB">
        <w:rPr>
          <w:rFonts w:ascii="David" w:hAnsi="David"/>
          <w:noProof w:val="0"/>
          <w:u w:val="single"/>
          <w:rtl/>
        </w:rPr>
        <w:t xml:space="preserve"> </w:t>
      </w:r>
      <w:r w:rsidRPr="00734038">
        <w:rPr>
          <w:rFonts w:ascii="David" w:hAnsi="David"/>
          <w:noProof w:val="0"/>
          <w:u w:val="single"/>
          <w:rtl/>
        </w:rPr>
        <w:t>בהחזקת אקדח חצי אוטמטי בלבד - לעונש מאסר בפועל בין 18 חודשים</w:t>
      </w:r>
      <w:r w:rsidRPr="00734038">
        <w:rPr>
          <w:rFonts w:ascii="David" w:hAnsi="David"/>
          <w:noProof w:val="0"/>
          <w:rtl/>
        </w:rPr>
        <w:t xml:space="preserve">. בערעור לבית המשפט המחוזי – הועמד העונש על 14 חודשי מאסר. ראו </w:t>
      </w:r>
      <w:hyperlink r:id="rId33" w:history="1">
        <w:r w:rsidR="00D90352" w:rsidRPr="00D90352">
          <w:rPr>
            <w:rFonts w:ascii="David" w:hAnsi="David"/>
            <w:noProof w:val="0"/>
            <w:color w:val="0000FF"/>
            <w:u w:val="single"/>
            <w:rtl/>
          </w:rPr>
          <w:t>עפ"ג 23083-03-19</w:t>
        </w:r>
      </w:hyperlink>
      <w:r w:rsidRPr="00734038">
        <w:rPr>
          <w:rFonts w:ascii="David" w:hAnsi="David"/>
          <w:noProof w:val="0"/>
          <w:rtl/>
        </w:rPr>
        <w:t xml:space="preserve"> </w:t>
      </w:r>
      <w:r w:rsidRPr="00734038">
        <w:rPr>
          <w:rFonts w:ascii="David" w:hAnsi="David"/>
          <w:b/>
          <w:bCs/>
          <w:noProof w:val="0"/>
          <w:rtl/>
        </w:rPr>
        <w:t>אבו מדע'ם ואח' נ' מדינת ישראל</w:t>
      </w:r>
      <w:r w:rsidRPr="00734038">
        <w:rPr>
          <w:rFonts w:ascii="David" w:hAnsi="David"/>
          <w:noProof w:val="0"/>
          <w:rtl/>
        </w:rPr>
        <w:t xml:space="preserve"> (פורסם במאגרים – 17.07.19). ודוק': באותו מקרה , הוחזק הנשק בתוך בית</w:t>
      </w:r>
      <w:r>
        <w:rPr>
          <w:rFonts w:ascii="David" w:hAnsi="David" w:hint="cs"/>
          <w:noProof w:val="0"/>
          <w:rtl/>
        </w:rPr>
        <w:t xml:space="preserve"> </w:t>
      </w:r>
      <w:r w:rsidRPr="00734038">
        <w:rPr>
          <w:rFonts w:ascii="David" w:hAnsi="David"/>
          <w:noProof w:val="0"/>
          <w:rtl/>
        </w:rPr>
        <w:t>– כשהוא מוכן לשימוש.</w:t>
      </w:r>
    </w:p>
    <w:p w14:paraId="4E55C8C8" w14:textId="77777777" w:rsidR="00F04FE5" w:rsidRPr="00734038" w:rsidRDefault="00F04FE5" w:rsidP="00F04FE5">
      <w:pPr>
        <w:spacing w:line="360" w:lineRule="auto"/>
        <w:jc w:val="both"/>
        <w:rPr>
          <w:rFonts w:ascii="David" w:hAnsi="David"/>
          <w:noProof w:val="0"/>
          <w:rtl/>
        </w:rPr>
      </w:pPr>
    </w:p>
    <w:p w14:paraId="4C04922C" w14:textId="77777777" w:rsidR="00F04FE5" w:rsidRPr="00734038" w:rsidRDefault="00F04FE5" w:rsidP="00F04FE5">
      <w:pPr>
        <w:spacing w:line="360" w:lineRule="auto"/>
        <w:jc w:val="both"/>
        <w:rPr>
          <w:rFonts w:ascii="David" w:hAnsi="David"/>
          <w:noProof w:val="0"/>
          <w:rtl/>
        </w:rPr>
      </w:pPr>
      <w:r>
        <w:rPr>
          <w:rFonts w:ascii="David" w:hAnsi="David" w:hint="cs"/>
          <w:noProof w:val="0"/>
          <w:rtl/>
        </w:rPr>
        <w:t>כמו כן</w:t>
      </w:r>
      <w:r w:rsidRPr="00734038">
        <w:rPr>
          <w:rFonts w:ascii="David" w:hAnsi="David"/>
          <w:noProof w:val="0"/>
          <w:rtl/>
        </w:rPr>
        <w:t>, נדון נאשם ללא הרשעות קודמות, אשר ניהל חיים אזרחיים עמלניים כבעלים של מספר עסקים בישוב חורה, לעונש מאסר בפועל בין 15 חודשים בגין החזקת אקדח חצי אוטומטי אחד, במתחם שנקבע בין 15 עד 30 חודשי מאסר בפועל, כשהסיבה לקביעת המתחם שם הייתה (ממש כמו במקרה שלפ</w:t>
      </w:r>
      <w:r>
        <w:rPr>
          <w:rFonts w:ascii="David" w:hAnsi="David"/>
          <w:noProof w:val="0"/>
          <w:rtl/>
        </w:rPr>
        <w:t>נינו) כי הנזק הוחזק בל</w:t>
      </w:r>
      <w:r w:rsidRPr="00734038">
        <w:rPr>
          <w:rFonts w:ascii="David" w:hAnsi="David"/>
          <w:noProof w:val="0"/>
          <w:rtl/>
        </w:rPr>
        <w:t xml:space="preserve">ווית תחמושת, בתוך רכב, מוכן לשימוש. ראו </w:t>
      </w:r>
      <w:hyperlink r:id="rId34" w:history="1">
        <w:r w:rsidR="00D90352" w:rsidRPr="00D90352">
          <w:rPr>
            <w:rFonts w:ascii="David" w:hAnsi="David"/>
            <w:noProof w:val="0"/>
            <w:color w:val="0000FF"/>
            <w:u w:val="single"/>
            <w:rtl/>
          </w:rPr>
          <w:t>ת.פ. 19417-11-16</w:t>
        </w:r>
      </w:hyperlink>
      <w:r w:rsidRPr="00734038">
        <w:rPr>
          <w:rFonts w:ascii="David" w:hAnsi="David"/>
          <w:noProof w:val="0"/>
          <w:rtl/>
        </w:rPr>
        <w:t xml:space="preserve"> </w:t>
      </w:r>
      <w:r w:rsidRPr="00630BFB">
        <w:rPr>
          <w:rFonts w:ascii="David" w:hAnsi="David"/>
          <w:b/>
          <w:bCs/>
          <w:noProof w:val="0"/>
          <w:rtl/>
        </w:rPr>
        <w:t>מדינת ישראל נ' אבו אלקיעאן</w:t>
      </w:r>
      <w:r>
        <w:rPr>
          <w:rFonts w:ascii="David" w:hAnsi="David"/>
          <w:noProof w:val="0"/>
          <w:rtl/>
        </w:rPr>
        <w:t xml:space="preserve"> (פורסם במאגרים).</w:t>
      </w:r>
      <w:r>
        <w:rPr>
          <w:rFonts w:ascii="David" w:hAnsi="David" w:hint="cs"/>
          <w:noProof w:val="0"/>
          <w:rtl/>
        </w:rPr>
        <w:t xml:space="preserve">ערעור ההגנה לבית המשפט המחוזי, בשבתו כבית משפט לערעורים פלילים, התקבל באופן חלקי, כך שעונשו של הנאשם הועמד על שנת מאסר, אך הנימוקים לכך היו </w:t>
      </w:r>
      <w:r>
        <w:rPr>
          <w:rFonts w:ascii="David" w:hAnsi="David"/>
          <w:noProof w:val="0"/>
          <w:rtl/>
        </w:rPr>
        <w:t>–</w:t>
      </w:r>
      <w:r>
        <w:rPr>
          <w:rFonts w:ascii="David" w:hAnsi="David" w:hint="cs"/>
          <w:noProof w:val="0"/>
          <w:rtl/>
        </w:rPr>
        <w:t xml:space="preserve"> העדר הרשעות קודמות וכן זקיפת תרומתו המשמעותית של הנאשם למדינה בדרך של שירות צבאי קרבי בסדיר ובמילואים </w:t>
      </w:r>
      <w:r>
        <w:rPr>
          <w:rFonts w:ascii="David" w:hAnsi="David"/>
          <w:noProof w:val="0"/>
          <w:rtl/>
        </w:rPr>
        <w:t>–</w:t>
      </w:r>
      <w:r>
        <w:rPr>
          <w:rFonts w:ascii="David" w:hAnsi="David" w:hint="cs"/>
          <w:noProof w:val="0"/>
          <w:rtl/>
        </w:rPr>
        <w:t xml:space="preserve"> ר' </w:t>
      </w:r>
      <w:hyperlink r:id="rId35" w:history="1">
        <w:r w:rsidR="00D90352" w:rsidRPr="00D90352">
          <w:rPr>
            <w:rFonts w:ascii="David" w:hAnsi="David"/>
            <w:noProof w:val="0"/>
            <w:color w:val="0000FF"/>
            <w:u w:val="single"/>
            <w:rtl/>
          </w:rPr>
          <w:t>עפ"ג 56305-02-20</w:t>
        </w:r>
      </w:hyperlink>
      <w:r>
        <w:rPr>
          <w:rFonts w:ascii="David" w:hAnsi="David" w:hint="cs"/>
          <w:noProof w:val="0"/>
          <w:rtl/>
        </w:rPr>
        <w:t xml:space="preserve"> </w:t>
      </w:r>
      <w:r w:rsidRPr="00630BFB">
        <w:rPr>
          <w:rFonts w:ascii="David" w:hAnsi="David" w:hint="cs"/>
          <w:b/>
          <w:bCs/>
          <w:noProof w:val="0"/>
          <w:rtl/>
        </w:rPr>
        <w:t>אבו אלקיעאן נ' מדינת ישראל</w:t>
      </w:r>
      <w:r>
        <w:rPr>
          <w:rFonts w:ascii="David" w:hAnsi="David" w:hint="cs"/>
          <w:noProof w:val="0"/>
          <w:rtl/>
        </w:rPr>
        <w:t xml:space="preserve"> (סעיף 10 לפסק הדין) וצוין, כי המדובר בהתחשבות שהיא "לפנים משורת הדין". </w:t>
      </w:r>
    </w:p>
    <w:p w14:paraId="666882F1" w14:textId="77777777" w:rsidR="00F04FE5" w:rsidRDefault="00F04FE5" w:rsidP="00F04FE5">
      <w:pPr>
        <w:spacing w:line="360" w:lineRule="auto"/>
        <w:jc w:val="both"/>
        <w:rPr>
          <w:rFonts w:ascii="David" w:hAnsi="David"/>
          <w:noProof w:val="0"/>
          <w:rtl/>
        </w:rPr>
      </w:pPr>
    </w:p>
    <w:p w14:paraId="5274330A" w14:textId="77777777" w:rsidR="00F04FE5" w:rsidRDefault="00F04FE5" w:rsidP="00F04FE5">
      <w:pPr>
        <w:spacing w:line="360" w:lineRule="auto"/>
        <w:jc w:val="both"/>
        <w:rPr>
          <w:rFonts w:ascii="David" w:hAnsi="David"/>
          <w:noProof w:val="0"/>
          <w:rtl/>
        </w:rPr>
      </w:pPr>
      <w:r>
        <w:rPr>
          <w:rFonts w:ascii="David" w:hAnsi="David" w:hint="cs"/>
          <w:noProof w:val="0"/>
          <w:rtl/>
        </w:rPr>
        <w:t xml:space="preserve">בגזר הדין </w:t>
      </w:r>
      <w:hyperlink r:id="rId36" w:history="1">
        <w:r w:rsidR="00D90352" w:rsidRPr="00D90352">
          <w:rPr>
            <w:rFonts w:ascii="David" w:hAnsi="David"/>
            <w:noProof w:val="0"/>
            <w:color w:val="0000FF"/>
            <w:u w:val="single"/>
            <w:rtl/>
          </w:rPr>
          <w:t>ת"פ 60805-07-19</w:t>
        </w:r>
      </w:hyperlink>
      <w:r>
        <w:rPr>
          <w:rFonts w:ascii="David" w:hAnsi="David" w:hint="cs"/>
          <w:noProof w:val="0"/>
          <w:rtl/>
        </w:rPr>
        <w:t xml:space="preserve"> </w:t>
      </w:r>
      <w:r>
        <w:rPr>
          <w:rFonts w:ascii="David" w:hAnsi="David" w:hint="cs"/>
          <w:b/>
          <w:bCs/>
          <w:noProof w:val="0"/>
          <w:rtl/>
        </w:rPr>
        <w:t>מדינת ישראל נ' אלקאדי</w:t>
      </w:r>
      <w:r>
        <w:rPr>
          <w:rFonts w:ascii="David" w:hAnsi="David" w:hint="cs"/>
          <w:noProof w:val="0"/>
          <w:rtl/>
        </w:rPr>
        <w:t xml:space="preserve"> (פורסם במאגרים), הושת עונש בן 18 חודשים מאסר בפועל על נאשם, שנתפס מחזיק </w:t>
      </w:r>
      <w:r w:rsidRPr="000E5E86">
        <w:rPr>
          <w:rFonts w:ascii="David" w:hAnsi="David" w:hint="cs"/>
          <w:noProof w:val="0"/>
          <w:u w:val="single"/>
          <w:rtl/>
        </w:rPr>
        <w:t xml:space="preserve">אקדח חצי אוטומטי מסוג גז-הזנקה, אשר בוצע שינוי ביעודו המקורי ובעת תפיסתו </w:t>
      </w:r>
      <w:r w:rsidRPr="000E5E86">
        <w:rPr>
          <w:rFonts w:ascii="David" w:hAnsi="David"/>
          <w:noProof w:val="0"/>
          <w:u w:val="single"/>
          <w:rtl/>
        </w:rPr>
        <w:t>–</w:t>
      </w:r>
      <w:r w:rsidRPr="000E5E86">
        <w:rPr>
          <w:rFonts w:ascii="David" w:hAnsi="David" w:hint="cs"/>
          <w:noProof w:val="0"/>
          <w:u w:val="single"/>
          <w:rtl/>
        </w:rPr>
        <w:t xml:space="preserve"> מסוגל היה לירות כדורי אקדח ולגרום למות אדם</w:t>
      </w:r>
      <w:r>
        <w:rPr>
          <w:rFonts w:ascii="David" w:hAnsi="David" w:hint="cs"/>
          <w:noProof w:val="0"/>
          <w:rtl/>
        </w:rPr>
        <w:t>. לצדו, החזיק הנאשם ב-10 כדורים 9 מ"מ פראבלום.</w:t>
      </w:r>
    </w:p>
    <w:p w14:paraId="4ED6D827" w14:textId="77777777" w:rsidR="00F04FE5" w:rsidRDefault="00F04FE5" w:rsidP="00F04FE5">
      <w:pPr>
        <w:spacing w:line="360" w:lineRule="auto"/>
        <w:jc w:val="both"/>
        <w:rPr>
          <w:rFonts w:ascii="David" w:hAnsi="David"/>
          <w:noProof w:val="0"/>
          <w:rtl/>
        </w:rPr>
      </w:pPr>
    </w:p>
    <w:p w14:paraId="232F41FC" w14:textId="77777777" w:rsidR="00F04FE5" w:rsidRPr="00022ECE" w:rsidRDefault="00F04FE5" w:rsidP="00F04FE5">
      <w:pPr>
        <w:spacing w:line="360" w:lineRule="auto"/>
        <w:jc w:val="both"/>
        <w:rPr>
          <w:rFonts w:ascii="David" w:hAnsi="David"/>
          <w:noProof w:val="0"/>
          <w:rtl/>
        </w:rPr>
      </w:pPr>
      <w:r>
        <w:rPr>
          <w:rFonts w:ascii="David" w:hAnsi="David" w:hint="cs"/>
          <w:noProof w:val="0"/>
          <w:rtl/>
        </w:rPr>
        <w:t xml:space="preserve">באותו גזר דין, שניתן לפני כ-4 שנים </w:t>
      </w:r>
      <w:r>
        <w:rPr>
          <w:rFonts w:ascii="David" w:hAnsi="David"/>
          <w:noProof w:val="0"/>
          <w:rtl/>
        </w:rPr>
        <w:t>–</w:t>
      </w:r>
      <w:r>
        <w:rPr>
          <w:rFonts w:ascii="David" w:hAnsi="David" w:hint="cs"/>
          <w:noProof w:val="0"/>
          <w:rtl/>
        </w:rPr>
        <w:t xml:space="preserve"> נקבע מתחם ענישה, שינוע בין 15 עד 30 חודשים, תוך שבית המשפט ציין, כי המשך הישנות מקרים דומים יצדיק החמרה נוספת של המתחם בעתיד. </w:t>
      </w:r>
    </w:p>
    <w:p w14:paraId="67033703" w14:textId="77777777" w:rsidR="00F04FE5" w:rsidRPr="00734038" w:rsidRDefault="00F04FE5" w:rsidP="00F04FE5">
      <w:pPr>
        <w:spacing w:line="360" w:lineRule="auto"/>
        <w:jc w:val="both"/>
        <w:rPr>
          <w:rFonts w:ascii="David" w:hAnsi="David"/>
          <w:noProof w:val="0"/>
          <w:rtl/>
        </w:rPr>
      </w:pPr>
    </w:p>
    <w:p w14:paraId="01625F76" w14:textId="77777777" w:rsidR="00F04FE5" w:rsidRPr="00734038" w:rsidRDefault="00F04FE5" w:rsidP="00F04FE5">
      <w:pPr>
        <w:spacing w:line="360" w:lineRule="auto"/>
        <w:jc w:val="both"/>
        <w:rPr>
          <w:rFonts w:ascii="David" w:hAnsi="David"/>
          <w:noProof w:val="0"/>
          <w:rtl/>
        </w:rPr>
      </w:pPr>
      <w:r w:rsidRPr="00734038">
        <w:rPr>
          <w:rFonts w:ascii="David" w:hAnsi="David"/>
          <w:noProof w:val="0"/>
          <w:rtl/>
        </w:rPr>
        <w:t>ריבוי כתבי האישום בגין עבירות אלה בשנים האחרונות, מאשש טענת התביעה, כי העבירה הנדונה הפכה ל"מכת אזור". חלק מהגורמים לכך, הוא הנגישות הרבה לכלי נשק. נפיצות כלי הנשק יוצרת סכנה של ממש לבטחון הציבור, כפי הממרה הידועה, לפיה, כלי הנשק שהופיע במערכה הראשונה, חוזר להופיע במערכות שלאחר מכן.</w:t>
      </w:r>
    </w:p>
    <w:p w14:paraId="35F4DE87" w14:textId="77777777" w:rsidR="00F04FE5" w:rsidRPr="00734038" w:rsidRDefault="00F04FE5" w:rsidP="00F04FE5">
      <w:pPr>
        <w:spacing w:line="360" w:lineRule="auto"/>
        <w:jc w:val="both"/>
        <w:rPr>
          <w:rFonts w:ascii="David" w:hAnsi="David"/>
          <w:noProof w:val="0"/>
          <w:rtl/>
        </w:rPr>
      </w:pPr>
    </w:p>
    <w:p w14:paraId="0E099E6A" w14:textId="77777777" w:rsidR="00F04FE5" w:rsidRPr="00892D2A" w:rsidRDefault="00F04FE5" w:rsidP="00F04FE5">
      <w:pPr>
        <w:spacing w:line="360" w:lineRule="auto"/>
        <w:jc w:val="both"/>
        <w:rPr>
          <w:rFonts w:ascii="David" w:hAnsi="David"/>
          <w:noProof w:val="0"/>
          <w:rtl/>
        </w:rPr>
      </w:pPr>
      <w:r w:rsidRPr="00734038">
        <w:rPr>
          <w:rFonts w:ascii="David" w:hAnsi="David"/>
          <w:noProof w:val="0"/>
          <w:rtl/>
        </w:rPr>
        <w:t xml:space="preserve">לאור כל האמור, מוצא בית המשפט לקבוע מתחם ענישה, בכל הנוגע לאחזקת נשק חם קצר, מסוג אקדח – חצי אוטומטי, </w:t>
      </w:r>
      <w:r>
        <w:rPr>
          <w:rFonts w:ascii="David" w:hAnsi="David" w:hint="cs"/>
          <w:noProof w:val="0"/>
          <w:rtl/>
        </w:rPr>
        <w:t xml:space="preserve">שהוסב מאקדח הזנקה, </w:t>
      </w:r>
      <w:r w:rsidRPr="00734038">
        <w:rPr>
          <w:rFonts w:ascii="David" w:hAnsi="David"/>
          <w:noProof w:val="0"/>
          <w:rtl/>
        </w:rPr>
        <w:t>כ</w:t>
      </w:r>
      <w:r>
        <w:rPr>
          <w:rFonts w:ascii="David" w:hAnsi="David"/>
          <w:noProof w:val="0"/>
          <w:rtl/>
        </w:rPr>
        <w:t>שהוא מוחזק בלווית תחמושת מתאימה</w:t>
      </w:r>
      <w:r>
        <w:rPr>
          <w:rFonts w:ascii="David" w:hAnsi="David" w:hint="cs"/>
          <w:noProof w:val="0"/>
          <w:rtl/>
        </w:rPr>
        <w:t xml:space="preserve"> </w:t>
      </w:r>
      <w:r>
        <w:rPr>
          <w:rFonts w:ascii="David" w:hAnsi="David"/>
          <w:noProof w:val="0"/>
          <w:rtl/>
        </w:rPr>
        <w:t>–</w:t>
      </w:r>
      <w:r>
        <w:rPr>
          <w:rFonts w:ascii="David" w:hAnsi="David" w:hint="cs"/>
          <w:noProof w:val="0"/>
          <w:rtl/>
        </w:rPr>
        <w:t xml:space="preserve"> </w:t>
      </w:r>
      <w:r w:rsidRPr="00892D2A">
        <w:rPr>
          <w:rFonts w:ascii="David" w:hAnsi="David" w:hint="cs"/>
          <w:noProof w:val="0"/>
          <w:u w:val="single"/>
          <w:rtl/>
        </w:rPr>
        <w:t>26 כדורים</w:t>
      </w:r>
      <w:r>
        <w:rPr>
          <w:rFonts w:ascii="David" w:hAnsi="David" w:hint="cs"/>
          <w:noProof w:val="0"/>
          <w:rtl/>
        </w:rPr>
        <w:t xml:space="preserve"> 9 מ"מ וכן מחסנית ובה </w:t>
      </w:r>
      <w:r>
        <w:rPr>
          <w:rFonts w:ascii="David" w:hAnsi="David" w:hint="cs"/>
          <w:noProof w:val="0"/>
          <w:u w:val="single"/>
          <w:rtl/>
        </w:rPr>
        <w:t>8 כדורים</w:t>
      </w:r>
      <w:r>
        <w:rPr>
          <w:rFonts w:ascii="David" w:hAnsi="David" w:hint="cs"/>
          <w:noProof w:val="0"/>
          <w:rtl/>
        </w:rPr>
        <w:t xml:space="preserve"> באותו קוטר,</w:t>
      </w:r>
      <w:r w:rsidRPr="00734038">
        <w:rPr>
          <w:rFonts w:ascii="David" w:hAnsi="David"/>
          <w:noProof w:val="0"/>
          <w:rtl/>
        </w:rPr>
        <w:t xml:space="preserve"> </w:t>
      </w:r>
      <w:r>
        <w:rPr>
          <w:rFonts w:ascii="David" w:hAnsi="David" w:hint="cs"/>
          <w:noProof w:val="0"/>
          <w:rtl/>
        </w:rPr>
        <w:t xml:space="preserve">כך שינוע בין 18 ועד 36 חודשים מאסר בפועל. </w:t>
      </w:r>
    </w:p>
    <w:p w14:paraId="220EFE62" w14:textId="77777777" w:rsidR="00F04FE5" w:rsidRDefault="00F04FE5" w:rsidP="00F04FE5">
      <w:pPr>
        <w:spacing w:line="360" w:lineRule="auto"/>
        <w:jc w:val="both"/>
        <w:rPr>
          <w:rtl/>
        </w:rPr>
      </w:pPr>
    </w:p>
    <w:p w14:paraId="3441C015" w14:textId="77777777" w:rsidR="00F04FE5" w:rsidRDefault="00F04FE5" w:rsidP="00F04FE5">
      <w:pPr>
        <w:spacing w:line="360" w:lineRule="auto"/>
        <w:jc w:val="both"/>
        <w:rPr>
          <w:rtl/>
        </w:rPr>
      </w:pPr>
      <w:r>
        <w:rPr>
          <w:rtl/>
        </w:rPr>
        <w:t xml:space="preserve">לא נעלם מעיני בית המשפט, שבענינו של </w:t>
      </w:r>
      <w:r>
        <w:rPr>
          <w:rFonts w:hint="cs"/>
          <w:rtl/>
        </w:rPr>
        <w:t>בנו של הנאשם - עמראן</w:t>
      </w:r>
      <w:r>
        <w:rPr>
          <w:rtl/>
        </w:rPr>
        <w:t xml:space="preserve">, אשר נתן אף הוא את הדין בגין </w:t>
      </w:r>
      <w:r>
        <w:rPr>
          <w:rFonts w:hint="cs"/>
          <w:rtl/>
        </w:rPr>
        <w:t>החזקת אותו כלי נשק - נדון לעונש מאסר בפועל למשך 12 חודשים.</w:t>
      </w:r>
    </w:p>
    <w:p w14:paraId="5972AE3C" w14:textId="77777777" w:rsidR="00F04FE5" w:rsidRDefault="00F04FE5" w:rsidP="00F04FE5">
      <w:pPr>
        <w:spacing w:line="360" w:lineRule="auto"/>
        <w:jc w:val="both"/>
        <w:rPr>
          <w:rtl/>
        </w:rPr>
      </w:pPr>
    </w:p>
    <w:p w14:paraId="1F930E03" w14:textId="77777777" w:rsidR="00F04FE5" w:rsidRDefault="00F04FE5" w:rsidP="00F04FE5">
      <w:pPr>
        <w:spacing w:line="360" w:lineRule="auto"/>
        <w:jc w:val="both"/>
        <w:rPr>
          <w:rtl/>
        </w:rPr>
      </w:pPr>
      <w:r>
        <w:rPr>
          <w:rtl/>
        </w:rPr>
        <w:t xml:space="preserve">ככלל, עיקרון אחידות הענישה הוא בעל משקל חשוב בשיטתנו המשפטית, ודאי כאשר המדובר במעורבים שונים במסגרת אותה פרשה. </w:t>
      </w:r>
    </w:p>
    <w:p w14:paraId="678D573D" w14:textId="77777777" w:rsidR="00F04FE5" w:rsidRDefault="00F04FE5" w:rsidP="00F04FE5">
      <w:pPr>
        <w:spacing w:line="360" w:lineRule="auto"/>
        <w:jc w:val="both"/>
        <w:rPr>
          <w:rtl/>
        </w:rPr>
      </w:pPr>
    </w:p>
    <w:p w14:paraId="3458AA4F" w14:textId="77777777" w:rsidR="00F04FE5" w:rsidRPr="00BD4E2B" w:rsidRDefault="00F04FE5" w:rsidP="00F04FE5">
      <w:pPr>
        <w:spacing w:line="360" w:lineRule="auto"/>
        <w:jc w:val="both"/>
        <w:rPr>
          <w:rFonts w:ascii="Aharoni" w:hAnsi="Aharoni" w:cs="Aharoni"/>
          <w:rtl/>
        </w:rPr>
      </w:pPr>
      <w:r>
        <w:rPr>
          <w:rtl/>
        </w:rPr>
        <w:t xml:space="preserve">אלא, </w:t>
      </w:r>
      <w:r>
        <w:rPr>
          <w:rFonts w:hint="cs"/>
          <w:rtl/>
        </w:rPr>
        <w:t>שבענינו של אותו מעורב נוסף</w:t>
      </w:r>
      <w:r>
        <w:rPr>
          <w:rtl/>
        </w:rPr>
        <w:t xml:space="preserve"> – </w:t>
      </w:r>
      <w:r>
        <w:rPr>
          <w:rFonts w:hint="cs"/>
          <w:rtl/>
        </w:rPr>
        <w:t xml:space="preserve">עמראן - </w:t>
      </w:r>
      <w:r>
        <w:rPr>
          <w:rtl/>
        </w:rPr>
        <w:t>נערך הסדר כולל, לרבות לענין העונש, כאשר ההסדר שם נומק</w:t>
      </w:r>
      <w:r>
        <w:rPr>
          <w:rFonts w:hint="cs"/>
          <w:rtl/>
        </w:rPr>
        <w:t xml:space="preserve">, בין היתר, בקושי ראיתי </w:t>
      </w:r>
      <w:r>
        <w:rPr>
          <w:rtl/>
        </w:rPr>
        <w:t>–</w:t>
      </w:r>
      <w:r>
        <w:rPr>
          <w:rFonts w:hint="cs"/>
          <w:rtl/>
        </w:rPr>
        <w:t xml:space="preserve"> ר' ת/19ב' ע' 13 ש' 15</w:t>
      </w:r>
      <w:r>
        <w:rPr>
          <w:rtl/>
        </w:rPr>
        <w:t>. בנסיבות אלה – אין בגזר הדין, שניתן שם</w:t>
      </w:r>
      <w:r>
        <w:rPr>
          <w:rFonts w:hint="cs"/>
          <w:rtl/>
        </w:rPr>
        <w:t>,</w:t>
      </w:r>
      <w:r>
        <w:rPr>
          <w:rtl/>
        </w:rPr>
        <w:t xml:space="preserve"> בבחינת תקדים, ואכן – מקריאת גזר הדין ניתן לראות, שהמדובר בגזר דין</w:t>
      </w:r>
      <w:r>
        <w:rPr>
          <w:rFonts w:hint="cs"/>
          <w:rtl/>
        </w:rPr>
        <w:t>,</w:t>
      </w:r>
      <w:r>
        <w:rPr>
          <w:rtl/>
        </w:rPr>
        <w:t xml:space="preserve"> </w:t>
      </w:r>
      <w:r>
        <w:rPr>
          <w:rFonts w:hint="cs"/>
          <w:rtl/>
        </w:rPr>
        <w:t xml:space="preserve">אשר </w:t>
      </w:r>
      <w:r>
        <w:rPr>
          <w:rtl/>
        </w:rPr>
        <w:t>במסגרתו לא ניתנה התייחסות למתחמי הענישה</w:t>
      </w:r>
      <w:r>
        <w:rPr>
          <w:rFonts w:hint="cs"/>
          <w:rtl/>
        </w:rPr>
        <w:t xml:space="preserve"> (כפי שאכן נהוג, כאשר מוצג הסדר טיעון כולל)</w:t>
      </w:r>
      <w:r>
        <w:rPr>
          <w:rtl/>
        </w:rPr>
        <w:t xml:space="preserve"> ובית המשפט, כב' השופטת ש</w:t>
      </w:r>
      <w:r>
        <w:rPr>
          <w:rFonts w:hint="cs"/>
          <w:rtl/>
        </w:rPr>
        <w:t xml:space="preserve">' </w:t>
      </w:r>
      <w:r>
        <w:rPr>
          <w:rtl/>
        </w:rPr>
        <w:t xml:space="preserve">שטרית, </w:t>
      </w:r>
      <w:r>
        <w:rPr>
          <w:rFonts w:hint="cs"/>
          <w:rtl/>
        </w:rPr>
        <w:t xml:space="preserve">אימצה את ההסדר. </w:t>
      </w:r>
    </w:p>
    <w:p w14:paraId="488A68CC" w14:textId="77777777" w:rsidR="00F04FE5" w:rsidRDefault="00F04FE5" w:rsidP="00F04FE5">
      <w:pPr>
        <w:spacing w:line="360" w:lineRule="auto"/>
        <w:jc w:val="both"/>
        <w:rPr>
          <w:rtl/>
        </w:rPr>
      </w:pPr>
    </w:p>
    <w:p w14:paraId="00E33A9F" w14:textId="77777777" w:rsidR="00F04FE5" w:rsidRDefault="00F04FE5" w:rsidP="00F04FE5">
      <w:pPr>
        <w:spacing w:line="360" w:lineRule="auto"/>
        <w:jc w:val="both"/>
        <w:rPr>
          <w:rtl/>
        </w:rPr>
      </w:pPr>
      <w:r>
        <w:rPr>
          <w:rtl/>
        </w:rPr>
        <w:t xml:space="preserve">על כן, לא יהיה בענישה, שנגזרה על </w:t>
      </w:r>
      <w:r>
        <w:rPr>
          <w:rFonts w:hint="cs"/>
          <w:rtl/>
        </w:rPr>
        <w:t>עמראן</w:t>
      </w:r>
      <w:r>
        <w:rPr>
          <w:rtl/>
        </w:rPr>
        <w:t xml:space="preserve"> – כדי להשליך על העונש המתאים לנאשם דנן, אשר בהעדר הסכמות בין הצדדים – יתן את הדין </w:t>
      </w:r>
      <w:r>
        <w:rPr>
          <w:rFonts w:hint="cs"/>
          <w:rtl/>
        </w:rPr>
        <w:t xml:space="preserve">- </w:t>
      </w:r>
      <w:r>
        <w:rPr>
          <w:rtl/>
        </w:rPr>
        <w:t>בהתאם לשורת הדין.</w:t>
      </w:r>
    </w:p>
    <w:p w14:paraId="284C9771" w14:textId="77777777" w:rsidR="00F04FE5" w:rsidRDefault="00F04FE5" w:rsidP="00F04FE5">
      <w:pPr>
        <w:spacing w:line="360" w:lineRule="auto"/>
        <w:jc w:val="both"/>
        <w:rPr>
          <w:rtl/>
        </w:rPr>
      </w:pPr>
    </w:p>
    <w:p w14:paraId="1D5A8DF0" w14:textId="77777777" w:rsidR="00F04FE5" w:rsidRDefault="00F04FE5" w:rsidP="00F04FE5">
      <w:pPr>
        <w:spacing w:line="360" w:lineRule="auto"/>
        <w:jc w:val="both"/>
        <w:rPr>
          <w:rtl/>
        </w:rPr>
      </w:pPr>
    </w:p>
    <w:p w14:paraId="360404E5" w14:textId="77777777" w:rsidR="00F04FE5" w:rsidRDefault="00F04FE5" w:rsidP="00F04FE5">
      <w:pPr>
        <w:spacing w:line="360" w:lineRule="auto"/>
        <w:jc w:val="both"/>
        <w:rPr>
          <w:rtl/>
        </w:rPr>
      </w:pPr>
      <w:r>
        <w:rPr>
          <w:rFonts w:hint="cs"/>
          <w:b/>
          <w:bCs/>
          <w:rtl/>
        </w:rPr>
        <w:t>קביעת הענישה בגדרי המתחם</w:t>
      </w:r>
    </w:p>
    <w:p w14:paraId="533C9913" w14:textId="77777777" w:rsidR="00F04FE5" w:rsidRDefault="00F04FE5" w:rsidP="00F04FE5">
      <w:pPr>
        <w:spacing w:line="360" w:lineRule="auto"/>
        <w:jc w:val="both"/>
        <w:rPr>
          <w:rtl/>
        </w:rPr>
      </w:pPr>
    </w:p>
    <w:p w14:paraId="56C941D2" w14:textId="77777777" w:rsidR="00F04FE5" w:rsidRDefault="00F04FE5" w:rsidP="00F04FE5">
      <w:pPr>
        <w:spacing w:line="360" w:lineRule="auto"/>
        <w:jc w:val="both"/>
        <w:rPr>
          <w:rtl/>
        </w:rPr>
      </w:pPr>
      <w:r>
        <w:rPr>
          <w:rFonts w:hint="cs"/>
          <w:rtl/>
        </w:rPr>
        <w:t>העבירה שעבר הנאשם חמורה.</w:t>
      </w:r>
    </w:p>
    <w:p w14:paraId="01EEFFEB" w14:textId="77777777" w:rsidR="00F04FE5" w:rsidRDefault="00F04FE5" w:rsidP="00F04FE5">
      <w:pPr>
        <w:spacing w:line="360" w:lineRule="auto"/>
        <w:jc w:val="both"/>
        <w:rPr>
          <w:rtl/>
        </w:rPr>
      </w:pPr>
    </w:p>
    <w:p w14:paraId="48DC79B1" w14:textId="77777777" w:rsidR="00F04FE5" w:rsidRDefault="00F04FE5" w:rsidP="00F04FE5">
      <w:pPr>
        <w:spacing w:line="360" w:lineRule="auto"/>
        <w:jc w:val="both"/>
        <w:rPr>
          <w:rtl/>
        </w:rPr>
      </w:pPr>
      <w:r>
        <w:rPr>
          <w:rFonts w:hint="cs"/>
          <w:rtl/>
        </w:rPr>
        <w:t xml:space="preserve">הנאשם נמנע מליטול אחריות על מעשיו ובחר לכפור באשמה, כאשר הורשע לאחר שמיעת ראיות. זוהי, כמובן, זכותו ואין להחמיר עמו בשל כך. אך הוא איננו זכאי להקלה לה זוכה מי שנוטל אחריות ומודה באשמה, בבחינת "מודה ועוזב </w:t>
      </w:r>
      <w:r>
        <w:rPr>
          <w:rtl/>
        </w:rPr>
        <w:t>–</w:t>
      </w:r>
      <w:r>
        <w:rPr>
          <w:rFonts w:hint="cs"/>
          <w:rtl/>
        </w:rPr>
        <w:t xml:space="preserve"> ירוחם".</w:t>
      </w:r>
    </w:p>
    <w:p w14:paraId="4D35524B" w14:textId="77777777" w:rsidR="00F04FE5" w:rsidRDefault="00F04FE5" w:rsidP="00F04FE5">
      <w:pPr>
        <w:spacing w:line="360" w:lineRule="auto"/>
        <w:jc w:val="both"/>
        <w:rPr>
          <w:rtl/>
        </w:rPr>
      </w:pPr>
    </w:p>
    <w:p w14:paraId="11A2F3AC" w14:textId="77777777" w:rsidR="00F04FE5" w:rsidRDefault="00F04FE5" w:rsidP="00F04FE5">
      <w:pPr>
        <w:spacing w:line="360" w:lineRule="auto"/>
        <w:jc w:val="both"/>
        <w:rPr>
          <w:rtl/>
        </w:rPr>
      </w:pPr>
      <w:r>
        <w:rPr>
          <w:rFonts w:hint="cs"/>
          <w:rtl/>
        </w:rPr>
        <w:t xml:space="preserve">כאמור, לחובת הנאשם הרשעה בארבע עבירות שענינן גילוי הזדהות עם ארגון טרור, כאשר מכתב האישום שהוגש לבית המשפט עולה, כי ארגון הטרור עמו גילה הנאשם הזדהות, תוך הפצת פרסומים המסיתים לאלימות ולפיגועים </w:t>
      </w:r>
      <w:r>
        <w:rPr>
          <w:rtl/>
        </w:rPr>
        <w:t>–</w:t>
      </w:r>
      <w:r>
        <w:rPr>
          <w:rFonts w:hint="cs"/>
          <w:rtl/>
        </w:rPr>
        <w:t xml:space="preserve"> היה ארגון "עז א-דין אלקסאם", שהוא פלג צבאי של ארגון חמאס </w:t>
      </w:r>
      <w:r>
        <w:rPr>
          <w:rtl/>
        </w:rPr>
        <w:t>–</w:t>
      </w:r>
      <w:r>
        <w:rPr>
          <w:rFonts w:hint="cs"/>
          <w:rtl/>
        </w:rPr>
        <w:t xml:space="preserve"> ארגון רצחני שאחראי לעשרות ומאות פיגועים ומעשי רצח. </w:t>
      </w:r>
    </w:p>
    <w:p w14:paraId="336ABA98" w14:textId="77777777" w:rsidR="00F04FE5" w:rsidRDefault="00F04FE5" w:rsidP="00F04FE5">
      <w:pPr>
        <w:spacing w:line="360" w:lineRule="auto"/>
        <w:jc w:val="both"/>
        <w:rPr>
          <w:rtl/>
        </w:rPr>
      </w:pPr>
    </w:p>
    <w:p w14:paraId="20851A09" w14:textId="77777777" w:rsidR="00F04FE5" w:rsidRDefault="00F04FE5" w:rsidP="00F04FE5">
      <w:pPr>
        <w:spacing w:line="360" w:lineRule="auto"/>
        <w:jc w:val="both"/>
        <w:rPr>
          <w:rtl/>
        </w:rPr>
      </w:pPr>
      <w:r>
        <w:rPr>
          <w:rFonts w:hint="cs"/>
          <w:rtl/>
        </w:rPr>
        <w:t xml:space="preserve">החזקת נשק חם, בלווית תחמושת, כשהוא מוכן לשימוש </w:t>
      </w:r>
      <w:r>
        <w:rPr>
          <w:rtl/>
        </w:rPr>
        <w:t>–</w:t>
      </w:r>
      <w:r>
        <w:rPr>
          <w:rFonts w:hint="cs"/>
          <w:rtl/>
        </w:rPr>
        <w:t xml:space="preserve"> על ידי מי שגילה הזדהות עם ארגון טרור שכזה </w:t>
      </w:r>
      <w:r>
        <w:rPr>
          <w:rtl/>
        </w:rPr>
        <w:t>–</w:t>
      </w:r>
      <w:r>
        <w:rPr>
          <w:rFonts w:hint="cs"/>
          <w:rtl/>
        </w:rPr>
        <w:t xml:space="preserve"> שאין צורך להכביר מילים בדבר רצחנותו </w:t>
      </w:r>
      <w:r>
        <w:rPr>
          <w:rtl/>
        </w:rPr>
        <w:t>–</w:t>
      </w:r>
      <w:r>
        <w:rPr>
          <w:rFonts w:hint="cs"/>
          <w:rtl/>
        </w:rPr>
        <w:t xml:space="preserve"> מעצימה פי כמה את פוטנציאל הסיכון הנובע מהנאשם ומחייבת הרחקתו מהחברה לתקופה משמעותית. </w:t>
      </w:r>
    </w:p>
    <w:p w14:paraId="2D448351" w14:textId="77777777" w:rsidR="00F04FE5" w:rsidRDefault="00F04FE5" w:rsidP="00F04FE5">
      <w:pPr>
        <w:spacing w:line="360" w:lineRule="auto"/>
        <w:jc w:val="both"/>
        <w:rPr>
          <w:rtl/>
        </w:rPr>
      </w:pPr>
    </w:p>
    <w:p w14:paraId="386E8F2C" w14:textId="77777777" w:rsidR="00F04FE5" w:rsidRDefault="00F04FE5" w:rsidP="00F04FE5">
      <w:pPr>
        <w:spacing w:line="360" w:lineRule="auto"/>
        <w:jc w:val="both"/>
        <w:rPr>
          <w:rtl/>
        </w:rPr>
      </w:pPr>
      <w:r>
        <w:rPr>
          <w:rFonts w:hint="cs"/>
          <w:rtl/>
        </w:rPr>
        <w:t xml:space="preserve">בית המשפט מקבל את עתירת התביעה </w:t>
      </w:r>
      <w:r>
        <w:rPr>
          <w:rtl/>
        </w:rPr>
        <w:t>–</w:t>
      </w:r>
      <w:r>
        <w:rPr>
          <w:rFonts w:hint="cs"/>
          <w:rtl/>
        </w:rPr>
        <w:t xml:space="preserve"> להשית על הנאשם עונש בשליש התחתון של מתחם הענישה ויצוין, כי בנסיבותיו של נאשם זה </w:t>
      </w:r>
      <w:r>
        <w:rPr>
          <w:rtl/>
        </w:rPr>
        <w:t>–</w:t>
      </w:r>
      <w:r>
        <w:rPr>
          <w:rFonts w:hint="cs"/>
          <w:rtl/>
        </w:rPr>
        <w:t xml:space="preserve"> המדובר </w:t>
      </w:r>
      <w:r w:rsidRPr="00892D2A">
        <w:rPr>
          <w:rFonts w:hint="cs"/>
          <w:u w:val="single"/>
          <w:rtl/>
        </w:rPr>
        <w:t>בעתירה מקלה</w:t>
      </w:r>
      <w:r>
        <w:rPr>
          <w:rFonts w:hint="cs"/>
          <w:rtl/>
        </w:rPr>
        <w:t>.</w:t>
      </w:r>
    </w:p>
    <w:p w14:paraId="04774F2C" w14:textId="77777777" w:rsidR="00F04FE5" w:rsidRDefault="00F04FE5" w:rsidP="00F04FE5">
      <w:pPr>
        <w:spacing w:line="360" w:lineRule="auto"/>
        <w:jc w:val="both"/>
        <w:rPr>
          <w:rtl/>
        </w:rPr>
      </w:pPr>
    </w:p>
    <w:p w14:paraId="702509B2" w14:textId="77777777" w:rsidR="00F04FE5" w:rsidRDefault="00F04FE5" w:rsidP="00F04FE5">
      <w:pPr>
        <w:spacing w:line="360" w:lineRule="auto"/>
        <w:jc w:val="both"/>
        <w:rPr>
          <w:rtl/>
        </w:rPr>
      </w:pPr>
      <w:r>
        <w:rPr>
          <w:rFonts w:hint="cs"/>
          <w:rtl/>
        </w:rPr>
        <w:t xml:space="preserve">כמובן, יושתו על הנאשם גם עונש מאסר מותנה, לבל ישוב להחזיק נשק כלשהו </w:t>
      </w:r>
      <w:r>
        <w:rPr>
          <w:rtl/>
        </w:rPr>
        <w:t>–</w:t>
      </w:r>
      <w:r>
        <w:rPr>
          <w:rFonts w:hint="cs"/>
          <w:rtl/>
        </w:rPr>
        <w:t xml:space="preserve"> חם או קר - בעתיד; וכן עיצום כספי מסוג קנס. </w:t>
      </w:r>
    </w:p>
    <w:p w14:paraId="57F1F324" w14:textId="77777777" w:rsidR="00F04FE5" w:rsidRDefault="00F04FE5" w:rsidP="00F04FE5">
      <w:pPr>
        <w:spacing w:line="360" w:lineRule="auto"/>
        <w:jc w:val="both"/>
        <w:rPr>
          <w:rtl/>
        </w:rPr>
      </w:pPr>
    </w:p>
    <w:p w14:paraId="7809811E" w14:textId="77777777" w:rsidR="00F04FE5" w:rsidRDefault="00F04FE5" w:rsidP="00F04FE5">
      <w:pPr>
        <w:spacing w:line="360" w:lineRule="auto"/>
        <w:jc w:val="both"/>
        <w:rPr>
          <w:rtl/>
        </w:rPr>
      </w:pPr>
      <w:r>
        <w:rPr>
          <w:rFonts w:hint="cs"/>
          <w:rtl/>
        </w:rPr>
        <w:t>בית המשפט דן את הנאשם לעונשים כדלקמן:</w:t>
      </w:r>
    </w:p>
    <w:p w14:paraId="1FAB6252" w14:textId="77777777" w:rsidR="00F04FE5" w:rsidRDefault="00F04FE5" w:rsidP="00F04FE5">
      <w:pPr>
        <w:spacing w:line="360" w:lineRule="auto"/>
        <w:jc w:val="both"/>
        <w:rPr>
          <w:rtl/>
        </w:rPr>
      </w:pPr>
    </w:p>
    <w:p w14:paraId="0CE7B889" w14:textId="77777777" w:rsidR="00F04FE5" w:rsidRDefault="00F04FE5" w:rsidP="00F04FE5">
      <w:pPr>
        <w:numPr>
          <w:ilvl w:val="0"/>
          <w:numId w:val="2"/>
        </w:numPr>
        <w:spacing w:line="360" w:lineRule="auto"/>
        <w:contextualSpacing/>
        <w:rPr>
          <w:rFonts w:ascii="Arial" w:hAnsi="Arial"/>
          <w:noProof w:val="0"/>
        </w:rPr>
      </w:pPr>
      <w:r>
        <w:rPr>
          <w:rFonts w:ascii="Arial" w:hAnsi="Arial"/>
          <w:noProof w:val="0"/>
          <w:rtl/>
        </w:rPr>
        <w:t>24 חודשי מאסר בפועל, בניכוי ימי מעצרו בתיק זה בלבד, על פי רישומי שב"ס;</w:t>
      </w:r>
    </w:p>
    <w:p w14:paraId="309F23F5" w14:textId="77777777" w:rsidR="00F04FE5" w:rsidRDefault="00F04FE5" w:rsidP="00F04FE5">
      <w:pPr>
        <w:numPr>
          <w:ilvl w:val="0"/>
          <w:numId w:val="2"/>
        </w:numPr>
        <w:spacing w:line="360" w:lineRule="auto"/>
        <w:contextualSpacing/>
        <w:rPr>
          <w:rFonts w:ascii="Arial" w:hAnsi="Arial"/>
          <w:noProof w:val="0"/>
        </w:rPr>
      </w:pPr>
      <w:r>
        <w:rPr>
          <w:rFonts w:ascii="Arial" w:hAnsi="Arial"/>
          <w:noProof w:val="0"/>
          <w:rtl/>
        </w:rPr>
        <w:t>12 חודשי מאסר על תנאי למשך 3 שנים מיום שחרורו של הנאשם והתנאי - שהנאשם לא יעבור עבירה בניגוד ל</w:t>
      </w:r>
      <w:hyperlink r:id="rId37" w:history="1">
        <w:r w:rsidR="00D90352" w:rsidRPr="00D90352">
          <w:rPr>
            <w:rFonts w:ascii="Arial" w:hAnsi="Arial"/>
            <w:noProof w:val="0"/>
            <w:color w:val="0000FF"/>
            <w:u w:val="single"/>
            <w:rtl/>
          </w:rPr>
          <w:t>חוק העונשין</w:t>
        </w:r>
      </w:hyperlink>
      <w:r>
        <w:rPr>
          <w:rFonts w:ascii="Arial" w:hAnsi="Arial"/>
          <w:noProof w:val="0"/>
          <w:rtl/>
        </w:rPr>
        <w:t xml:space="preserve">, תשל"ז - 1977, </w:t>
      </w:r>
      <w:hyperlink r:id="rId38" w:history="1">
        <w:r w:rsidR="002F0E2D" w:rsidRPr="002F0E2D">
          <w:rPr>
            <w:rStyle w:val="Hyperlink"/>
            <w:rFonts w:ascii="Arial" w:hAnsi="Arial" w:hint="eastAsia"/>
            <w:noProof w:val="0"/>
            <w:color w:val="0000FF"/>
            <w:rtl/>
          </w:rPr>
          <w:t>סעיף</w:t>
        </w:r>
        <w:r w:rsidR="002F0E2D" w:rsidRPr="002F0E2D">
          <w:rPr>
            <w:rStyle w:val="Hyperlink"/>
            <w:rFonts w:ascii="Arial" w:hAnsi="Arial"/>
            <w:noProof w:val="0"/>
            <w:color w:val="0000FF"/>
            <w:rtl/>
          </w:rPr>
          <w:t xml:space="preserve"> 144</w:t>
        </w:r>
      </w:hyperlink>
      <w:r>
        <w:rPr>
          <w:rFonts w:ascii="Arial" w:hAnsi="Arial"/>
          <w:noProof w:val="0"/>
          <w:rtl/>
        </w:rPr>
        <w:t>;</w:t>
      </w:r>
    </w:p>
    <w:p w14:paraId="64332CB8" w14:textId="77777777" w:rsidR="00F04FE5" w:rsidRDefault="00F04FE5" w:rsidP="00F04FE5">
      <w:pPr>
        <w:numPr>
          <w:ilvl w:val="0"/>
          <w:numId w:val="2"/>
        </w:numPr>
        <w:spacing w:line="360" w:lineRule="auto"/>
        <w:contextualSpacing/>
        <w:rPr>
          <w:rFonts w:ascii="Arial" w:hAnsi="Arial"/>
          <w:noProof w:val="0"/>
          <w:rtl/>
        </w:rPr>
      </w:pPr>
      <w:r>
        <w:rPr>
          <w:rFonts w:ascii="Arial" w:hAnsi="Arial"/>
          <w:noProof w:val="0"/>
          <w:rtl/>
        </w:rPr>
        <w:t>6 חודשי מאסר על תנאי למשך 3 שנים מיום שחרורו של הנאשם והתנאי - שהנאשם לא יעבור עבירה בניגוד ל</w:t>
      </w:r>
      <w:hyperlink r:id="rId39" w:history="1">
        <w:r w:rsidR="00D90352" w:rsidRPr="00D90352">
          <w:rPr>
            <w:rFonts w:ascii="Arial" w:hAnsi="Arial"/>
            <w:noProof w:val="0"/>
            <w:color w:val="0000FF"/>
            <w:u w:val="single"/>
            <w:rtl/>
          </w:rPr>
          <w:t>חוק העונשין</w:t>
        </w:r>
      </w:hyperlink>
      <w:r>
        <w:rPr>
          <w:rFonts w:ascii="Arial" w:hAnsi="Arial"/>
          <w:noProof w:val="0"/>
          <w:rtl/>
        </w:rPr>
        <w:t xml:space="preserve">, תשל"ז - 1977, </w:t>
      </w:r>
      <w:hyperlink r:id="rId40" w:history="1">
        <w:r w:rsidR="002F0E2D" w:rsidRPr="002F0E2D">
          <w:rPr>
            <w:rStyle w:val="Hyperlink"/>
            <w:rFonts w:ascii="Arial" w:hAnsi="Arial" w:hint="eastAsia"/>
            <w:noProof w:val="0"/>
            <w:color w:val="0000FF"/>
            <w:rtl/>
          </w:rPr>
          <w:t>סעיף</w:t>
        </w:r>
        <w:r w:rsidR="002F0E2D" w:rsidRPr="002F0E2D">
          <w:rPr>
            <w:rStyle w:val="Hyperlink"/>
            <w:rFonts w:ascii="Arial" w:hAnsi="Arial"/>
            <w:noProof w:val="0"/>
            <w:color w:val="0000FF"/>
            <w:rtl/>
          </w:rPr>
          <w:t xml:space="preserve"> 186</w:t>
        </w:r>
      </w:hyperlink>
      <w:r>
        <w:rPr>
          <w:rFonts w:ascii="Arial" w:hAnsi="Arial"/>
          <w:noProof w:val="0"/>
          <w:rtl/>
        </w:rPr>
        <w:t>;</w:t>
      </w:r>
    </w:p>
    <w:p w14:paraId="1A4769F6" w14:textId="77777777" w:rsidR="00F04FE5" w:rsidRDefault="00F04FE5" w:rsidP="00F04FE5">
      <w:pPr>
        <w:numPr>
          <w:ilvl w:val="0"/>
          <w:numId w:val="2"/>
        </w:numPr>
        <w:spacing w:line="360" w:lineRule="auto"/>
        <w:contextualSpacing/>
        <w:rPr>
          <w:rFonts w:ascii="Arial" w:hAnsi="Arial"/>
          <w:noProof w:val="0"/>
          <w:rtl/>
        </w:rPr>
      </w:pPr>
      <w:r>
        <w:rPr>
          <w:rFonts w:ascii="Arial" w:hAnsi="Arial"/>
          <w:noProof w:val="0"/>
          <w:rtl/>
        </w:rPr>
        <w:t>קנס בסך 10,000 ₪ או 90 ימי מאסר תמורתו;</w:t>
      </w:r>
    </w:p>
    <w:p w14:paraId="40B8B10C" w14:textId="77777777" w:rsidR="00F04FE5" w:rsidRDefault="00F04FE5" w:rsidP="00F04FE5">
      <w:pPr>
        <w:numPr>
          <w:ilvl w:val="0"/>
          <w:numId w:val="2"/>
        </w:numPr>
        <w:spacing w:line="360" w:lineRule="auto"/>
        <w:contextualSpacing/>
        <w:rPr>
          <w:rFonts w:ascii="Arial" w:hAnsi="Arial"/>
          <w:noProof w:val="0"/>
        </w:rPr>
      </w:pPr>
      <w:r>
        <w:rPr>
          <w:rFonts w:ascii="Arial" w:hAnsi="Arial"/>
          <w:noProof w:val="0"/>
          <w:rtl/>
        </w:rPr>
        <w:t xml:space="preserve">הקנס </w:t>
      </w:r>
      <w:r>
        <w:rPr>
          <w:rFonts w:ascii="Arial" w:hAnsi="Arial" w:hint="cs"/>
          <w:noProof w:val="0"/>
          <w:rtl/>
        </w:rPr>
        <w:t xml:space="preserve">ישולם </w:t>
      </w:r>
      <w:r>
        <w:rPr>
          <w:rFonts w:ascii="Arial" w:hAnsi="Arial"/>
          <w:noProof w:val="0"/>
          <w:rtl/>
        </w:rPr>
        <w:t>ב- 10 שיעורים שווים ורצופים, החל מיום 15.04.24 ובכל 15 לחודש העוקב. לא יועבר אחד התשלומים במועד – תועמד היתרה לפירעון מידי</w:t>
      </w:r>
      <w:r>
        <w:rPr>
          <w:rFonts w:ascii="Arial" w:hAnsi="Arial" w:hint="cs"/>
          <w:noProof w:val="0"/>
          <w:rtl/>
        </w:rPr>
        <w:t>.</w:t>
      </w:r>
    </w:p>
    <w:p w14:paraId="086CF96C" w14:textId="77777777" w:rsidR="00F04FE5" w:rsidRPr="00B44DE4" w:rsidRDefault="00F04FE5" w:rsidP="00F04FE5">
      <w:pPr>
        <w:spacing w:line="360" w:lineRule="auto"/>
        <w:jc w:val="both"/>
        <w:rPr>
          <w:rtl/>
        </w:rPr>
      </w:pPr>
    </w:p>
    <w:p w14:paraId="57A95277" w14:textId="77777777" w:rsidR="00F04FE5" w:rsidRDefault="00F04FE5" w:rsidP="00F04FE5">
      <w:pPr>
        <w:spacing w:line="360" w:lineRule="auto"/>
        <w:jc w:val="both"/>
        <w:rPr>
          <w:rtl/>
        </w:rPr>
      </w:pPr>
      <w:r>
        <w:rPr>
          <w:rFonts w:hint="cs"/>
          <w:rtl/>
        </w:rPr>
        <w:t xml:space="preserve">הנאשם יתייצב לריצוי עונשו כעת. </w:t>
      </w:r>
    </w:p>
    <w:p w14:paraId="15CD7BD8" w14:textId="77777777" w:rsidR="00F04FE5" w:rsidRPr="00D90352" w:rsidRDefault="00D90352" w:rsidP="00F04FE5">
      <w:pPr>
        <w:spacing w:line="360" w:lineRule="auto"/>
        <w:jc w:val="both"/>
        <w:rPr>
          <w:rFonts w:ascii="Arial" w:hAnsi="Arial"/>
          <w:noProof w:val="0"/>
          <w:color w:val="FFFFFF"/>
          <w:sz w:val="2"/>
          <w:szCs w:val="2"/>
          <w:rtl/>
        </w:rPr>
      </w:pPr>
      <w:r w:rsidRPr="00D90352">
        <w:rPr>
          <w:rFonts w:ascii="Arial" w:hAnsi="Arial"/>
          <w:noProof w:val="0"/>
          <w:color w:val="FFFFFF"/>
          <w:sz w:val="2"/>
          <w:szCs w:val="2"/>
          <w:rtl/>
        </w:rPr>
        <w:t>5129371</w:t>
      </w:r>
    </w:p>
    <w:p w14:paraId="0714D46E" w14:textId="77777777" w:rsidR="00F04FE5" w:rsidRDefault="00D90352" w:rsidP="00F04FE5">
      <w:pPr>
        <w:spacing w:line="360" w:lineRule="auto"/>
        <w:jc w:val="both"/>
        <w:rPr>
          <w:rFonts w:ascii="Arial" w:hAnsi="Arial"/>
          <w:noProof w:val="0"/>
          <w:rtl/>
        </w:rPr>
      </w:pPr>
      <w:r w:rsidRPr="00D90352">
        <w:rPr>
          <w:rFonts w:ascii="Arial" w:hAnsi="Arial"/>
          <w:noProof w:val="0"/>
          <w:color w:val="FFFFFF"/>
          <w:sz w:val="2"/>
          <w:szCs w:val="2"/>
          <w:rtl/>
        </w:rPr>
        <w:t>54678313</w:t>
      </w:r>
      <w:r w:rsidR="00F04FE5">
        <w:rPr>
          <w:rFonts w:ascii="Arial" w:hAnsi="Arial" w:hint="cs"/>
          <w:noProof w:val="0"/>
          <w:rtl/>
        </w:rPr>
        <w:t>הודעה זכות הערעור.</w:t>
      </w:r>
    </w:p>
    <w:p w14:paraId="452633F6" w14:textId="77777777" w:rsidR="00F04FE5" w:rsidRDefault="00F04FE5" w:rsidP="00F04FE5">
      <w:pPr>
        <w:spacing w:line="360" w:lineRule="auto"/>
        <w:jc w:val="both"/>
        <w:rPr>
          <w:rFonts w:ascii="Arial" w:hAnsi="Arial"/>
          <w:noProof w:val="0"/>
          <w:rtl/>
        </w:rPr>
      </w:pPr>
    </w:p>
    <w:p w14:paraId="65A44074" w14:textId="77777777" w:rsidR="00F04FE5" w:rsidRDefault="00D90352" w:rsidP="00F04FE5">
      <w:pPr>
        <w:spacing w:line="360" w:lineRule="auto"/>
        <w:jc w:val="both"/>
        <w:rPr>
          <w:rFonts w:ascii="Arial" w:hAnsi="Arial"/>
          <w:noProof w:val="0"/>
          <w:rtl/>
        </w:rPr>
      </w:pPr>
      <w:bookmarkStart w:id="8" w:name="Nitan"/>
      <w:r>
        <w:rPr>
          <w:rFonts w:ascii="Arial" w:hAnsi="Arial"/>
          <w:noProof w:val="0"/>
          <w:rtl/>
        </w:rPr>
        <w:t xml:space="preserve">ניתנה היום, י' אדר א' תשפ"ד, 19 פברואר 2024, במעמד הצדדים. </w:t>
      </w:r>
      <w:bookmarkEnd w:id="8"/>
    </w:p>
    <w:p w14:paraId="6949850B" w14:textId="77777777" w:rsidR="00F04FE5" w:rsidRDefault="00F04FE5" w:rsidP="00F04FE5">
      <w:pPr>
        <w:spacing w:line="360" w:lineRule="auto"/>
        <w:ind w:left="3600" w:firstLine="720"/>
        <w:jc w:val="center"/>
      </w:pPr>
    </w:p>
    <w:p w14:paraId="4481EE35" w14:textId="77777777" w:rsidR="00F04FE5" w:rsidRPr="002F0E2D" w:rsidRDefault="002F0E2D" w:rsidP="00F04FE5">
      <w:pPr>
        <w:spacing w:line="360" w:lineRule="auto"/>
        <w:ind w:left="3600" w:firstLine="720"/>
        <w:jc w:val="center"/>
        <w:rPr>
          <w:rFonts w:ascii="Arial" w:hAnsi="Arial"/>
          <w:noProof w:val="0"/>
          <w:color w:val="FFFFFF"/>
          <w:sz w:val="2"/>
          <w:szCs w:val="2"/>
          <w:rtl/>
        </w:rPr>
      </w:pPr>
      <w:r w:rsidRPr="002F0E2D">
        <w:rPr>
          <w:rFonts w:ascii="Arial" w:hAnsi="Arial"/>
          <w:noProof w:val="0"/>
          <w:color w:val="FFFFFF"/>
          <w:sz w:val="2"/>
          <w:szCs w:val="2"/>
          <w:rtl/>
        </w:rPr>
        <w:t>5129371</w:t>
      </w:r>
    </w:p>
    <w:p w14:paraId="479C40B8" w14:textId="77777777" w:rsidR="0018597E" w:rsidRPr="002F0E2D" w:rsidRDefault="002F0E2D" w:rsidP="00D90352">
      <w:pPr>
        <w:keepNext/>
        <w:rPr>
          <w:rFonts w:ascii="David" w:hAnsi="David" w:hint="cs"/>
          <w:color w:val="FFFFFF"/>
          <w:sz w:val="2"/>
          <w:szCs w:val="2"/>
          <w:rtl/>
        </w:rPr>
      </w:pPr>
      <w:r w:rsidRPr="002F0E2D">
        <w:rPr>
          <w:rFonts w:ascii="David" w:hAnsi="David"/>
          <w:color w:val="FFFFFF"/>
          <w:sz w:val="2"/>
          <w:szCs w:val="2"/>
          <w:rtl/>
        </w:rPr>
        <w:t>54678313</w:t>
      </w:r>
    </w:p>
    <w:p w14:paraId="506BA809" w14:textId="77777777" w:rsidR="00D90352" w:rsidRDefault="00D90352" w:rsidP="00D90352">
      <w:pPr>
        <w:rPr>
          <w:rtl/>
        </w:rPr>
      </w:pPr>
    </w:p>
    <w:p w14:paraId="4D1A4F44" w14:textId="77777777" w:rsidR="00D90352" w:rsidRDefault="00D90352" w:rsidP="00D90352">
      <w:pPr>
        <w:jc w:val="center"/>
        <w:rPr>
          <w:color w:val="0000FF"/>
          <w:u w:val="single"/>
        </w:rPr>
      </w:pPr>
      <w:hyperlink r:id="rId41" w:history="1">
        <w:r>
          <w:rPr>
            <w:color w:val="0000FF"/>
            <w:u w:val="single"/>
            <w:rtl/>
          </w:rPr>
          <w:t>בעניין עריכה ושינויים במסמכי פסיקה, חקיקה ועוד באתר נבו – הקש כאן</w:t>
        </w:r>
      </w:hyperlink>
    </w:p>
    <w:p w14:paraId="055FB00F" w14:textId="77777777" w:rsidR="002F0E2D" w:rsidRPr="002F0E2D" w:rsidRDefault="002F0E2D" w:rsidP="002F0E2D">
      <w:pPr>
        <w:keepNext/>
        <w:rPr>
          <w:rFonts w:ascii="David" w:hAnsi="David" w:hint="cs"/>
          <w:color w:val="000000"/>
          <w:sz w:val="22"/>
          <w:szCs w:val="22"/>
          <w:rtl/>
        </w:rPr>
      </w:pPr>
    </w:p>
    <w:p w14:paraId="42F1E672" w14:textId="77777777" w:rsidR="002F0E2D" w:rsidRPr="002F0E2D" w:rsidRDefault="002F0E2D" w:rsidP="002F0E2D">
      <w:pPr>
        <w:keepNext/>
        <w:rPr>
          <w:rFonts w:ascii="David" w:hAnsi="David"/>
          <w:color w:val="000000"/>
          <w:sz w:val="22"/>
          <w:szCs w:val="22"/>
          <w:rtl/>
        </w:rPr>
      </w:pPr>
      <w:r w:rsidRPr="002F0E2D">
        <w:rPr>
          <w:rFonts w:ascii="David" w:hAnsi="David"/>
          <w:color w:val="000000"/>
          <w:sz w:val="22"/>
          <w:szCs w:val="22"/>
          <w:rtl/>
        </w:rPr>
        <w:t>רון סולקין 54678313-/</w:t>
      </w:r>
    </w:p>
    <w:p w14:paraId="552289B1" w14:textId="77777777" w:rsidR="00D90352" w:rsidRPr="00D90352" w:rsidRDefault="002F0E2D" w:rsidP="002F0E2D">
      <w:pPr>
        <w:rPr>
          <w:rFonts w:hint="cs"/>
          <w:color w:val="0000FF"/>
          <w:u w:val="single"/>
        </w:rPr>
      </w:pPr>
      <w:r w:rsidRPr="002F0E2D">
        <w:rPr>
          <w:color w:val="000000"/>
          <w:u w:val="single"/>
          <w:rtl/>
        </w:rPr>
        <w:t>נוסח מסמך זה כפוף לשינויי ניסוח ועריכה</w:t>
      </w:r>
    </w:p>
    <w:sectPr w:rsidR="00D90352" w:rsidRPr="00D90352" w:rsidSect="002F0E2D">
      <w:headerReference w:type="even" r:id="rId42"/>
      <w:headerReference w:type="default" r:id="rId43"/>
      <w:footerReference w:type="even" r:id="rId44"/>
      <w:footerReference w:type="default" r:id="rId45"/>
      <w:pgSz w:w="11907" w:h="16840" w:code="9"/>
      <w:pgMar w:top="1701" w:right="1701" w:bottom="2552"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2FAD3C" w14:textId="77777777" w:rsidR="00AA755E" w:rsidRDefault="00AA755E" w:rsidP="00CF311B">
      <w:r>
        <w:separator/>
      </w:r>
    </w:p>
  </w:endnote>
  <w:endnote w:type="continuationSeparator" w:id="0">
    <w:p w14:paraId="494064BE" w14:textId="77777777" w:rsidR="00AA755E" w:rsidRDefault="00AA755E" w:rsidP="00CF31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haroni">
    <w:panose1 w:val="02010803020104030203"/>
    <w:charset w:val="00"/>
    <w:family w:val="auto"/>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0CFC5" w14:textId="77777777" w:rsidR="002F0E2D" w:rsidRDefault="002F0E2D" w:rsidP="002F0E2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090FAF1B" w14:textId="77777777" w:rsidR="00D90352" w:rsidRPr="002F0E2D" w:rsidRDefault="002F0E2D" w:rsidP="002F0E2D">
    <w:pPr>
      <w:pStyle w:val="a5"/>
      <w:pBdr>
        <w:top w:val="single" w:sz="4" w:space="1" w:color="auto"/>
        <w:between w:val="single" w:sz="4" w:space="0" w:color="auto"/>
      </w:pBdr>
      <w:spacing w:after="60"/>
      <w:jc w:val="center"/>
      <w:rPr>
        <w:rFonts w:ascii="FrankRuehl" w:hAnsi="FrankRuehl" w:cs="FrankRuehl"/>
        <w:color w:val="000000"/>
      </w:rPr>
    </w:pPr>
    <w:r w:rsidRPr="002F0E2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15B4A8" w14:textId="77777777" w:rsidR="002F0E2D" w:rsidRDefault="002F0E2D" w:rsidP="002F0E2D">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FD160E">
      <w:rPr>
        <w:rStyle w:val="a8"/>
        <w:rFonts w:ascii="FrankRuehl" w:hAnsi="FrankRuehl" w:cs="FrankRuehl"/>
        <w:rtl/>
      </w:rPr>
      <w:t>1</w:t>
    </w:r>
    <w:r>
      <w:rPr>
        <w:rStyle w:val="a8"/>
        <w:rFonts w:ascii="FrankRuehl" w:hAnsi="FrankRuehl" w:cs="FrankRuehl"/>
        <w:rtl/>
      </w:rPr>
      <w:fldChar w:fldCharType="end"/>
    </w:r>
  </w:p>
  <w:p w14:paraId="28C0554B" w14:textId="77777777" w:rsidR="00822991" w:rsidRPr="002F0E2D" w:rsidRDefault="002F0E2D" w:rsidP="002F0E2D">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2F0E2D">
      <w:rPr>
        <w:rStyle w:val="a8"/>
        <w:rFonts w:ascii="FrankRuehl" w:hAnsi="FrankRuehl" w:cs="FrankRuehl" w:hint="cs"/>
        <w:color w:val="000000"/>
      </w:rPr>
      <w:pict w14:anchorId="49604F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898BC2" w14:textId="77777777" w:rsidR="00AA755E" w:rsidRDefault="00AA755E" w:rsidP="00CF311B">
      <w:r>
        <w:separator/>
      </w:r>
    </w:p>
  </w:footnote>
  <w:footnote w:type="continuationSeparator" w:id="0">
    <w:p w14:paraId="2ECD5F05" w14:textId="77777777" w:rsidR="00AA755E" w:rsidRDefault="00AA755E" w:rsidP="00CF31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911484" w14:textId="77777777" w:rsidR="00D90352" w:rsidRPr="002F0E2D" w:rsidRDefault="002F0E2D" w:rsidP="002F0E2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17057-08-20</w:t>
    </w:r>
    <w:r>
      <w:rPr>
        <w:rFonts w:ascii="David" w:hAnsi="David"/>
        <w:color w:val="000000"/>
        <w:sz w:val="22"/>
        <w:szCs w:val="22"/>
        <w:rtl/>
      </w:rPr>
      <w:tab/>
      <w:t xml:space="preserve"> מדינת ישראל  נ' נאיף בן מוחמד אבו עראר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7004B7" w14:textId="77777777" w:rsidR="00D90352" w:rsidRPr="002F0E2D" w:rsidRDefault="002F0E2D" w:rsidP="002F0E2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17057-08-20</w:t>
    </w:r>
    <w:r>
      <w:rPr>
        <w:rFonts w:ascii="David" w:hAnsi="David"/>
        <w:color w:val="000000"/>
        <w:sz w:val="22"/>
        <w:szCs w:val="22"/>
        <w:rtl/>
      </w:rPr>
      <w:tab/>
      <w:t xml:space="preserve"> מדינת ישראל  נ' נאיף בן מוחמד אבו עראר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F2392"/>
    <w:multiLevelType w:val="hybridMultilevel"/>
    <w:tmpl w:val="C3BC7A20"/>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B9E0E31"/>
    <w:multiLevelType w:val="hybridMultilevel"/>
    <w:tmpl w:val="319EFC78"/>
    <w:lvl w:ilvl="0" w:tplc="39EC7B1A">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3649151">
    <w:abstractNumId w:val="1"/>
  </w:num>
  <w:num w:numId="2" w16cid:durableId="13524195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04FE5"/>
    <w:rsid w:val="0018597E"/>
    <w:rsid w:val="001B5A3B"/>
    <w:rsid w:val="001E108D"/>
    <w:rsid w:val="002F0E2D"/>
    <w:rsid w:val="00822991"/>
    <w:rsid w:val="00AA755E"/>
    <w:rsid w:val="00CF311B"/>
    <w:rsid w:val="00D90352"/>
    <w:rsid w:val="00F04FE5"/>
    <w:rsid w:val="00FD160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3CAAE2A"/>
  <w15:chartTrackingRefBased/>
  <w15:docId w15:val="{9ABD2946-5AF2-4C86-ABBB-571707470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04FE5"/>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04FE5"/>
    <w:pPr>
      <w:tabs>
        <w:tab w:val="center" w:pos="4153"/>
        <w:tab w:val="right" w:pos="8306"/>
      </w:tabs>
    </w:pPr>
  </w:style>
  <w:style w:type="character" w:customStyle="1" w:styleId="a4">
    <w:name w:val="כותרת עליונה תו"/>
    <w:link w:val="a3"/>
    <w:rsid w:val="00F04FE5"/>
    <w:rPr>
      <w:rFonts w:ascii="Times New Roman" w:eastAsia="Times New Roman" w:hAnsi="Times New Roman" w:cs="David"/>
      <w:noProof/>
      <w:sz w:val="24"/>
      <w:szCs w:val="24"/>
    </w:rPr>
  </w:style>
  <w:style w:type="paragraph" w:styleId="a5">
    <w:name w:val="footer"/>
    <w:basedOn w:val="a"/>
    <w:link w:val="a6"/>
    <w:rsid w:val="00F04FE5"/>
    <w:pPr>
      <w:tabs>
        <w:tab w:val="center" w:pos="4153"/>
        <w:tab w:val="right" w:pos="8306"/>
      </w:tabs>
    </w:pPr>
  </w:style>
  <w:style w:type="character" w:customStyle="1" w:styleId="a6">
    <w:name w:val="כותרת תחתונה תו"/>
    <w:link w:val="a5"/>
    <w:rsid w:val="00F04FE5"/>
    <w:rPr>
      <w:rFonts w:ascii="Times New Roman" w:eastAsia="Times New Roman" w:hAnsi="Times New Roman" w:cs="David"/>
      <w:noProof/>
      <w:sz w:val="24"/>
      <w:szCs w:val="24"/>
    </w:rPr>
  </w:style>
  <w:style w:type="table" w:styleId="a7">
    <w:name w:val="Table Grid"/>
    <w:basedOn w:val="a1"/>
    <w:rsid w:val="00F04FE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04FE5"/>
  </w:style>
  <w:style w:type="paragraph" w:styleId="a9">
    <w:name w:val="List Paragraph"/>
    <w:basedOn w:val="a"/>
    <w:qFormat/>
    <w:rsid w:val="00F04FE5"/>
    <w:pPr>
      <w:ind w:left="720"/>
      <w:contextualSpacing/>
    </w:pPr>
  </w:style>
  <w:style w:type="character" w:styleId="aa">
    <w:name w:val="line number"/>
    <w:rsid w:val="00F04FE5"/>
  </w:style>
  <w:style w:type="character" w:styleId="Hyperlink">
    <w:name w:val="Hyperlink"/>
    <w:rsid w:val="00D9035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case/16913730" TargetMode="External"/><Relationship Id="rId26" Type="http://schemas.openxmlformats.org/officeDocument/2006/relationships/hyperlink" Target="http://www.nevo.co.il/law/70301/144.b" TargetMode="External"/><Relationship Id="rId39" Type="http://schemas.openxmlformats.org/officeDocument/2006/relationships/hyperlink" Target="http://www.nevo.co.il/law/70301" TargetMode="External"/><Relationship Id="rId21" Type="http://schemas.openxmlformats.org/officeDocument/2006/relationships/hyperlink" Target="http://www.nevo.co.il/case/6000182" TargetMode="External"/><Relationship Id="rId34" Type="http://schemas.openxmlformats.org/officeDocument/2006/relationships/hyperlink" Target="http://www.nevo.co.il/case/21567481"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case/26908264" TargetMode="External"/><Relationship Id="rId2" Type="http://schemas.openxmlformats.org/officeDocument/2006/relationships/styles" Target="styles.xml"/><Relationship Id="rId16" Type="http://schemas.openxmlformats.org/officeDocument/2006/relationships/hyperlink" Target="http://www.nevo.co.il/case/27163810" TargetMode="External"/><Relationship Id="rId29" Type="http://schemas.openxmlformats.org/officeDocument/2006/relationships/hyperlink" Target="http://www.nevo.co.il/case/2562320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b" TargetMode="External"/><Relationship Id="rId24" Type="http://schemas.openxmlformats.org/officeDocument/2006/relationships/hyperlink" Target="http://www.nevo.co.il/case/22607175" TargetMode="External"/><Relationship Id="rId32" Type="http://schemas.openxmlformats.org/officeDocument/2006/relationships/hyperlink" Target="http://www.nevo.co.il/case/23588441" TargetMode="External"/><Relationship Id="rId37" Type="http://schemas.openxmlformats.org/officeDocument/2006/relationships/hyperlink" Target="http://www.nevo.co.il/law/70301" TargetMode="External"/><Relationship Id="rId40" Type="http://schemas.openxmlformats.org/officeDocument/2006/relationships/hyperlink" Target="http://www.nevo.co.il/law/70301/186"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26904171" TargetMode="External"/><Relationship Id="rId23" Type="http://schemas.openxmlformats.org/officeDocument/2006/relationships/hyperlink" Target="http://www.nevo.co.il/case/22001830" TargetMode="External"/><Relationship Id="rId28" Type="http://schemas.openxmlformats.org/officeDocument/2006/relationships/hyperlink" Target="http://www.nevo.co.il/case/21778276" TargetMode="External"/><Relationship Id="rId36" Type="http://schemas.openxmlformats.org/officeDocument/2006/relationships/hyperlink" Target="http://www.nevo.co.il/case/25898057" TargetMode="External"/><Relationship Id="rId10" Type="http://schemas.openxmlformats.org/officeDocument/2006/relationships/hyperlink" Target="http://www.nevo.co.il/law/70301/144.a" TargetMode="External"/><Relationship Id="rId19" Type="http://schemas.openxmlformats.org/officeDocument/2006/relationships/hyperlink" Target="http://www.nevo.co.il/case/7791493" TargetMode="External"/><Relationship Id="rId31" Type="http://schemas.openxmlformats.org/officeDocument/2006/relationships/hyperlink" Target="http://www.nevo.co.il/case/21303448"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144"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2112345"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25923515" TargetMode="External"/><Relationship Id="rId35" Type="http://schemas.openxmlformats.org/officeDocument/2006/relationships/hyperlink" Target="http://www.nevo.co.il/case/26484690" TargetMode="External"/><Relationship Id="rId43" Type="http://schemas.openxmlformats.org/officeDocument/2006/relationships/header" Target="header2.xml"/><Relationship Id="rId8" Type="http://schemas.openxmlformats.org/officeDocument/2006/relationships/hyperlink" Target="http://www.nevo.co.il/law/70301" TargetMode="External"/><Relationship Id="rId3" Type="http://schemas.openxmlformats.org/officeDocument/2006/relationships/settings" Target="settings.xml"/><Relationship Id="rId12" Type="http://schemas.openxmlformats.org/officeDocument/2006/relationships/hyperlink" Target="http://www.nevo.co.il/law/70301/186" TargetMode="External"/><Relationship Id="rId17" Type="http://schemas.openxmlformats.org/officeDocument/2006/relationships/hyperlink" Target="http://www.nevo.co.il/case/28513828" TargetMode="External"/><Relationship Id="rId25" Type="http://schemas.openxmlformats.org/officeDocument/2006/relationships/hyperlink" Target="http://www.nevo.co.il/case/7791493" TargetMode="External"/><Relationship Id="rId33" Type="http://schemas.openxmlformats.org/officeDocument/2006/relationships/hyperlink" Target="http://www.nevo.co.il/case/25526059" TargetMode="External"/><Relationship Id="rId38" Type="http://schemas.openxmlformats.org/officeDocument/2006/relationships/hyperlink" Target="http://www.nevo.co.il/law/70301/144" TargetMode="External"/><Relationship Id="rId46" Type="http://schemas.openxmlformats.org/officeDocument/2006/relationships/fontTable" Target="fontTable.xml"/><Relationship Id="rId20" Type="http://schemas.openxmlformats.org/officeDocument/2006/relationships/hyperlink" Target="http://www.nevo.co.il/case/5852404"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3264</Words>
  <Characters>16321</Characters>
  <Application>Microsoft Office Word</Application>
  <DocSecurity>0</DocSecurity>
  <Lines>136</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19546</CharactersWithSpaces>
  <SharedDoc>false</SharedDoc>
  <HLinks>
    <vt:vector size="210" baseType="variant">
      <vt:variant>
        <vt:i4>393283</vt:i4>
      </vt:variant>
      <vt:variant>
        <vt:i4>102</vt:i4>
      </vt:variant>
      <vt:variant>
        <vt:i4>0</vt:i4>
      </vt:variant>
      <vt:variant>
        <vt:i4>5</vt:i4>
      </vt:variant>
      <vt:variant>
        <vt:lpwstr>http://www.nevo.co.il/advertisements/nevo-100.doc</vt:lpwstr>
      </vt:variant>
      <vt:variant>
        <vt:lpwstr/>
      </vt:variant>
      <vt:variant>
        <vt:i4>7143524</vt:i4>
      </vt:variant>
      <vt:variant>
        <vt:i4>99</vt:i4>
      </vt:variant>
      <vt:variant>
        <vt:i4>0</vt:i4>
      </vt:variant>
      <vt:variant>
        <vt:i4>5</vt:i4>
      </vt:variant>
      <vt:variant>
        <vt:lpwstr>http://www.nevo.co.il/law/70301/186</vt:lpwstr>
      </vt:variant>
      <vt:variant>
        <vt:lpwstr/>
      </vt:variant>
      <vt:variant>
        <vt:i4>7995492</vt:i4>
      </vt:variant>
      <vt:variant>
        <vt:i4>96</vt:i4>
      </vt:variant>
      <vt:variant>
        <vt:i4>0</vt:i4>
      </vt:variant>
      <vt:variant>
        <vt:i4>5</vt:i4>
      </vt:variant>
      <vt:variant>
        <vt:lpwstr>http://www.nevo.co.il/law/70301</vt:lpwstr>
      </vt:variant>
      <vt:variant>
        <vt:lpwstr/>
      </vt:variant>
      <vt:variant>
        <vt:i4>6357092</vt:i4>
      </vt:variant>
      <vt:variant>
        <vt:i4>93</vt:i4>
      </vt:variant>
      <vt:variant>
        <vt:i4>0</vt:i4>
      </vt:variant>
      <vt:variant>
        <vt:i4>5</vt:i4>
      </vt:variant>
      <vt:variant>
        <vt:lpwstr>http://www.nevo.co.il/law/70301/144</vt:lpwstr>
      </vt:variant>
      <vt:variant>
        <vt:lpwstr/>
      </vt:variant>
      <vt:variant>
        <vt:i4>7995492</vt:i4>
      </vt:variant>
      <vt:variant>
        <vt:i4>90</vt:i4>
      </vt:variant>
      <vt:variant>
        <vt:i4>0</vt:i4>
      </vt:variant>
      <vt:variant>
        <vt:i4>5</vt:i4>
      </vt:variant>
      <vt:variant>
        <vt:lpwstr>http://www.nevo.co.il/law/70301</vt:lpwstr>
      </vt:variant>
      <vt:variant>
        <vt:lpwstr/>
      </vt:variant>
      <vt:variant>
        <vt:i4>3604600</vt:i4>
      </vt:variant>
      <vt:variant>
        <vt:i4>87</vt:i4>
      </vt:variant>
      <vt:variant>
        <vt:i4>0</vt:i4>
      </vt:variant>
      <vt:variant>
        <vt:i4>5</vt:i4>
      </vt:variant>
      <vt:variant>
        <vt:lpwstr>http://www.nevo.co.il/case/25898057</vt:lpwstr>
      </vt:variant>
      <vt:variant>
        <vt:lpwstr/>
      </vt:variant>
      <vt:variant>
        <vt:i4>3866748</vt:i4>
      </vt:variant>
      <vt:variant>
        <vt:i4>84</vt:i4>
      </vt:variant>
      <vt:variant>
        <vt:i4>0</vt:i4>
      </vt:variant>
      <vt:variant>
        <vt:i4>5</vt:i4>
      </vt:variant>
      <vt:variant>
        <vt:lpwstr>http://www.nevo.co.il/case/26484690</vt:lpwstr>
      </vt:variant>
      <vt:variant>
        <vt:lpwstr/>
      </vt:variant>
      <vt:variant>
        <vt:i4>3670135</vt:i4>
      </vt:variant>
      <vt:variant>
        <vt:i4>81</vt:i4>
      </vt:variant>
      <vt:variant>
        <vt:i4>0</vt:i4>
      </vt:variant>
      <vt:variant>
        <vt:i4>5</vt:i4>
      </vt:variant>
      <vt:variant>
        <vt:lpwstr>http://www.nevo.co.il/case/21567481</vt:lpwstr>
      </vt:variant>
      <vt:variant>
        <vt:lpwstr/>
      </vt:variant>
      <vt:variant>
        <vt:i4>3407987</vt:i4>
      </vt:variant>
      <vt:variant>
        <vt:i4>78</vt:i4>
      </vt:variant>
      <vt:variant>
        <vt:i4>0</vt:i4>
      </vt:variant>
      <vt:variant>
        <vt:i4>5</vt:i4>
      </vt:variant>
      <vt:variant>
        <vt:lpwstr>http://www.nevo.co.il/case/25526059</vt:lpwstr>
      </vt:variant>
      <vt:variant>
        <vt:lpwstr/>
      </vt:variant>
      <vt:variant>
        <vt:i4>3866747</vt:i4>
      </vt:variant>
      <vt:variant>
        <vt:i4>75</vt:i4>
      </vt:variant>
      <vt:variant>
        <vt:i4>0</vt:i4>
      </vt:variant>
      <vt:variant>
        <vt:i4>5</vt:i4>
      </vt:variant>
      <vt:variant>
        <vt:lpwstr>http://www.nevo.co.il/case/23588441</vt:lpwstr>
      </vt:variant>
      <vt:variant>
        <vt:lpwstr/>
      </vt:variant>
      <vt:variant>
        <vt:i4>3539057</vt:i4>
      </vt:variant>
      <vt:variant>
        <vt:i4>72</vt:i4>
      </vt:variant>
      <vt:variant>
        <vt:i4>0</vt:i4>
      </vt:variant>
      <vt:variant>
        <vt:i4>5</vt:i4>
      </vt:variant>
      <vt:variant>
        <vt:lpwstr>http://www.nevo.co.il/case/21303448</vt:lpwstr>
      </vt:variant>
      <vt:variant>
        <vt:lpwstr/>
      </vt:variant>
      <vt:variant>
        <vt:i4>3735670</vt:i4>
      </vt:variant>
      <vt:variant>
        <vt:i4>69</vt:i4>
      </vt:variant>
      <vt:variant>
        <vt:i4>0</vt:i4>
      </vt:variant>
      <vt:variant>
        <vt:i4>5</vt:i4>
      </vt:variant>
      <vt:variant>
        <vt:lpwstr>http://www.nevo.co.il/case/25923515</vt:lpwstr>
      </vt:variant>
      <vt:variant>
        <vt:lpwstr/>
      </vt:variant>
      <vt:variant>
        <vt:i4>3604593</vt:i4>
      </vt:variant>
      <vt:variant>
        <vt:i4>66</vt:i4>
      </vt:variant>
      <vt:variant>
        <vt:i4>0</vt:i4>
      </vt:variant>
      <vt:variant>
        <vt:i4>5</vt:i4>
      </vt:variant>
      <vt:variant>
        <vt:lpwstr>http://www.nevo.co.il/case/25623200</vt:lpwstr>
      </vt:variant>
      <vt:variant>
        <vt:lpwstr/>
      </vt:variant>
      <vt:variant>
        <vt:i4>3801200</vt:i4>
      </vt:variant>
      <vt:variant>
        <vt:i4>63</vt:i4>
      </vt:variant>
      <vt:variant>
        <vt:i4>0</vt:i4>
      </vt:variant>
      <vt:variant>
        <vt:i4>5</vt:i4>
      </vt:variant>
      <vt:variant>
        <vt:lpwstr>http://www.nevo.co.il/case/21778276</vt:lpwstr>
      </vt:variant>
      <vt:variant>
        <vt:lpwstr/>
      </vt:variant>
      <vt:variant>
        <vt:i4>7995492</vt:i4>
      </vt:variant>
      <vt:variant>
        <vt:i4>60</vt:i4>
      </vt:variant>
      <vt:variant>
        <vt:i4>0</vt:i4>
      </vt:variant>
      <vt:variant>
        <vt:i4>5</vt:i4>
      </vt:variant>
      <vt:variant>
        <vt:lpwstr>http://www.nevo.co.il/law/70301</vt:lpwstr>
      </vt:variant>
      <vt:variant>
        <vt:lpwstr/>
      </vt:variant>
      <vt:variant>
        <vt:i4>5177424</vt:i4>
      </vt:variant>
      <vt:variant>
        <vt:i4>57</vt:i4>
      </vt:variant>
      <vt:variant>
        <vt:i4>0</vt:i4>
      </vt:variant>
      <vt:variant>
        <vt:i4>5</vt:i4>
      </vt:variant>
      <vt:variant>
        <vt:lpwstr>http://www.nevo.co.il/law/70301/144.b</vt:lpwstr>
      </vt:variant>
      <vt:variant>
        <vt:lpwstr/>
      </vt:variant>
      <vt:variant>
        <vt:i4>3735675</vt:i4>
      </vt:variant>
      <vt:variant>
        <vt:i4>54</vt:i4>
      </vt:variant>
      <vt:variant>
        <vt:i4>0</vt:i4>
      </vt:variant>
      <vt:variant>
        <vt:i4>5</vt:i4>
      </vt:variant>
      <vt:variant>
        <vt:lpwstr>http://www.nevo.co.il/case/7791493</vt:lpwstr>
      </vt:variant>
      <vt:variant>
        <vt:lpwstr/>
      </vt:variant>
      <vt:variant>
        <vt:i4>3407991</vt:i4>
      </vt:variant>
      <vt:variant>
        <vt:i4>51</vt:i4>
      </vt:variant>
      <vt:variant>
        <vt:i4>0</vt:i4>
      </vt:variant>
      <vt:variant>
        <vt:i4>5</vt:i4>
      </vt:variant>
      <vt:variant>
        <vt:lpwstr>http://www.nevo.co.il/case/22607175</vt:lpwstr>
      </vt:variant>
      <vt:variant>
        <vt:lpwstr/>
      </vt:variant>
      <vt:variant>
        <vt:i4>3145854</vt:i4>
      </vt:variant>
      <vt:variant>
        <vt:i4>48</vt:i4>
      </vt:variant>
      <vt:variant>
        <vt:i4>0</vt:i4>
      </vt:variant>
      <vt:variant>
        <vt:i4>5</vt:i4>
      </vt:variant>
      <vt:variant>
        <vt:lpwstr>http://www.nevo.co.il/case/22001830</vt:lpwstr>
      </vt:variant>
      <vt:variant>
        <vt:lpwstr/>
      </vt:variant>
      <vt:variant>
        <vt:i4>3473524</vt:i4>
      </vt:variant>
      <vt:variant>
        <vt:i4>45</vt:i4>
      </vt:variant>
      <vt:variant>
        <vt:i4>0</vt:i4>
      </vt:variant>
      <vt:variant>
        <vt:i4>5</vt:i4>
      </vt:variant>
      <vt:variant>
        <vt:lpwstr>http://www.nevo.co.il/case/22112345</vt:lpwstr>
      </vt:variant>
      <vt:variant>
        <vt:lpwstr/>
      </vt:variant>
      <vt:variant>
        <vt:i4>3473532</vt:i4>
      </vt:variant>
      <vt:variant>
        <vt:i4>42</vt:i4>
      </vt:variant>
      <vt:variant>
        <vt:i4>0</vt:i4>
      </vt:variant>
      <vt:variant>
        <vt:i4>5</vt:i4>
      </vt:variant>
      <vt:variant>
        <vt:lpwstr>http://www.nevo.co.il/case/6000182</vt:lpwstr>
      </vt:variant>
      <vt:variant>
        <vt:lpwstr/>
      </vt:variant>
      <vt:variant>
        <vt:i4>3145854</vt:i4>
      </vt:variant>
      <vt:variant>
        <vt:i4>39</vt:i4>
      </vt:variant>
      <vt:variant>
        <vt:i4>0</vt:i4>
      </vt:variant>
      <vt:variant>
        <vt:i4>5</vt:i4>
      </vt:variant>
      <vt:variant>
        <vt:lpwstr>http://www.nevo.co.il/case/5852404</vt:lpwstr>
      </vt:variant>
      <vt:variant>
        <vt:lpwstr/>
      </vt:variant>
      <vt:variant>
        <vt:i4>3735675</vt:i4>
      </vt:variant>
      <vt:variant>
        <vt:i4>36</vt:i4>
      </vt:variant>
      <vt:variant>
        <vt:i4>0</vt:i4>
      </vt:variant>
      <vt:variant>
        <vt:i4>5</vt:i4>
      </vt:variant>
      <vt:variant>
        <vt:lpwstr>http://www.nevo.co.il/case/7791493</vt:lpwstr>
      </vt:variant>
      <vt:variant>
        <vt:lpwstr/>
      </vt:variant>
      <vt:variant>
        <vt:i4>3670132</vt:i4>
      </vt:variant>
      <vt:variant>
        <vt:i4>33</vt:i4>
      </vt:variant>
      <vt:variant>
        <vt:i4>0</vt:i4>
      </vt:variant>
      <vt:variant>
        <vt:i4>5</vt:i4>
      </vt:variant>
      <vt:variant>
        <vt:lpwstr>http://www.nevo.co.il/case/16913730</vt:lpwstr>
      </vt:variant>
      <vt:variant>
        <vt:lpwstr/>
      </vt:variant>
      <vt:variant>
        <vt:i4>3539061</vt:i4>
      </vt:variant>
      <vt:variant>
        <vt:i4>30</vt:i4>
      </vt:variant>
      <vt:variant>
        <vt:i4>0</vt:i4>
      </vt:variant>
      <vt:variant>
        <vt:i4>5</vt:i4>
      </vt:variant>
      <vt:variant>
        <vt:lpwstr>http://www.nevo.co.il/case/28513828</vt:lpwstr>
      </vt:variant>
      <vt:variant>
        <vt:lpwstr/>
      </vt:variant>
      <vt:variant>
        <vt:i4>3211389</vt:i4>
      </vt:variant>
      <vt:variant>
        <vt:i4>27</vt:i4>
      </vt:variant>
      <vt:variant>
        <vt:i4>0</vt:i4>
      </vt:variant>
      <vt:variant>
        <vt:i4>5</vt:i4>
      </vt:variant>
      <vt:variant>
        <vt:lpwstr>http://www.nevo.co.il/case/27163810</vt:lpwstr>
      </vt:variant>
      <vt:variant>
        <vt:lpwstr/>
      </vt:variant>
      <vt:variant>
        <vt:i4>3670131</vt:i4>
      </vt:variant>
      <vt:variant>
        <vt:i4>24</vt:i4>
      </vt:variant>
      <vt:variant>
        <vt:i4>0</vt:i4>
      </vt:variant>
      <vt:variant>
        <vt:i4>5</vt:i4>
      </vt:variant>
      <vt:variant>
        <vt:lpwstr>http://www.nevo.co.il/case/26904171</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7143524</vt:i4>
      </vt:variant>
      <vt:variant>
        <vt:i4>15</vt:i4>
      </vt:variant>
      <vt:variant>
        <vt:i4>0</vt:i4>
      </vt:variant>
      <vt:variant>
        <vt:i4>5</vt:i4>
      </vt:variant>
      <vt:variant>
        <vt:lpwstr>http://www.nevo.co.il/law/70301/186</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6357092</vt:i4>
      </vt:variant>
      <vt:variant>
        <vt:i4>6</vt:i4>
      </vt:variant>
      <vt:variant>
        <vt:i4>0</vt:i4>
      </vt:variant>
      <vt:variant>
        <vt:i4>5</vt:i4>
      </vt:variant>
      <vt:variant>
        <vt:lpwstr>http://www.nevo.co.il/law/70301/144</vt:lpwstr>
      </vt:variant>
      <vt:variant>
        <vt:lpwstr/>
      </vt:variant>
      <vt:variant>
        <vt:i4>7995492</vt:i4>
      </vt:variant>
      <vt:variant>
        <vt:i4>3</vt:i4>
      </vt:variant>
      <vt:variant>
        <vt:i4>0</vt:i4>
      </vt:variant>
      <vt:variant>
        <vt:i4>5</vt:i4>
      </vt:variant>
      <vt:variant>
        <vt:lpwstr>http://www.nevo.co.il/law/70301</vt:lpwstr>
      </vt:variant>
      <vt:variant>
        <vt:lpwstr/>
      </vt:variant>
      <vt:variant>
        <vt:i4>3473520</vt:i4>
      </vt:variant>
      <vt:variant>
        <vt:i4>0</vt:i4>
      </vt:variant>
      <vt:variant>
        <vt:i4>0</vt:i4>
      </vt:variant>
      <vt:variant>
        <vt:i4>5</vt:i4>
      </vt:variant>
      <vt:variant>
        <vt:lpwstr>http://www.nevo.co.il/case/26908264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2025-01-19T17:44:00Z</dcterms:created>
  <dcterms:modified xsi:type="dcterms:W3CDTF">2025-01-19T17:44:00Z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17057</vt:lpwstr>
  </property>
  <property fmtid="{D5CDD505-2E9C-101B-9397-08002B2CF9AE}" pid="6" name="NEWPARTB">
    <vt:lpwstr>08</vt:lpwstr>
  </property>
  <property fmtid="{D5CDD505-2E9C-101B-9397-08002B2CF9AE}" pid="7" name="NEWPARTC">
    <vt:lpwstr>20</vt:lpwstr>
  </property>
  <property fmtid="{D5CDD505-2E9C-101B-9397-08002B2CF9AE}" pid="8" name="APPELLANT">
    <vt:lpwstr>מדינת ישראל </vt:lpwstr>
  </property>
  <property fmtid="{D5CDD505-2E9C-101B-9397-08002B2CF9AE}" pid="9" name="APPELLEE">
    <vt:lpwstr>נאיף בן מוחמד אבו עראר</vt:lpwstr>
  </property>
  <property fmtid="{D5CDD505-2E9C-101B-9397-08002B2CF9AE}" pid="10" name="LAWYER">
    <vt:lpwstr>גנית אטיאס;נאצר אלעטאונה</vt:lpwstr>
  </property>
  <property fmtid="{D5CDD505-2E9C-101B-9397-08002B2CF9AE}" pid="11" name="JUDGE">
    <vt:lpwstr>רון סולקין</vt:lpwstr>
  </property>
  <property fmtid="{D5CDD505-2E9C-101B-9397-08002B2CF9AE}" pid="12" name="CITY">
    <vt:lpwstr>ב"ש</vt:lpwstr>
  </property>
  <property fmtid="{D5CDD505-2E9C-101B-9397-08002B2CF9AE}" pid="13" name="DATE">
    <vt:lpwstr>20240219</vt:lpwstr>
  </property>
  <property fmtid="{D5CDD505-2E9C-101B-9397-08002B2CF9AE}" pid="14" name="TYPE_N_DATE">
    <vt:lpwstr>38020240219</vt:lpwstr>
  </property>
  <property fmtid="{D5CDD505-2E9C-101B-9397-08002B2CF9AE}" pid="15" name="CASESLISTTMP1">
    <vt:lpwstr>26908264;26904171;27163810;28513828;16913730;7791493:2;5852404;6000182;22112345;22001830;22607175;21778276;25623200;25923515;21303448;23588441;25526059;21567481;26484690;25898057</vt:lpwstr>
  </property>
  <property fmtid="{D5CDD505-2E9C-101B-9397-08002B2CF9AE}" pid="16" name="WORDNUMPAGES">
    <vt:lpwstr>11</vt:lpwstr>
  </property>
  <property fmtid="{D5CDD505-2E9C-101B-9397-08002B2CF9AE}" pid="17" name="TYPE_ABS_DATE">
    <vt:lpwstr>380020240219</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70301/144.a;144.b;144;186</vt:lpwstr>
  </property>
</Properties>
</file>