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B3176" w:rsidRPr="008158BE" w14:paraId="367E04FB" w14:textId="77777777" w:rsidTr="00105311">
        <w:trPr>
          <w:trHeight w:hRule="exact" w:val="418"/>
          <w:jc w:val="center"/>
        </w:trPr>
        <w:tc>
          <w:tcPr>
            <w:tcW w:w="8721" w:type="dxa"/>
            <w:gridSpan w:val="2"/>
          </w:tcPr>
          <w:p w14:paraId="60CD13D0" w14:textId="77777777" w:rsidR="00DB3176" w:rsidRPr="008158BE" w:rsidRDefault="00DB3176" w:rsidP="007B37D9">
            <w:pPr>
              <w:pStyle w:val="a4"/>
              <w:jc w:val="center"/>
              <w:rPr>
                <w:rFonts w:ascii="Tahoma" w:hAnsi="Tahoma" w:cs="Tahoma"/>
                <w:color w:val="000080"/>
                <w:rtl/>
              </w:rPr>
            </w:pPr>
            <w:r w:rsidRPr="008158BE">
              <w:rPr>
                <w:rFonts w:ascii="Tahoma" w:hAnsi="Tahoma" w:cs="Tahoma"/>
                <w:b/>
                <w:bCs/>
                <w:color w:val="000080"/>
                <w:rtl/>
              </w:rPr>
              <w:t>בית משפט השלום בבאר שבע</w:t>
            </w:r>
          </w:p>
        </w:tc>
      </w:tr>
      <w:tr w:rsidR="00DB3176" w:rsidRPr="008158BE" w14:paraId="2DB3B0D2" w14:textId="77777777" w:rsidTr="00105311">
        <w:trPr>
          <w:trHeight w:val="337"/>
          <w:jc w:val="center"/>
        </w:trPr>
        <w:tc>
          <w:tcPr>
            <w:tcW w:w="5054" w:type="dxa"/>
          </w:tcPr>
          <w:p w14:paraId="1B91D2AC" w14:textId="77777777" w:rsidR="00DB3176" w:rsidRPr="008158BE" w:rsidRDefault="00DB3176" w:rsidP="007B37D9">
            <w:pPr>
              <w:rPr>
                <w:rFonts w:cs="FrankRuehl"/>
                <w:sz w:val="28"/>
                <w:szCs w:val="28"/>
                <w:rtl/>
              </w:rPr>
            </w:pPr>
            <w:r w:rsidRPr="008158BE">
              <w:rPr>
                <w:rFonts w:cs="FrankRuehl"/>
                <w:sz w:val="28"/>
                <w:szCs w:val="28"/>
                <w:rtl/>
              </w:rPr>
              <w:t>ת"פ</w:t>
            </w:r>
            <w:r w:rsidRPr="008158BE">
              <w:rPr>
                <w:rFonts w:cs="FrankRuehl" w:hint="cs"/>
                <w:sz w:val="28"/>
                <w:szCs w:val="28"/>
                <w:rtl/>
              </w:rPr>
              <w:t xml:space="preserve"> </w:t>
            </w:r>
            <w:r w:rsidRPr="008158BE">
              <w:rPr>
                <w:rFonts w:cs="FrankRuehl"/>
                <w:sz w:val="28"/>
                <w:szCs w:val="28"/>
                <w:rtl/>
              </w:rPr>
              <w:t>36608-09-20</w:t>
            </w:r>
            <w:r w:rsidRPr="008158BE">
              <w:rPr>
                <w:rFonts w:cs="FrankRuehl" w:hint="cs"/>
                <w:sz w:val="28"/>
                <w:szCs w:val="28"/>
                <w:rtl/>
              </w:rPr>
              <w:t xml:space="preserve"> </w:t>
            </w:r>
            <w:r w:rsidRPr="008158BE">
              <w:rPr>
                <w:rFonts w:cs="FrankRuehl"/>
                <w:sz w:val="28"/>
                <w:szCs w:val="28"/>
                <w:rtl/>
              </w:rPr>
              <w:t>מדינת ישראל נ' אבו אל קיעאן ואח'</w:t>
            </w:r>
          </w:p>
          <w:p w14:paraId="444BE0E2" w14:textId="77777777" w:rsidR="00DB3176" w:rsidRPr="008158BE" w:rsidRDefault="00DB3176" w:rsidP="007B37D9">
            <w:pPr>
              <w:pStyle w:val="a4"/>
              <w:rPr>
                <w:rFonts w:cs="FrankRuehl"/>
                <w:sz w:val="28"/>
                <w:szCs w:val="28"/>
                <w:rtl/>
              </w:rPr>
            </w:pPr>
          </w:p>
        </w:tc>
        <w:tc>
          <w:tcPr>
            <w:tcW w:w="3667" w:type="dxa"/>
          </w:tcPr>
          <w:p w14:paraId="2DFF141F" w14:textId="77777777" w:rsidR="00DB3176" w:rsidRPr="008158BE" w:rsidRDefault="00DB3176" w:rsidP="007B37D9">
            <w:pPr>
              <w:pStyle w:val="a4"/>
              <w:jc w:val="right"/>
              <w:rPr>
                <w:rFonts w:cs="FrankRuehl"/>
                <w:sz w:val="28"/>
                <w:szCs w:val="28"/>
                <w:rtl/>
              </w:rPr>
            </w:pPr>
          </w:p>
        </w:tc>
      </w:tr>
    </w:tbl>
    <w:p w14:paraId="61932DAC" w14:textId="77777777" w:rsidR="00DB3176" w:rsidRPr="008158BE" w:rsidRDefault="00DB3176" w:rsidP="00105311">
      <w:pPr>
        <w:pStyle w:val="a4"/>
        <w:rPr>
          <w:rtl/>
        </w:rPr>
      </w:pPr>
      <w:r w:rsidRPr="008158B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B3176" w:rsidRPr="008158BE" w14:paraId="75A11018" w14:textId="77777777" w:rsidTr="00DB3176">
        <w:trPr>
          <w:trHeight w:val="295"/>
          <w:jc w:val="center"/>
        </w:trPr>
        <w:tc>
          <w:tcPr>
            <w:tcW w:w="923" w:type="dxa"/>
            <w:tcBorders>
              <w:top w:val="nil"/>
              <w:left w:val="nil"/>
              <w:bottom w:val="nil"/>
              <w:right w:val="nil"/>
            </w:tcBorders>
            <w:shd w:val="clear" w:color="auto" w:fill="auto"/>
          </w:tcPr>
          <w:p w14:paraId="664C00F7" w14:textId="77777777" w:rsidR="00DB3176" w:rsidRPr="008158BE" w:rsidRDefault="00DB3176" w:rsidP="00DB3176">
            <w:pPr>
              <w:jc w:val="both"/>
              <w:rPr>
                <w:rFonts w:ascii="David" w:hAnsi="David"/>
                <w:sz w:val="26"/>
                <w:szCs w:val="26"/>
              </w:rPr>
            </w:pPr>
            <w:r w:rsidRPr="008158BE">
              <w:rPr>
                <w:rFonts w:ascii="David" w:hAnsi="David" w:hint="cs"/>
                <w:sz w:val="26"/>
                <w:szCs w:val="26"/>
                <w:rtl/>
              </w:rPr>
              <w:t>ל</w:t>
            </w:r>
            <w:r w:rsidRPr="008158B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CCDE9A3" w14:textId="77777777" w:rsidR="00DB3176" w:rsidRPr="008158BE" w:rsidRDefault="00DB3176" w:rsidP="007B37D9">
            <w:pPr>
              <w:rPr>
                <w:rFonts w:ascii="David" w:hAnsi="David"/>
                <w:b/>
                <w:bCs/>
                <w:sz w:val="26"/>
                <w:szCs w:val="26"/>
                <w:rtl/>
              </w:rPr>
            </w:pPr>
            <w:r w:rsidRPr="008158BE">
              <w:rPr>
                <w:rFonts w:ascii="David" w:hAnsi="David"/>
                <w:b/>
                <w:bCs/>
                <w:sz w:val="26"/>
                <w:szCs w:val="26"/>
                <w:rtl/>
              </w:rPr>
              <w:t>כבוד השופט, סגן הנשיא  אבישי כהן</w:t>
            </w:r>
          </w:p>
          <w:p w14:paraId="5288C6E3" w14:textId="77777777" w:rsidR="00DB3176" w:rsidRPr="008158BE" w:rsidRDefault="00DB3176" w:rsidP="007B37D9">
            <w:pPr>
              <w:rPr>
                <w:rFonts w:ascii="David" w:hAnsi="David"/>
                <w:sz w:val="26"/>
                <w:szCs w:val="26"/>
                <w:rtl/>
              </w:rPr>
            </w:pPr>
          </w:p>
          <w:p w14:paraId="6442E6E7" w14:textId="77777777" w:rsidR="00DB3176" w:rsidRPr="008158BE" w:rsidRDefault="00DB3176" w:rsidP="00DB3176">
            <w:pPr>
              <w:jc w:val="both"/>
              <w:rPr>
                <w:rFonts w:ascii="David" w:hAnsi="David"/>
                <w:sz w:val="26"/>
                <w:szCs w:val="26"/>
              </w:rPr>
            </w:pPr>
          </w:p>
        </w:tc>
      </w:tr>
      <w:tr w:rsidR="00DB3176" w:rsidRPr="008158BE" w14:paraId="1A5FBBB6" w14:textId="77777777" w:rsidTr="00DB3176">
        <w:trPr>
          <w:trHeight w:val="355"/>
          <w:jc w:val="center"/>
        </w:trPr>
        <w:tc>
          <w:tcPr>
            <w:tcW w:w="923" w:type="dxa"/>
            <w:tcBorders>
              <w:top w:val="nil"/>
              <w:left w:val="nil"/>
              <w:bottom w:val="nil"/>
              <w:right w:val="nil"/>
            </w:tcBorders>
            <w:shd w:val="clear" w:color="auto" w:fill="auto"/>
          </w:tcPr>
          <w:p w14:paraId="3EF3634D" w14:textId="77777777" w:rsidR="00DB3176" w:rsidRPr="008158BE" w:rsidRDefault="00DB3176" w:rsidP="00DB3176">
            <w:pPr>
              <w:jc w:val="both"/>
              <w:rPr>
                <w:rFonts w:ascii="David" w:hAnsi="David"/>
                <w:sz w:val="26"/>
                <w:szCs w:val="26"/>
              </w:rPr>
            </w:pPr>
            <w:bookmarkStart w:id="0" w:name="FirstAppellant"/>
            <w:bookmarkStart w:id="1" w:name="FirstLawyer"/>
            <w:bookmarkStart w:id="2" w:name="LastJudge"/>
            <w:bookmarkEnd w:id="2"/>
            <w:r w:rsidRPr="008158BE">
              <w:rPr>
                <w:rFonts w:ascii="David" w:hAnsi="David"/>
                <w:sz w:val="26"/>
                <w:szCs w:val="26"/>
                <w:rtl/>
              </w:rPr>
              <w:t>בעניין:</w:t>
            </w:r>
          </w:p>
        </w:tc>
        <w:tc>
          <w:tcPr>
            <w:tcW w:w="3219" w:type="dxa"/>
            <w:tcBorders>
              <w:top w:val="nil"/>
              <w:left w:val="nil"/>
              <w:bottom w:val="nil"/>
              <w:right w:val="nil"/>
            </w:tcBorders>
            <w:shd w:val="clear" w:color="auto" w:fill="auto"/>
          </w:tcPr>
          <w:p w14:paraId="1A35611C" w14:textId="77777777" w:rsidR="00DB3176" w:rsidRPr="008158BE" w:rsidRDefault="00DB3176" w:rsidP="00DB3176">
            <w:pPr>
              <w:suppressLineNumbers/>
            </w:pPr>
            <w:r w:rsidRPr="008158BE">
              <w:rPr>
                <w:rFonts w:ascii="Arial" w:hAnsi="Arial" w:hint="cs"/>
                <w:b/>
                <w:bCs/>
                <w:sz w:val="26"/>
                <w:szCs w:val="26"/>
                <w:rtl/>
              </w:rPr>
              <w:t>ה</w:t>
            </w:r>
            <w:r w:rsidRPr="008158BE">
              <w:rPr>
                <w:rFonts w:ascii="Arial" w:hAnsi="Arial"/>
                <w:b/>
                <w:bCs/>
                <w:sz w:val="26"/>
                <w:szCs w:val="26"/>
                <w:rtl/>
              </w:rPr>
              <w:t>מאשימה</w:t>
            </w:r>
          </w:p>
          <w:p w14:paraId="0CDB2460" w14:textId="77777777" w:rsidR="00DB3176" w:rsidRPr="008158BE" w:rsidRDefault="00DB3176" w:rsidP="007B37D9">
            <w:pPr>
              <w:rPr>
                <w:rFonts w:ascii="David" w:hAnsi="David"/>
                <w:sz w:val="26"/>
                <w:szCs w:val="26"/>
              </w:rPr>
            </w:pPr>
          </w:p>
        </w:tc>
        <w:tc>
          <w:tcPr>
            <w:tcW w:w="4678" w:type="dxa"/>
            <w:tcBorders>
              <w:top w:val="nil"/>
              <w:left w:val="nil"/>
              <w:bottom w:val="nil"/>
              <w:right w:val="nil"/>
            </w:tcBorders>
            <w:shd w:val="clear" w:color="auto" w:fill="auto"/>
            <w:vAlign w:val="center"/>
          </w:tcPr>
          <w:p w14:paraId="4E0F2900" w14:textId="77777777" w:rsidR="00DB3176" w:rsidRPr="008158BE" w:rsidRDefault="00DB3176" w:rsidP="00DB3176">
            <w:pPr>
              <w:suppressLineNumbers/>
              <w:rPr>
                <w:rFonts w:ascii="Arial" w:hAnsi="Arial"/>
                <w:b/>
                <w:bCs/>
                <w:sz w:val="26"/>
                <w:szCs w:val="26"/>
                <w:rtl/>
              </w:rPr>
            </w:pPr>
            <w:r w:rsidRPr="008158BE">
              <w:rPr>
                <w:rFonts w:ascii="Arial" w:hAnsi="Arial"/>
                <w:b/>
                <w:bCs/>
                <w:sz w:val="26"/>
                <w:szCs w:val="26"/>
                <w:rtl/>
              </w:rPr>
              <w:t>מדינת ישראל</w:t>
            </w:r>
            <w:r w:rsidRPr="008158BE">
              <w:rPr>
                <w:rFonts w:ascii="Arial" w:hAnsi="Arial" w:hint="cs"/>
                <w:b/>
                <w:bCs/>
                <w:sz w:val="26"/>
                <w:szCs w:val="26"/>
                <w:rtl/>
              </w:rPr>
              <w:t xml:space="preserve"> </w:t>
            </w:r>
          </w:p>
          <w:p w14:paraId="36A4D2B2" w14:textId="77777777" w:rsidR="00DB3176" w:rsidRPr="008158BE" w:rsidRDefault="00DB3176" w:rsidP="00DB3176">
            <w:pPr>
              <w:suppressLineNumbers/>
            </w:pPr>
            <w:r w:rsidRPr="008158BE">
              <w:rPr>
                <w:rFonts w:ascii="Arial" w:hAnsi="Arial"/>
                <w:b/>
                <w:bCs/>
                <w:sz w:val="26"/>
                <w:szCs w:val="26"/>
                <w:rtl/>
              </w:rPr>
              <w:t>ע"י ב"כ עוה"</w:t>
            </w:r>
            <w:r w:rsidRPr="008158BE">
              <w:rPr>
                <w:rFonts w:ascii="Arial" w:hAnsi="Arial" w:hint="cs"/>
                <w:b/>
                <w:bCs/>
                <w:sz w:val="26"/>
                <w:szCs w:val="26"/>
                <w:rtl/>
              </w:rPr>
              <w:t>ד כרמית כהן</w:t>
            </w:r>
          </w:p>
          <w:p w14:paraId="6C33CD81" w14:textId="77777777" w:rsidR="00DB3176" w:rsidRPr="008158BE" w:rsidRDefault="00DB3176" w:rsidP="007B37D9">
            <w:pPr>
              <w:rPr>
                <w:rFonts w:ascii="David" w:hAnsi="David"/>
                <w:sz w:val="26"/>
                <w:szCs w:val="26"/>
              </w:rPr>
            </w:pPr>
          </w:p>
        </w:tc>
      </w:tr>
      <w:bookmarkEnd w:id="0"/>
      <w:bookmarkEnd w:id="1"/>
      <w:tr w:rsidR="00DB3176" w:rsidRPr="008158BE" w14:paraId="45BEE494" w14:textId="77777777" w:rsidTr="00DB3176">
        <w:trPr>
          <w:trHeight w:val="355"/>
          <w:jc w:val="center"/>
        </w:trPr>
        <w:tc>
          <w:tcPr>
            <w:tcW w:w="923" w:type="dxa"/>
            <w:tcBorders>
              <w:top w:val="nil"/>
              <w:left w:val="nil"/>
              <w:bottom w:val="nil"/>
              <w:right w:val="nil"/>
            </w:tcBorders>
            <w:shd w:val="clear" w:color="auto" w:fill="auto"/>
          </w:tcPr>
          <w:p w14:paraId="65B0F3AE" w14:textId="77777777" w:rsidR="00DB3176" w:rsidRPr="008158BE" w:rsidRDefault="00DB3176" w:rsidP="00DB317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0814DC0" w14:textId="77777777" w:rsidR="00DB3176" w:rsidRPr="008158BE" w:rsidRDefault="00DB3176" w:rsidP="00DB3176">
            <w:pPr>
              <w:jc w:val="center"/>
              <w:rPr>
                <w:rFonts w:ascii="David" w:hAnsi="David"/>
                <w:b/>
                <w:bCs/>
                <w:sz w:val="26"/>
                <w:szCs w:val="26"/>
                <w:rtl/>
              </w:rPr>
            </w:pPr>
            <w:r w:rsidRPr="008158BE">
              <w:rPr>
                <w:rFonts w:ascii="David" w:hAnsi="David"/>
                <w:b/>
                <w:bCs/>
                <w:sz w:val="26"/>
                <w:szCs w:val="26"/>
                <w:rtl/>
              </w:rPr>
              <w:t>נגד</w:t>
            </w:r>
          </w:p>
          <w:p w14:paraId="0B909C0A" w14:textId="77777777" w:rsidR="00DB3176" w:rsidRPr="008158BE" w:rsidRDefault="00DB3176" w:rsidP="00DB3176">
            <w:pPr>
              <w:jc w:val="both"/>
              <w:rPr>
                <w:rFonts w:ascii="David" w:hAnsi="David"/>
                <w:sz w:val="26"/>
                <w:szCs w:val="26"/>
              </w:rPr>
            </w:pPr>
          </w:p>
        </w:tc>
      </w:tr>
      <w:tr w:rsidR="00DB3176" w:rsidRPr="008158BE" w14:paraId="5C7D282F" w14:textId="77777777" w:rsidTr="00DB3176">
        <w:trPr>
          <w:trHeight w:val="355"/>
          <w:jc w:val="center"/>
        </w:trPr>
        <w:tc>
          <w:tcPr>
            <w:tcW w:w="923" w:type="dxa"/>
            <w:tcBorders>
              <w:top w:val="nil"/>
              <w:left w:val="nil"/>
              <w:bottom w:val="nil"/>
              <w:right w:val="nil"/>
            </w:tcBorders>
            <w:shd w:val="clear" w:color="auto" w:fill="auto"/>
          </w:tcPr>
          <w:p w14:paraId="4753DD67" w14:textId="77777777" w:rsidR="00DB3176" w:rsidRPr="008158BE" w:rsidRDefault="00DB3176" w:rsidP="007B37D9">
            <w:pPr>
              <w:rPr>
                <w:rFonts w:ascii="David" w:hAnsi="David"/>
                <w:sz w:val="26"/>
                <w:szCs w:val="26"/>
                <w:rtl/>
              </w:rPr>
            </w:pPr>
          </w:p>
        </w:tc>
        <w:tc>
          <w:tcPr>
            <w:tcW w:w="3219" w:type="dxa"/>
            <w:tcBorders>
              <w:top w:val="nil"/>
              <w:left w:val="nil"/>
              <w:bottom w:val="nil"/>
              <w:right w:val="nil"/>
            </w:tcBorders>
            <w:shd w:val="clear" w:color="auto" w:fill="auto"/>
          </w:tcPr>
          <w:p w14:paraId="776197E0" w14:textId="77777777" w:rsidR="00DB3176" w:rsidRPr="008158BE" w:rsidRDefault="00DB3176" w:rsidP="007B37D9">
            <w:pPr>
              <w:rPr>
                <w:rFonts w:ascii="Arial" w:hAnsi="Arial"/>
                <w:b/>
                <w:bCs/>
                <w:sz w:val="26"/>
                <w:szCs w:val="26"/>
                <w:rtl/>
              </w:rPr>
            </w:pPr>
            <w:r w:rsidRPr="008158BE">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760C55F2" w14:textId="77777777" w:rsidR="00DB3176" w:rsidRPr="008158BE" w:rsidRDefault="00DB3176" w:rsidP="007B37D9">
            <w:pPr>
              <w:rPr>
                <w:rFonts w:ascii="David" w:hAnsi="David"/>
                <w:sz w:val="26"/>
                <w:szCs w:val="26"/>
              </w:rPr>
            </w:pPr>
          </w:p>
          <w:p w14:paraId="524A2291" w14:textId="77777777" w:rsidR="00DB3176" w:rsidRPr="008158BE" w:rsidRDefault="00DB3176" w:rsidP="00DB3176">
            <w:pPr>
              <w:suppressLineNumbers/>
            </w:pPr>
            <w:r w:rsidRPr="008158BE">
              <w:rPr>
                <w:rFonts w:ascii="Arial" w:hAnsi="Arial"/>
                <w:b/>
                <w:bCs/>
                <w:sz w:val="26"/>
                <w:szCs w:val="26"/>
                <w:rtl/>
              </w:rPr>
              <w:t>1. הינו אבו אל קיעאן</w:t>
            </w:r>
            <w:r w:rsidRPr="008158BE">
              <w:rPr>
                <w:rFonts w:ascii="Arial" w:hAnsi="Arial" w:hint="cs"/>
                <w:b/>
                <w:bCs/>
                <w:sz w:val="26"/>
                <w:szCs w:val="26"/>
                <w:rtl/>
              </w:rPr>
              <w:t xml:space="preserve"> - בעצמו</w:t>
            </w:r>
          </w:p>
          <w:p w14:paraId="011D060C" w14:textId="77777777" w:rsidR="00DB3176" w:rsidRPr="008158BE" w:rsidRDefault="00DB3176" w:rsidP="00DB3176">
            <w:pPr>
              <w:suppressLineNumbers/>
              <w:rPr>
                <w:rFonts w:ascii="Arial" w:hAnsi="Arial"/>
                <w:b/>
                <w:bCs/>
                <w:sz w:val="26"/>
                <w:szCs w:val="26"/>
                <w:rtl/>
              </w:rPr>
            </w:pPr>
            <w:r w:rsidRPr="008158BE">
              <w:rPr>
                <w:rFonts w:ascii="Arial" w:hAnsi="Arial"/>
                <w:b/>
                <w:bCs/>
                <w:sz w:val="26"/>
                <w:szCs w:val="26"/>
                <w:rtl/>
              </w:rPr>
              <w:t>2. רנין אבו אל גיעאן</w:t>
            </w:r>
            <w:r w:rsidRPr="008158BE">
              <w:rPr>
                <w:rFonts w:ascii="Arial" w:hAnsi="Arial" w:hint="cs"/>
                <w:b/>
                <w:bCs/>
                <w:sz w:val="26"/>
                <w:szCs w:val="26"/>
                <w:rtl/>
              </w:rPr>
              <w:t xml:space="preserve"> - בעצמה</w:t>
            </w:r>
          </w:p>
          <w:p w14:paraId="517DA704" w14:textId="77777777" w:rsidR="00DB3176" w:rsidRPr="008158BE" w:rsidRDefault="00DB3176" w:rsidP="00DB3176">
            <w:pPr>
              <w:suppressLineNumbers/>
            </w:pPr>
            <w:r w:rsidRPr="008158BE">
              <w:rPr>
                <w:rFonts w:ascii="Arial" w:hAnsi="Arial"/>
                <w:b/>
                <w:bCs/>
                <w:sz w:val="26"/>
                <w:szCs w:val="26"/>
                <w:rtl/>
              </w:rPr>
              <w:t>ע"י ב"כ עוה"</w:t>
            </w:r>
            <w:r w:rsidRPr="008158BE">
              <w:rPr>
                <w:rFonts w:ascii="Arial" w:hAnsi="Arial" w:hint="cs"/>
                <w:b/>
                <w:bCs/>
                <w:sz w:val="26"/>
                <w:szCs w:val="26"/>
                <w:rtl/>
              </w:rPr>
              <w:t>ד עבד חאג' יחיא ממשרדו של עו"ד דרויש נאשף</w:t>
            </w:r>
            <w:r w:rsidRPr="008158BE">
              <w:rPr>
                <w:rFonts w:hint="cs"/>
                <w:rtl/>
              </w:rPr>
              <w:t xml:space="preserve"> </w:t>
            </w:r>
          </w:p>
        </w:tc>
      </w:tr>
    </w:tbl>
    <w:p w14:paraId="487B6F50" w14:textId="77777777" w:rsidR="008158BE" w:rsidRPr="008158BE" w:rsidRDefault="008158BE" w:rsidP="008158BE">
      <w:pPr>
        <w:spacing w:before="120" w:after="120" w:line="240" w:lineRule="exact"/>
        <w:ind w:left="283" w:hanging="283"/>
        <w:jc w:val="both"/>
        <w:rPr>
          <w:rFonts w:ascii="FrankRuehl" w:hAnsi="FrankRuehl" w:cs="FrankRuehl"/>
          <w:rtl/>
        </w:rPr>
      </w:pPr>
    </w:p>
    <w:p w14:paraId="426A1A8B" w14:textId="77777777" w:rsidR="00105311" w:rsidRPr="00105311" w:rsidRDefault="00105311" w:rsidP="00105311">
      <w:pPr>
        <w:spacing w:before="120" w:after="120" w:line="240" w:lineRule="exact"/>
        <w:ind w:left="283" w:hanging="283"/>
        <w:jc w:val="both"/>
        <w:rPr>
          <w:rFonts w:ascii="FrankRuehl" w:hAnsi="FrankRuehl" w:cs="FrankRuehl"/>
          <w:rtl/>
        </w:rPr>
      </w:pPr>
      <w:bookmarkStart w:id="3" w:name="LawTable"/>
      <w:bookmarkEnd w:id="3"/>
    </w:p>
    <w:p w14:paraId="7B890F19" w14:textId="77777777" w:rsidR="00105311" w:rsidRPr="00105311" w:rsidRDefault="00105311" w:rsidP="00105311">
      <w:pPr>
        <w:spacing w:before="120" w:after="120" w:line="240" w:lineRule="exact"/>
        <w:ind w:left="283" w:hanging="283"/>
        <w:jc w:val="both"/>
        <w:rPr>
          <w:rFonts w:ascii="FrankRuehl" w:hAnsi="FrankRuehl" w:cs="FrankRuehl"/>
          <w:rtl/>
        </w:rPr>
      </w:pPr>
      <w:r w:rsidRPr="00105311">
        <w:rPr>
          <w:rFonts w:ascii="FrankRuehl" w:hAnsi="FrankRuehl" w:cs="FrankRuehl"/>
          <w:rtl/>
        </w:rPr>
        <w:t xml:space="preserve">חקיקה שאוזכרה: </w:t>
      </w:r>
    </w:p>
    <w:p w14:paraId="541532A8" w14:textId="77777777" w:rsidR="00105311" w:rsidRDefault="00105311" w:rsidP="00105311">
      <w:pPr>
        <w:spacing w:before="120" w:after="120" w:line="240" w:lineRule="exact"/>
        <w:ind w:left="283" w:hanging="283"/>
        <w:jc w:val="both"/>
        <w:rPr>
          <w:rFonts w:ascii="FrankRuehl" w:hAnsi="FrankRuehl" w:cs="FrankRuehl" w:hint="cs"/>
          <w:color w:val="0000FF"/>
          <w:rtl/>
        </w:rPr>
      </w:pPr>
      <w:hyperlink r:id="rId7" w:history="1">
        <w:r w:rsidRPr="00105311">
          <w:rPr>
            <w:rStyle w:val="Hyperlink"/>
            <w:rFonts w:ascii="FrankRuehl" w:hAnsi="FrankRuehl" w:cs="FrankRuehl"/>
            <w:u w:val="none"/>
            <w:rtl/>
          </w:rPr>
          <w:t>חוק העונשין, תשל"ז-1977</w:t>
        </w:r>
      </w:hyperlink>
      <w:r w:rsidRPr="00105311">
        <w:rPr>
          <w:rFonts w:ascii="FrankRuehl" w:hAnsi="FrankRuehl" w:cs="FrankRuehl"/>
          <w:color w:val="0000FF"/>
          <w:rtl/>
        </w:rPr>
        <w:t xml:space="preserve">: סע'  </w:t>
      </w:r>
      <w:hyperlink r:id="rId8" w:history="1">
        <w:r w:rsidRPr="00105311">
          <w:rPr>
            <w:rStyle w:val="Hyperlink"/>
            <w:rFonts w:ascii="FrankRuehl" w:hAnsi="FrankRuehl" w:cs="FrankRuehl"/>
            <w:u w:val="none"/>
          </w:rPr>
          <w:t xml:space="preserve">40 </w:t>
        </w:r>
        <w:r w:rsidRPr="00105311">
          <w:rPr>
            <w:rStyle w:val="Hyperlink"/>
            <w:rFonts w:ascii="FrankRuehl" w:hAnsi="FrankRuehl" w:cs="FrankRuehl"/>
            <w:u w:val="none"/>
            <w:rtl/>
          </w:rPr>
          <w:t>ט</w:t>
        </w:r>
        <w:r w:rsidRPr="00105311">
          <w:rPr>
            <w:rStyle w:val="Hyperlink"/>
            <w:rFonts w:ascii="FrankRuehl" w:hAnsi="FrankRuehl" w:cs="FrankRuehl"/>
            <w:u w:val="none"/>
          </w:rPr>
          <w:t>'</w:t>
        </w:r>
      </w:hyperlink>
      <w:r w:rsidRPr="00105311">
        <w:rPr>
          <w:rFonts w:ascii="FrankRuehl" w:hAnsi="FrankRuehl" w:cs="FrankRuehl"/>
          <w:color w:val="0000FF"/>
          <w:rtl/>
        </w:rPr>
        <w:t xml:space="preserve">, </w:t>
      </w:r>
      <w:hyperlink r:id="rId9" w:history="1">
        <w:r w:rsidRPr="00105311">
          <w:rPr>
            <w:rStyle w:val="Hyperlink"/>
            <w:rFonts w:ascii="FrankRuehl" w:hAnsi="FrankRuehl" w:cs="FrankRuehl"/>
            <w:u w:val="none"/>
          </w:rPr>
          <w:t>144</w:t>
        </w:r>
      </w:hyperlink>
      <w:r w:rsidRPr="00105311">
        <w:rPr>
          <w:rFonts w:ascii="FrankRuehl" w:hAnsi="FrankRuehl" w:cs="FrankRuehl"/>
          <w:color w:val="0000FF"/>
          <w:rtl/>
        </w:rPr>
        <w:t xml:space="preserve">, </w:t>
      </w:r>
      <w:hyperlink r:id="rId10" w:history="1">
        <w:r w:rsidRPr="00105311">
          <w:rPr>
            <w:rStyle w:val="Hyperlink"/>
            <w:rFonts w:ascii="FrankRuehl" w:hAnsi="FrankRuehl" w:cs="FrankRuehl"/>
            <w:u w:val="none"/>
          </w:rPr>
          <w:t xml:space="preserve">144 </w:t>
        </w:r>
      </w:hyperlink>
      <w:r w:rsidRPr="00105311">
        <w:rPr>
          <w:rFonts w:ascii="FrankRuehl" w:hAnsi="FrankRuehl" w:cs="FrankRuehl"/>
          <w:color w:val="0000FF"/>
          <w:rtl/>
        </w:rPr>
        <w:t xml:space="preserve">(א), </w:t>
      </w:r>
      <w:hyperlink r:id="rId11" w:history="1">
        <w:r w:rsidRPr="00105311">
          <w:rPr>
            <w:rStyle w:val="Hyperlink"/>
            <w:rFonts w:ascii="FrankRuehl" w:hAnsi="FrankRuehl" w:cs="FrankRuehl"/>
            <w:u w:val="none"/>
          </w:rPr>
          <w:t>244</w:t>
        </w:r>
      </w:hyperlink>
      <w:r w:rsidRPr="00105311">
        <w:rPr>
          <w:rFonts w:ascii="FrankRuehl" w:hAnsi="FrankRuehl" w:cs="FrankRuehl"/>
          <w:color w:val="0000FF"/>
          <w:rtl/>
        </w:rPr>
        <w:t xml:space="preserve">, </w:t>
      </w:r>
      <w:hyperlink r:id="rId12" w:history="1">
        <w:r w:rsidRPr="00105311">
          <w:rPr>
            <w:rStyle w:val="Hyperlink"/>
            <w:rFonts w:ascii="FrankRuehl" w:hAnsi="FrankRuehl" w:cs="FrankRuehl"/>
            <w:u w:val="none"/>
          </w:rPr>
          <w:t xml:space="preserve">40 </w:t>
        </w:r>
        <w:r w:rsidRPr="00105311">
          <w:rPr>
            <w:rStyle w:val="Hyperlink"/>
            <w:rFonts w:ascii="FrankRuehl" w:hAnsi="FrankRuehl" w:cs="FrankRuehl"/>
            <w:u w:val="none"/>
            <w:rtl/>
          </w:rPr>
          <w:t>יא</w:t>
        </w:r>
        <w:r w:rsidRPr="00105311">
          <w:rPr>
            <w:rStyle w:val="Hyperlink"/>
            <w:rFonts w:ascii="FrankRuehl" w:hAnsi="FrankRuehl" w:cs="FrankRuehl"/>
            <w:u w:val="none"/>
          </w:rPr>
          <w:t>'</w:t>
        </w:r>
      </w:hyperlink>
      <w:r w:rsidRPr="00105311">
        <w:rPr>
          <w:rFonts w:ascii="FrankRuehl" w:hAnsi="FrankRuehl" w:cs="FrankRuehl"/>
          <w:color w:val="0000FF"/>
          <w:rtl/>
        </w:rPr>
        <w:t xml:space="preserve">, </w:t>
      </w:r>
      <w:hyperlink r:id="rId13" w:history="1">
        <w:r w:rsidRPr="00105311">
          <w:rPr>
            <w:rStyle w:val="Hyperlink"/>
            <w:rFonts w:ascii="FrankRuehl" w:hAnsi="FrankRuehl" w:cs="FrankRuehl"/>
            <w:u w:val="none"/>
          </w:rPr>
          <w:t xml:space="preserve">40 </w:t>
        </w:r>
        <w:r w:rsidRPr="00105311">
          <w:rPr>
            <w:rStyle w:val="Hyperlink"/>
            <w:rFonts w:ascii="FrankRuehl" w:hAnsi="FrankRuehl" w:cs="FrankRuehl"/>
            <w:u w:val="none"/>
            <w:rtl/>
          </w:rPr>
          <w:t>יג</w:t>
        </w:r>
        <w:r w:rsidRPr="00105311">
          <w:rPr>
            <w:rStyle w:val="Hyperlink"/>
            <w:rFonts w:ascii="FrankRuehl" w:hAnsi="FrankRuehl" w:cs="FrankRuehl"/>
            <w:u w:val="none"/>
          </w:rPr>
          <w:t>'</w:t>
        </w:r>
      </w:hyperlink>
      <w:r w:rsidRPr="00105311">
        <w:rPr>
          <w:rFonts w:ascii="FrankRuehl" w:hAnsi="FrankRuehl" w:cs="FrankRuehl"/>
          <w:color w:val="0000FF"/>
          <w:rtl/>
        </w:rPr>
        <w:t xml:space="preserve">, </w:t>
      </w:r>
      <w:hyperlink r:id="rId14" w:history="1">
        <w:r w:rsidRPr="00105311">
          <w:rPr>
            <w:rStyle w:val="Hyperlink"/>
            <w:rFonts w:ascii="FrankRuehl" w:hAnsi="FrankRuehl" w:cs="FrankRuehl"/>
            <w:u w:val="none"/>
          </w:rPr>
          <w:t>40</w:t>
        </w:r>
        <w:r w:rsidRPr="00105311">
          <w:rPr>
            <w:rStyle w:val="Hyperlink"/>
            <w:rFonts w:ascii="FrankRuehl" w:hAnsi="FrankRuehl" w:cs="FrankRuehl"/>
            <w:u w:val="none"/>
            <w:rtl/>
          </w:rPr>
          <w:t>יג</w:t>
        </w:r>
        <w:r w:rsidRPr="00105311">
          <w:rPr>
            <w:rStyle w:val="Hyperlink"/>
            <w:rFonts w:ascii="FrankRuehl" w:hAnsi="FrankRuehl" w:cs="FrankRuehl"/>
            <w:u w:val="none"/>
          </w:rPr>
          <w:t xml:space="preserve"> </w:t>
        </w:r>
      </w:hyperlink>
      <w:r w:rsidRPr="00105311">
        <w:rPr>
          <w:rFonts w:ascii="FrankRuehl" w:hAnsi="FrankRuehl" w:cs="FrankRuehl"/>
          <w:color w:val="0000FF"/>
          <w:rtl/>
        </w:rPr>
        <w:t>(א)</w:t>
      </w:r>
    </w:p>
    <w:p w14:paraId="4C454B8B" w14:textId="77777777" w:rsidR="002F15F8" w:rsidRDefault="002F15F8" w:rsidP="00105311">
      <w:pPr>
        <w:spacing w:before="120" w:after="120" w:line="240" w:lineRule="exact"/>
        <w:ind w:left="283" w:hanging="283"/>
        <w:jc w:val="both"/>
        <w:rPr>
          <w:rFonts w:ascii="FrankRuehl" w:hAnsi="FrankRuehl" w:cs="FrankRuehl" w:hint="cs"/>
          <w:color w:val="0000FF"/>
          <w:rtl/>
        </w:rPr>
      </w:pPr>
    </w:p>
    <w:p w14:paraId="196FFEA5" w14:textId="77777777" w:rsidR="00A11EE9" w:rsidRDefault="00A11EE9" w:rsidP="00A11EE9">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7888D009" w14:textId="77777777" w:rsidR="00A11EE9" w:rsidRDefault="00A11EE9" w:rsidP="00A11EE9">
      <w:pPr>
        <w:pBdr>
          <w:top w:val="single" w:sz="4" w:space="1" w:color="auto"/>
          <w:bottom w:val="single" w:sz="4" w:space="1" w:color="auto"/>
        </w:pBdr>
        <w:spacing w:after="120" w:line="320" w:lineRule="exact"/>
        <w:jc w:val="both"/>
        <w:rPr>
          <w:rFonts w:cs="FrankRuehl" w:hint="cs"/>
          <w:szCs w:val="26"/>
          <w:rtl/>
        </w:rPr>
      </w:pPr>
      <w:r w:rsidRPr="00A11EE9">
        <w:rPr>
          <w:rFonts w:cs="FrankRuehl" w:hint="cs"/>
          <w:szCs w:val="26"/>
          <w:rtl/>
        </w:rPr>
        <w:t xml:space="preserve">* </w:t>
      </w:r>
      <w:r w:rsidRPr="00A11EE9">
        <w:rPr>
          <w:rFonts w:cs="FrankRuehl" w:hint="cs"/>
          <w:szCs w:val="26"/>
          <w:rtl/>
          <w:lang w:eastAsia="he-IL"/>
        </w:rPr>
        <w:t>ביהמ"ש לא שוכנע שהתקיימו נסיבות חריגות המצדיקות חזרה מהודאה. הבקשה יסודה ברצון להשגת רווח דיוני ולהתחמק מעונש משמעותי וחמור.</w:t>
      </w:r>
    </w:p>
    <w:p w14:paraId="33A1F024" w14:textId="77777777" w:rsidR="002F15F8" w:rsidRPr="00A11EE9" w:rsidRDefault="00A11EE9" w:rsidP="00A11EE9">
      <w:pPr>
        <w:pBdr>
          <w:top w:val="single" w:sz="4" w:space="1" w:color="auto"/>
          <w:bottom w:val="single" w:sz="4" w:space="1" w:color="auto"/>
        </w:pBdr>
        <w:spacing w:after="120" w:line="320" w:lineRule="exact"/>
        <w:jc w:val="both"/>
        <w:rPr>
          <w:rFonts w:cs="FrankRuehl" w:hint="cs"/>
          <w:szCs w:val="26"/>
          <w:rtl/>
        </w:rPr>
      </w:pPr>
      <w:r>
        <w:rPr>
          <w:rFonts w:cs="FrankRuehl"/>
          <w:szCs w:val="26"/>
          <w:rtl/>
        </w:rPr>
        <w:t>* דיון פלילי – הודאה – חזרה מהודאה</w:t>
      </w:r>
    </w:p>
    <w:p w14:paraId="66866D1E" w14:textId="77777777" w:rsidR="002F15F8" w:rsidRPr="00A11EE9" w:rsidRDefault="00A11EE9" w:rsidP="00A11EE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E150225" w14:textId="77777777" w:rsidR="002F15F8" w:rsidRPr="00A11EE9" w:rsidRDefault="002F15F8" w:rsidP="00A11EE9">
      <w:pPr>
        <w:pBdr>
          <w:top w:val="single" w:sz="4" w:space="1" w:color="auto"/>
          <w:bottom w:val="single" w:sz="4" w:space="1" w:color="auto"/>
        </w:pBdr>
        <w:spacing w:after="120" w:line="320" w:lineRule="exact"/>
        <w:jc w:val="both"/>
        <w:rPr>
          <w:rFonts w:cs="FrankRuehl"/>
          <w:szCs w:val="26"/>
        </w:rPr>
      </w:pPr>
      <w:r w:rsidRPr="00A11EE9">
        <w:rPr>
          <w:rFonts w:cs="FrankRuehl" w:hint="cs"/>
          <w:szCs w:val="26"/>
          <w:rtl/>
        </w:rPr>
        <w:t xml:space="preserve">בקשת נאשם 1 להתיר לו לחזור בו מהודאתו וזאת לאחר שהצדדים טענו לעונש ועובר להשמעת גזר הדין. </w:t>
      </w:r>
    </w:p>
    <w:p w14:paraId="17003503" w14:textId="77777777" w:rsidR="002F15F8" w:rsidRPr="00A11EE9" w:rsidRDefault="00A11EE9" w:rsidP="00A11EE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DFE7952" w14:textId="77777777" w:rsidR="002F15F8" w:rsidRPr="00A11EE9" w:rsidRDefault="00A11EE9" w:rsidP="00A11EE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בית המשפט פסק כלהלן:</w:t>
      </w:r>
    </w:p>
    <w:p w14:paraId="268138B3" w14:textId="77777777" w:rsidR="002F15F8" w:rsidRPr="00A11EE9" w:rsidRDefault="002F15F8" w:rsidP="00A11EE9">
      <w:pPr>
        <w:pBdr>
          <w:top w:val="single" w:sz="4" w:space="1" w:color="auto"/>
          <w:bottom w:val="single" w:sz="4" w:space="1" w:color="auto"/>
        </w:pBdr>
        <w:spacing w:after="120" w:line="320" w:lineRule="exact"/>
        <w:jc w:val="both"/>
        <w:rPr>
          <w:rFonts w:cs="FrankRuehl" w:hint="cs"/>
          <w:szCs w:val="26"/>
          <w:rtl/>
          <w:lang w:eastAsia="he-IL"/>
        </w:rPr>
      </w:pPr>
      <w:r w:rsidRPr="00A11EE9">
        <w:rPr>
          <w:rFonts w:cs="FrankRuehl" w:hint="cs"/>
          <w:szCs w:val="26"/>
          <w:rtl/>
          <w:lang w:eastAsia="he-IL"/>
        </w:rPr>
        <w:t>ביהמ"ש לא שוכנע שהתקיימו במקרה זה נסיבות חריגות המצדיקות חזרה מהודאה. הנאשם לא העלה כל טענה בדבר קיומו של פגם ברצון בעת ההודאה וכן לא עלה כל טיעון ביחס להיעדר הבנה של הנאשם את הודאתו. בעת הצגת ההסדר ובעת ההודאה היה הנאשם מיוצג על ידי עורך דין. ההודאה נמסרה לאחר ניהול משא ומתן בין הצדדים כאשר לכל אורך ההליך היה הנאשם מיוצג. כמו כן לא עלתה כל אינדיקציה לפגם ברצון בעת מתן ההודאה.</w:t>
      </w:r>
    </w:p>
    <w:p w14:paraId="4668F2E2" w14:textId="77777777" w:rsidR="002F15F8" w:rsidRPr="00A11EE9" w:rsidRDefault="002F15F8" w:rsidP="00A11EE9">
      <w:pPr>
        <w:pBdr>
          <w:top w:val="single" w:sz="4" w:space="1" w:color="auto"/>
          <w:bottom w:val="single" w:sz="4" w:space="1" w:color="auto"/>
        </w:pBdr>
        <w:spacing w:after="120" w:line="320" w:lineRule="exact"/>
        <w:jc w:val="both"/>
        <w:rPr>
          <w:rFonts w:cs="FrankRuehl" w:hint="cs"/>
          <w:szCs w:val="26"/>
          <w:rtl/>
          <w:lang w:eastAsia="he-IL"/>
        </w:rPr>
      </w:pPr>
      <w:r w:rsidRPr="00A11EE9">
        <w:rPr>
          <w:rFonts w:cs="FrankRuehl" w:hint="cs"/>
          <w:szCs w:val="26"/>
          <w:rtl/>
          <w:lang w:eastAsia="he-IL"/>
        </w:rPr>
        <w:lastRenderedPageBreak/>
        <w:t>בהתייחס לשלב הדיוני והעיתוי בו הועלתה הבקשה, לא ניתן להתעלם מהזמן הרב שחלף ממועד ההודאה ועד להעלאת הבקשה לחזרה מהודאה. ככל והנימוק המרכזי לבקש לחזור מהודאה נעוץ בטענה כי נאשם 1 היה בבחינת אנוס להודות בכתב האישום על מנת שלא לפגוע באשתו, נאשמת 2, הרי שטענה זו הייתה צריכה להיטען בסמוך למתן ההודאה ולא בשלב הדיוני הנוכחי, עובר להשמעת גזר הדין.</w:t>
      </w:r>
    </w:p>
    <w:p w14:paraId="433AA95C" w14:textId="77777777" w:rsidR="002F15F8" w:rsidRDefault="002F15F8" w:rsidP="00A11EE9">
      <w:pPr>
        <w:pBdr>
          <w:top w:val="single" w:sz="4" w:space="1" w:color="auto"/>
          <w:bottom w:val="single" w:sz="4" w:space="1" w:color="auto"/>
        </w:pBdr>
        <w:spacing w:after="120" w:line="320" w:lineRule="exact"/>
        <w:jc w:val="both"/>
        <w:rPr>
          <w:rFonts w:ascii="FrankRuehl" w:hAnsi="FrankRuehl" w:cs="FrankRuehl" w:hint="cs"/>
          <w:color w:val="0000FF"/>
          <w:rtl/>
        </w:rPr>
      </w:pPr>
      <w:r w:rsidRPr="00A11EE9">
        <w:rPr>
          <w:rFonts w:cs="FrankRuehl" w:hint="cs"/>
          <w:szCs w:val="26"/>
          <w:rtl/>
          <w:lang w:eastAsia="he-IL"/>
        </w:rPr>
        <w:t xml:space="preserve">המסקנה היא כי הבקשה לחזרה מהודאה יסודה ברצון להשגת רווח דיוני ולהתחמק מעונש משמעותי וחמור ובנסיבות </w:t>
      </w:r>
      <w:r w:rsidRPr="00A11EE9">
        <w:rPr>
          <w:rFonts w:cs="FrankRuehl"/>
          <w:szCs w:val="26"/>
          <w:rtl/>
          <w:lang w:eastAsia="he-IL"/>
        </w:rPr>
        <w:t>אלה, הבקשה לחזרה מהודאה, נדחית</w:t>
      </w:r>
      <w:r w:rsidR="00A11EE9" w:rsidRPr="00A11EE9">
        <w:rPr>
          <w:rFonts w:cs="FrankRuehl" w:hint="cs"/>
          <w:szCs w:val="26"/>
          <w:rtl/>
          <w:lang w:eastAsia="he-IL"/>
        </w:rPr>
        <w:t>.</w:t>
      </w:r>
      <w:r w:rsidR="00A11EE9">
        <w:rPr>
          <w:rFonts w:hint="cs"/>
          <w:b/>
          <w:rtl/>
          <w:lang w:eastAsia="he-IL"/>
        </w:rPr>
        <w:t xml:space="preserve"> </w:t>
      </w:r>
      <w:bookmarkStart w:id="5" w:name="ABSTRACT_END"/>
      <w:bookmarkEnd w:id="5"/>
    </w:p>
    <w:p w14:paraId="3C7FFF6B" w14:textId="77777777" w:rsidR="00A11EE9" w:rsidRPr="00105311" w:rsidRDefault="00A11EE9" w:rsidP="00A11EE9">
      <w:pPr>
        <w:spacing w:line="360" w:lineRule="auto"/>
        <w:jc w:val="both"/>
        <w:rPr>
          <w:rFonts w:ascii="FrankRuehl" w:hAnsi="FrankRuehl" w:cs="FrankRuehl" w:hint="cs"/>
          <w:color w:val="0000FF"/>
          <w:rtl/>
        </w:rPr>
      </w:pPr>
    </w:p>
    <w:p w14:paraId="15769346" w14:textId="77777777" w:rsidR="00DB3176" w:rsidRPr="00105311" w:rsidRDefault="00DB3176" w:rsidP="00105311">
      <w:pPr>
        <w:rPr>
          <w:sz w:val="26"/>
          <w:szCs w:val="26"/>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B3176" w14:paraId="6BEABCDB" w14:textId="77777777" w:rsidTr="00DB3176">
        <w:trPr>
          <w:trHeight w:val="355"/>
          <w:jc w:val="center"/>
        </w:trPr>
        <w:tc>
          <w:tcPr>
            <w:tcW w:w="8820" w:type="dxa"/>
            <w:tcBorders>
              <w:top w:val="nil"/>
              <w:left w:val="nil"/>
              <w:bottom w:val="nil"/>
              <w:right w:val="nil"/>
            </w:tcBorders>
            <w:shd w:val="clear" w:color="auto" w:fill="auto"/>
          </w:tcPr>
          <w:p w14:paraId="00FCB163" w14:textId="77777777" w:rsidR="008158BE" w:rsidRPr="008158BE" w:rsidRDefault="008158BE" w:rsidP="008158BE">
            <w:pPr>
              <w:jc w:val="center"/>
              <w:rPr>
                <w:rFonts w:ascii="David" w:hAnsi="David"/>
                <w:b/>
                <w:bCs/>
                <w:sz w:val="32"/>
                <w:szCs w:val="32"/>
                <w:u w:val="single"/>
                <w:rtl/>
              </w:rPr>
            </w:pPr>
            <w:bookmarkStart w:id="7" w:name="PsakDin" w:colFirst="0" w:colLast="0"/>
            <w:r w:rsidRPr="008158BE">
              <w:rPr>
                <w:rFonts w:ascii="David" w:hAnsi="David"/>
                <w:b/>
                <w:bCs/>
                <w:sz w:val="32"/>
                <w:szCs w:val="32"/>
                <w:u w:val="single"/>
                <w:rtl/>
              </w:rPr>
              <w:t>גזר דין</w:t>
            </w:r>
          </w:p>
          <w:p w14:paraId="792DC4FB" w14:textId="77777777" w:rsidR="00DB3176" w:rsidRPr="008158BE" w:rsidRDefault="00DB3176" w:rsidP="008158BE">
            <w:pPr>
              <w:jc w:val="center"/>
              <w:rPr>
                <w:rFonts w:ascii="David" w:hAnsi="David"/>
                <w:bCs/>
                <w:sz w:val="32"/>
                <w:szCs w:val="32"/>
                <w:u w:val="single"/>
                <w:rtl/>
              </w:rPr>
            </w:pPr>
          </w:p>
        </w:tc>
      </w:tr>
      <w:bookmarkEnd w:id="7"/>
    </w:tbl>
    <w:p w14:paraId="275C03B0" w14:textId="77777777" w:rsidR="00DB3176" w:rsidRPr="000F2247" w:rsidRDefault="00DB3176" w:rsidP="00DB3176">
      <w:pPr>
        <w:rPr>
          <w:rFonts w:ascii="Arial" w:hAnsi="Arial"/>
          <w:b/>
          <w:bCs/>
          <w:sz w:val="26"/>
          <w:szCs w:val="26"/>
          <w:rtl/>
        </w:rPr>
      </w:pPr>
    </w:p>
    <w:p w14:paraId="10064098" w14:textId="77777777" w:rsidR="00DB3176" w:rsidRDefault="00DB3176" w:rsidP="00DB3176">
      <w:pPr>
        <w:rPr>
          <w:rFonts w:ascii="Arial" w:hAnsi="Arial"/>
          <w:b/>
          <w:bCs/>
          <w:sz w:val="26"/>
          <w:szCs w:val="26"/>
          <w:rtl/>
        </w:rPr>
      </w:pPr>
    </w:p>
    <w:p w14:paraId="5AE8CFE6" w14:textId="77777777" w:rsidR="00DB3176" w:rsidRDefault="00DB3176" w:rsidP="00DB3176">
      <w:pPr>
        <w:numPr>
          <w:ilvl w:val="0"/>
          <w:numId w:val="1"/>
        </w:numPr>
        <w:spacing w:after="120" w:line="360" w:lineRule="auto"/>
        <w:jc w:val="both"/>
        <w:rPr>
          <w:rFonts w:ascii="David" w:hAnsi="David"/>
          <w:color w:val="000000"/>
          <w:rtl/>
        </w:rPr>
      </w:pPr>
      <w:r>
        <w:rPr>
          <w:rFonts w:ascii="David" w:hAnsi="David"/>
          <w:color w:val="000000"/>
          <w:rtl/>
        </w:rPr>
        <w:t xml:space="preserve">נאשם 1 הורשע בהתאם להודאתו בעובדות כתב האישום המתוקן בעבירות של </w:t>
      </w:r>
      <w:r>
        <w:rPr>
          <w:rFonts w:ascii="David" w:hAnsi="David"/>
          <w:b/>
          <w:bCs/>
          <w:color w:val="000000"/>
          <w:rtl/>
        </w:rPr>
        <w:t>החזקת נשק</w:t>
      </w:r>
      <w:r>
        <w:rPr>
          <w:rFonts w:ascii="David" w:hAnsi="David"/>
          <w:color w:val="000000"/>
          <w:rtl/>
        </w:rPr>
        <w:t xml:space="preserve"> (3 עבירות) </w:t>
      </w:r>
      <w:r>
        <w:rPr>
          <w:rFonts w:ascii="David" w:hAnsi="David"/>
          <w:b/>
          <w:bCs/>
          <w:color w:val="000000"/>
          <w:rtl/>
        </w:rPr>
        <w:t xml:space="preserve">ותחמושת </w:t>
      </w:r>
      <w:r>
        <w:rPr>
          <w:rFonts w:ascii="David" w:hAnsi="David"/>
          <w:color w:val="000000"/>
          <w:rtl/>
        </w:rPr>
        <w:t xml:space="preserve">לפי סעיף </w:t>
      </w:r>
      <w:hyperlink r:id="rId15" w:history="1">
        <w:r w:rsidR="00105311" w:rsidRPr="00105311">
          <w:rPr>
            <w:rStyle w:val="Hyperlink"/>
            <w:rFonts w:ascii="David" w:hAnsi="David"/>
            <w:color w:val="0000FF"/>
            <w:rtl/>
          </w:rPr>
          <w:t>144 (א)</w:t>
        </w:r>
      </w:hyperlink>
      <w:r>
        <w:rPr>
          <w:rFonts w:ascii="David" w:hAnsi="David"/>
          <w:color w:val="000000"/>
          <w:rtl/>
        </w:rPr>
        <w:t xml:space="preserve"> רישא וסיפא ל</w:t>
      </w:r>
      <w:hyperlink r:id="rId16" w:history="1">
        <w:r w:rsidR="008158BE" w:rsidRPr="008158BE">
          <w:rPr>
            <w:rFonts w:ascii="David" w:hAnsi="David"/>
            <w:color w:val="0000FF"/>
            <w:u w:val="single"/>
            <w:rtl/>
          </w:rPr>
          <w:t>חוק העונשין</w:t>
        </w:r>
      </w:hyperlink>
      <w:r>
        <w:rPr>
          <w:rFonts w:ascii="David" w:hAnsi="David"/>
          <w:color w:val="000000"/>
          <w:rtl/>
        </w:rPr>
        <w:t>, תשל"ז-1977.</w:t>
      </w:r>
    </w:p>
    <w:p w14:paraId="307C8BBD" w14:textId="77777777" w:rsidR="00DB3176" w:rsidRDefault="00DB3176" w:rsidP="00DB3176">
      <w:pPr>
        <w:spacing w:after="120" w:line="360" w:lineRule="auto"/>
        <w:ind w:left="720"/>
        <w:jc w:val="both"/>
        <w:rPr>
          <w:rFonts w:ascii="David" w:hAnsi="David"/>
          <w:color w:val="000000"/>
          <w:rtl/>
        </w:rPr>
      </w:pPr>
      <w:r>
        <w:rPr>
          <w:rFonts w:ascii="David" w:hAnsi="David"/>
          <w:color w:val="000000"/>
          <w:rtl/>
        </w:rPr>
        <w:t xml:space="preserve">נאשמת 2 הורשעה על פי הודאתה בעבירה של </w:t>
      </w:r>
      <w:r>
        <w:rPr>
          <w:rFonts w:ascii="David" w:hAnsi="David"/>
          <w:b/>
          <w:bCs/>
          <w:color w:val="000000"/>
          <w:rtl/>
        </w:rPr>
        <w:t>שיבוש מהלכי משפט</w:t>
      </w:r>
      <w:r>
        <w:rPr>
          <w:rFonts w:ascii="David" w:hAnsi="David"/>
          <w:color w:val="000000"/>
          <w:rtl/>
        </w:rPr>
        <w:t xml:space="preserve"> לפי </w:t>
      </w:r>
      <w:hyperlink r:id="rId17" w:history="1">
        <w:r w:rsidR="00105311" w:rsidRPr="00105311">
          <w:rPr>
            <w:rStyle w:val="Hyperlink"/>
            <w:rFonts w:ascii="David" w:hAnsi="David"/>
            <w:color w:val="0000FF"/>
            <w:rtl/>
          </w:rPr>
          <w:t>סעיף 244</w:t>
        </w:r>
      </w:hyperlink>
      <w:r>
        <w:rPr>
          <w:rFonts w:ascii="David" w:hAnsi="David"/>
          <w:color w:val="000000"/>
          <w:rtl/>
        </w:rPr>
        <w:t xml:space="preserve"> ל</w:t>
      </w:r>
      <w:hyperlink r:id="rId18" w:history="1">
        <w:r w:rsidR="008158BE" w:rsidRPr="008158BE">
          <w:rPr>
            <w:rFonts w:ascii="David" w:hAnsi="David"/>
            <w:color w:val="0000FF"/>
            <w:u w:val="single"/>
            <w:rtl/>
          </w:rPr>
          <w:t>חוק העונשין</w:t>
        </w:r>
      </w:hyperlink>
      <w:r>
        <w:rPr>
          <w:rFonts w:ascii="David" w:hAnsi="David"/>
          <w:color w:val="000000"/>
          <w:rtl/>
        </w:rPr>
        <w:t xml:space="preserve">. </w:t>
      </w:r>
    </w:p>
    <w:p w14:paraId="35099BB1" w14:textId="77777777" w:rsidR="00DB3176" w:rsidRDefault="00DB3176" w:rsidP="00DB3176">
      <w:pPr>
        <w:spacing w:after="120" w:line="360" w:lineRule="auto"/>
        <w:jc w:val="both"/>
        <w:rPr>
          <w:rFonts w:ascii="David" w:hAnsi="David"/>
          <w:color w:val="000000"/>
        </w:rPr>
      </w:pPr>
    </w:p>
    <w:p w14:paraId="4CA69A76" w14:textId="77777777" w:rsidR="00DB3176" w:rsidRDefault="00DB3176" w:rsidP="00DB3176">
      <w:pPr>
        <w:numPr>
          <w:ilvl w:val="0"/>
          <w:numId w:val="1"/>
        </w:numPr>
        <w:spacing w:after="120" w:line="360" w:lineRule="auto"/>
        <w:jc w:val="both"/>
        <w:rPr>
          <w:rFonts w:ascii="David" w:hAnsi="David"/>
          <w:color w:val="000000"/>
        </w:rPr>
      </w:pPr>
      <w:r>
        <w:rPr>
          <w:rFonts w:ascii="David" w:hAnsi="David"/>
          <w:color w:val="000000"/>
          <w:rtl/>
        </w:rPr>
        <w:t xml:space="preserve">על-פי המתואר בעובדות כתב האישום המתוקן, הנאשמים  נשואים זה לזו, מתגוררים יחדיו בפזורה בחורה. בתאריך 01.09.20 בסמוך לשעה 09:40 החזיק נאשם 1 בביתם של הנאשמים </w:t>
      </w:r>
      <w:r>
        <w:rPr>
          <w:rFonts w:ascii="David" w:hAnsi="David"/>
          <w:b/>
          <w:bCs/>
          <w:color w:val="000000"/>
          <w:rtl/>
        </w:rPr>
        <w:t xml:space="preserve">באקדח חצי אוטומט מסוג </w:t>
      </w:r>
      <w:r>
        <w:rPr>
          <w:rFonts w:ascii="David" w:hAnsi="David"/>
          <w:b/>
          <w:bCs/>
          <w:color w:val="000000"/>
        </w:rPr>
        <w:t>FN</w:t>
      </w:r>
      <w:r>
        <w:rPr>
          <w:rFonts w:ascii="David" w:hAnsi="David"/>
          <w:color w:val="000000"/>
          <w:rtl/>
        </w:rPr>
        <w:t xml:space="preserve"> קליבר 9 מ"מ</w:t>
      </w:r>
      <w:r>
        <w:rPr>
          <w:rFonts w:ascii="David" w:hAnsi="David"/>
          <w:color w:val="000000"/>
        </w:rPr>
        <w:t xml:space="preserve"> </w:t>
      </w:r>
      <w:r>
        <w:rPr>
          <w:rFonts w:ascii="David" w:hAnsi="David"/>
          <w:color w:val="000000"/>
          <w:rtl/>
        </w:rPr>
        <w:t xml:space="preserve"> וזאת ללא רשות כדין להחזקתו. באותו מעמד בחצר ביתם של הנאשמים, החזיק הנאשם 1 במכונת הכביסה, בקרטון עטוף </w:t>
      </w:r>
      <w:r>
        <w:rPr>
          <w:rFonts w:ascii="David" w:hAnsi="David"/>
          <w:b/>
          <w:bCs/>
          <w:color w:val="000000"/>
          <w:rtl/>
        </w:rPr>
        <w:t xml:space="preserve">בשקית ניילון ב 5 מחסניות של רובה סער מסוג </w:t>
      </w:r>
      <w:r>
        <w:rPr>
          <w:rFonts w:ascii="David" w:hAnsi="David"/>
          <w:b/>
          <w:bCs/>
          <w:color w:val="000000"/>
        </w:rPr>
        <w:t xml:space="preserve">M-16 </w:t>
      </w:r>
      <w:r>
        <w:rPr>
          <w:rFonts w:ascii="David" w:hAnsi="David"/>
          <w:b/>
          <w:bCs/>
          <w:color w:val="000000"/>
          <w:rtl/>
        </w:rPr>
        <w:t xml:space="preserve"> מלאות בכדורים וכן ב 2 רימוני הלם</w:t>
      </w:r>
      <w:r>
        <w:rPr>
          <w:rFonts w:ascii="David" w:hAnsi="David"/>
          <w:color w:val="000000"/>
          <w:rtl/>
        </w:rPr>
        <w:t xml:space="preserve"> וזאת ללא רשות כדין להחזקתם. </w:t>
      </w:r>
    </w:p>
    <w:p w14:paraId="2E806D72" w14:textId="77777777" w:rsidR="00DB3176" w:rsidRDefault="00DB3176" w:rsidP="00DB3176">
      <w:pPr>
        <w:spacing w:after="120" w:line="360" w:lineRule="auto"/>
        <w:ind w:left="720"/>
        <w:jc w:val="both"/>
        <w:rPr>
          <w:rFonts w:ascii="David" w:hAnsi="David"/>
          <w:color w:val="000000"/>
          <w:rtl/>
        </w:rPr>
      </w:pPr>
      <w:r>
        <w:rPr>
          <w:rFonts w:ascii="David" w:hAnsi="David"/>
          <w:color w:val="000000"/>
          <w:rtl/>
        </w:rPr>
        <w:t xml:space="preserve">במעמד זה, עשתה נאשמת 2 מעשה בכוונה למנוע או להכשיל הליך שיפוטי בכך ששעה שהשוטרים הגיעו לבית כדי לבצע חיפוש ודפקו על דלת הבית ביקשה מהם להמתין עד שתתלבש </w:t>
      </w:r>
      <w:r>
        <w:rPr>
          <w:rFonts w:ascii="David" w:hAnsi="David"/>
          <w:b/>
          <w:bCs/>
          <w:color w:val="000000"/>
          <w:rtl/>
        </w:rPr>
        <w:t>ואז ניסתה נאשמת 2 לזרוק את האקדח מחלון הבית אך לא הצליחה לעשות כן שכן אחד השוטרים הבחין בה וממנע זאת ממנה</w:t>
      </w:r>
      <w:r>
        <w:rPr>
          <w:rFonts w:ascii="David" w:hAnsi="David"/>
          <w:color w:val="000000"/>
          <w:rtl/>
        </w:rPr>
        <w:t xml:space="preserve">. </w:t>
      </w:r>
    </w:p>
    <w:p w14:paraId="0FF37A52" w14:textId="77777777" w:rsidR="00DB3176" w:rsidRDefault="00DB3176" w:rsidP="00DB3176">
      <w:pPr>
        <w:spacing w:after="120" w:line="360" w:lineRule="auto"/>
        <w:ind w:left="720"/>
        <w:jc w:val="both"/>
        <w:rPr>
          <w:rFonts w:ascii="David" w:hAnsi="David"/>
          <w:color w:val="000000"/>
        </w:rPr>
      </w:pPr>
    </w:p>
    <w:p w14:paraId="0AA84F58" w14:textId="77777777" w:rsidR="00DB3176" w:rsidRDefault="00DB3176" w:rsidP="00DB3176">
      <w:pPr>
        <w:numPr>
          <w:ilvl w:val="0"/>
          <w:numId w:val="1"/>
        </w:numPr>
        <w:spacing w:after="120" w:line="360" w:lineRule="auto"/>
        <w:jc w:val="both"/>
        <w:rPr>
          <w:rFonts w:ascii="David" w:hAnsi="David"/>
          <w:b/>
          <w:bCs/>
          <w:color w:val="000000"/>
          <w:u w:val="single"/>
        </w:rPr>
      </w:pPr>
      <w:r>
        <w:rPr>
          <w:rFonts w:ascii="David" w:hAnsi="David"/>
          <w:color w:val="000000"/>
          <w:rtl/>
        </w:rPr>
        <w:t xml:space="preserve">בתאריך 02.07.23 הצדדים הגיעו להסדר טיעון, לפיו חזרו בהם מכפירתם, הודו הנאשמים והורשעו בכתב האישום המתוקן, ההסדר לא כלל הסכמה עונשית. ההגנה עתרה לקבלת תסקיר שירות מבחן לעניין העונש כאשר ביחס לנאשמת 2 ביקשה ההגנה ששירות המבחן יבחן ביטול הרשעה. המאשימה הצהירה שאינה מתנגדת לקבלת תסקיר אך אינה מתחייבת לקבלת המלצות שירות המבחן. </w:t>
      </w:r>
    </w:p>
    <w:p w14:paraId="75F8953E" w14:textId="77777777" w:rsidR="00DB3176" w:rsidRDefault="00DB3176" w:rsidP="00DB3176">
      <w:pPr>
        <w:spacing w:after="120" w:line="360" w:lineRule="auto"/>
        <w:ind w:left="720"/>
        <w:jc w:val="both"/>
        <w:rPr>
          <w:rFonts w:ascii="David" w:hAnsi="David"/>
          <w:b/>
          <w:bCs/>
          <w:color w:val="000000"/>
          <w:u w:val="single"/>
        </w:rPr>
      </w:pPr>
    </w:p>
    <w:p w14:paraId="5C826727" w14:textId="77777777" w:rsidR="00DB3176" w:rsidRDefault="00DB3176" w:rsidP="00DB3176">
      <w:pPr>
        <w:numPr>
          <w:ilvl w:val="0"/>
          <w:numId w:val="1"/>
        </w:numPr>
        <w:spacing w:after="120" w:line="360" w:lineRule="auto"/>
        <w:jc w:val="both"/>
        <w:rPr>
          <w:rFonts w:ascii="David" w:hAnsi="David"/>
          <w:color w:val="000000"/>
        </w:rPr>
      </w:pPr>
      <w:r>
        <w:rPr>
          <w:rFonts w:ascii="David" w:hAnsi="David"/>
          <w:color w:val="000000"/>
          <w:rtl/>
        </w:rPr>
        <w:lastRenderedPageBreak/>
        <w:t xml:space="preserve">אציין שנוכח בקשות דחייה חוזרות ונשנות מטעם ההגנה ישיבת  הטיעונים לעונש בעניינם של הנאשמים נדחתה והטיעונים נשמעו רק בחלוף כ 10 חודשים ממועד הצגת ההסדר והכרעת הדין.  </w:t>
      </w:r>
    </w:p>
    <w:p w14:paraId="11BC3849" w14:textId="77777777" w:rsidR="00DB3176" w:rsidRDefault="00DB3176" w:rsidP="00DB3176">
      <w:pPr>
        <w:spacing w:after="120" w:line="360" w:lineRule="auto"/>
        <w:jc w:val="both"/>
        <w:rPr>
          <w:rFonts w:ascii="David" w:hAnsi="David"/>
          <w:b/>
          <w:bCs/>
          <w:color w:val="000000"/>
          <w:u w:val="single"/>
          <w:rtl/>
        </w:rPr>
      </w:pPr>
    </w:p>
    <w:p w14:paraId="7CC7F852" w14:textId="77777777" w:rsidR="00DB3176" w:rsidRDefault="00DB3176" w:rsidP="00DB3176">
      <w:pPr>
        <w:spacing w:after="120" w:line="360" w:lineRule="auto"/>
        <w:jc w:val="both"/>
        <w:rPr>
          <w:rFonts w:ascii="David" w:hAnsi="David"/>
          <w:b/>
          <w:bCs/>
          <w:color w:val="000000"/>
          <w:u w:val="single"/>
        </w:rPr>
      </w:pPr>
      <w:r>
        <w:rPr>
          <w:rFonts w:ascii="David" w:hAnsi="David"/>
          <w:b/>
          <w:bCs/>
          <w:color w:val="000000"/>
          <w:u w:val="single"/>
          <w:rtl/>
        </w:rPr>
        <w:t>תסקיר שירות המבחן</w:t>
      </w:r>
    </w:p>
    <w:p w14:paraId="1E8E5DA6" w14:textId="77777777" w:rsidR="00DB3176" w:rsidRDefault="00DB3176" w:rsidP="00DB3176">
      <w:pPr>
        <w:spacing w:after="120" w:line="360" w:lineRule="auto"/>
        <w:jc w:val="both"/>
        <w:rPr>
          <w:rFonts w:ascii="David" w:hAnsi="David"/>
          <w:b/>
          <w:bCs/>
          <w:color w:val="000000"/>
          <w:u w:val="single"/>
          <w:rtl/>
        </w:rPr>
      </w:pPr>
      <w:r>
        <w:rPr>
          <w:rFonts w:ascii="David" w:hAnsi="David"/>
          <w:b/>
          <w:bCs/>
          <w:color w:val="000000"/>
          <w:u w:val="single"/>
          <w:rtl/>
        </w:rPr>
        <w:t xml:space="preserve">נאשם 1 </w:t>
      </w:r>
    </w:p>
    <w:p w14:paraId="56AB6685" w14:textId="77777777" w:rsidR="00DB3176" w:rsidRDefault="00DB3176" w:rsidP="00DB3176">
      <w:pPr>
        <w:pStyle w:val="a"/>
        <w:jc w:val="both"/>
        <w:rPr>
          <w:rtl/>
        </w:rPr>
      </w:pPr>
      <w:r>
        <w:rPr>
          <w:rFonts w:hint="cs"/>
          <w:rtl/>
        </w:rPr>
        <w:t>במסגרת התסקיר מיום 28.01.24 סקר שירות המבחן קורות חייו של הנאשם, בן 31 נשוי בשנית ואב ל 5 ילדים משתי מערכות יחסים שונות, אינו עובד כיום ומתגורר עם אשתו וילדיו בחורה. שולב במסגרת תעסוקתית עוד בהיותו בן 16 בעבודות שונות, כאשר בשנתיים האחרונות הועסק כנהג אוטובוס, בהמשך פוטר על רקע מחלוקת עם מעסיקו, לא שולב בעבודה חדשה ומתקיים מקצבת אבטלה. הנאשם מסר שמצבו הכלכלי קשה והוא מצוי בחובות. הנאשם נשוי בשנית לנאשמת, ולהם 3 ילדים, אינו מצוי בקשר עם שתי בנותיו מנישואיו הראשונים. צויין כי בתקופת לימודיו התגלע סכסוך משפחתי שהוביל לנקמת דם.</w:t>
      </w:r>
    </w:p>
    <w:p w14:paraId="0888E585" w14:textId="77777777" w:rsidR="00DB3176" w:rsidRDefault="00DB3176" w:rsidP="00DB3176">
      <w:pPr>
        <w:pStyle w:val="a"/>
        <w:numPr>
          <w:ilvl w:val="0"/>
          <w:numId w:val="0"/>
        </w:numPr>
        <w:tabs>
          <w:tab w:val="left" w:pos="720"/>
        </w:tabs>
        <w:ind w:left="720"/>
        <w:jc w:val="both"/>
      </w:pPr>
      <w:r>
        <w:rPr>
          <w:rFonts w:hint="cs"/>
          <w:rtl/>
        </w:rPr>
        <w:t xml:space="preserve">הנאשם נעדר עבר פלילי, הודה באופן חלקי במיוחס לו, לא נטל אחריות על מעשיו, טען שהנשק הוחבא בביתו ללא ידיעתו והדבר נודע לו לאחר החיפוש בבית ומעצרה של אשתו. בנוגע לתחמושת, שירות המבחן ציין שהנאשם מסר מידע סותר, בתחילה טען שהתחמושת לא שייכת לו אך ידע מספר חודשים עובר לחיפוש ותפיסת הנשק והתחמושת, כי יש תחמושת מוחבאת במכונת כביסה אך אינו יכול לומר למי שייכת. בהמשך שינה גרסתו ומסר שרכש את התחמושת במחיר נמוך לפני שנים ללא כל סיבה. הנאשם טען שידע כי החזקת התחמושת מהווה עבירה פלילית וסבר שהדבר לא יתגלה. </w:t>
      </w:r>
    </w:p>
    <w:p w14:paraId="06D9D3B2" w14:textId="77777777" w:rsidR="00DB3176" w:rsidRDefault="00DB3176" w:rsidP="00DB3176">
      <w:pPr>
        <w:pStyle w:val="a"/>
        <w:numPr>
          <w:ilvl w:val="0"/>
          <w:numId w:val="0"/>
        </w:numPr>
        <w:tabs>
          <w:tab w:val="left" w:pos="720"/>
        </w:tabs>
        <w:ind w:left="720"/>
        <w:jc w:val="both"/>
        <w:rPr>
          <w:rtl/>
        </w:rPr>
      </w:pPr>
      <w:r>
        <w:rPr>
          <w:rFonts w:hint="cs"/>
          <w:rtl/>
        </w:rPr>
        <w:t xml:space="preserve">שירות המבחן ציין שאומנם הנאשם מביע צער וחרטה על מעשיו, בעיקר בשל המחיר האישי הכבד ששילם ועודו משלם, הוא גינה עצם החזקת נשק, טען שאינו מצוי בסכסוך ואין לו כל צורך להחזיק נשק. הנאשם ראה עצמו כאיש שומר חוק וטען שלקח את האשמה עליו מתוך רצון לגונן על אשתו וקרובי משפחה נוספים. </w:t>
      </w:r>
    </w:p>
    <w:p w14:paraId="6D9B05DD" w14:textId="77777777" w:rsidR="00DB3176" w:rsidRDefault="00DB3176" w:rsidP="00DB3176">
      <w:pPr>
        <w:pStyle w:val="a"/>
        <w:numPr>
          <w:ilvl w:val="0"/>
          <w:numId w:val="0"/>
        </w:numPr>
        <w:tabs>
          <w:tab w:val="left" w:pos="720"/>
        </w:tabs>
        <w:ind w:left="720"/>
        <w:jc w:val="both"/>
        <w:rPr>
          <w:rtl/>
        </w:rPr>
      </w:pPr>
      <w:r>
        <w:rPr>
          <w:rFonts w:hint="cs"/>
          <w:rtl/>
        </w:rPr>
        <w:t xml:space="preserve">שירות המבחן התרשם שהעבירה נעברה על רקע דפוסי ריצוי וקושי של הנאשם בהפעלת שיקול דעת ובחינת השלכות מעשיו. שירות המבחן התרשם שקיימת חוסר בהירות בנוגע לנסיבות ולרקע לביצוע העבירות. הנאשם נוקט בטשטוש והסתרה ומבטא עמדה קורבנית. שירות המבחן ציין שבמסגרת תיק המעצר שולב הנאשם בקבוצה טיפולית נטל חלק פעיל בקבוצה וניכר שהחל בהבנה ראשונית ביחס למאפייני אישיותו ודפוסי התנהגותו, אך עדיין ציין שירות המבחן שהנאשם מתמקד בעיקר במחיר האישי שמשלם בגין מעצרו. </w:t>
      </w:r>
    </w:p>
    <w:p w14:paraId="6F3CE3F2" w14:textId="77777777" w:rsidR="00DB3176" w:rsidRDefault="00DB3176" w:rsidP="00DB3176">
      <w:pPr>
        <w:pStyle w:val="a"/>
        <w:numPr>
          <w:ilvl w:val="0"/>
          <w:numId w:val="0"/>
        </w:numPr>
        <w:tabs>
          <w:tab w:val="left" w:pos="720"/>
        </w:tabs>
        <w:ind w:left="720"/>
        <w:jc w:val="both"/>
        <w:rPr>
          <w:rtl/>
        </w:rPr>
      </w:pPr>
      <w:r>
        <w:rPr>
          <w:rFonts w:hint="cs"/>
          <w:rtl/>
        </w:rPr>
        <w:t xml:space="preserve">שירות המבחן ציין שהנאשם שלל נזקקות טיפולית מתוך תפיסתו שמתנהל באופן נורמטיבי וטען שהפיק לקחים מהתנהלותו ורצונו לסיים ההליך הפלילי ולשוב ולנהל אורח חיים נורמטיבי ותקין. </w:t>
      </w:r>
    </w:p>
    <w:p w14:paraId="0E01B414" w14:textId="77777777" w:rsidR="00DB3176" w:rsidRDefault="00DB3176" w:rsidP="00DB3176">
      <w:pPr>
        <w:pStyle w:val="a"/>
        <w:numPr>
          <w:ilvl w:val="0"/>
          <w:numId w:val="0"/>
        </w:numPr>
        <w:tabs>
          <w:tab w:val="left" w:pos="720"/>
        </w:tabs>
        <w:ind w:left="720"/>
        <w:jc w:val="both"/>
      </w:pPr>
      <w:r>
        <w:rPr>
          <w:rFonts w:hint="cs"/>
          <w:rtl/>
        </w:rPr>
        <w:t xml:space="preserve">שירות המבחן התרשם שעצם קיומו של ההליך הפלילי היווה עבור הנאשם גורם מרתיע ומציב גבולות, המצמצם הסיכון להישנות עבירות אך היעדר נטילת האחריות והיעדר בחינה עצמית ביקורתית משמעותית ביחס לדפוסי חשיבתו והתנהגותו מקים סיכון להישנות עבירות בתחום עבירות הנשק. שירות המבחן ציין כי הנאשם נעדר עבר פלילי הביע רצון לניהול אורח חיים נורמטיבי אך כאמור אינו נוטל אחריות וכן לא הביע נזקקות טיפולית ולכן לא בא שירות המבחן בהמלצה טיפולית והמליץ על ענישה מוחשית כגורם מרתיע ומציב גבולות. </w:t>
      </w:r>
    </w:p>
    <w:p w14:paraId="72660BCD" w14:textId="77777777" w:rsidR="00DB3176" w:rsidRDefault="00DB3176" w:rsidP="00DB3176">
      <w:pPr>
        <w:spacing w:after="120" w:line="360" w:lineRule="auto"/>
        <w:jc w:val="both"/>
        <w:rPr>
          <w:rFonts w:ascii="David" w:hAnsi="David"/>
          <w:b/>
          <w:bCs/>
          <w:color w:val="000000"/>
          <w:u w:val="single"/>
          <w:rtl/>
        </w:rPr>
      </w:pPr>
    </w:p>
    <w:p w14:paraId="4FDF9B94" w14:textId="77777777" w:rsidR="00DB3176" w:rsidRDefault="00DB3176" w:rsidP="00DB3176">
      <w:pPr>
        <w:spacing w:after="120" w:line="360" w:lineRule="auto"/>
        <w:jc w:val="both"/>
        <w:rPr>
          <w:rFonts w:ascii="David" w:hAnsi="David"/>
          <w:b/>
          <w:bCs/>
          <w:color w:val="000000"/>
          <w:u w:val="single"/>
          <w:rtl/>
        </w:rPr>
      </w:pPr>
      <w:r>
        <w:rPr>
          <w:rFonts w:ascii="David" w:hAnsi="David"/>
          <w:b/>
          <w:bCs/>
          <w:color w:val="000000"/>
          <w:u w:val="single"/>
          <w:rtl/>
        </w:rPr>
        <w:t xml:space="preserve">נאשמת 2 </w:t>
      </w:r>
    </w:p>
    <w:p w14:paraId="50604A04" w14:textId="77777777" w:rsidR="00DB3176" w:rsidRDefault="00DB3176" w:rsidP="00DB3176">
      <w:pPr>
        <w:numPr>
          <w:ilvl w:val="0"/>
          <w:numId w:val="1"/>
        </w:numPr>
        <w:spacing w:after="120" w:line="360" w:lineRule="auto"/>
        <w:jc w:val="both"/>
        <w:rPr>
          <w:rFonts w:ascii="David" w:hAnsi="David"/>
          <w:color w:val="000000"/>
        </w:rPr>
      </w:pPr>
      <w:r>
        <w:rPr>
          <w:rFonts w:ascii="David" w:hAnsi="David"/>
          <w:color w:val="000000"/>
          <w:rtl/>
        </w:rPr>
        <w:t xml:space="preserve">במסגרת התסקיר  מיום 25.01.24 סקר שירות המבחן קורות חייה של הנאשמת, בת 23 אם ל </w:t>
      </w:r>
      <w:r>
        <w:rPr>
          <w:rFonts w:ascii="David" w:hAnsi="David" w:hint="cs"/>
          <w:color w:val="000000"/>
          <w:rtl/>
        </w:rPr>
        <w:t>4</w:t>
      </w:r>
      <w:r>
        <w:rPr>
          <w:rFonts w:ascii="David" w:hAnsi="David"/>
          <w:color w:val="000000"/>
          <w:rtl/>
        </w:rPr>
        <w:t xml:space="preserve"> ילדים בגילאי </w:t>
      </w:r>
      <w:r>
        <w:rPr>
          <w:rFonts w:ascii="David" w:hAnsi="David" w:hint="cs"/>
          <w:color w:val="000000"/>
          <w:rtl/>
        </w:rPr>
        <w:t>7</w:t>
      </w:r>
      <w:r>
        <w:rPr>
          <w:rFonts w:ascii="David" w:hAnsi="David"/>
          <w:color w:val="000000"/>
          <w:rtl/>
        </w:rPr>
        <w:t xml:space="preserve"> חודשים ועד 4 שנים, הנאשמת נשואה לנאשם, עובדת ברבע משרה כסייעת בגן, מתגוררת בחורה. הנאשמת מצויה בקשר קרוב עם אימה, בשנים האחרונות הקשר עם אביה רופף ומתראים בעיקר באירועים. הנאשמת נעדרת עבר פלילי, בהתייחס לאירוע הנדון מסרה שהייתה בביתה כאשר השוטרים דפקו בדלת, לטענתה לא ידעה שמדובר בשוטרים, באותה עת החליפה בגדים ואז מצאה את הנשק ומתוך בהלה השליכה אותו מבעד לחלון, ללא מחשבה על השלכות מעשיה. הנאשמת לא לקחה אחריות על הימצאות הנשק בביתה והחבאתו בביתה. </w:t>
      </w:r>
    </w:p>
    <w:p w14:paraId="19045FB6" w14:textId="77777777" w:rsidR="00DB3176" w:rsidRDefault="00DB3176" w:rsidP="00DB3176">
      <w:pPr>
        <w:spacing w:after="120" w:line="360" w:lineRule="auto"/>
        <w:ind w:left="720"/>
        <w:jc w:val="both"/>
        <w:rPr>
          <w:rFonts w:ascii="David" w:hAnsi="David"/>
          <w:color w:val="000000"/>
        </w:rPr>
      </w:pPr>
      <w:r>
        <w:rPr>
          <w:rFonts w:ascii="David" w:hAnsi="David"/>
          <w:color w:val="000000"/>
          <w:rtl/>
        </w:rPr>
        <w:t xml:space="preserve">שירות המבחן בחן גורמי הסיכוי לשיקום וציין שהנאשמת נעדר עבר פלילי, מנהלת אורח חיים תקין ויצרני לצד זאת ציין שירות המבחן גורמי הסיכון, חומרת העבירה וכן התרשמות שירות המבחן שהנאשמת אינה מכירה בחומרת העבירה ואינה לוקחת אחריות אישית על מעשיה ונאחזת בהיותה אישה מתפקדת ונורמטיבית שתפיסתה כי גורמי אכיפת החוק נטפלים אליה ולמשפחתה ומשליכה האשמה עליהם. </w:t>
      </w:r>
    </w:p>
    <w:p w14:paraId="57D87DF1" w14:textId="77777777" w:rsidR="00DB3176" w:rsidRDefault="00DB3176" w:rsidP="00DB3176">
      <w:pPr>
        <w:spacing w:after="120" w:line="360" w:lineRule="auto"/>
        <w:ind w:left="720"/>
        <w:jc w:val="both"/>
        <w:rPr>
          <w:rFonts w:ascii="David" w:hAnsi="David"/>
          <w:color w:val="000000"/>
          <w:rtl/>
        </w:rPr>
      </w:pPr>
      <w:r>
        <w:rPr>
          <w:rFonts w:ascii="David" w:hAnsi="David"/>
          <w:color w:val="000000"/>
          <w:rtl/>
        </w:rPr>
        <w:t xml:space="preserve">שירות המבחן ציין כי הנאשמת לא העלתה קשיים אותם מעוניינת לעבד במסגרת טיפולית ולכן לא בא שירות המבחן בהמלצה טיפולית. </w:t>
      </w:r>
    </w:p>
    <w:p w14:paraId="27646291" w14:textId="77777777" w:rsidR="00DB3176" w:rsidRDefault="00DB3176" w:rsidP="00DB3176">
      <w:pPr>
        <w:spacing w:after="120" w:line="360" w:lineRule="auto"/>
        <w:ind w:left="720"/>
        <w:jc w:val="both"/>
        <w:rPr>
          <w:rFonts w:ascii="David" w:hAnsi="David"/>
          <w:color w:val="000000"/>
          <w:rtl/>
        </w:rPr>
      </w:pPr>
      <w:r>
        <w:rPr>
          <w:rFonts w:ascii="David" w:hAnsi="David"/>
          <w:color w:val="000000"/>
          <w:rtl/>
        </w:rPr>
        <w:t xml:space="preserve">לעניין העונש ציין שירות המבחן עובדת היותה צעירה נעדרת עבר פלילי אך יחד עם זאת ציין חוסר לקיחת האחריות מצידה של הנאשמת, חשיפתה לחברה שולית והעובדה כי אינה נרתעת ממעורבות איתה ולכן לא בא שירות המבחן בהמלצה שיקומית וסבר שיש להטיל ענישה מוחשית בדמות של מאסר בעבודת שירות. בנוגע לביטול הרשעה ציין שירות המבחן שנוכח קשייה של הנאשמת לקחת אחריות והיעדר קיומו של נזק קונקרטי לא מצא כי קיימת הצדקה לביטול ההרשעה. </w:t>
      </w:r>
    </w:p>
    <w:p w14:paraId="51260A40" w14:textId="77777777" w:rsidR="00DB3176" w:rsidRDefault="00DB3176" w:rsidP="00DB3176">
      <w:pPr>
        <w:spacing w:after="120" w:line="360" w:lineRule="auto"/>
        <w:ind w:left="720"/>
        <w:jc w:val="both"/>
        <w:rPr>
          <w:rFonts w:ascii="David" w:hAnsi="David"/>
          <w:color w:val="000000"/>
        </w:rPr>
      </w:pPr>
    </w:p>
    <w:p w14:paraId="3B640E38" w14:textId="77777777" w:rsidR="00DB3176" w:rsidRDefault="00DB3176" w:rsidP="00DB3176">
      <w:pPr>
        <w:spacing w:after="120" w:line="360" w:lineRule="auto"/>
        <w:jc w:val="both"/>
        <w:rPr>
          <w:bCs/>
          <w:u w:val="single"/>
          <w:lang w:eastAsia="he-IL"/>
        </w:rPr>
      </w:pPr>
      <w:r>
        <w:rPr>
          <w:bCs/>
          <w:u w:val="single"/>
          <w:rtl/>
          <w:lang w:eastAsia="he-IL"/>
        </w:rPr>
        <w:t>טיעוני הצדדים</w:t>
      </w:r>
    </w:p>
    <w:p w14:paraId="08825370" w14:textId="77777777" w:rsidR="00DB3176" w:rsidRDefault="00DB3176" w:rsidP="00DB3176">
      <w:pPr>
        <w:pStyle w:val="a"/>
        <w:jc w:val="both"/>
        <w:rPr>
          <w:bCs/>
          <w:u w:val="single"/>
          <w:rtl/>
          <w:lang w:eastAsia="he-IL"/>
        </w:rPr>
      </w:pPr>
      <w:r>
        <w:rPr>
          <w:rFonts w:hint="cs"/>
          <w:rtl/>
        </w:rPr>
        <w:t xml:space="preserve">המאשימה הגישה טיעונים בכתב (ת/1) וכן הגישה אסופת פסיקה. </w:t>
      </w:r>
    </w:p>
    <w:p w14:paraId="0AC7A20B" w14:textId="77777777" w:rsidR="00DB3176" w:rsidRDefault="00DB3176" w:rsidP="00DB3176">
      <w:pPr>
        <w:pStyle w:val="a"/>
        <w:numPr>
          <w:ilvl w:val="0"/>
          <w:numId w:val="0"/>
        </w:numPr>
        <w:tabs>
          <w:tab w:val="left" w:pos="720"/>
        </w:tabs>
        <w:ind w:left="720"/>
        <w:jc w:val="both"/>
        <w:rPr>
          <w:rtl/>
        </w:rPr>
      </w:pPr>
      <w:r>
        <w:rPr>
          <w:rFonts w:hint="cs"/>
          <w:b/>
          <w:bCs/>
          <w:rtl/>
        </w:rPr>
        <w:t>המאשימה</w:t>
      </w:r>
      <w:r>
        <w:rPr>
          <w:rFonts w:hint="cs"/>
          <w:rtl/>
        </w:rPr>
        <w:t xml:space="preserve"> עמדה על חומרת  המעשים, הערכים המוגנים שנפגעו ומידת הפגיעה בהם. המאשימה עמדה על מדיניות הענישה הנהוגה ועתרה ביחס לנאשם 1 לקביעת מתחם ענישה הנע בין 46 ל 74 חודשי מאסר בפועל וביחס לנאשמת 2 עתרה למתחם הנע בין 7 ל 16 חודשי מאסר בפועל. המאשימה ציינה שהנאשמים נעדרי עבר פלילי, ביחס לנאשם 1 שירות המבחן ממליץ על הטלת ענישה מוחשית שכן התרשמות שירות המבחן שהנאשם אינו מודה באופן מלא במיוחס לו ונוקט בעמדה מטשטשת בנוגע לרקע שבביצוע העבירות. גם ביחס לנאשמת 2 שירות המבחן ממליץ על ענישה מוחשית בדמות מאסר בעבודת שירות, שכן גם לגבי הנאשמת שירות המבחן מתרשם שאינה לוקחת אחריות מלאה, גרסתה מתחמקת ועומדת בסתירה לנסיבות כתב האישום. נוכח האמור עתרה המאשימה למיקום עונשם של הנאשמים בשליש התחתון של המתחמים להם עתרה וזאת לצד הטלת ענישה מותנית, קנס והתחייבות. </w:t>
      </w:r>
    </w:p>
    <w:p w14:paraId="27A035DF" w14:textId="77777777" w:rsidR="00DB3176" w:rsidRDefault="00DB3176" w:rsidP="00DB3176">
      <w:pPr>
        <w:pStyle w:val="a"/>
        <w:numPr>
          <w:ilvl w:val="0"/>
          <w:numId w:val="0"/>
        </w:numPr>
        <w:tabs>
          <w:tab w:val="left" w:pos="720"/>
        </w:tabs>
        <w:ind w:left="720"/>
        <w:jc w:val="both"/>
      </w:pPr>
    </w:p>
    <w:p w14:paraId="483F767E" w14:textId="77777777" w:rsidR="00DB3176" w:rsidRDefault="00DB3176" w:rsidP="00DB3176">
      <w:pPr>
        <w:pStyle w:val="a"/>
        <w:jc w:val="both"/>
      </w:pPr>
      <w:r>
        <w:rPr>
          <w:rFonts w:hint="cs"/>
          <w:b/>
          <w:bCs/>
          <w:rtl/>
        </w:rPr>
        <w:t>ב"כ הנאשמים,</w:t>
      </w:r>
      <w:r>
        <w:rPr>
          <w:rFonts w:hint="cs"/>
          <w:rtl/>
        </w:rPr>
        <w:t xml:space="preserve"> התייחס תחילה לעניינה של </w:t>
      </w:r>
      <w:r>
        <w:rPr>
          <w:rFonts w:hint="cs"/>
          <w:u w:val="single"/>
          <w:rtl/>
        </w:rPr>
        <w:t>נאשמת 2</w:t>
      </w:r>
      <w:r>
        <w:rPr>
          <w:rFonts w:hint="cs"/>
          <w:rtl/>
        </w:rPr>
        <w:t xml:space="preserve"> ועתר לקביעת מתחם ענישה הנע ממאסר מותנה ועד מספר חודשי מאסר שירוצו בעבודת שירות. בהתייחס לתסקיר טען כי שירות המבחן ייחס לנאשמת דברים שהינם מעבר לעובדות כתב האישום בו הודתה. אין בכתב האישום התייחסות למודעות אודות הימצאות הנשק, כל שכתב האישום מייחס לנאשמת הוא זריקת הנשק ולא מודעות מוקדמת להימצאותו במקום. ב"כ הנאשם הדגיש כי הנאשמת הודתה במיוחס לה. לטענת ב"כ הנאשמים, בעניינה יש לבחון אי הרשעה וכן עתר להטלת מאסר מותנה.</w:t>
      </w:r>
    </w:p>
    <w:p w14:paraId="45B18861" w14:textId="77777777" w:rsidR="00DB3176" w:rsidRDefault="00DB3176" w:rsidP="00DB3176">
      <w:pPr>
        <w:pStyle w:val="a"/>
        <w:numPr>
          <w:ilvl w:val="0"/>
          <w:numId w:val="0"/>
        </w:numPr>
        <w:ind w:left="720"/>
        <w:jc w:val="both"/>
        <w:rPr>
          <w:rtl/>
        </w:rPr>
      </w:pPr>
      <w:r>
        <w:rPr>
          <w:rFonts w:hint="cs"/>
          <w:rtl/>
        </w:rPr>
        <w:t xml:space="preserve"> </w:t>
      </w:r>
    </w:p>
    <w:p w14:paraId="46C9CB74" w14:textId="77777777" w:rsidR="00DB3176" w:rsidRDefault="00DB3176" w:rsidP="00DB3176">
      <w:pPr>
        <w:pStyle w:val="a"/>
        <w:jc w:val="both"/>
      </w:pPr>
      <w:r>
        <w:rPr>
          <w:rFonts w:hint="cs"/>
          <w:rtl/>
        </w:rPr>
        <w:t xml:space="preserve">בהתייחס </w:t>
      </w:r>
      <w:r>
        <w:rPr>
          <w:rFonts w:hint="cs"/>
          <w:u w:val="single"/>
          <w:rtl/>
        </w:rPr>
        <w:t>לנאשם 1</w:t>
      </w:r>
      <w:r>
        <w:rPr>
          <w:rFonts w:hint="cs"/>
          <w:rtl/>
        </w:rPr>
        <w:t>, טען שההליך כנגדו התנהל בחוסר הגינות, עצם הגשת כתב האישום נגד שני בני זוג גרם לחוסר יכולת של הנאשם להתגונן והפנה לטענות שהעלה בעניין זה בתחילת ההליך המשפטי לגבי הצורך לפיצול כתב האישום. לגבי המתחם לו עתרה המאשימה טען שמדובר במתחם שאינו תואם  מדיניות הענישה הנהוגה. ב"כ הנאשם ציין שמדובר באירוע אחד בלבד. עוד ציין שהעבירות בוצעו לפני התיקון הנוגע להחמרה בענישה בעבירות נשק ולדידו מתחם הענישה במקרה זה נע בין 12 חודשי מאסר ל 24 חודשי מאסר בפועל, בהתייחס לנסיבות האישיות של הנאשם 1 הדגיש כי מדובר בנאשם נעדר עבר פלילי וזו הסתבכותו הראשונה בפלילים, ציין חלוף הזמן מהאירוע, כ 4 שנים ומאז לא הסתבך שוב בפלילים, האירוע הנדון הינו מעידה חד פעמית. לפיכך, סבור כי יש מקום לסטות ממתחם העונש ההולם, הדגיש את הפוטנציאל השיקומי. הפנה לתקופת המעצר בה שהה הנאשם ולאחריה תקופה ארוכה של מעצר באיזוק אלקטרוני ולאור כך סבור כי ניתן להסתפק בהטלת עונש מאסר לתקופה שניתן יהיה לרצות בדרך של עבודת שירות.</w:t>
      </w:r>
    </w:p>
    <w:p w14:paraId="468EEF4A" w14:textId="77777777" w:rsidR="00DB3176" w:rsidRDefault="00DB3176" w:rsidP="00DB3176">
      <w:pPr>
        <w:spacing w:after="120" w:line="360" w:lineRule="auto"/>
        <w:jc w:val="both"/>
        <w:rPr>
          <w:bCs/>
          <w:u w:val="single"/>
          <w:rtl/>
          <w:lang w:eastAsia="he-IL"/>
        </w:rPr>
      </w:pPr>
    </w:p>
    <w:p w14:paraId="747ED507" w14:textId="77777777" w:rsidR="00DB3176" w:rsidRDefault="00DB3176" w:rsidP="00DB3176">
      <w:pPr>
        <w:spacing w:after="120" w:line="360" w:lineRule="auto"/>
        <w:jc w:val="both"/>
        <w:rPr>
          <w:bCs/>
          <w:u w:val="single"/>
          <w:rtl/>
          <w:lang w:eastAsia="he-IL"/>
        </w:rPr>
      </w:pPr>
      <w:r>
        <w:rPr>
          <w:bCs/>
          <w:u w:val="single"/>
          <w:rtl/>
          <w:lang w:eastAsia="he-IL"/>
        </w:rPr>
        <w:t>דיון - קביעת מתחם העונש ההולם</w:t>
      </w:r>
    </w:p>
    <w:p w14:paraId="40BF6401" w14:textId="77777777" w:rsidR="00DB3176" w:rsidRDefault="00DB3176" w:rsidP="00DB3176">
      <w:pPr>
        <w:numPr>
          <w:ilvl w:val="0"/>
          <w:numId w:val="1"/>
        </w:numPr>
        <w:spacing w:after="120" w:line="360" w:lineRule="auto"/>
        <w:jc w:val="both"/>
        <w:rPr>
          <w:rFonts w:ascii="David" w:hAnsi="David"/>
          <w:color w:val="000000"/>
        </w:rPr>
      </w:pPr>
      <w:r>
        <w:rPr>
          <w:rFonts w:ascii="David" w:hAnsi="David"/>
          <w:color w:val="000000"/>
          <w:rtl/>
        </w:rPr>
        <w:t xml:space="preserve">ראשית בטרם אדרש לבחינת הערכים המוגנים ומידת הפגיעה בהם, יש לבחון אופן קביעת המתחם, במקרה הנדון מדובר בשני נאשמים אשר כל אחד מהם הורשע בביצוע מעשים שונים ועבירות שונות, מעשיהם אומנם שזורים זה בזה, אולם בהתאם לסעיף </w:t>
      </w:r>
      <w:hyperlink r:id="rId19" w:history="1">
        <w:r w:rsidR="00105311" w:rsidRPr="00105311">
          <w:rPr>
            <w:rStyle w:val="Hyperlink"/>
            <w:rFonts w:ascii="David" w:hAnsi="David"/>
            <w:color w:val="0000FF"/>
            <w:rtl/>
          </w:rPr>
          <w:t>40יג (א)</w:t>
        </w:r>
      </w:hyperlink>
      <w:r>
        <w:rPr>
          <w:rFonts w:ascii="David" w:hAnsi="David"/>
          <w:color w:val="000000"/>
          <w:rtl/>
        </w:rPr>
        <w:t xml:space="preserve"> ל</w:t>
      </w:r>
      <w:hyperlink r:id="rId20" w:history="1">
        <w:r w:rsidR="008158BE" w:rsidRPr="008158BE">
          <w:rPr>
            <w:rFonts w:ascii="David" w:hAnsi="David"/>
            <w:color w:val="0000FF"/>
            <w:u w:val="single"/>
            <w:rtl/>
          </w:rPr>
          <w:t>חוק העונשין</w:t>
        </w:r>
      </w:hyperlink>
      <w:r>
        <w:rPr>
          <w:rFonts w:ascii="David" w:hAnsi="David"/>
          <w:color w:val="000000"/>
          <w:rtl/>
        </w:rPr>
        <w:t xml:space="preserve"> אני סבור שיש לקבוע מתחמי ענישה נפרדים לכל אחד מהנאשמים. </w:t>
      </w:r>
    </w:p>
    <w:p w14:paraId="096C5AF3" w14:textId="77777777" w:rsidR="00DB3176" w:rsidRDefault="00DB3176" w:rsidP="00DB3176">
      <w:pPr>
        <w:spacing w:after="120" w:line="360" w:lineRule="auto"/>
        <w:ind w:left="720"/>
        <w:jc w:val="both"/>
        <w:rPr>
          <w:rFonts w:ascii="David" w:hAnsi="David"/>
          <w:color w:val="000000"/>
        </w:rPr>
      </w:pPr>
    </w:p>
    <w:p w14:paraId="1CE9D4ED" w14:textId="77777777" w:rsidR="00DB3176" w:rsidRDefault="00DB3176" w:rsidP="00DB3176">
      <w:pPr>
        <w:numPr>
          <w:ilvl w:val="0"/>
          <w:numId w:val="1"/>
        </w:numPr>
        <w:spacing w:after="120" w:line="360" w:lineRule="auto"/>
        <w:jc w:val="both"/>
        <w:rPr>
          <w:rFonts w:ascii="David" w:hAnsi="David"/>
          <w:color w:val="000000"/>
        </w:rPr>
      </w:pPr>
      <w:r>
        <w:rPr>
          <w:rFonts w:ascii="David" w:hAnsi="David"/>
          <w:color w:val="000000"/>
          <w:rtl/>
        </w:rPr>
        <w:t xml:space="preserve">העיקרון המנחה בעקבות תיקון 113 הינו עקרון ההלימה, קיומו של יחס הולם בין חומרת מעשה העבירה בנסיבותיו ומידת אשמתו של נאשם ובין סוג ומידת העונש המוטל עליו. לשם קביעת מתחם העונש ההולם, בהתאם לעקרון ההלימה, יש להתחשב בערכים המוגנים שנפגעו, במידת הפגיעה בהם, במדיניות הענישה הנהוגה ובנסיבות הקשורות בביצוע העבירה. </w:t>
      </w:r>
    </w:p>
    <w:p w14:paraId="519A47DC" w14:textId="77777777" w:rsidR="00DB3176" w:rsidRDefault="00DB3176" w:rsidP="00DB3176">
      <w:pPr>
        <w:pStyle w:val="ListParagraph"/>
        <w:rPr>
          <w:rFonts w:ascii="David" w:hAnsi="David"/>
          <w:color w:val="000000"/>
          <w:rtl/>
        </w:rPr>
      </w:pPr>
    </w:p>
    <w:p w14:paraId="26C3B2DE" w14:textId="77777777" w:rsidR="00DB3176" w:rsidRDefault="00DB3176" w:rsidP="00DB3176">
      <w:pPr>
        <w:spacing w:after="120" w:line="360" w:lineRule="auto"/>
        <w:jc w:val="both"/>
        <w:rPr>
          <w:rFonts w:ascii="David" w:hAnsi="David"/>
          <w:b/>
          <w:bCs/>
          <w:color w:val="000000"/>
          <w:u w:val="single"/>
          <w:rtl/>
        </w:rPr>
      </w:pPr>
    </w:p>
    <w:p w14:paraId="3CB1B05C" w14:textId="77777777" w:rsidR="00DB3176" w:rsidRDefault="00DB3176" w:rsidP="00DB3176">
      <w:pPr>
        <w:spacing w:after="120" w:line="360" w:lineRule="auto"/>
        <w:jc w:val="both"/>
        <w:rPr>
          <w:rFonts w:ascii="David" w:hAnsi="David"/>
          <w:b/>
          <w:bCs/>
          <w:color w:val="000000"/>
          <w:u w:val="single"/>
        </w:rPr>
      </w:pPr>
      <w:r>
        <w:rPr>
          <w:rFonts w:ascii="David" w:hAnsi="David"/>
          <w:b/>
          <w:bCs/>
          <w:color w:val="000000"/>
          <w:u w:val="single"/>
          <w:rtl/>
        </w:rPr>
        <w:t xml:space="preserve">מתחם הענישה – נאשם 1 </w:t>
      </w:r>
    </w:p>
    <w:p w14:paraId="07C79EBB" w14:textId="77777777" w:rsidR="00DB3176" w:rsidRDefault="00DB3176" w:rsidP="00DB3176">
      <w:pPr>
        <w:numPr>
          <w:ilvl w:val="0"/>
          <w:numId w:val="1"/>
        </w:numPr>
        <w:spacing w:after="120" w:line="360" w:lineRule="auto"/>
        <w:jc w:val="both"/>
        <w:rPr>
          <w:rFonts w:ascii="David" w:hAnsi="David"/>
          <w:color w:val="000000"/>
        </w:rPr>
      </w:pPr>
      <w:r>
        <w:rPr>
          <w:rFonts w:ascii="David" w:hAnsi="David"/>
          <w:color w:val="000000"/>
          <w:rtl/>
        </w:rPr>
        <w:t>במעשיו פגע נאשם 1</w:t>
      </w:r>
      <w:r>
        <w:rPr>
          <w:rFonts w:ascii="David" w:hAnsi="David"/>
          <w:b/>
          <w:bCs/>
          <w:color w:val="000000"/>
          <w:rtl/>
        </w:rPr>
        <w:t xml:space="preserve"> במספר ערכים מוגנים </w:t>
      </w:r>
      <w:r>
        <w:rPr>
          <w:rFonts w:ascii="David" w:hAnsi="David"/>
          <w:color w:val="000000"/>
          <w:rtl/>
        </w:rPr>
        <w:t xml:space="preserve"> הגנה ושמירה על בטחון ושלום הציבור. וכן שמירה על הסדר הציבורי והגנה על שלמותו גופו ורכושו של אדם ומניעת פגיעה משמעותית באדם כתוצאה משימוש בנשק חם שלא על ידי מורשה. עבירה של החזקת נשק ותחמושת מעצם טיבה יוצרת סיכון שייעשה שימוש בנשק ובתחמושת למטרות פסולות, פליליות או ביטחוניות, לרבות פגיעה בגוף או בנפש. בית המשפט העליון שב וחזר על החומרה הגלומה בעבירות נשק ועל פוטנציאל הפגיעה בנפש וברכוש שעלולים להיגרם כתוצאה מהשימוש בו.  </w:t>
      </w:r>
    </w:p>
    <w:p w14:paraId="10210F3A" w14:textId="77777777" w:rsidR="00DB3176" w:rsidRDefault="00DB3176" w:rsidP="00DB3176">
      <w:pPr>
        <w:spacing w:after="120" w:line="360" w:lineRule="auto"/>
        <w:ind w:left="707"/>
        <w:rPr>
          <w:rFonts w:ascii="David" w:hAnsi="David"/>
          <w:color w:val="000000"/>
          <w:rtl/>
        </w:rPr>
      </w:pPr>
    </w:p>
    <w:p w14:paraId="5F51ECC0" w14:textId="77777777" w:rsidR="00DB3176" w:rsidRDefault="00DB3176" w:rsidP="00DB3176">
      <w:pPr>
        <w:spacing w:after="120" w:line="360" w:lineRule="auto"/>
        <w:ind w:left="707"/>
        <w:rPr>
          <w:rFonts w:ascii="David" w:hAnsi="David"/>
          <w:color w:val="000000"/>
        </w:rPr>
      </w:pPr>
      <w:r>
        <w:rPr>
          <w:rFonts w:ascii="David" w:hAnsi="David"/>
          <w:color w:val="000000"/>
          <w:rtl/>
        </w:rPr>
        <w:t>ראה הנאמר ב</w:t>
      </w:r>
      <w:hyperlink r:id="rId21" w:history="1">
        <w:r w:rsidR="008158BE" w:rsidRPr="008158BE">
          <w:rPr>
            <w:rFonts w:ascii="David" w:hAnsi="David"/>
            <w:color w:val="0000FF"/>
            <w:u w:val="single"/>
            <w:rtl/>
          </w:rPr>
          <w:t>ע"פ 135/17</w:t>
        </w:r>
      </w:hyperlink>
      <w:r>
        <w:rPr>
          <w:rFonts w:ascii="David" w:hAnsi="David"/>
          <w:color w:val="000000"/>
          <w:rtl/>
        </w:rPr>
        <w:t xml:space="preserve"> </w:t>
      </w:r>
      <w:r>
        <w:rPr>
          <w:rFonts w:ascii="David" w:hAnsi="David"/>
          <w:b/>
          <w:bCs/>
          <w:color w:val="000000"/>
          <w:rtl/>
        </w:rPr>
        <w:t>מדינת ישראל נ' בסל</w:t>
      </w:r>
      <w:r>
        <w:rPr>
          <w:rFonts w:ascii="David" w:hAnsi="David"/>
          <w:color w:val="000000"/>
          <w:rtl/>
        </w:rPr>
        <w:t xml:space="preserve"> </w:t>
      </w:r>
      <w:r w:rsidR="00A11EE9" w:rsidRPr="00A11EE9">
        <w:rPr>
          <w:sz w:val="22"/>
          <w:rtl/>
        </w:rPr>
        <w:t xml:space="preserve">[פורסם בנבו] </w:t>
      </w:r>
      <w:r>
        <w:rPr>
          <w:rFonts w:ascii="David" w:hAnsi="David"/>
          <w:color w:val="000000"/>
          <w:rtl/>
        </w:rPr>
        <w:t xml:space="preserve">(8.3.17), מפי כב' השופט נ' סולברג : </w:t>
      </w:r>
    </w:p>
    <w:p w14:paraId="64F462EE" w14:textId="77777777" w:rsidR="00DB3176" w:rsidRDefault="00DB3176" w:rsidP="00DB3176">
      <w:pPr>
        <w:spacing w:after="120" w:line="360" w:lineRule="auto"/>
        <w:ind w:left="720" w:right="993"/>
        <w:jc w:val="both"/>
        <w:rPr>
          <w:rFonts w:ascii="David" w:hAnsi="David"/>
          <w:color w:val="000000"/>
        </w:rPr>
      </w:pPr>
      <w:r>
        <w:rPr>
          <w:rFonts w:ascii="David" w:hAnsi="David"/>
          <w:color w:val="000000"/>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 </w:t>
      </w:r>
    </w:p>
    <w:p w14:paraId="0E8434DB" w14:textId="77777777" w:rsidR="00DB3176" w:rsidRDefault="00DB3176" w:rsidP="00DB3176">
      <w:pPr>
        <w:spacing w:after="120" w:line="360" w:lineRule="auto"/>
        <w:ind w:left="707"/>
        <w:jc w:val="both"/>
        <w:rPr>
          <w:rFonts w:ascii="David" w:hAnsi="David"/>
          <w:color w:val="000000"/>
          <w:rtl/>
        </w:rPr>
      </w:pPr>
    </w:p>
    <w:p w14:paraId="00EC7AB9" w14:textId="77777777" w:rsidR="00DB3176" w:rsidRDefault="00DB3176" w:rsidP="00DB3176">
      <w:pPr>
        <w:spacing w:after="120" w:line="360" w:lineRule="auto"/>
        <w:ind w:left="707"/>
        <w:jc w:val="both"/>
        <w:rPr>
          <w:rFonts w:ascii="David" w:hAnsi="David"/>
          <w:color w:val="000000"/>
          <w:rtl/>
        </w:rPr>
      </w:pPr>
      <w:r>
        <w:rPr>
          <w:rFonts w:ascii="David" w:hAnsi="David"/>
          <w:color w:val="000000"/>
          <w:rtl/>
        </w:rPr>
        <w:t>ב</w:t>
      </w:r>
      <w:hyperlink r:id="rId22" w:history="1">
        <w:r w:rsidR="008158BE" w:rsidRPr="008158BE">
          <w:rPr>
            <w:rFonts w:ascii="David" w:hAnsi="David"/>
            <w:color w:val="0000FF"/>
            <w:u w:val="single"/>
            <w:rtl/>
          </w:rPr>
          <w:t>ע"פ 5446/19</w:t>
        </w:r>
      </w:hyperlink>
      <w:r>
        <w:rPr>
          <w:rFonts w:ascii="David" w:hAnsi="David"/>
          <w:color w:val="000000"/>
          <w:rtl/>
        </w:rPr>
        <w:t xml:space="preserve"> </w:t>
      </w:r>
      <w:r>
        <w:rPr>
          <w:rFonts w:ascii="David" w:hAnsi="David"/>
          <w:b/>
          <w:bCs/>
          <w:color w:val="000000"/>
          <w:rtl/>
        </w:rPr>
        <w:t>מדינת ישראל נ' הוארי</w:t>
      </w:r>
      <w:r>
        <w:rPr>
          <w:rFonts w:ascii="David" w:hAnsi="David"/>
          <w:color w:val="000000"/>
          <w:rtl/>
        </w:rPr>
        <w:t xml:space="preserve"> </w:t>
      </w:r>
      <w:r w:rsidR="00A11EE9" w:rsidRPr="00A11EE9">
        <w:rPr>
          <w:sz w:val="22"/>
          <w:rtl/>
        </w:rPr>
        <w:t xml:space="preserve">[פורסם בנבו] </w:t>
      </w:r>
      <w:r>
        <w:rPr>
          <w:rFonts w:ascii="David" w:hAnsi="David"/>
          <w:color w:val="000000"/>
          <w:rtl/>
        </w:rPr>
        <w:t xml:space="preserve">(25.11.19), מפי כב' השופט ע' גרוסקופף, חזר והדגיש לאחרונה בית המשפט העליון את מגמת ההחמרה בעבירות נשק, על סוגיהן השונים: </w:t>
      </w:r>
    </w:p>
    <w:p w14:paraId="0B2CB16D" w14:textId="77777777" w:rsidR="00DB3176" w:rsidRDefault="00DB3176" w:rsidP="00DB3176">
      <w:pPr>
        <w:spacing w:after="120" w:line="360" w:lineRule="auto"/>
        <w:ind w:left="720" w:right="567"/>
        <w:jc w:val="both"/>
        <w:rPr>
          <w:rFonts w:ascii="David" w:hAnsi="David"/>
          <w:color w:val="000000"/>
          <w:rtl/>
        </w:rPr>
      </w:pPr>
      <w:r>
        <w:rPr>
          <w:rFonts w:ascii="David" w:hAnsi="David"/>
          <w:color w:val="000000"/>
          <w:rtl/>
        </w:rPr>
        <w:t xml:space="preserve">"בשנים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המורשים בעבירות נשק, כך שזו תבטא באופן הולם את פוטנציאל ההרס הרב הגלום בהן". </w:t>
      </w:r>
    </w:p>
    <w:p w14:paraId="4C9F4823" w14:textId="77777777" w:rsidR="00DB3176" w:rsidRDefault="00DB3176" w:rsidP="00DB3176">
      <w:pPr>
        <w:spacing w:after="120" w:line="360" w:lineRule="auto"/>
        <w:ind w:left="720" w:right="567"/>
        <w:jc w:val="both"/>
        <w:rPr>
          <w:rFonts w:ascii="David" w:hAnsi="David"/>
          <w:color w:val="000000"/>
          <w:rtl/>
        </w:rPr>
      </w:pPr>
    </w:p>
    <w:p w14:paraId="159F4C22" w14:textId="77777777" w:rsidR="00DB3176" w:rsidRDefault="00DB3176" w:rsidP="00DB3176">
      <w:pPr>
        <w:numPr>
          <w:ilvl w:val="0"/>
          <w:numId w:val="1"/>
        </w:numPr>
        <w:spacing w:after="120" w:line="360" w:lineRule="auto"/>
        <w:jc w:val="both"/>
        <w:rPr>
          <w:rFonts w:ascii="David" w:hAnsi="David"/>
          <w:color w:val="000000"/>
        </w:rPr>
      </w:pPr>
      <w:r>
        <w:rPr>
          <w:rFonts w:ascii="David" w:hAnsi="David"/>
          <w:color w:val="000000"/>
          <w:rtl/>
        </w:rPr>
        <w:t xml:space="preserve">בחינת </w:t>
      </w:r>
      <w:r>
        <w:rPr>
          <w:rFonts w:ascii="David" w:hAnsi="David"/>
          <w:b/>
          <w:bCs/>
          <w:color w:val="000000"/>
          <w:rtl/>
        </w:rPr>
        <w:t xml:space="preserve">מידת הפגיעה בערך המוגן </w:t>
      </w:r>
      <w:r>
        <w:rPr>
          <w:rFonts w:ascii="David" w:hAnsi="David"/>
          <w:color w:val="000000"/>
          <w:rtl/>
        </w:rPr>
        <w:t xml:space="preserve">מובילה למסקנה כי הפגיעה היא </w:t>
      </w:r>
      <w:r>
        <w:rPr>
          <w:rFonts w:ascii="David" w:hAnsi="David"/>
          <w:b/>
          <w:bCs/>
          <w:color w:val="000000"/>
          <w:rtl/>
        </w:rPr>
        <w:t>ברף בינוני-גבוה.</w:t>
      </w:r>
      <w:r>
        <w:rPr>
          <w:rFonts w:ascii="David" w:hAnsi="David"/>
          <w:color w:val="000000"/>
          <w:rtl/>
        </w:rPr>
        <w:t xml:space="preserve"> בהקשר זה נתתי דעתי לכך שהנאשם ביצע עבירה של החזקת נשק ותחמושת, שהעונש המרבי שנקבע לצידה הוא של  7 שנות מאסר, עוד יש לתת את הדעת לכך שעסקינן בהחזקת אקדח, רימוני הלם ותחמושת בביתו.  </w:t>
      </w:r>
    </w:p>
    <w:p w14:paraId="1B38753E" w14:textId="77777777" w:rsidR="00DB3176" w:rsidRDefault="00DB3176" w:rsidP="00DB3176">
      <w:pPr>
        <w:spacing w:after="120" w:line="360" w:lineRule="auto"/>
        <w:ind w:left="720"/>
        <w:jc w:val="both"/>
        <w:rPr>
          <w:rFonts w:ascii="David" w:hAnsi="David"/>
          <w:color w:val="000000"/>
          <w:rtl/>
        </w:rPr>
      </w:pPr>
    </w:p>
    <w:p w14:paraId="5FF68A89" w14:textId="77777777" w:rsidR="00DB3176" w:rsidRDefault="00DB3176" w:rsidP="00DB3176">
      <w:pPr>
        <w:pStyle w:val="a"/>
        <w:jc w:val="both"/>
      </w:pPr>
      <w:r>
        <w:rPr>
          <w:rFonts w:hint="cs"/>
          <w:rtl/>
        </w:rPr>
        <w:t>יש לציין שלאחרונה,  התקבל  תיקון ל</w:t>
      </w:r>
      <w:r w:rsidR="008158BE" w:rsidRPr="00105311">
        <w:rPr>
          <w:color w:val="auto"/>
          <w:rtl/>
        </w:rPr>
        <w:t>חוק העונשין</w:t>
      </w:r>
      <w:r>
        <w:rPr>
          <w:rFonts w:hint="cs"/>
          <w:rtl/>
        </w:rPr>
        <w:t xml:space="preserve"> (חוק העונשין (תיקון מס' 140 – הוראת שעה), תשפ"ב-2021 (אשר נכנס לתוקף ביום 07.12.21) – במסגרתו נקבעו עונשי מינימום בכל הנוגע לעבירות נשק, כך שעונשו של העבריין לא יפחת מרבע העונש המקסימלי הקבוע לצד העבירה, כאשר ניתן לחרוג מעונש המינימום בהתקיים נימוקים מיוחדים שיירשמו. התיקון האמור אמנם אינו חל על המקרה שלפניי, אך רוח הדברים ברורה ובסמוך לפרסומו של התיקון נקבע בפסיקה, שיש להחמיר בענישה ב"רוח התיקון", ראה דברי כב' השופט י' עמית ב</w:t>
      </w:r>
      <w:hyperlink r:id="rId23" w:history="1">
        <w:r w:rsidR="008158BE" w:rsidRPr="008158BE">
          <w:rPr>
            <w:color w:val="0000FF"/>
            <w:u w:val="single"/>
            <w:rtl/>
          </w:rPr>
          <w:t>ע"פ 2482/22</w:t>
        </w:r>
      </w:hyperlink>
      <w:r>
        <w:rPr>
          <w:rFonts w:hint="cs"/>
          <w:rtl/>
        </w:rPr>
        <w:t xml:space="preserve"> </w:t>
      </w:r>
      <w:r>
        <w:rPr>
          <w:rFonts w:hint="cs"/>
          <w:b/>
          <w:bCs/>
          <w:rtl/>
        </w:rPr>
        <w:t xml:space="preserve">מדינת ישראל נ' קדורה </w:t>
      </w:r>
      <w:r w:rsidR="00A11EE9" w:rsidRPr="00A11EE9">
        <w:rPr>
          <w:rFonts w:ascii="Times New Roman" w:hAnsi="Times New Roman"/>
          <w:color w:val="auto"/>
          <w:sz w:val="22"/>
          <w:rtl/>
        </w:rPr>
        <w:t xml:space="preserve">[פורסם בנבו] </w:t>
      </w:r>
      <w:r>
        <w:rPr>
          <w:rFonts w:hint="cs"/>
          <w:rtl/>
        </w:rPr>
        <w:t xml:space="preserve">(14.04.22)- </w:t>
      </w:r>
    </w:p>
    <w:p w14:paraId="102DA0C2" w14:textId="77777777" w:rsidR="00DB3176" w:rsidRDefault="00DB3176" w:rsidP="00DB3176">
      <w:pPr>
        <w:pStyle w:val="a"/>
        <w:numPr>
          <w:ilvl w:val="0"/>
          <w:numId w:val="0"/>
        </w:numPr>
        <w:tabs>
          <w:tab w:val="left" w:pos="720"/>
        </w:tabs>
        <w:ind w:left="720"/>
        <w:jc w:val="both"/>
        <w:rPr>
          <w:rtl/>
        </w:rPr>
      </w:pPr>
      <w:r>
        <w:rPr>
          <w:rFonts w:hint="cs"/>
          <w:rtl/>
        </w:rPr>
        <w:t xml:space="preserve">"לא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 אכן, התיקון לחוק לא חל בענייננו, מאחר שהמעשים בהם הורשע המשיב נעשו עוד קודם לתיקון, </w:t>
      </w:r>
      <w:r>
        <w:rPr>
          <w:rFonts w:hint="cs"/>
          <w:b/>
          <w:bCs/>
          <w:rtl/>
        </w:rPr>
        <w:t>אך יש בו כדי לשקף את רצון המחוקק להחמיר בענישה בעבירות נשק</w:t>
      </w:r>
      <w:r>
        <w:rPr>
          <w:rFonts w:hint="cs"/>
          <w:rtl/>
        </w:rPr>
        <w:t xml:space="preserve">". </w:t>
      </w:r>
    </w:p>
    <w:p w14:paraId="417CF709" w14:textId="77777777" w:rsidR="00DB3176" w:rsidRDefault="00DB3176" w:rsidP="00DB3176">
      <w:pPr>
        <w:pStyle w:val="a"/>
        <w:numPr>
          <w:ilvl w:val="0"/>
          <w:numId w:val="0"/>
        </w:numPr>
        <w:tabs>
          <w:tab w:val="left" w:pos="720"/>
        </w:tabs>
        <w:ind w:left="720"/>
        <w:jc w:val="both"/>
      </w:pPr>
    </w:p>
    <w:p w14:paraId="721DF5D3" w14:textId="77777777" w:rsidR="00DB3176" w:rsidRPr="00326441" w:rsidRDefault="00DB3176" w:rsidP="00DB3176">
      <w:pPr>
        <w:numPr>
          <w:ilvl w:val="0"/>
          <w:numId w:val="1"/>
        </w:numPr>
        <w:spacing w:after="120" w:line="360" w:lineRule="auto"/>
        <w:jc w:val="both"/>
        <w:rPr>
          <w:i/>
          <w:iCs/>
          <w:color w:val="000000"/>
        </w:rPr>
      </w:pPr>
      <w:r>
        <w:rPr>
          <w:rFonts w:ascii="David" w:hAnsi="David"/>
          <w:color w:val="000000"/>
          <w:rtl/>
        </w:rPr>
        <w:t xml:space="preserve">במסגרת </w:t>
      </w:r>
      <w:r>
        <w:rPr>
          <w:rFonts w:ascii="David" w:hAnsi="David"/>
          <w:b/>
          <w:bCs/>
          <w:color w:val="000000"/>
          <w:rtl/>
        </w:rPr>
        <w:t xml:space="preserve">הנסיבות הקשורות בביצוע העבירה </w:t>
      </w:r>
      <w:r>
        <w:rPr>
          <w:rFonts w:ascii="David" w:hAnsi="David"/>
          <w:color w:val="000000"/>
          <w:rtl/>
        </w:rPr>
        <w:t xml:space="preserve">(סעיף  </w:t>
      </w:r>
      <w:hyperlink r:id="rId24" w:history="1">
        <w:r w:rsidR="00105311" w:rsidRPr="00105311">
          <w:rPr>
            <w:rStyle w:val="Hyperlink"/>
            <w:rFonts w:ascii="David" w:hAnsi="David"/>
            <w:color w:val="0000FF"/>
            <w:rtl/>
          </w:rPr>
          <w:t xml:space="preserve">40 ט' </w:t>
        </w:r>
      </w:hyperlink>
      <w:r>
        <w:rPr>
          <w:rFonts w:ascii="David" w:hAnsi="David"/>
          <w:color w:val="000000"/>
          <w:rtl/>
        </w:rPr>
        <w:t xml:space="preserve">  לחוק),</w:t>
      </w:r>
      <w:r>
        <w:rPr>
          <w:color w:val="000000"/>
          <w:rtl/>
        </w:rPr>
        <w:t xml:space="preserve"> יש לתת את הדעת לכך שהנאשם החזיק בביתו אקדח חצי אוטומטי, 5 מחסניות של רובה סער מלאות בכדורים וכן שני רימוני הלם. פוטנציאל הנזק שצפוי להיגרם ככל והיה נעשה שימוש באקדח ובתחמושת הוא רב ועשוי היה להוביל לפגיעה בגוף ובנפש. יש לתת את הדעת לכך שבפועל לא נעשה שימוש בנשק ובתחמושת ולא נגרם נזק מוחשי. האקדח, רימוני ההלם והתחמושת נתפסו על ידי המשטרה. </w:t>
      </w:r>
    </w:p>
    <w:p w14:paraId="026C8C87" w14:textId="77777777" w:rsidR="00DB3176" w:rsidRDefault="00DB3176" w:rsidP="00DB3176">
      <w:pPr>
        <w:spacing w:after="120" w:line="360" w:lineRule="auto"/>
        <w:ind w:left="720"/>
        <w:jc w:val="both"/>
        <w:rPr>
          <w:i/>
          <w:iCs/>
          <w:color w:val="000000"/>
          <w:rtl/>
        </w:rPr>
      </w:pPr>
    </w:p>
    <w:p w14:paraId="1957C7AD" w14:textId="77777777" w:rsidR="00DB3176" w:rsidRDefault="00DB3176" w:rsidP="00DB3176">
      <w:pPr>
        <w:numPr>
          <w:ilvl w:val="0"/>
          <w:numId w:val="1"/>
        </w:numPr>
        <w:spacing w:after="120" w:line="360" w:lineRule="auto"/>
        <w:jc w:val="both"/>
        <w:rPr>
          <w:rFonts w:ascii="David" w:hAnsi="David"/>
          <w:color w:val="000000"/>
        </w:rPr>
      </w:pPr>
      <w:r>
        <w:rPr>
          <w:rFonts w:ascii="David" w:hAnsi="David"/>
          <w:color w:val="000000"/>
          <w:rtl/>
        </w:rPr>
        <w:t xml:space="preserve">בחינת </w:t>
      </w:r>
      <w:r>
        <w:rPr>
          <w:rFonts w:ascii="David" w:hAnsi="David"/>
          <w:b/>
          <w:bCs/>
          <w:color w:val="000000"/>
          <w:rtl/>
        </w:rPr>
        <w:t>מדיניות הענישה הנוהגת</w:t>
      </w:r>
      <w:r>
        <w:rPr>
          <w:rFonts w:ascii="David" w:hAnsi="David"/>
          <w:color w:val="000000"/>
          <w:rtl/>
        </w:rPr>
        <w:t xml:space="preserve"> מעלה כי  הוטלו עונשים במנעד רחב תלוי בנסיבות ובהן; סוג הנשק, אופן ומשך ההחזקה, מטרת ההחזקה וכיוצא באלה, וזאת כמפורט להלן:</w:t>
      </w:r>
    </w:p>
    <w:p w14:paraId="5793E6E7" w14:textId="77777777" w:rsidR="00DB3176" w:rsidRDefault="008158BE" w:rsidP="00DB3176">
      <w:pPr>
        <w:pStyle w:val="ListParagraph"/>
        <w:numPr>
          <w:ilvl w:val="1"/>
          <w:numId w:val="1"/>
        </w:numPr>
        <w:spacing w:after="120" w:line="360" w:lineRule="auto"/>
        <w:jc w:val="both"/>
        <w:rPr>
          <w:rFonts w:ascii="David" w:hAnsi="David"/>
          <w:color w:val="000000"/>
        </w:rPr>
      </w:pPr>
      <w:hyperlink r:id="rId25" w:history="1">
        <w:r w:rsidRPr="008158BE">
          <w:rPr>
            <w:rFonts w:ascii="David" w:hAnsi="David"/>
            <w:color w:val="0000FF"/>
            <w:u w:val="single"/>
            <w:rtl/>
          </w:rPr>
          <w:t>ע"פ 2482/22</w:t>
        </w:r>
      </w:hyperlink>
      <w:r w:rsidR="00DB3176">
        <w:rPr>
          <w:rFonts w:ascii="David" w:hAnsi="David"/>
          <w:color w:val="000000"/>
          <w:rtl/>
        </w:rPr>
        <w:t xml:space="preserve"> </w:t>
      </w:r>
      <w:r w:rsidR="00DB3176">
        <w:rPr>
          <w:rFonts w:ascii="David" w:hAnsi="David"/>
          <w:b/>
          <w:bCs/>
          <w:color w:val="000000"/>
          <w:rtl/>
        </w:rPr>
        <w:t xml:space="preserve">מדינת ישראל נ' קדורה </w:t>
      </w:r>
      <w:r w:rsidR="00A11EE9" w:rsidRPr="00A11EE9">
        <w:rPr>
          <w:sz w:val="22"/>
          <w:rtl/>
        </w:rPr>
        <w:t xml:space="preserve">[פורסם בנבו] </w:t>
      </w:r>
      <w:r w:rsidR="00DB3176">
        <w:rPr>
          <w:rFonts w:ascii="David" w:hAnsi="David"/>
          <w:color w:val="000000"/>
          <w:rtl/>
        </w:rPr>
        <w:t xml:space="preserve">(14.04.22) – הנאשם הודה והורשע בעבירה של החזקת נשק בצוותא, </w:t>
      </w:r>
      <w:r w:rsidR="00DB3176">
        <w:rPr>
          <w:rFonts w:ascii="David" w:hAnsi="David"/>
          <w:b/>
          <w:bCs/>
          <w:color w:val="000000"/>
          <w:rtl/>
        </w:rPr>
        <w:t>הנאשם נמצא מחזיק בביתו רימון</w:t>
      </w:r>
      <w:r w:rsidR="00DB3176">
        <w:rPr>
          <w:rFonts w:ascii="David" w:hAnsi="David"/>
          <w:color w:val="000000"/>
          <w:rtl/>
        </w:rPr>
        <w:t xml:space="preserve">, בנוסף במהלך חקירתו הודה בהחזקת אקדח וכדורים שלא נתפסו. בית המשפט המחוזי קבע מתחם ענישה הנע בין </w:t>
      </w:r>
      <w:r w:rsidR="00DB3176">
        <w:rPr>
          <w:rFonts w:ascii="David" w:hAnsi="David"/>
          <w:b/>
          <w:bCs/>
          <w:color w:val="000000"/>
          <w:rtl/>
        </w:rPr>
        <w:t xml:space="preserve">10 ל 36 חודשי מאסר </w:t>
      </w:r>
      <w:r w:rsidR="00DB3176">
        <w:rPr>
          <w:rFonts w:ascii="David" w:hAnsi="David"/>
          <w:color w:val="000000"/>
          <w:rtl/>
        </w:rPr>
        <w:t xml:space="preserve">בצירוף ענישה נלווית. הנאשם נעדר עבר פלילי נדון ל 10 חודשי מאסר בפועל. ערעור המדינה על קולת העונש התקבל ועונשו של הנאשם הוחמר והוא נדון ל 18 חודשי מאסר בפועל. </w:t>
      </w:r>
    </w:p>
    <w:p w14:paraId="600E1F75" w14:textId="77777777" w:rsidR="00DB3176" w:rsidRDefault="008158BE" w:rsidP="00DB3176">
      <w:pPr>
        <w:pStyle w:val="ListParagraph"/>
        <w:numPr>
          <w:ilvl w:val="1"/>
          <w:numId w:val="1"/>
        </w:numPr>
        <w:spacing w:after="120" w:line="360" w:lineRule="auto"/>
        <w:jc w:val="both"/>
        <w:rPr>
          <w:rFonts w:ascii="David" w:hAnsi="David"/>
          <w:color w:val="000000"/>
        </w:rPr>
      </w:pPr>
      <w:hyperlink r:id="rId26" w:history="1">
        <w:r w:rsidRPr="008158BE">
          <w:rPr>
            <w:rFonts w:ascii="David" w:hAnsi="David"/>
            <w:color w:val="0000FF"/>
            <w:u w:val="single"/>
            <w:rtl/>
          </w:rPr>
          <w:t>ע"פ 8320/21</w:t>
        </w:r>
      </w:hyperlink>
      <w:r w:rsidR="00DB3176">
        <w:rPr>
          <w:rFonts w:ascii="David" w:hAnsi="David"/>
          <w:color w:val="000000"/>
          <w:rtl/>
        </w:rPr>
        <w:t xml:space="preserve"> </w:t>
      </w:r>
      <w:r w:rsidR="00DB3176">
        <w:rPr>
          <w:rFonts w:ascii="David" w:hAnsi="David"/>
          <w:b/>
          <w:bCs/>
          <w:color w:val="000000"/>
          <w:rtl/>
        </w:rPr>
        <w:t>מדינת ישראל נ' בסילה</w:t>
      </w:r>
      <w:r w:rsidR="00DB3176">
        <w:rPr>
          <w:rFonts w:ascii="David" w:hAnsi="David"/>
          <w:color w:val="000000"/>
          <w:rtl/>
        </w:rPr>
        <w:t xml:space="preserve"> </w:t>
      </w:r>
      <w:r w:rsidR="00A11EE9" w:rsidRPr="00A11EE9">
        <w:rPr>
          <w:sz w:val="22"/>
          <w:rtl/>
        </w:rPr>
        <w:t xml:space="preserve">[פורסם בנבו] </w:t>
      </w:r>
      <w:r w:rsidR="00DB3176">
        <w:rPr>
          <w:rFonts w:ascii="David" w:hAnsi="David"/>
          <w:color w:val="000000"/>
          <w:rtl/>
        </w:rPr>
        <w:t>( 28.12.21) הנאשם הודה והורשע בעבירה של החזקת נשק ותחמושת בכך שנשא והוביל לביתו נשק</w:t>
      </w:r>
      <w:r w:rsidR="00DB3176">
        <w:rPr>
          <w:rFonts w:ascii="David" w:hAnsi="David"/>
          <w:b/>
          <w:bCs/>
          <w:color w:val="000000"/>
          <w:rtl/>
        </w:rPr>
        <w:t xml:space="preserve"> דמוי רובה</w:t>
      </w:r>
      <w:r w:rsidR="00DB3176">
        <w:rPr>
          <w:rFonts w:ascii="David" w:hAnsi="David"/>
          <w:color w:val="000000"/>
          <w:rtl/>
        </w:rPr>
        <w:t xml:space="preserve">, והחזיקו במשך 3 שבועות טרם נתפס. בנוסף נמצא מחזיק </w:t>
      </w:r>
      <w:r w:rsidR="00DB3176">
        <w:rPr>
          <w:rFonts w:ascii="David" w:hAnsi="David"/>
          <w:b/>
          <w:bCs/>
          <w:color w:val="000000"/>
          <w:rtl/>
        </w:rPr>
        <w:t>5 מחסניות</w:t>
      </w:r>
      <w:r w:rsidR="00DB3176">
        <w:rPr>
          <w:rFonts w:ascii="David" w:hAnsi="David"/>
          <w:color w:val="000000"/>
          <w:rtl/>
        </w:rPr>
        <w:t>, מיכל תרסיס שמן לנשק, 2 קופסאות תחמושת סך הכל</w:t>
      </w:r>
      <w:r w:rsidR="00DB3176">
        <w:rPr>
          <w:rFonts w:ascii="David" w:hAnsi="David"/>
          <w:b/>
          <w:bCs/>
          <w:color w:val="000000"/>
          <w:rtl/>
        </w:rPr>
        <w:t xml:space="preserve"> 60 כדורים</w:t>
      </w:r>
      <w:r w:rsidR="00DB3176">
        <w:rPr>
          <w:rFonts w:ascii="David" w:hAnsi="David"/>
          <w:color w:val="000000"/>
          <w:rtl/>
        </w:rPr>
        <w:t xml:space="preserve">. בית משפט המחוזי קבע מתחם ענישה הנע בין 6 ל 24 חודשי מאסר, הנאשם בעל פלילי, שהה במעצר במשך 80 יום טרם שוחרר למעצר בית, </w:t>
      </w:r>
      <w:r w:rsidR="00DB3176">
        <w:rPr>
          <w:rFonts w:ascii="David" w:hAnsi="David"/>
          <w:b/>
          <w:bCs/>
          <w:color w:val="000000"/>
          <w:rtl/>
        </w:rPr>
        <w:t>נדון ל 7 חודשי מאסר בפועל</w:t>
      </w:r>
      <w:r w:rsidR="00DB3176">
        <w:rPr>
          <w:rFonts w:ascii="David" w:hAnsi="David"/>
          <w:color w:val="000000"/>
          <w:rtl/>
        </w:rPr>
        <w:t xml:space="preserve">. </w:t>
      </w:r>
      <w:r w:rsidR="00DB3176">
        <w:rPr>
          <w:rFonts w:ascii="David" w:hAnsi="David"/>
          <w:b/>
          <w:bCs/>
          <w:color w:val="000000"/>
          <w:rtl/>
        </w:rPr>
        <w:t>בית המשפט העליון קיבל ערעור המדינה והחמיר בעונשו של הנאשם והעמידו על 14 חודשי מאסר בפועל</w:t>
      </w:r>
      <w:r w:rsidR="00DB3176">
        <w:rPr>
          <w:rFonts w:ascii="David" w:hAnsi="David"/>
          <w:color w:val="000000"/>
          <w:rtl/>
        </w:rPr>
        <w:t>. בית המשפט העליון ציין כי מתחם הענישה שנקבע הינו מקל יתר על המידה.</w:t>
      </w:r>
    </w:p>
    <w:p w14:paraId="18D9A8CB" w14:textId="77777777" w:rsidR="00DB3176" w:rsidRDefault="008158BE" w:rsidP="00DB3176">
      <w:pPr>
        <w:pStyle w:val="ListParagraph"/>
        <w:numPr>
          <w:ilvl w:val="1"/>
          <w:numId w:val="1"/>
        </w:numPr>
        <w:spacing w:after="120" w:line="360" w:lineRule="auto"/>
        <w:jc w:val="both"/>
        <w:rPr>
          <w:rFonts w:ascii="David" w:hAnsi="David"/>
          <w:color w:val="000000"/>
        </w:rPr>
      </w:pPr>
      <w:hyperlink r:id="rId27" w:history="1">
        <w:r w:rsidRPr="008158BE">
          <w:rPr>
            <w:rFonts w:ascii="David" w:hAnsi="David"/>
            <w:color w:val="0000FF"/>
            <w:u w:val="single"/>
            <w:rtl/>
          </w:rPr>
          <w:t>רע"פ 5613/20</w:t>
        </w:r>
      </w:hyperlink>
      <w:r w:rsidR="00DB3176">
        <w:rPr>
          <w:rFonts w:ascii="David" w:hAnsi="David"/>
          <w:color w:val="000000"/>
          <w:rtl/>
        </w:rPr>
        <w:t xml:space="preserve"> </w:t>
      </w:r>
      <w:r w:rsidR="00DB3176">
        <w:rPr>
          <w:rFonts w:ascii="David" w:hAnsi="David"/>
          <w:b/>
          <w:bCs/>
          <w:color w:val="000000"/>
          <w:rtl/>
        </w:rPr>
        <w:t>אלהוזייל נ' מדינת ישראל</w:t>
      </w:r>
      <w:r w:rsidR="00DB3176">
        <w:rPr>
          <w:rFonts w:ascii="David" w:hAnsi="David"/>
          <w:color w:val="000000"/>
          <w:rtl/>
        </w:rPr>
        <w:t xml:space="preserve"> </w:t>
      </w:r>
      <w:r w:rsidR="00A11EE9" w:rsidRPr="00A11EE9">
        <w:rPr>
          <w:sz w:val="22"/>
          <w:rtl/>
        </w:rPr>
        <w:t xml:space="preserve">[פורסם בנבו] </w:t>
      </w:r>
      <w:r w:rsidR="00DB3176">
        <w:rPr>
          <w:rFonts w:ascii="David" w:hAnsi="David"/>
          <w:color w:val="000000"/>
          <w:rtl/>
        </w:rPr>
        <w:t xml:space="preserve"> (25.08.20) הנאשם הודה והורשע בהחזקת נשק ותחמושת בכך שהחזיק בביתו אקדח וכן 20 כדורים, בית משפט השלום קבע </w:t>
      </w:r>
      <w:r w:rsidR="00DB3176">
        <w:rPr>
          <w:rFonts w:ascii="David" w:hAnsi="David"/>
          <w:b/>
          <w:bCs/>
          <w:color w:val="000000"/>
          <w:rtl/>
        </w:rPr>
        <w:t>מתחם ענישה הנע בין 11 ל 30 חודשי מאסר בפועל</w:t>
      </w:r>
      <w:r w:rsidR="00DB3176">
        <w:rPr>
          <w:rFonts w:ascii="David" w:hAnsi="David"/>
          <w:color w:val="000000"/>
          <w:rtl/>
        </w:rPr>
        <w:t xml:space="preserve"> והטיל על הנאשם </w:t>
      </w:r>
      <w:r w:rsidR="00DB3176">
        <w:rPr>
          <w:rFonts w:ascii="David" w:hAnsi="David"/>
          <w:b/>
          <w:bCs/>
          <w:color w:val="000000"/>
          <w:rtl/>
        </w:rPr>
        <w:t>בעל עבר פלילי 12 חודשי מאסר בפועל</w:t>
      </w:r>
      <w:r w:rsidR="00DB3176">
        <w:rPr>
          <w:rFonts w:ascii="David" w:hAnsi="David"/>
          <w:color w:val="000000"/>
          <w:rtl/>
        </w:rPr>
        <w:t xml:space="preserve">, ערעור שהגיש הנאשם לבית המשפט המחוזי נדחה וכן בקשת רשות ערעור נדחתה, תוך שבית המשפט העליון מציין כי בעבירות נשק מתחייבת החמרה ממשית בענישה על מנת ליצור התרעה. </w:t>
      </w:r>
    </w:p>
    <w:p w14:paraId="712D2CB0" w14:textId="77777777" w:rsidR="00DB3176" w:rsidRDefault="008158BE" w:rsidP="00DB3176">
      <w:pPr>
        <w:pStyle w:val="ListParagraph"/>
        <w:numPr>
          <w:ilvl w:val="1"/>
          <w:numId w:val="1"/>
        </w:numPr>
        <w:spacing w:after="120" w:line="360" w:lineRule="auto"/>
        <w:jc w:val="both"/>
        <w:rPr>
          <w:rFonts w:ascii="David" w:hAnsi="David"/>
          <w:color w:val="000000"/>
        </w:rPr>
      </w:pPr>
      <w:hyperlink r:id="rId28" w:history="1">
        <w:r w:rsidRPr="008158BE">
          <w:rPr>
            <w:rFonts w:ascii="David" w:hAnsi="David"/>
            <w:color w:val="0000FF"/>
            <w:u w:val="single"/>
            <w:rtl/>
          </w:rPr>
          <w:t>עפ"ג (מחוזי -חיפה) 50840-03-22</w:t>
        </w:r>
      </w:hyperlink>
      <w:r w:rsidR="00DB3176">
        <w:rPr>
          <w:rFonts w:ascii="David" w:hAnsi="David"/>
          <w:color w:val="000000"/>
          <w:rtl/>
        </w:rPr>
        <w:t xml:space="preserve"> </w:t>
      </w:r>
      <w:r w:rsidR="00DB3176">
        <w:rPr>
          <w:rFonts w:ascii="David" w:hAnsi="David"/>
          <w:b/>
          <w:bCs/>
          <w:color w:val="000000"/>
          <w:rtl/>
        </w:rPr>
        <w:t>מדינת ישראל נ' סלאמה</w:t>
      </w:r>
      <w:r w:rsidR="00DB3176">
        <w:rPr>
          <w:rFonts w:ascii="David" w:hAnsi="David"/>
          <w:color w:val="000000"/>
          <w:rtl/>
        </w:rPr>
        <w:t xml:space="preserve"> </w:t>
      </w:r>
      <w:r w:rsidR="00A11EE9" w:rsidRPr="00A11EE9">
        <w:rPr>
          <w:sz w:val="22"/>
          <w:rtl/>
        </w:rPr>
        <w:t xml:space="preserve">[פורסם בנבו] </w:t>
      </w:r>
      <w:r w:rsidR="00DB3176">
        <w:rPr>
          <w:rFonts w:ascii="David" w:hAnsi="David"/>
          <w:color w:val="000000"/>
          <w:rtl/>
        </w:rPr>
        <w:t xml:space="preserve">(04.04.22) – הנאשם הודה והורשע בהחזקת נשק שלא כדין ותקיפת שוטר, הנאשם נמצא מחזיק בביתו </w:t>
      </w:r>
      <w:r w:rsidR="00DB3176">
        <w:rPr>
          <w:rFonts w:ascii="David" w:hAnsi="David"/>
          <w:b/>
          <w:bCs/>
          <w:color w:val="000000"/>
          <w:rtl/>
        </w:rPr>
        <w:t>שני תתי מקלע מאולתרים</w:t>
      </w:r>
      <w:r w:rsidR="00DB3176">
        <w:rPr>
          <w:rFonts w:ascii="David" w:hAnsi="David"/>
          <w:color w:val="000000"/>
          <w:rtl/>
        </w:rPr>
        <w:t xml:space="preserve">, במהלך החיפוש בביתו תקף שוטר. בית משפט השלום קבע מתחם ענישה הנע בין 12 ל 36 חודשי מאסר בפועל, והטיל על הנאשם 15 חודשי מאסר בפועל. ערעור על קולת העונש התקבל, תוך שבית המשפט המחוזי מציין כי מתחם העונש שנקבע אינו הולם הנסיבות, וקבע מתחם ענישה הנע בין 25 ל 50 חודשי מאסר בפועל והטיל על הנאשם 28 חודשי מאסר בפועל. </w:t>
      </w:r>
    </w:p>
    <w:p w14:paraId="6D185DF0" w14:textId="77777777" w:rsidR="00DB3176" w:rsidRDefault="008158BE" w:rsidP="00DB3176">
      <w:pPr>
        <w:pStyle w:val="ListParagraph"/>
        <w:numPr>
          <w:ilvl w:val="1"/>
          <w:numId w:val="1"/>
        </w:numPr>
        <w:spacing w:after="120" w:line="360" w:lineRule="auto"/>
        <w:jc w:val="both"/>
        <w:rPr>
          <w:rFonts w:ascii="David" w:hAnsi="David"/>
          <w:color w:val="000000"/>
        </w:rPr>
      </w:pPr>
      <w:hyperlink r:id="rId29" w:history="1">
        <w:r w:rsidRPr="008158BE">
          <w:rPr>
            <w:rFonts w:ascii="David" w:hAnsi="David"/>
            <w:color w:val="0000FF"/>
            <w:u w:val="single"/>
            <w:rtl/>
          </w:rPr>
          <w:t>עפ"ג (מרכז) 58855-12-21</w:t>
        </w:r>
      </w:hyperlink>
      <w:r w:rsidR="00DB3176">
        <w:rPr>
          <w:rFonts w:ascii="David" w:hAnsi="David"/>
          <w:color w:val="000000"/>
          <w:rtl/>
        </w:rPr>
        <w:t xml:space="preserve"> </w:t>
      </w:r>
      <w:r w:rsidR="00DB3176">
        <w:rPr>
          <w:rFonts w:ascii="David" w:hAnsi="David"/>
          <w:b/>
          <w:bCs/>
          <w:color w:val="000000"/>
          <w:rtl/>
        </w:rPr>
        <w:t>עלי שעבאן נ' מדינת ישראל</w:t>
      </w:r>
      <w:r w:rsidR="00DB3176">
        <w:rPr>
          <w:rFonts w:ascii="David" w:hAnsi="David"/>
          <w:color w:val="000000"/>
          <w:rtl/>
        </w:rPr>
        <w:t xml:space="preserve"> </w:t>
      </w:r>
      <w:r w:rsidR="00A11EE9" w:rsidRPr="00A11EE9">
        <w:rPr>
          <w:sz w:val="22"/>
          <w:rtl/>
        </w:rPr>
        <w:t xml:space="preserve">[פורסם בנבו] </w:t>
      </w:r>
      <w:r w:rsidR="00DB3176">
        <w:rPr>
          <w:rFonts w:ascii="David" w:hAnsi="David"/>
          <w:color w:val="000000"/>
          <w:rtl/>
        </w:rPr>
        <w:t xml:space="preserve">(03.04.22) הנאשם הורשע לאחר ניהול הוכחות בהחזקת נשק ותחמושת וכן בעבירה של שיבוש הליכי משפט, בכך שבמהלך הגעת כוח משטרתי לפתח ביתו, במהלך פעילות משטרתית, שהה הנאשם מחוץ לפתח ביתו שברשותו אקדח ו 16 כדורים במחסנית, משהבחין הנאשם בשוטר השליך האקדח מעבר לחומה. בית משפט השלום קבע </w:t>
      </w:r>
      <w:r w:rsidR="00DB3176">
        <w:rPr>
          <w:rFonts w:ascii="David" w:hAnsi="David"/>
          <w:b/>
          <w:bCs/>
          <w:color w:val="000000"/>
          <w:rtl/>
        </w:rPr>
        <w:t>מתחם ענישה הנע בין 12 ל 36 חודשים</w:t>
      </w:r>
      <w:r w:rsidR="00DB3176">
        <w:rPr>
          <w:rFonts w:ascii="David" w:hAnsi="David"/>
          <w:color w:val="000000"/>
          <w:rtl/>
        </w:rPr>
        <w:t xml:space="preserve">, הנאשם בעל עבר פלילי מכביד נדון ל 20 חודשי מאסר בפועל. יודגש כי התיק עבר מספר גלגולים שכן הנאשם זוכה תחילה בערכה הדיונית ונמצא אשם על ידי ערכאת הערעור והתיק הושב לבית משפט השלום לצורך גזירת עונשו של הנאשם. בית המשפט המחוזי במסגרת ערעור על חומרת העונש, מצא שיש מקום להקל בעונש המאסר וזאת נוכח נסיבות כניסת השוטרים לביתו של הנאשם, ללא הסמכה כדין, לנוכח גלגוליו של התיק, העובדה שאומנם לנאשם עבר פלילי עשיר אך מדובר בעבר פלילי שברובו ישן. בית המשפט המחוזי הקל בעונשו של הנאשם והעמידו על </w:t>
      </w:r>
      <w:r w:rsidR="00DB3176">
        <w:rPr>
          <w:rFonts w:ascii="David" w:hAnsi="David"/>
          <w:b/>
          <w:bCs/>
          <w:color w:val="000000"/>
          <w:rtl/>
        </w:rPr>
        <w:t xml:space="preserve">15 חודשים </w:t>
      </w:r>
      <w:r w:rsidR="00DB3176">
        <w:rPr>
          <w:rFonts w:ascii="David" w:hAnsi="David"/>
          <w:color w:val="000000"/>
          <w:rtl/>
        </w:rPr>
        <w:t xml:space="preserve">תוך שמציין שאין מקום להתערב במתחם העונש שנקבע. </w:t>
      </w:r>
    </w:p>
    <w:p w14:paraId="5AD89FB8" w14:textId="77777777" w:rsidR="00DB3176" w:rsidRDefault="008158BE" w:rsidP="00DB3176">
      <w:pPr>
        <w:pStyle w:val="ListParagraph"/>
        <w:numPr>
          <w:ilvl w:val="1"/>
          <w:numId w:val="1"/>
        </w:numPr>
        <w:spacing w:after="120" w:line="360" w:lineRule="auto"/>
        <w:jc w:val="both"/>
        <w:rPr>
          <w:rFonts w:ascii="David" w:hAnsi="David"/>
          <w:color w:val="000000"/>
        </w:rPr>
      </w:pPr>
      <w:hyperlink r:id="rId30" w:history="1">
        <w:r w:rsidRPr="008158BE">
          <w:rPr>
            <w:rFonts w:ascii="David" w:hAnsi="David"/>
            <w:color w:val="0000FF"/>
            <w:u w:val="single"/>
            <w:rtl/>
          </w:rPr>
          <w:t>ת"פ (מחוזי –חיפה)  16760-09-22</w:t>
        </w:r>
      </w:hyperlink>
      <w:r w:rsidR="00DB3176">
        <w:rPr>
          <w:rFonts w:ascii="David" w:hAnsi="David"/>
          <w:color w:val="000000"/>
          <w:rtl/>
        </w:rPr>
        <w:t xml:space="preserve"> </w:t>
      </w:r>
      <w:r w:rsidR="00DB3176">
        <w:rPr>
          <w:rFonts w:ascii="David" w:hAnsi="David"/>
          <w:b/>
          <w:bCs/>
          <w:color w:val="000000"/>
          <w:rtl/>
        </w:rPr>
        <w:t>מדינת ישראל נ' גבריאלי</w:t>
      </w:r>
      <w:r w:rsidR="00DB3176">
        <w:rPr>
          <w:rFonts w:ascii="David" w:hAnsi="David"/>
          <w:color w:val="000000"/>
          <w:rtl/>
        </w:rPr>
        <w:t xml:space="preserve"> </w:t>
      </w:r>
      <w:r w:rsidR="00A11EE9" w:rsidRPr="00A11EE9">
        <w:rPr>
          <w:sz w:val="22"/>
          <w:rtl/>
        </w:rPr>
        <w:t xml:space="preserve">[פורסם בנבו] </w:t>
      </w:r>
      <w:r w:rsidR="00DB3176">
        <w:rPr>
          <w:rFonts w:ascii="David" w:hAnsi="David"/>
          <w:color w:val="000000"/>
          <w:rtl/>
        </w:rPr>
        <w:t xml:space="preserve">(25.01.23) – הנאשם הורשע לאחר הודאתו בעבירה של החזקת נשק, רימון הלם,  יש לציין שנעשה שימוש ברימון ההלם על ידי אחר, וזאת על רקע סכסוך עסקי בין הנאשם למתלונן. </w:t>
      </w:r>
      <w:r w:rsidR="00DB3176">
        <w:rPr>
          <w:rFonts w:ascii="David" w:hAnsi="David"/>
          <w:b/>
          <w:bCs/>
          <w:color w:val="000000"/>
          <w:rtl/>
        </w:rPr>
        <w:t>נקבע מתחם ענישה הנע בין 16 ל 36 חודשי מאסר בפועל. הנאשם נדון ל18 חודשי מאסר בפועל בצירוף ענישה נלווית</w:t>
      </w:r>
      <w:r w:rsidR="00DB3176">
        <w:rPr>
          <w:rFonts w:ascii="David" w:hAnsi="David"/>
          <w:color w:val="000000"/>
          <w:rtl/>
        </w:rPr>
        <w:t xml:space="preserve">. </w:t>
      </w:r>
    </w:p>
    <w:p w14:paraId="43744676" w14:textId="77777777" w:rsidR="00DB3176" w:rsidRDefault="008158BE" w:rsidP="00DB3176">
      <w:pPr>
        <w:pStyle w:val="ListParagraph"/>
        <w:numPr>
          <w:ilvl w:val="1"/>
          <w:numId w:val="1"/>
        </w:numPr>
        <w:spacing w:after="120" w:line="360" w:lineRule="auto"/>
        <w:jc w:val="both"/>
        <w:rPr>
          <w:rFonts w:ascii="David" w:hAnsi="David"/>
          <w:color w:val="000000"/>
        </w:rPr>
      </w:pPr>
      <w:hyperlink r:id="rId31" w:history="1">
        <w:r w:rsidRPr="008158BE">
          <w:rPr>
            <w:rFonts w:ascii="David" w:hAnsi="David"/>
            <w:color w:val="0000FF"/>
            <w:u w:val="single"/>
            <w:rtl/>
          </w:rPr>
          <w:t>ת"פ 19417-11-16</w:t>
        </w:r>
      </w:hyperlink>
      <w:r w:rsidR="00DB3176">
        <w:rPr>
          <w:rFonts w:ascii="David" w:hAnsi="David"/>
          <w:color w:val="000000"/>
          <w:rtl/>
        </w:rPr>
        <w:t xml:space="preserve"> </w:t>
      </w:r>
      <w:r w:rsidR="00DB3176">
        <w:rPr>
          <w:rFonts w:ascii="David" w:hAnsi="David"/>
          <w:b/>
          <w:bCs/>
          <w:color w:val="000000"/>
          <w:rtl/>
        </w:rPr>
        <w:t>מדינת ישראל נ' אבואלקיען</w:t>
      </w:r>
      <w:r w:rsidR="00DB3176">
        <w:rPr>
          <w:rFonts w:ascii="David" w:hAnsi="David"/>
          <w:color w:val="000000"/>
          <w:rtl/>
        </w:rPr>
        <w:t xml:space="preserve"> </w:t>
      </w:r>
      <w:r w:rsidR="00A11EE9" w:rsidRPr="00A11EE9">
        <w:rPr>
          <w:sz w:val="22"/>
          <w:rtl/>
        </w:rPr>
        <w:t xml:space="preserve">[פורסם בנבו] </w:t>
      </w:r>
      <w:r w:rsidR="00DB3176">
        <w:rPr>
          <w:rFonts w:ascii="David" w:hAnsi="David"/>
          <w:color w:val="000000"/>
          <w:rtl/>
        </w:rPr>
        <w:t xml:space="preserve">( 25.01.20) – הנאשם הורשע לאחר ניהול הוכחות בהחזקת נשק ותחמושת, בכך שנתפס מחזיק ברכבו אקדח חצי אוטומטי מחסנית וכדורים, </w:t>
      </w:r>
      <w:r w:rsidR="00DB3176">
        <w:rPr>
          <w:rFonts w:ascii="David" w:hAnsi="David"/>
          <w:b/>
          <w:bCs/>
          <w:color w:val="000000"/>
          <w:rtl/>
        </w:rPr>
        <w:t>בית משפט השלום קבע מתחם ענישה הנע בין 15 עד 30 חודשי מאסר בפועל</w:t>
      </w:r>
      <w:r w:rsidR="00DB3176">
        <w:rPr>
          <w:rFonts w:ascii="David" w:hAnsi="David"/>
          <w:color w:val="000000"/>
          <w:rtl/>
        </w:rPr>
        <w:t>, הנאשם נעדר עבר פלילי, מנהל אורח חיים נורמטיבי . נדון ל 15 חודשי מאסר בפועל. יודגש, שבמסגרת תיק ערעור שהגיש הנאשם (</w:t>
      </w:r>
      <w:hyperlink r:id="rId32" w:history="1">
        <w:r w:rsidRPr="008158BE">
          <w:rPr>
            <w:rFonts w:ascii="David" w:hAnsi="David"/>
            <w:color w:val="0000FF"/>
            <w:u w:val="single"/>
            <w:rtl/>
          </w:rPr>
          <w:t>עפ"ג 56305-02-20</w:t>
        </w:r>
      </w:hyperlink>
      <w:r w:rsidR="00DB3176">
        <w:rPr>
          <w:rFonts w:ascii="David" w:hAnsi="David"/>
          <w:color w:val="000000"/>
          <w:rtl/>
        </w:rPr>
        <w:t xml:space="preserve"> ) התקבל. תוך שבית המשפט המחוזי שב וחוזר על החומרה הגלומה בעבירת הנשק,  לפנים משורת הדין, מקבל הערעור וזאת נוכח נסיבותיו האישיות-משפחתיות של הנאשם, תרומתו למדינה (כחייל סדיר ובמילואים), היעדר עבר פלילי </w:t>
      </w:r>
      <w:r w:rsidR="00DB3176">
        <w:rPr>
          <w:rFonts w:ascii="David" w:hAnsi="David"/>
          <w:b/>
          <w:bCs/>
          <w:color w:val="000000"/>
          <w:rtl/>
        </w:rPr>
        <w:t>והקל בעונשו בכך שתקופת המאסר שנקבעה הועמדה על 12 חודשים</w:t>
      </w:r>
      <w:r w:rsidR="00DB3176">
        <w:rPr>
          <w:rFonts w:ascii="David" w:hAnsi="David"/>
          <w:color w:val="000000"/>
          <w:rtl/>
        </w:rPr>
        <w:t xml:space="preserve">. </w:t>
      </w:r>
    </w:p>
    <w:p w14:paraId="5EBFF6EE" w14:textId="77777777" w:rsidR="00DB3176" w:rsidRDefault="008158BE" w:rsidP="00DB3176">
      <w:pPr>
        <w:pStyle w:val="ListParagraph"/>
        <w:numPr>
          <w:ilvl w:val="1"/>
          <w:numId w:val="1"/>
        </w:numPr>
        <w:spacing w:after="120" w:line="360" w:lineRule="auto"/>
        <w:jc w:val="both"/>
        <w:rPr>
          <w:rFonts w:ascii="David" w:hAnsi="David"/>
          <w:color w:val="000000"/>
        </w:rPr>
      </w:pPr>
      <w:hyperlink r:id="rId33" w:history="1">
        <w:r w:rsidRPr="008158BE">
          <w:rPr>
            <w:rFonts w:ascii="David" w:hAnsi="David"/>
            <w:color w:val="0000FF"/>
            <w:u w:val="single"/>
            <w:rtl/>
          </w:rPr>
          <w:t>עפ"ג (חיפה) 24796-06-20</w:t>
        </w:r>
      </w:hyperlink>
      <w:r w:rsidR="00DB3176">
        <w:rPr>
          <w:rFonts w:ascii="David" w:hAnsi="David"/>
          <w:color w:val="000000"/>
          <w:rtl/>
        </w:rPr>
        <w:t xml:space="preserve">  </w:t>
      </w:r>
      <w:r w:rsidR="00DB3176">
        <w:rPr>
          <w:rFonts w:ascii="David" w:hAnsi="David"/>
          <w:b/>
          <w:bCs/>
          <w:color w:val="000000"/>
          <w:rtl/>
        </w:rPr>
        <w:t xml:space="preserve">חג'אזי נ' מדינת ישראל </w:t>
      </w:r>
      <w:r w:rsidR="00A11EE9" w:rsidRPr="00A11EE9">
        <w:rPr>
          <w:sz w:val="22"/>
          <w:rtl/>
        </w:rPr>
        <w:t xml:space="preserve">[פורסם בנבו] </w:t>
      </w:r>
      <w:r w:rsidR="00DB3176">
        <w:rPr>
          <w:rFonts w:ascii="David" w:hAnsi="David"/>
          <w:color w:val="000000"/>
          <w:rtl/>
        </w:rPr>
        <w:t xml:space="preserve">(06.07.20) </w:t>
      </w:r>
      <w:r w:rsidR="00DB3176">
        <w:rPr>
          <w:rFonts w:ascii="David" w:hAnsi="David"/>
          <w:b/>
          <w:bCs/>
          <w:color w:val="000000"/>
          <w:rtl/>
        </w:rPr>
        <w:t xml:space="preserve">– </w:t>
      </w:r>
      <w:r w:rsidR="00DB3176">
        <w:rPr>
          <w:rFonts w:ascii="David" w:hAnsi="David"/>
          <w:color w:val="000000"/>
          <w:rtl/>
        </w:rPr>
        <w:t xml:space="preserve">הנאשם הודה והורשע בהחזקת נשק ותחמושת בכך שהחזיק בחוות סוסים אקדח חצי אוטומטי ובו מחסנית טעונה ב 15 כדורים. במצב "הכנס". בית משפט השלום </w:t>
      </w:r>
      <w:r w:rsidR="00DB3176">
        <w:rPr>
          <w:rFonts w:ascii="David" w:hAnsi="David"/>
          <w:b/>
          <w:bCs/>
          <w:color w:val="000000"/>
          <w:rtl/>
        </w:rPr>
        <w:t>קבע מתחם ענישה הנע בין 10 ל 24 חודשי מאסר בפועל</w:t>
      </w:r>
      <w:r w:rsidR="00DB3176">
        <w:rPr>
          <w:rFonts w:ascii="David" w:hAnsi="David"/>
          <w:color w:val="000000"/>
          <w:rtl/>
        </w:rPr>
        <w:t xml:space="preserve">, הנאשם צעיר  נעדר עבר פלילי נדון ל 15 חודשי מאסר. ערעור שהגיש הנאשם נדחה. בית המחוזי בפסק דינו ציין כי מתחם העונש שנקבע הינו מקל באופן בלתי מבוטל בהתחשב בנסיבות ביצוע העבירות. </w:t>
      </w:r>
    </w:p>
    <w:p w14:paraId="0570EF0B" w14:textId="77777777" w:rsidR="00DB3176" w:rsidRDefault="00DB3176" w:rsidP="00DB3176">
      <w:pPr>
        <w:pStyle w:val="ListParagraph"/>
        <w:spacing w:after="120" w:line="360" w:lineRule="auto"/>
        <w:ind w:left="1620"/>
        <w:jc w:val="both"/>
        <w:rPr>
          <w:rFonts w:ascii="David" w:hAnsi="David"/>
          <w:color w:val="000000"/>
        </w:rPr>
      </w:pPr>
    </w:p>
    <w:p w14:paraId="588F1FA8" w14:textId="77777777" w:rsidR="00DB3176" w:rsidRDefault="00DB3176" w:rsidP="00DB3176">
      <w:pPr>
        <w:numPr>
          <w:ilvl w:val="0"/>
          <w:numId w:val="1"/>
        </w:numPr>
        <w:spacing w:after="120" w:line="360" w:lineRule="auto"/>
        <w:jc w:val="both"/>
        <w:rPr>
          <w:rFonts w:ascii="David" w:hAnsi="David"/>
          <w:color w:val="000000"/>
        </w:rPr>
      </w:pPr>
      <w:r>
        <w:rPr>
          <w:rFonts w:ascii="David" w:hAnsi="David"/>
          <w:color w:val="000000"/>
          <w:rtl/>
        </w:rPr>
        <w:t xml:space="preserve">אין חולק כי עבירות נשק הפכו זה מכבר ל"מכת מדינה" (ראה </w:t>
      </w:r>
      <w:hyperlink r:id="rId34" w:history="1">
        <w:r w:rsidR="008158BE" w:rsidRPr="008158BE">
          <w:rPr>
            <w:rFonts w:ascii="David" w:hAnsi="David"/>
            <w:color w:val="0000FF"/>
            <w:u w:val="single"/>
            <w:rtl/>
          </w:rPr>
          <w:t>ע"פ 7473/20</w:t>
        </w:r>
      </w:hyperlink>
      <w:r>
        <w:rPr>
          <w:rFonts w:ascii="David" w:hAnsi="David"/>
          <w:color w:val="000000"/>
          <w:rtl/>
        </w:rPr>
        <w:t xml:space="preserve"> </w:t>
      </w:r>
      <w:r>
        <w:rPr>
          <w:rFonts w:ascii="David" w:hAnsi="David"/>
          <w:b/>
          <w:bCs/>
          <w:color w:val="000000"/>
          <w:rtl/>
        </w:rPr>
        <w:t>מדינת ישראל נ' מחאמיד</w:t>
      </w:r>
      <w:r>
        <w:rPr>
          <w:rFonts w:ascii="David" w:hAnsi="David"/>
          <w:color w:val="000000"/>
          <w:rtl/>
        </w:rPr>
        <w:t xml:space="preserve"> </w:t>
      </w:r>
      <w:r w:rsidR="00A11EE9" w:rsidRPr="00A11EE9">
        <w:rPr>
          <w:sz w:val="22"/>
          <w:rtl/>
        </w:rPr>
        <w:t xml:space="preserve">[פורסם בנבו] </w:t>
      </w:r>
      <w:r>
        <w:rPr>
          <w:rFonts w:ascii="David" w:hAnsi="David"/>
          <w:color w:val="000000"/>
          <w:rtl/>
        </w:rPr>
        <w:t>(29.06.21) המצריכה ענישה מחמירה בדרך של הטלת עונשי מאסר משמעותיים. כאמור לעיל, עניין זה גם בא לידי ביטוי במסגרת תיקון 140 ל</w:t>
      </w:r>
      <w:hyperlink r:id="rId35" w:history="1">
        <w:r w:rsidR="008158BE" w:rsidRPr="008158BE">
          <w:rPr>
            <w:rFonts w:ascii="David" w:hAnsi="David"/>
            <w:color w:val="0000FF"/>
            <w:u w:val="single"/>
            <w:rtl/>
          </w:rPr>
          <w:t>חוק העונשין</w:t>
        </w:r>
      </w:hyperlink>
      <w:r>
        <w:rPr>
          <w:rFonts w:ascii="David" w:hAnsi="David"/>
          <w:color w:val="000000"/>
          <w:rtl/>
        </w:rPr>
        <w:t xml:space="preserve"> הקובע עונשי מינימום לעבירות נשק. </w:t>
      </w:r>
    </w:p>
    <w:p w14:paraId="05BE65BF" w14:textId="77777777" w:rsidR="00DB3176" w:rsidRDefault="00DB3176" w:rsidP="00DB3176">
      <w:pPr>
        <w:spacing w:after="120" w:line="360" w:lineRule="auto"/>
        <w:ind w:left="720"/>
        <w:jc w:val="both"/>
        <w:rPr>
          <w:rFonts w:ascii="David" w:hAnsi="David"/>
          <w:color w:val="000000"/>
        </w:rPr>
      </w:pPr>
    </w:p>
    <w:p w14:paraId="74521192" w14:textId="77777777" w:rsidR="00DB3176" w:rsidRDefault="00DB3176" w:rsidP="00DB3176">
      <w:pPr>
        <w:numPr>
          <w:ilvl w:val="0"/>
          <w:numId w:val="1"/>
        </w:numPr>
        <w:spacing w:after="120" w:line="360" w:lineRule="auto"/>
        <w:jc w:val="both"/>
        <w:rPr>
          <w:rFonts w:ascii="David" w:hAnsi="David"/>
          <w:color w:val="000000"/>
        </w:rPr>
      </w:pPr>
      <w:r>
        <w:rPr>
          <w:rFonts w:ascii="David" w:hAnsi="David"/>
          <w:color w:val="000000"/>
          <w:rtl/>
        </w:rPr>
        <w:t>בהתאם לתיקון 113 ל</w:t>
      </w:r>
      <w:r>
        <w:rPr>
          <w:rtl/>
        </w:rPr>
        <w:t xml:space="preserve">חוק העונשים </w:t>
      </w:r>
      <w:r>
        <w:rPr>
          <w:rFonts w:ascii="David" w:hAnsi="David"/>
          <w:color w:val="000000"/>
          <w:rtl/>
        </w:rPr>
        <w:t xml:space="preserve">(סעיף </w:t>
      </w:r>
      <w:hyperlink r:id="rId36" w:history="1">
        <w:r w:rsidR="00105311" w:rsidRPr="00105311">
          <w:rPr>
            <w:rStyle w:val="Hyperlink"/>
            <w:rFonts w:ascii="David" w:hAnsi="David"/>
            <w:color w:val="0000FF"/>
            <w:rtl/>
          </w:rPr>
          <w:t>40 יג'</w:t>
        </w:r>
      </w:hyperlink>
      <w:r>
        <w:rPr>
          <w:rFonts w:ascii="David" w:hAnsi="David"/>
          <w:color w:val="000000"/>
          <w:rtl/>
        </w:rPr>
        <w:t xml:space="preserve">), אני קובע כי </w:t>
      </w:r>
      <w:r>
        <w:rPr>
          <w:rFonts w:ascii="David" w:hAnsi="David"/>
          <w:b/>
          <w:bCs/>
          <w:color w:val="000000"/>
          <w:rtl/>
        </w:rPr>
        <w:t>מתחם העונש ההולם הוא</w:t>
      </w:r>
      <w:r>
        <w:rPr>
          <w:rFonts w:ascii="David" w:hAnsi="David"/>
          <w:color w:val="000000"/>
          <w:rtl/>
        </w:rPr>
        <w:t xml:space="preserve"> </w:t>
      </w:r>
      <w:r>
        <w:rPr>
          <w:rFonts w:ascii="David" w:hAnsi="David"/>
          <w:b/>
          <w:bCs/>
          <w:color w:val="000000"/>
          <w:rtl/>
        </w:rPr>
        <w:t>החל מ-24 ועד ל-48 חודשי מאסר בפועל</w:t>
      </w:r>
      <w:r>
        <w:rPr>
          <w:rFonts w:ascii="David" w:hAnsi="David"/>
          <w:color w:val="000000"/>
          <w:rtl/>
        </w:rPr>
        <w:t xml:space="preserve">.  </w:t>
      </w:r>
    </w:p>
    <w:p w14:paraId="0B790F4B" w14:textId="77777777" w:rsidR="00DB3176" w:rsidRDefault="00DB3176" w:rsidP="00DB3176">
      <w:pPr>
        <w:pStyle w:val="ListParagraph"/>
        <w:rPr>
          <w:rFonts w:ascii="David" w:hAnsi="David"/>
          <w:color w:val="000000"/>
          <w:rtl/>
        </w:rPr>
      </w:pPr>
    </w:p>
    <w:p w14:paraId="3E4C7076" w14:textId="77777777" w:rsidR="00DB3176" w:rsidRDefault="00DB3176" w:rsidP="00DB3176">
      <w:pPr>
        <w:numPr>
          <w:ilvl w:val="0"/>
          <w:numId w:val="1"/>
        </w:numPr>
        <w:spacing w:after="120" w:line="360" w:lineRule="auto"/>
        <w:jc w:val="both"/>
        <w:rPr>
          <w:rFonts w:ascii="David" w:hAnsi="David"/>
          <w:color w:val="000000"/>
        </w:rPr>
      </w:pPr>
      <w:r>
        <w:rPr>
          <w:rFonts w:ascii="David" w:hAnsi="David"/>
          <w:color w:val="000000"/>
          <w:rtl/>
        </w:rPr>
        <w:t>במקרה דנן, לא קיימים שיקולים אשר מצדיקים חריגה מהמתחם, לחומרה או לקולא. שירות המבחן בתסקיר לא בא בהמלצה שיקומית, המליץ על הטלת ענישה מוחשית. עניין חלוף הזמן ממועד ביצוע העבירות, העדר עבר פלילי, העובדה כי לא היה מעורב בהליכים פליליים נוספים – מהווים שיקול לגבי מיקום עונשו של הנאשם במתחם העונש, אולם לא מצאתי כי יש בנתונים אלו כדי להביא לסטייה ממתחם העונש ההולם.</w:t>
      </w:r>
    </w:p>
    <w:p w14:paraId="15832BE5" w14:textId="77777777" w:rsidR="00DB3176" w:rsidRDefault="00DB3176" w:rsidP="00DB3176">
      <w:pPr>
        <w:spacing w:after="120" w:line="360" w:lineRule="auto"/>
        <w:jc w:val="both"/>
        <w:rPr>
          <w:rFonts w:ascii="David" w:hAnsi="David"/>
          <w:color w:val="000000"/>
        </w:rPr>
      </w:pPr>
    </w:p>
    <w:p w14:paraId="6437BF8A" w14:textId="77777777" w:rsidR="00DB3176" w:rsidRDefault="00DB3176" w:rsidP="00DB3176">
      <w:pPr>
        <w:spacing w:after="120" w:line="360" w:lineRule="auto"/>
        <w:jc w:val="both"/>
        <w:rPr>
          <w:rFonts w:ascii="David" w:hAnsi="David"/>
          <w:b/>
          <w:bCs/>
          <w:color w:val="000000"/>
          <w:u w:val="single"/>
          <w:rtl/>
        </w:rPr>
      </w:pPr>
      <w:r>
        <w:rPr>
          <w:rFonts w:ascii="David" w:hAnsi="David"/>
          <w:b/>
          <w:bCs/>
          <w:color w:val="000000"/>
          <w:u w:val="single"/>
          <w:rtl/>
        </w:rPr>
        <w:t xml:space="preserve">מתחם הענישה – נאשמת 2 </w:t>
      </w:r>
    </w:p>
    <w:p w14:paraId="49BBF8AF" w14:textId="77777777" w:rsidR="00DB3176" w:rsidRDefault="00DB3176" w:rsidP="00DB3176">
      <w:pPr>
        <w:pStyle w:val="a"/>
        <w:jc w:val="both"/>
      </w:pPr>
      <w:r>
        <w:rPr>
          <w:rFonts w:hint="cs"/>
          <w:rtl/>
        </w:rPr>
        <w:t xml:space="preserve">כאמור לעיל, נאשמת 2, אשתו של נאשם 1, הורשעה בעבירה של שיבוש מהלכי משפט. במעשיה פגעה הנאשמת בטוהר ההליך המשפטי ובתקינותו, באפשרות גילוי האמת וביכולת עשיית הצדק. בשל הסכנה לפגיעה בערכי היסוד של המשפט, עבירת שיבוש מהלכי משפט אינה מחייבת תוצאה של שיבוש הליכים אלא די בעשיית פעולה מתוך שאיפה לשבש. מידת פגיעתה של עבירת השיבוש  בערכים המוגנים של תקינות הליך וגילוי האמת, היא חמורה אף יותר בשל העובדה שהנאשמת במהלך חיפוש שערכו השוטרים בביתם, ניסתה באופן אקטיבי וברור לזרוק האקדח מחלון הבית אולם ניסיונה נכשל על ידי שוטר שנכח במקום. </w:t>
      </w:r>
    </w:p>
    <w:p w14:paraId="4B402C76" w14:textId="77777777" w:rsidR="00DB3176" w:rsidRDefault="00DB3176" w:rsidP="00DB3176">
      <w:pPr>
        <w:pStyle w:val="a"/>
        <w:numPr>
          <w:ilvl w:val="0"/>
          <w:numId w:val="0"/>
        </w:numPr>
        <w:ind w:left="720"/>
        <w:jc w:val="both"/>
        <w:rPr>
          <w:rtl/>
        </w:rPr>
      </w:pPr>
    </w:p>
    <w:p w14:paraId="77F6915E" w14:textId="77777777" w:rsidR="00DB3176" w:rsidRDefault="00DB3176" w:rsidP="00DB3176">
      <w:pPr>
        <w:pStyle w:val="a"/>
        <w:jc w:val="both"/>
      </w:pPr>
      <w:r>
        <w:rPr>
          <w:rFonts w:hint="cs"/>
          <w:rtl/>
        </w:rPr>
        <w:t>בדרך כלל עבירת השיבוש הינה עבירה נלווית לעבירה אחרת, חמורה יותר, אולם בעניינה של הנאשמת עבירה זו ניצבת לבדה, ומשכך עלה קושי לאתר פסיקה המלמדת על הענישה הנוהגת ואולם מצאתי לנכון להפנות  ל</w:t>
      </w:r>
      <w:hyperlink r:id="rId37" w:history="1">
        <w:r w:rsidR="008158BE" w:rsidRPr="008158BE">
          <w:rPr>
            <w:color w:val="0000FF"/>
            <w:u w:val="single"/>
            <w:rtl/>
          </w:rPr>
          <w:t>ת"פ (ים) 27544-02-14</w:t>
        </w:r>
      </w:hyperlink>
      <w:r>
        <w:rPr>
          <w:rFonts w:hint="cs"/>
          <w:rtl/>
        </w:rPr>
        <w:t xml:space="preserve"> </w:t>
      </w:r>
      <w:r>
        <w:rPr>
          <w:rFonts w:hint="cs"/>
          <w:b/>
          <w:bCs/>
          <w:rtl/>
        </w:rPr>
        <w:t>מדינת ישראל נגד שאמי</w:t>
      </w:r>
      <w:r>
        <w:rPr>
          <w:rFonts w:hint="cs"/>
          <w:rtl/>
        </w:rPr>
        <w:t xml:space="preserve"> </w:t>
      </w:r>
      <w:r w:rsidR="00A11EE9" w:rsidRPr="00A11EE9">
        <w:rPr>
          <w:rFonts w:ascii="Times New Roman" w:hAnsi="Times New Roman"/>
          <w:color w:val="auto"/>
          <w:sz w:val="22"/>
          <w:rtl/>
        </w:rPr>
        <w:t xml:space="preserve">[פורסם בנבו] </w:t>
      </w:r>
      <w:r>
        <w:rPr>
          <w:rFonts w:hint="cs"/>
          <w:rtl/>
        </w:rPr>
        <w:t>(02.02.16) ל</w:t>
      </w:r>
      <w:hyperlink r:id="rId38" w:history="1">
        <w:r w:rsidR="008158BE" w:rsidRPr="008158BE">
          <w:rPr>
            <w:color w:val="0000FF"/>
            <w:u w:val="single"/>
            <w:rtl/>
          </w:rPr>
          <w:t>ת"פ 28998-04-13</w:t>
        </w:r>
      </w:hyperlink>
      <w:r>
        <w:rPr>
          <w:rFonts w:hint="cs"/>
          <w:rtl/>
        </w:rPr>
        <w:t xml:space="preserve"> </w:t>
      </w:r>
      <w:r>
        <w:rPr>
          <w:rFonts w:hint="cs"/>
          <w:b/>
          <w:bCs/>
          <w:rtl/>
        </w:rPr>
        <w:t>מדינת ישראל נגד אבו נג'מה</w:t>
      </w:r>
      <w:r>
        <w:rPr>
          <w:rFonts w:hint="cs"/>
          <w:rtl/>
        </w:rPr>
        <w:t xml:space="preserve"> </w:t>
      </w:r>
      <w:r w:rsidR="00A11EE9" w:rsidRPr="00A11EE9">
        <w:rPr>
          <w:rFonts w:ascii="Times New Roman" w:hAnsi="Times New Roman"/>
          <w:color w:val="auto"/>
          <w:sz w:val="22"/>
          <w:rtl/>
        </w:rPr>
        <w:t xml:space="preserve">[פורסם בנבו] </w:t>
      </w:r>
      <w:r>
        <w:rPr>
          <w:rFonts w:hint="cs"/>
          <w:rtl/>
        </w:rPr>
        <w:t>(18.02.15) ול</w:t>
      </w:r>
      <w:hyperlink r:id="rId39" w:history="1">
        <w:r w:rsidR="008158BE" w:rsidRPr="008158BE">
          <w:rPr>
            <w:color w:val="0000FF"/>
            <w:u w:val="single"/>
            <w:rtl/>
          </w:rPr>
          <w:t>ת"פ 18081-07-20</w:t>
        </w:r>
      </w:hyperlink>
      <w:r>
        <w:rPr>
          <w:rFonts w:hint="cs"/>
          <w:rtl/>
        </w:rPr>
        <w:t xml:space="preserve"> מח"ש נ' אלגבי </w:t>
      </w:r>
      <w:r w:rsidR="00A11EE9" w:rsidRPr="00A11EE9">
        <w:rPr>
          <w:rFonts w:ascii="Times New Roman" w:hAnsi="Times New Roman"/>
          <w:color w:val="auto"/>
          <w:sz w:val="22"/>
          <w:rtl/>
        </w:rPr>
        <w:t xml:space="preserve">[פורסם בנבו] </w:t>
      </w:r>
      <w:r>
        <w:rPr>
          <w:rFonts w:hint="cs"/>
          <w:rtl/>
        </w:rPr>
        <w:t xml:space="preserve">(06.05.24), לפיהם הענישה הנוהגת נע בין ענישה מוחשית ללא מאסר ועד מאסר לתקופה קצרה שיכול וירוצה בעבודת שירות. </w:t>
      </w:r>
    </w:p>
    <w:p w14:paraId="4933AF92" w14:textId="77777777" w:rsidR="00DB3176" w:rsidRDefault="00DB3176" w:rsidP="00DB3176">
      <w:pPr>
        <w:pStyle w:val="ListParagraph"/>
        <w:rPr>
          <w:rtl/>
        </w:rPr>
      </w:pPr>
    </w:p>
    <w:p w14:paraId="5EE34795" w14:textId="77777777" w:rsidR="00DB3176" w:rsidRDefault="00DB3176" w:rsidP="00DB3176">
      <w:pPr>
        <w:pStyle w:val="a"/>
        <w:jc w:val="both"/>
      </w:pPr>
      <w:r>
        <w:rPr>
          <w:rFonts w:hint="cs"/>
          <w:rtl/>
        </w:rPr>
        <w:t xml:space="preserve">בהתאם לתיקון 113 לחוק העונשים (סעיף </w:t>
      </w:r>
      <w:hyperlink r:id="rId40" w:history="1">
        <w:r w:rsidR="00105311" w:rsidRPr="00105311">
          <w:rPr>
            <w:rStyle w:val="Hyperlink"/>
            <w:color w:val="0000FF"/>
            <w:rtl/>
          </w:rPr>
          <w:t>40 יג'</w:t>
        </w:r>
      </w:hyperlink>
      <w:r>
        <w:rPr>
          <w:rFonts w:hint="cs"/>
          <w:rtl/>
        </w:rPr>
        <w:t xml:space="preserve">), </w:t>
      </w:r>
      <w:r>
        <w:rPr>
          <w:rFonts w:hint="cs"/>
          <w:b/>
          <w:bCs/>
          <w:rtl/>
        </w:rPr>
        <w:t>אני קובע כי מתחם העונש ההולם בנוגע לנאשמת הינו החל ממספר חודשי מאסר על תנאי ועד למספר חודשי מאסר בפועל שיכול וירוצו בעבודת שירות</w:t>
      </w:r>
      <w:r>
        <w:rPr>
          <w:rFonts w:hint="cs"/>
          <w:rtl/>
        </w:rPr>
        <w:t xml:space="preserve"> וזאת בצירוף ענישה נלווית. </w:t>
      </w:r>
    </w:p>
    <w:p w14:paraId="503E0D46" w14:textId="77777777" w:rsidR="00DB3176" w:rsidRDefault="00DB3176" w:rsidP="00DB3176">
      <w:pPr>
        <w:pStyle w:val="ListParagraph"/>
        <w:rPr>
          <w:rtl/>
        </w:rPr>
      </w:pPr>
    </w:p>
    <w:p w14:paraId="779010B7" w14:textId="77777777" w:rsidR="00DB3176" w:rsidRDefault="00DB3176" w:rsidP="00DB3176">
      <w:pPr>
        <w:pStyle w:val="a"/>
        <w:jc w:val="both"/>
        <w:rPr>
          <w:rtl/>
        </w:rPr>
      </w:pPr>
      <w:r>
        <w:rPr>
          <w:rFonts w:hint="cs"/>
          <w:rtl/>
        </w:rPr>
        <w:t>במקרה דנן, לא קיימים שיקולים אשר מצדיקים חריגה מהמתחם, לחומרה או לקולא. תסקיר שירות המבחן אינו בא בהמלצה שיקומית, המליץ על עונש מאסר בדרך של עבודת שירות. הנאשמת הופנתה לקבלת חוות דעת ממונה עבודות שירות ונמצאה מתאימה לריצוי עבודת שירות במגבלות. לציין כי המועד תחילת הריצוי המפורט בחוות הדעת חלף זה מכבר.</w:t>
      </w:r>
    </w:p>
    <w:p w14:paraId="6CDE37F6" w14:textId="77777777" w:rsidR="00DB3176" w:rsidRDefault="00DB3176" w:rsidP="00DB3176">
      <w:pPr>
        <w:spacing w:after="120" w:line="360" w:lineRule="auto"/>
        <w:jc w:val="both"/>
        <w:rPr>
          <w:rFonts w:ascii="David" w:hAnsi="David"/>
          <w:color w:val="000000"/>
          <w:rtl/>
        </w:rPr>
      </w:pPr>
    </w:p>
    <w:p w14:paraId="2415BF65" w14:textId="77777777" w:rsidR="00DB3176" w:rsidRDefault="00DB3176" w:rsidP="00DB3176">
      <w:pPr>
        <w:spacing w:after="120" w:line="360" w:lineRule="auto"/>
        <w:jc w:val="both"/>
        <w:rPr>
          <w:bCs/>
          <w:u w:val="single"/>
          <w:lang w:eastAsia="he-IL"/>
        </w:rPr>
      </w:pPr>
      <w:r>
        <w:rPr>
          <w:bCs/>
          <w:u w:val="single"/>
          <w:rtl/>
          <w:lang w:eastAsia="he-IL"/>
        </w:rPr>
        <w:t>גזירת העונש המתאים לנאשם</w:t>
      </w:r>
    </w:p>
    <w:p w14:paraId="715C563D" w14:textId="77777777" w:rsidR="00DB3176" w:rsidRDefault="00DB3176" w:rsidP="00DB3176">
      <w:pPr>
        <w:numPr>
          <w:ilvl w:val="0"/>
          <w:numId w:val="1"/>
        </w:numPr>
        <w:spacing w:after="120" w:line="360" w:lineRule="auto"/>
        <w:jc w:val="both"/>
        <w:rPr>
          <w:color w:val="000000"/>
        </w:rPr>
      </w:pPr>
      <w:r>
        <w:rPr>
          <w:rFonts w:ascii="David" w:hAnsi="David"/>
          <w:color w:val="000000"/>
          <w:rtl/>
        </w:rPr>
        <w:t xml:space="preserve">בגזירת העונש המתאים לנאשם, בגדרי מתחם העונש ההולם, יש להתחשב </w:t>
      </w:r>
      <w:r>
        <w:rPr>
          <w:rFonts w:ascii="David" w:hAnsi="David"/>
          <w:b/>
          <w:bCs/>
          <w:color w:val="000000"/>
          <w:rtl/>
        </w:rPr>
        <w:t>בנסיבות שאינן קשורות בביצוע העבירה</w:t>
      </w:r>
      <w:r>
        <w:rPr>
          <w:rFonts w:ascii="David" w:hAnsi="David"/>
          <w:color w:val="000000"/>
          <w:rtl/>
        </w:rPr>
        <w:t xml:space="preserve"> (סעיף </w:t>
      </w:r>
      <w:hyperlink r:id="rId41" w:history="1">
        <w:r w:rsidR="00105311" w:rsidRPr="00105311">
          <w:rPr>
            <w:rStyle w:val="Hyperlink"/>
            <w:rFonts w:ascii="David" w:hAnsi="David"/>
            <w:color w:val="0000FF"/>
            <w:rtl/>
          </w:rPr>
          <w:t>40 יא'</w:t>
        </w:r>
      </w:hyperlink>
      <w:r>
        <w:rPr>
          <w:rFonts w:ascii="David" w:hAnsi="David"/>
          <w:color w:val="000000"/>
          <w:rtl/>
        </w:rPr>
        <w:t xml:space="preserve">). במסגרת זו </w:t>
      </w:r>
      <w:r>
        <w:rPr>
          <w:color w:val="000000"/>
          <w:rtl/>
        </w:rPr>
        <w:t xml:space="preserve">מן הראוי לתת את הדעת לכך שמדובר בנאשם כבן 31 מנהל אורח חיים נורמטיבי, טרם מעצרו עבד כנהג אוטובוס.  </w:t>
      </w:r>
    </w:p>
    <w:p w14:paraId="7E65461C" w14:textId="77777777" w:rsidR="00DB3176" w:rsidRDefault="00DB3176" w:rsidP="00DB3176">
      <w:pPr>
        <w:spacing w:after="120" w:line="360" w:lineRule="auto"/>
        <w:ind w:left="720"/>
        <w:jc w:val="both"/>
        <w:rPr>
          <w:color w:val="000000"/>
        </w:rPr>
      </w:pPr>
      <w:r>
        <w:rPr>
          <w:color w:val="000000"/>
          <w:rtl/>
        </w:rPr>
        <w:t xml:space="preserve">הנאשם נעדר עבר פלילי, מובן שריצוי עונש מאסר ראשון יקשה על הנאשם ועל משפחתו. הנאשם הודה באופן פורמלי במיוחס לו אך ניכר שלא הפנים חומרת מעשיו והפסול שבהתנהלותו, הנאשם נוקט במזעור חלקו הפלילי, בחר לקחת אחריות על תפיסת הנשק והתחמושת ברשותו ובאותה נשימה נוקט בעמדה קורבנית. נתתי דעתי לכך שהנאשם שהה במעצר במסגרת תיק זה במשך כ 4 חודשים ולאחריהם שהה במעצר בפיקוח אלקטרוני במשך כ 8 חודשים, כעת מצוי בתנאים מגבילים, לציין כי כתב האישום הוגש בסמוך למועד ביצוע העבירה. </w:t>
      </w:r>
    </w:p>
    <w:p w14:paraId="0E3FAC5E" w14:textId="77777777" w:rsidR="00DB3176" w:rsidRDefault="00DB3176" w:rsidP="00DB3176">
      <w:pPr>
        <w:numPr>
          <w:ilvl w:val="0"/>
          <w:numId w:val="1"/>
        </w:numPr>
        <w:spacing w:after="120" w:line="360" w:lineRule="auto"/>
        <w:jc w:val="both"/>
        <w:rPr>
          <w:color w:val="000000"/>
        </w:rPr>
      </w:pPr>
      <w:r>
        <w:rPr>
          <w:rFonts w:ascii="David" w:hAnsi="David"/>
          <w:color w:val="000000"/>
          <w:rtl/>
        </w:rPr>
        <w:t xml:space="preserve">עוד יש לתת את הדעת לשיקול </w:t>
      </w:r>
      <w:r>
        <w:rPr>
          <w:rFonts w:ascii="David" w:hAnsi="David"/>
          <w:b/>
          <w:bCs/>
          <w:color w:val="000000"/>
          <w:rtl/>
        </w:rPr>
        <w:t xml:space="preserve">הרתעת היחיד </w:t>
      </w:r>
      <w:r>
        <w:rPr>
          <w:rFonts w:ascii="David" w:hAnsi="David"/>
          <w:color w:val="000000"/>
          <w:rtl/>
        </w:rPr>
        <w:t>בגדרו של המתחם וזאת בשים לב למטרת החזקת הנשק ולעובדה כי ניתן רק לשער מה היה קורה לולא נתפס האקדח, התחמושת ורימוני ההלם.</w:t>
      </w:r>
    </w:p>
    <w:p w14:paraId="3BC43FEE" w14:textId="77777777" w:rsidR="00DB3176" w:rsidRDefault="00DB3176" w:rsidP="00DB3176">
      <w:pPr>
        <w:spacing w:after="120" w:line="360" w:lineRule="auto"/>
        <w:ind w:left="720"/>
        <w:jc w:val="both"/>
        <w:rPr>
          <w:color w:val="000000"/>
          <w:rtl/>
        </w:rPr>
      </w:pPr>
      <w:r>
        <w:rPr>
          <w:color w:val="000000"/>
          <w:rtl/>
        </w:rPr>
        <w:t xml:space="preserve">בנוסף יש לתת את הדעת לשיקול של </w:t>
      </w:r>
      <w:r>
        <w:rPr>
          <w:b/>
          <w:bCs/>
          <w:color w:val="000000"/>
          <w:rtl/>
        </w:rPr>
        <w:t>הרתעת הרבים</w:t>
      </w:r>
      <w:r>
        <w:rPr>
          <w:color w:val="000000"/>
          <w:rtl/>
        </w:rPr>
        <w:t xml:space="preserve"> בגדרו של המתחם, </w:t>
      </w:r>
      <w:r>
        <w:rPr>
          <w:rFonts w:ascii="David" w:hAnsi="David"/>
          <w:color w:val="000000"/>
          <w:rtl/>
        </w:rPr>
        <w:t>וזאת נוכח שכיחותן הרבה של עבירות הנשק במחוזותינו והחשיבות החברתית הרבה של צמצום תופעה זו</w:t>
      </w:r>
      <w:r>
        <w:rPr>
          <w:color w:val="000000"/>
          <w:rtl/>
        </w:rPr>
        <w:t>.</w:t>
      </w:r>
    </w:p>
    <w:p w14:paraId="72D5669F" w14:textId="77777777" w:rsidR="00DB3176" w:rsidRDefault="00DB3176" w:rsidP="00DB3176">
      <w:pPr>
        <w:spacing w:after="120" w:line="360" w:lineRule="auto"/>
        <w:ind w:left="720"/>
        <w:jc w:val="both"/>
        <w:rPr>
          <w:color w:val="000000"/>
        </w:rPr>
      </w:pPr>
    </w:p>
    <w:p w14:paraId="7FCEE7CE" w14:textId="77777777" w:rsidR="00DB3176" w:rsidRDefault="00DB3176" w:rsidP="00DB3176">
      <w:pPr>
        <w:numPr>
          <w:ilvl w:val="0"/>
          <w:numId w:val="1"/>
        </w:numPr>
        <w:spacing w:after="120" w:line="360" w:lineRule="auto"/>
        <w:jc w:val="both"/>
        <w:rPr>
          <w:color w:val="000000"/>
        </w:rPr>
      </w:pPr>
      <w:r>
        <w:rPr>
          <w:color w:val="000000"/>
          <w:rtl/>
        </w:rPr>
        <w:t>באיזון בין השיקולים השונים, ולאחר שנתתי דעתי להודאת הנאשם אשר באה לאחר תחילת שמיעת פרשת הראיות, להמלצת שירות המבחן, לנתוניו האישיים והמשפחתיים של הנאשם סבורני כי יש לגזור על הנאשם עונש בשליש התחתון של מתחם העונש ההולם, וזאת לצד קנס כספי ועונש מאסר מותנה.</w:t>
      </w:r>
    </w:p>
    <w:p w14:paraId="3F9FC864" w14:textId="77777777" w:rsidR="00DB3176" w:rsidRDefault="00DB3176" w:rsidP="00DB3176">
      <w:pPr>
        <w:spacing w:after="120" w:line="360" w:lineRule="auto"/>
        <w:jc w:val="both"/>
        <w:rPr>
          <w:bCs/>
          <w:u w:val="single"/>
          <w:rtl/>
          <w:lang w:eastAsia="he-IL"/>
        </w:rPr>
      </w:pPr>
    </w:p>
    <w:p w14:paraId="6FD77639" w14:textId="77777777" w:rsidR="00DB3176" w:rsidRDefault="00DB3176" w:rsidP="00DB3176">
      <w:pPr>
        <w:spacing w:after="120" w:line="360" w:lineRule="auto"/>
        <w:jc w:val="both"/>
        <w:rPr>
          <w:bCs/>
          <w:u w:val="single"/>
          <w:lang w:eastAsia="he-IL"/>
        </w:rPr>
      </w:pPr>
      <w:r>
        <w:rPr>
          <w:bCs/>
          <w:u w:val="single"/>
          <w:rtl/>
          <w:lang w:eastAsia="he-IL"/>
        </w:rPr>
        <w:t xml:space="preserve">גזירת העונש המתאים לנאשמת </w:t>
      </w:r>
    </w:p>
    <w:p w14:paraId="37DF5701" w14:textId="77777777" w:rsidR="00DB3176" w:rsidRDefault="00DB3176" w:rsidP="00DB3176">
      <w:pPr>
        <w:pStyle w:val="a"/>
      </w:pPr>
      <w:r>
        <w:rPr>
          <w:rFonts w:hint="cs"/>
          <w:rtl/>
        </w:rPr>
        <w:t xml:space="preserve">בגזירת העונש המתאים לנאשם, בגדרי מתחם העונש ההולם, יש להתחשב </w:t>
      </w:r>
      <w:r>
        <w:rPr>
          <w:rFonts w:hint="cs"/>
          <w:b/>
          <w:bCs/>
          <w:rtl/>
        </w:rPr>
        <w:t>בנסיבות שאינן קשורות בביצוע העבירה</w:t>
      </w:r>
      <w:r>
        <w:rPr>
          <w:rFonts w:hint="cs"/>
          <w:rtl/>
        </w:rPr>
        <w:t xml:space="preserve"> (סעיף </w:t>
      </w:r>
      <w:hyperlink r:id="rId42" w:history="1">
        <w:r w:rsidR="00105311" w:rsidRPr="00105311">
          <w:rPr>
            <w:rStyle w:val="Hyperlink"/>
            <w:color w:val="0000FF"/>
            <w:rtl/>
          </w:rPr>
          <w:t>40 יא'</w:t>
        </w:r>
      </w:hyperlink>
      <w:r>
        <w:rPr>
          <w:rFonts w:hint="cs"/>
          <w:rtl/>
        </w:rPr>
        <w:t xml:space="preserve">). במסגרת זו מן הראוי לתת את הדעת לכך שמדובר בנאשמת צעירה, המנהלת אורח חיים נורמטיבי משולבת במסגרת תעסוקתית. </w:t>
      </w:r>
    </w:p>
    <w:p w14:paraId="0E19833B" w14:textId="77777777" w:rsidR="00DB3176" w:rsidRDefault="00DB3176" w:rsidP="00DB3176">
      <w:pPr>
        <w:spacing w:after="120" w:line="360" w:lineRule="auto"/>
        <w:ind w:left="720"/>
        <w:jc w:val="both"/>
        <w:rPr>
          <w:color w:val="000000"/>
          <w:rtl/>
        </w:rPr>
      </w:pPr>
      <w:r>
        <w:rPr>
          <w:color w:val="000000"/>
          <w:rtl/>
        </w:rPr>
        <w:t xml:space="preserve">הנאשמת נעדרת עבר פלילי, אם לארבעה  ילדים קטנים כשהאחרון כבן מספר חודשים בלבד, מובן שהטלת עונש מאסר שירוצה בעבודת שירות יקשה עליה ועל משפחתה. הנאשמת הודתה במיוחס לה ולכאורה נטלה אחריות, שכן כפי שצוין לעיל בפני שירות המבחן לא הביעה הבנה בנוגע לחומרת מעשיה וההשלכות והסכנות הטמונות במעשיה ובעצם החזקת נשק, שירות המבחן התרשם כי הסברי הנאשמת למעשיה מעוררים סימני שאלה רבים וניכר כי אינה מפנימה חומרת  המעשה. </w:t>
      </w:r>
    </w:p>
    <w:p w14:paraId="03CC14F3" w14:textId="77777777" w:rsidR="00DB3176" w:rsidRDefault="00DB3176" w:rsidP="00DB3176">
      <w:pPr>
        <w:spacing w:after="120" w:line="360" w:lineRule="auto"/>
        <w:ind w:left="720"/>
        <w:jc w:val="both"/>
        <w:rPr>
          <w:color w:val="000000"/>
        </w:rPr>
      </w:pPr>
    </w:p>
    <w:p w14:paraId="474C6FB1" w14:textId="77777777" w:rsidR="00DB3176" w:rsidRDefault="00DB3176" w:rsidP="00DB3176">
      <w:pPr>
        <w:numPr>
          <w:ilvl w:val="0"/>
          <w:numId w:val="1"/>
        </w:numPr>
        <w:spacing w:after="120" w:line="360" w:lineRule="auto"/>
        <w:jc w:val="both"/>
        <w:rPr>
          <w:color w:val="000000"/>
          <w:rtl/>
        </w:rPr>
      </w:pPr>
      <w:r>
        <w:rPr>
          <w:rFonts w:ascii="David" w:hAnsi="David"/>
          <w:color w:val="000000"/>
          <w:rtl/>
        </w:rPr>
        <w:t xml:space="preserve">עוד יש לתת את הדעת לשיקול </w:t>
      </w:r>
      <w:r>
        <w:rPr>
          <w:rFonts w:ascii="David" w:hAnsi="David"/>
          <w:b/>
          <w:bCs/>
          <w:color w:val="000000"/>
          <w:rtl/>
        </w:rPr>
        <w:t>הרתעת היחיד</w:t>
      </w:r>
      <w:r>
        <w:rPr>
          <w:rFonts w:ascii="David" w:hAnsi="David"/>
          <w:color w:val="000000"/>
          <w:rtl/>
        </w:rPr>
        <w:t xml:space="preserve"> בגדרו של המתחם, וזאת בשים לב לנסיבות ביצוע העבירה המיוחסת לנאשמת, הנאשמת השליכה האקדח שנמצא בבית מבעד לחלון. </w:t>
      </w:r>
    </w:p>
    <w:p w14:paraId="5A65A2BB" w14:textId="77777777" w:rsidR="00DB3176" w:rsidRDefault="00DB3176" w:rsidP="00DB3176">
      <w:pPr>
        <w:spacing w:after="120" w:line="360" w:lineRule="auto"/>
        <w:ind w:left="720"/>
        <w:jc w:val="both"/>
        <w:rPr>
          <w:color w:val="000000"/>
        </w:rPr>
      </w:pPr>
      <w:r>
        <w:rPr>
          <w:color w:val="000000"/>
          <w:rtl/>
        </w:rPr>
        <w:t xml:space="preserve">בנוסף יש לתת את הדעת לשיקול של </w:t>
      </w:r>
      <w:r>
        <w:rPr>
          <w:b/>
          <w:bCs/>
          <w:color w:val="000000"/>
          <w:rtl/>
        </w:rPr>
        <w:t>הרתעת הרבים</w:t>
      </w:r>
      <w:r>
        <w:rPr>
          <w:color w:val="000000"/>
          <w:rtl/>
        </w:rPr>
        <w:t xml:space="preserve"> בגדרו של המתחם, </w:t>
      </w:r>
      <w:r>
        <w:rPr>
          <w:rFonts w:ascii="David" w:hAnsi="David"/>
          <w:color w:val="000000"/>
          <w:rtl/>
        </w:rPr>
        <w:t>וזאת נוכח שכיחותן הרבה של עבירות הנשק במחוזותינו והחשיבות החברתית הרבה של צמצום תופעה זו</w:t>
      </w:r>
      <w:r>
        <w:rPr>
          <w:color w:val="000000"/>
          <w:rtl/>
        </w:rPr>
        <w:t xml:space="preserve">, וזאת למרות שלכאורה לא מיוחסת לנאשמת עבירת החזקת נשק, מעשיה בוצעו כדי למנוע ו/או לשבש הליכי משפט הנוגעים לביצוע עבירות בנשק. </w:t>
      </w:r>
    </w:p>
    <w:p w14:paraId="0820BA13" w14:textId="77777777" w:rsidR="00DB3176" w:rsidRDefault="00DB3176" w:rsidP="00DB3176">
      <w:pPr>
        <w:numPr>
          <w:ilvl w:val="0"/>
          <w:numId w:val="1"/>
        </w:numPr>
        <w:spacing w:after="120" w:line="360" w:lineRule="auto"/>
        <w:jc w:val="both"/>
        <w:rPr>
          <w:color w:val="000000"/>
        </w:rPr>
      </w:pPr>
      <w:r>
        <w:rPr>
          <w:color w:val="000000"/>
          <w:rtl/>
        </w:rPr>
        <w:t>באיזון בין השיקולים השונים, ולאחר שנתתי דעתי אף להודאת הנאשמת ולהמלצת שירות המבחן ולהיותה נעדרת עבר פלילי, סבורני כי יש לגזור על הנאשמת עונש המצוי בשליש התחתון של מתחם העונש ההולם וזאת לצד קנס כספי ועונש מאסר מותנה.</w:t>
      </w:r>
    </w:p>
    <w:p w14:paraId="6A8F3215" w14:textId="77777777" w:rsidR="00DB3176" w:rsidRDefault="00DB3176" w:rsidP="00DB3176">
      <w:pPr>
        <w:spacing w:after="120" w:line="360" w:lineRule="auto"/>
        <w:jc w:val="both"/>
        <w:rPr>
          <w:b/>
          <w:bCs/>
          <w:u w:val="single"/>
          <w:rtl/>
        </w:rPr>
      </w:pPr>
    </w:p>
    <w:p w14:paraId="12813EE7" w14:textId="77777777" w:rsidR="00DB3176" w:rsidRDefault="00DB3176" w:rsidP="00DB3176">
      <w:pPr>
        <w:spacing w:after="120" w:line="360" w:lineRule="auto"/>
        <w:jc w:val="both"/>
        <w:rPr>
          <w:b/>
          <w:bCs/>
          <w:u w:val="single"/>
          <w:rtl/>
        </w:rPr>
      </w:pPr>
      <w:r>
        <w:rPr>
          <w:b/>
          <w:bCs/>
          <w:u w:val="single"/>
          <w:rtl/>
        </w:rPr>
        <w:t>סוף דבר</w:t>
      </w:r>
    </w:p>
    <w:p w14:paraId="0356CD48" w14:textId="77777777" w:rsidR="00DB3176" w:rsidRDefault="00DB3176" w:rsidP="00DB3176">
      <w:pPr>
        <w:numPr>
          <w:ilvl w:val="0"/>
          <w:numId w:val="1"/>
        </w:numPr>
        <w:spacing w:after="120" w:line="360" w:lineRule="auto"/>
        <w:jc w:val="both"/>
        <w:rPr>
          <w:rFonts w:ascii="David" w:hAnsi="David"/>
          <w:color w:val="000000"/>
          <w:rtl/>
        </w:rPr>
      </w:pPr>
      <w:r>
        <w:rPr>
          <w:rFonts w:ascii="David" w:hAnsi="David"/>
          <w:b/>
          <w:bCs/>
          <w:color w:val="000000"/>
          <w:u w:val="single"/>
          <w:rtl/>
        </w:rPr>
        <w:t>אשר על-כן, הנני גוזר על הנאשם</w:t>
      </w:r>
      <w:r>
        <w:rPr>
          <w:rFonts w:ascii="David" w:hAnsi="David" w:hint="cs"/>
          <w:b/>
          <w:bCs/>
          <w:color w:val="000000"/>
          <w:u w:val="single"/>
          <w:rtl/>
        </w:rPr>
        <w:t xml:space="preserve"> 1</w:t>
      </w:r>
      <w:r>
        <w:rPr>
          <w:rFonts w:ascii="David" w:hAnsi="David"/>
          <w:b/>
          <w:bCs/>
          <w:color w:val="000000"/>
          <w:u w:val="single"/>
          <w:rtl/>
        </w:rPr>
        <w:t xml:space="preserve"> את העונשים הבאים</w:t>
      </w:r>
      <w:r>
        <w:rPr>
          <w:rFonts w:ascii="David" w:hAnsi="David"/>
          <w:color w:val="000000"/>
          <w:rtl/>
        </w:rPr>
        <w:t>:</w:t>
      </w:r>
    </w:p>
    <w:p w14:paraId="340E00D3" w14:textId="77777777" w:rsidR="00DB3176" w:rsidRPr="00BF40C9" w:rsidRDefault="00DB3176" w:rsidP="00DB3176">
      <w:pPr>
        <w:pStyle w:val="ListParagraph"/>
        <w:numPr>
          <w:ilvl w:val="1"/>
          <w:numId w:val="1"/>
        </w:numPr>
        <w:tabs>
          <w:tab w:val="num" w:pos="1286"/>
        </w:tabs>
        <w:spacing w:after="120" w:line="360" w:lineRule="auto"/>
        <w:ind w:left="720" w:hanging="540"/>
        <w:jc w:val="both"/>
        <w:rPr>
          <w:rFonts w:ascii="David" w:hAnsi="David"/>
          <w:color w:val="000000"/>
          <w:lang w:eastAsia="he-IL"/>
        </w:rPr>
      </w:pPr>
      <w:r>
        <w:rPr>
          <w:b/>
          <w:bCs/>
          <w:rtl/>
        </w:rPr>
        <w:t xml:space="preserve"> </w:t>
      </w:r>
      <w:r>
        <w:rPr>
          <w:rFonts w:hint="cs"/>
          <w:b/>
          <w:bCs/>
          <w:rtl/>
        </w:rPr>
        <w:t>25 חודשי מאסר בפועל</w:t>
      </w:r>
      <w:r>
        <w:rPr>
          <w:rtl/>
        </w:rPr>
        <w:t xml:space="preserve"> בניכוי ימי מעצרו. </w:t>
      </w:r>
      <w:r>
        <w:rPr>
          <w:rtl/>
          <w:lang w:eastAsia="he-IL"/>
        </w:rPr>
        <w:t xml:space="preserve">הנאשם יתייצב לריצוי עונש המאסר בבית סוהר "דקל" ביום </w:t>
      </w:r>
      <w:r>
        <w:rPr>
          <w:rFonts w:hint="cs"/>
          <w:rtl/>
          <w:lang w:eastAsia="he-IL"/>
        </w:rPr>
        <w:t>9.2.25</w:t>
      </w:r>
      <w:r>
        <w:rPr>
          <w:rtl/>
          <w:lang w:eastAsia="he-IL"/>
        </w:rPr>
        <w:t xml:space="preserve"> עד השעה 08:00 בציר</w:t>
      </w:r>
      <w:r>
        <w:rPr>
          <w:rFonts w:hint="cs"/>
          <w:rtl/>
          <w:lang w:eastAsia="he-IL"/>
        </w:rPr>
        <w:t>ו</w:t>
      </w:r>
      <w:r>
        <w:rPr>
          <w:rtl/>
          <w:lang w:eastAsia="he-IL"/>
        </w:rPr>
        <w:t>ף העתק גזר הדין ותעודת זהות</w:t>
      </w:r>
      <w:r>
        <w:rPr>
          <w:rFonts w:hint="cs"/>
          <w:rtl/>
          <w:lang w:eastAsia="he-IL"/>
        </w:rPr>
        <w:t>.</w:t>
      </w:r>
      <w:r>
        <w:rPr>
          <w:rFonts w:ascii="David" w:hAnsi="David" w:hint="cs"/>
          <w:color w:val="000000"/>
          <w:rtl/>
          <w:lang w:eastAsia="he-IL"/>
        </w:rPr>
        <w:t xml:space="preserve"> מובהר לנאשם זכותו לפנות ליחידה למאסרים מותנים.</w:t>
      </w:r>
    </w:p>
    <w:p w14:paraId="184264F0" w14:textId="77777777" w:rsidR="00DB3176" w:rsidRPr="00BF40C9" w:rsidRDefault="00DB3176" w:rsidP="00DB3176">
      <w:pPr>
        <w:pStyle w:val="ListParagraph"/>
        <w:numPr>
          <w:ilvl w:val="1"/>
          <w:numId w:val="1"/>
        </w:numPr>
        <w:tabs>
          <w:tab w:val="num" w:pos="1286"/>
        </w:tabs>
        <w:spacing w:after="120" w:line="360" w:lineRule="auto"/>
        <w:ind w:left="720" w:hanging="540"/>
        <w:jc w:val="both"/>
        <w:rPr>
          <w:rFonts w:ascii="David" w:hAnsi="David"/>
          <w:color w:val="000000"/>
          <w:lang w:eastAsia="he-IL"/>
        </w:rPr>
      </w:pPr>
      <w:r>
        <w:rPr>
          <w:rtl/>
        </w:rPr>
        <w:t xml:space="preserve">10 חודשי מאסר על תנאי, לבל יעבור הנאשם במשך 3 שנים מיום שחרורו ממאסר כל עבירת נשק מסוג פשע.  </w:t>
      </w:r>
    </w:p>
    <w:p w14:paraId="46270D33" w14:textId="77777777" w:rsidR="00DB3176" w:rsidRDefault="00DB3176" w:rsidP="00DB3176">
      <w:pPr>
        <w:pStyle w:val="ListParagraph"/>
        <w:numPr>
          <w:ilvl w:val="1"/>
          <w:numId w:val="1"/>
        </w:numPr>
        <w:tabs>
          <w:tab w:val="num" w:pos="1286"/>
        </w:tabs>
        <w:spacing w:after="120" w:line="360" w:lineRule="auto"/>
        <w:ind w:left="720" w:hanging="540"/>
        <w:jc w:val="both"/>
        <w:rPr>
          <w:rFonts w:ascii="David" w:hAnsi="David"/>
          <w:color w:val="000000"/>
          <w:lang w:eastAsia="he-IL"/>
        </w:rPr>
      </w:pPr>
      <w:r>
        <w:rPr>
          <w:rtl/>
        </w:rPr>
        <w:t>5 חודשי מאסר על תנאי, לבל יעבור הנאשם במשך 3 שנים מיום שחרורו ממאסר כל עבירת נשק מסוג עוון.</w:t>
      </w:r>
    </w:p>
    <w:p w14:paraId="63323857" w14:textId="77777777" w:rsidR="00DB3176" w:rsidRPr="00BF40C9" w:rsidRDefault="00DB3176" w:rsidP="00DB3176">
      <w:pPr>
        <w:pStyle w:val="ListParagraph"/>
        <w:numPr>
          <w:ilvl w:val="1"/>
          <w:numId w:val="1"/>
        </w:numPr>
        <w:tabs>
          <w:tab w:val="num" w:pos="1286"/>
        </w:tabs>
        <w:spacing w:after="120" w:line="360" w:lineRule="auto"/>
        <w:ind w:left="720" w:hanging="540"/>
        <w:jc w:val="both"/>
        <w:rPr>
          <w:rFonts w:ascii="David" w:hAnsi="David"/>
          <w:color w:val="000000"/>
          <w:rtl/>
          <w:lang w:eastAsia="he-IL"/>
        </w:rPr>
      </w:pPr>
      <w:r>
        <w:rPr>
          <w:rtl/>
        </w:rPr>
        <w:t>קנס כספי בסך של 15,000 ₪ או 4 חודשי מאסר תמורתו. הקנס ישולם ב-15 תשלומים חודשיים שווים</w:t>
      </w:r>
      <w:r>
        <w:rPr>
          <w:rtl/>
          <w:lang w:eastAsia="he-IL"/>
        </w:rPr>
        <w:t xml:space="preserve"> ורצופים, שהראשון שבהם ביום 1.6.25</w:t>
      </w:r>
      <w:r>
        <w:rPr>
          <w:rFonts w:hint="cs"/>
          <w:rtl/>
          <w:lang w:eastAsia="he-IL"/>
        </w:rPr>
        <w:t xml:space="preserve"> ובכל 01 לחודש שלאחריו.</w:t>
      </w:r>
    </w:p>
    <w:p w14:paraId="18A84124" w14:textId="77777777" w:rsidR="00DB3176" w:rsidRDefault="00DB3176" w:rsidP="00DB3176">
      <w:pPr>
        <w:pStyle w:val="ListParagraph"/>
        <w:numPr>
          <w:ilvl w:val="1"/>
          <w:numId w:val="1"/>
        </w:numPr>
        <w:tabs>
          <w:tab w:val="num" w:pos="1286"/>
        </w:tabs>
        <w:spacing w:after="120" w:line="360" w:lineRule="auto"/>
        <w:ind w:left="720" w:hanging="540"/>
        <w:jc w:val="both"/>
        <w:rPr>
          <w:rFonts w:ascii="David" w:hAnsi="David"/>
          <w:color w:val="000000"/>
          <w:lang w:eastAsia="he-IL"/>
        </w:rPr>
      </w:pPr>
      <w:r>
        <w:rPr>
          <w:rFonts w:ascii="David" w:hAnsi="David"/>
          <w:color w:val="000000"/>
          <w:rtl/>
          <w:lang w:eastAsia="he-IL"/>
        </w:rPr>
        <w:t xml:space="preserve">התחייבות על סך 5,000 ₪ למשך שנתיים מיום שחרורו שלא יעבר כל עבירה על </w:t>
      </w:r>
      <w:hyperlink r:id="rId43" w:history="1">
        <w:r w:rsidR="00105311" w:rsidRPr="00105311">
          <w:rPr>
            <w:rStyle w:val="Hyperlink"/>
            <w:rFonts w:ascii="David" w:hAnsi="David"/>
            <w:color w:val="0000FF"/>
            <w:rtl/>
            <w:lang w:eastAsia="he-IL"/>
          </w:rPr>
          <w:t>סעיף 144</w:t>
        </w:r>
      </w:hyperlink>
      <w:r>
        <w:rPr>
          <w:rFonts w:ascii="David" w:hAnsi="David"/>
          <w:color w:val="000000"/>
          <w:rtl/>
          <w:lang w:eastAsia="he-IL"/>
        </w:rPr>
        <w:t xml:space="preserve"> ל</w:t>
      </w:r>
      <w:hyperlink r:id="rId44" w:history="1">
        <w:r w:rsidR="008158BE" w:rsidRPr="008158BE">
          <w:rPr>
            <w:rFonts w:ascii="David" w:hAnsi="David"/>
            <w:color w:val="0000FF"/>
            <w:u w:val="single"/>
            <w:rtl/>
            <w:lang w:eastAsia="he-IL"/>
          </w:rPr>
          <w:t>חוק העונשין</w:t>
        </w:r>
      </w:hyperlink>
      <w:r>
        <w:rPr>
          <w:rFonts w:ascii="David" w:hAnsi="David"/>
          <w:color w:val="000000"/>
          <w:rtl/>
          <w:lang w:eastAsia="he-IL"/>
        </w:rPr>
        <w:t xml:space="preserve"> התשל"ז – 1977</w:t>
      </w:r>
      <w:r>
        <w:rPr>
          <w:rFonts w:ascii="David" w:hAnsi="David" w:hint="cs"/>
          <w:color w:val="000000"/>
          <w:rtl/>
          <w:lang w:eastAsia="he-IL"/>
        </w:rPr>
        <w:t xml:space="preserve">. </w:t>
      </w:r>
      <w:r>
        <w:rPr>
          <w:rFonts w:ascii="David" w:hAnsi="David" w:hint="cs"/>
          <w:b/>
          <w:bCs/>
          <w:color w:val="000000"/>
          <w:rtl/>
          <w:lang w:eastAsia="he-IL"/>
        </w:rPr>
        <w:t>[ההתחייבות תוצהר לפרוטוקול]</w:t>
      </w:r>
      <w:r>
        <w:rPr>
          <w:rFonts w:ascii="David" w:hAnsi="David" w:hint="cs"/>
          <w:color w:val="000000"/>
          <w:rtl/>
          <w:lang w:eastAsia="he-IL"/>
        </w:rPr>
        <w:t>.</w:t>
      </w:r>
    </w:p>
    <w:p w14:paraId="09D7CC43" w14:textId="77777777" w:rsidR="00DB3176" w:rsidRDefault="00DB3176" w:rsidP="00DB3176">
      <w:pPr>
        <w:pStyle w:val="ListParagraph"/>
        <w:spacing w:after="120" w:line="360" w:lineRule="auto"/>
        <w:jc w:val="both"/>
        <w:rPr>
          <w:rFonts w:ascii="David" w:hAnsi="David"/>
          <w:color w:val="000000"/>
          <w:lang w:eastAsia="he-IL"/>
        </w:rPr>
      </w:pPr>
    </w:p>
    <w:p w14:paraId="36C3D313" w14:textId="77777777" w:rsidR="00DB3176" w:rsidRDefault="00DB3176" w:rsidP="00DB3176">
      <w:pPr>
        <w:pStyle w:val="a"/>
        <w:rPr>
          <w:b/>
          <w:bCs/>
          <w:u w:val="single"/>
          <w:lang w:eastAsia="he-IL"/>
        </w:rPr>
      </w:pPr>
      <w:r>
        <w:rPr>
          <w:rFonts w:hint="cs"/>
          <w:b/>
          <w:bCs/>
          <w:u w:val="single"/>
          <w:rtl/>
          <w:lang w:eastAsia="he-IL"/>
        </w:rPr>
        <w:t>אשר על-כן, הנני גוזר על הנאשמת 2 את העונשים הבאים:</w:t>
      </w:r>
    </w:p>
    <w:p w14:paraId="1185443D" w14:textId="77777777" w:rsidR="00DB3176" w:rsidRDefault="00DB3176" w:rsidP="00DB3176">
      <w:pPr>
        <w:pStyle w:val="a"/>
        <w:numPr>
          <w:ilvl w:val="1"/>
          <w:numId w:val="1"/>
        </w:numPr>
        <w:jc w:val="both"/>
        <w:rPr>
          <w:lang w:eastAsia="he-IL"/>
        </w:rPr>
      </w:pPr>
      <w:r>
        <w:rPr>
          <w:rFonts w:hint="cs"/>
          <w:rtl/>
          <w:lang w:eastAsia="he-IL"/>
        </w:rPr>
        <w:t xml:space="preserve"> 45 ימי מאסר בפועל שירוצו בעבודת שירות, </w:t>
      </w:r>
      <w:r>
        <w:rPr>
          <w:rFonts w:hint="cs"/>
          <w:rtl/>
        </w:rPr>
        <w:t>במשך חמישה ימים בשבוע, 8.5 שעות ביום או לפי קביעה אחרת של הממונה על עבודות השירות.</w:t>
      </w:r>
      <w:r>
        <w:rPr>
          <w:rFonts w:hint="cs"/>
          <w:rtl/>
          <w:lang w:eastAsia="he-IL"/>
        </w:rPr>
        <w:t xml:space="preserve"> </w:t>
      </w:r>
    </w:p>
    <w:p w14:paraId="4097A4D0" w14:textId="77777777" w:rsidR="00DB3176" w:rsidRDefault="00DB3176" w:rsidP="00DB3176">
      <w:pPr>
        <w:pStyle w:val="a"/>
        <w:numPr>
          <w:ilvl w:val="0"/>
          <w:numId w:val="0"/>
        </w:numPr>
        <w:ind w:left="1620"/>
        <w:jc w:val="both"/>
        <w:rPr>
          <w:lang w:eastAsia="he-IL"/>
        </w:rPr>
      </w:pPr>
      <w:r>
        <w:rPr>
          <w:rFonts w:hint="cs"/>
          <w:rtl/>
          <w:lang w:eastAsia="he-IL"/>
        </w:rPr>
        <w:t>הנאשמת תתייצב בפני הממונה על עבודות שירות ביום 9.2.25 עד השעה 08:00.</w:t>
      </w:r>
    </w:p>
    <w:p w14:paraId="149A9270" w14:textId="77777777" w:rsidR="00DB3176" w:rsidRDefault="00DB3176" w:rsidP="00DB3176">
      <w:pPr>
        <w:spacing w:line="360" w:lineRule="auto"/>
        <w:ind w:left="1620"/>
        <w:jc w:val="both"/>
        <w:rPr>
          <w:rtl/>
        </w:rPr>
      </w:pPr>
      <w:r>
        <w:rPr>
          <w:rFonts w:hint="cs"/>
          <w:rtl/>
        </w:rPr>
        <w:t>אני מזהיר את הנאשמת שעליה לנהוג בהתאם לכללים ולתנאים שתקבע הממונה על עבודות השירות ושאם לא תעשה כן יכול ויופסקו עבודות השירות והיא תידרש לרצות את יתרת עונשה בכלא.</w:t>
      </w:r>
    </w:p>
    <w:p w14:paraId="08F0821F" w14:textId="77777777" w:rsidR="00DB3176" w:rsidRDefault="00DB3176" w:rsidP="00DB3176">
      <w:pPr>
        <w:pStyle w:val="a"/>
        <w:numPr>
          <w:ilvl w:val="1"/>
          <w:numId w:val="1"/>
        </w:numPr>
        <w:jc w:val="both"/>
        <w:rPr>
          <w:lang w:eastAsia="he-IL"/>
        </w:rPr>
      </w:pPr>
      <w:r>
        <w:rPr>
          <w:rFonts w:hint="cs"/>
          <w:rtl/>
          <w:lang w:eastAsia="he-IL"/>
        </w:rPr>
        <w:t xml:space="preserve">6 חודשי מאסר על תנאי למשך 3 שנים מהיום שלא תעבור עבירה כלשהיא על </w:t>
      </w:r>
      <w:hyperlink r:id="rId45" w:history="1">
        <w:r w:rsidR="00105311" w:rsidRPr="00105311">
          <w:rPr>
            <w:rStyle w:val="Hyperlink"/>
            <w:rFonts w:hint="eastAsia"/>
            <w:color w:val="0000FF"/>
            <w:rtl/>
            <w:lang w:eastAsia="he-IL"/>
          </w:rPr>
          <w:t>סעיף</w:t>
        </w:r>
        <w:r w:rsidR="00105311" w:rsidRPr="00105311">
          <w:rPr>
            <w:rStyle w:val="Hyperlink"/>
            <w:color w:val="0000FF"/>
            <w:rtl/>
            <w:lang w:eastAsia="he-IL"/>
          </w:rPr>
          <w:t xml:space="preserve"> 144</w:t>
        </w:r>
      </w:hyperlink>
      <w:r>
        <w:rPr>
          <w:rFonts w:hint="cs"/>
          <w:rtl/>
          <w:lang w:eastAsia="he-IL"/>
        </w:rPr>
        <w:t xml:space="preserve"> ל</w:t>
      </w:r>
      <w:hyperlink r:id="rId46" w:history="1">
        <w:r w:rsidR="008158BE" w:rsidRPr="008158BE">
          <w:rPr>
            <w:color w:val="0000FF"/>
            <w:u w:val="single"/>
            <w:rtl/>
            <w:lang w:eastAsia="he-IL"/>
          </w:rPr>
          <w:t>חוק העונשין</w:t>
        </w:r>
      </w:hyperlink>
      <w:r>
        <w:rPr>
          <w:rFonts w:hint="cs"/>
          <w:rtl/>
          <w:lang w:eastAsia="he-IL"/>
        </w:rPr>
        <w:t xml:space="preserve"> התשל"ז -1977.</w:t>
      </w:r>
    </w:p>
    <w:p w14:paraId="0DBC91EB" w14:textId="77777777" w:rsidR="00DB3176" w:rsidRDefault="00DB3176" w:rsidP="00DB3176">
      <w:pPr>
        <w:pStyle w:val="a"/>
        <w:numPr>
          <w:ilvl w:val="1"/>
          <w:numId w:val="1"/>
        </w:numPr>
        <w:jc w:val="both"/>
        <w:rPr>
          <w:lang w:eastAsia="he-IL"/>
        </w:rPr>
      </w:pPr>
      <w:r>
        <w:rPr>
          <w:rFonts w:hint="cs"/>
          <w:rtl/>
          <w:lang w:eastAsia="he-IL"/>
        </w:rPr>
        <w:t xml:space="preserve">3 חודשי מאסר על תנאי, לבל תעבור הנאשמת במשך 3 שנים מהיום עבירה בה הורשעה. </w:t>
      </w:r>
    </w:p>
    <w:p w14:paraId="16368FC2" w14:textId="77777777" w:rsidR="00DB3176" w:rsidRDefault="00DB3176" w:rsidP="00DB3176">
      <w:pPr>
        <w:pStyle w:val="a"/>
        <w:numPr>
          <w:ilvl w:val="1"/>
          <w:numId w:val="1"/>
        </w:numPr>
        <w:jc w:val="both"/>
        <w:rPr>
          <w:lang w:eastAsia="he-IL"/>
        </w:rPr>
      </w:pPr>
      <w:r>
        <w:rPr>
          <w:rFonts w:hint="cs"/>
          <w:rtl/>
          <w:lang w:eastAsia="he-IL"/>
        </w:rPr>
        <w:t xml:space="preserve">קנס כספי בסך של 3,000 ₪ או 30 ימי מאסר תמורתו. הקנס ישולם ב-5 תשלומים חודשיים שווים ורצופים, שהראשון שבהם ביום 1.3.25. אם לא ישולם תשלום כלשהו במועדו, תעמוד היתרה לפירעון מיידי. </w:t>
      </w:r>
    </w:p>
    <w:p w14:paraId="4635BF79" w14:textId="77777777" w:rsidR="00DB3176" w:rsidRDefault="00DB3176" w:rsidP="00DB3176">
      <w:pPr>
        <w:pStyle w:val="ListParagraph"/>
        <w:rPr>
          <w:rtl/>
          <w:lang w:eastAsia="he-IL"/>
        </w:rPr>
      </w:pPr>
    </w:p>
    <w:p w14:paraId="16FF4F10" w14:textId="77777777" w:rsidR="00DB3176" w:rsidRPr="00BF40C9" w:rsidRDefault="00DB3176" w:rsidP="00DB3176">
      <w:pPr>
        <w:spacing w:line="360" w:lineRule="auto"/>
        <w:ind w:firstLine="720"/>
        <w:jc w:val="both"/>
        <w:rPr>
          <w:u w:val="single"/>
        </w:rPr>
      </w:pPr>
      <w:r>
        <w:rPr>
          <w:rFonts w:hint="cs"/>
          <w:u w:val="single"/>
          <w:rtl/>
        </w:rPr>
        <w:t xml:space="preserve">מובהר לנאשמים כי </w:t>
      </w:r>
      <w:r w:rsidRPr="00BF40C9">
        <w:rPr>
          <w:rFonts w:hint="cs"/>
          <w:u w:val="single"/>
          <w:rtl/>
        </w:rPr>
        <w:t xml:space="preserve">את הקנס ניתן לשלם באחת מהדרכים הבאות: </w:t>
      </w:r>
    </w:p>
    <w:p w14:paraId="5B88E4F0" w14:textId="77777777" w:rsidR="00DB3176" w:rsidRDefault="00DB3176" w:rsidP="00DB3176">
      <w:pPr>
        <w:numPr>
          <w:ilvl w:val="0"/>
          <w:numId w:val="2"/>
        </w:numPr>
        <w:spacing w:line="360" w:lineRule="auto"/>
        <w:jc w:val="both"/>
      </w:pPr>
      <w:r>
        <w:rPr>
          <w:rFonts w:hint="cs"/>
          <w:rtl/>
        </w:rPr>
        <w:t xml:space="preserve">בכרטיס אשראי – באתר המקוון של רשות האכיפה והגבייה, </w:t>
      </w:r>
      <w:hyperlink r:id="rId47" w:history="1">
        <w:r>
          <w:rPr>
            <w:rStyle w:val="Hyperlink"/>
          </w:rPr>
          <w:t>www.eca.gov.il</w:t>
        </w:r>
      </w:hyperlink>
      <w:r>
        <w:t xml:space="preserve"> </w:t>
      </w:r>
      <w:r>
        <w:rPr>
          <w:rFonts w:hint="cs"/>
          <w:rtl/>
        </w:rPr>
        <w:t>.</w:t>
      </w:r>
    </w:p>
    <w:p w14:paraId="2DC3BA02" w14:textId="77777777" w:rsidR="00DB3176" w:rsidRDefault="00DB3176" w:rsidP="00DB3176">
      <w:pPr>
        <w:numPr>
          <w:ilvl w:val="0"/>
          <w:numId w:val="2"/>
        </w:numPr>
        <w:spacing w:line="360" w:lineRule="auto"/>
        <w:jc w:val="both"/>
        <w:rPr>
          <w:rtl/>
        </w:rPr>
      </w:pPr>
      <w:r>
        <w:rPr>
          <w:rFonts w:hint="cs"/>
          <w:rtl/>
        </w:rPr>
        <w:t>מוקד שירות טלפוני בשרות עצמי (מרכז גבייה)</w:t>
      </w:r>
      <w:r w:rsidR="008158BE">
        <w:rPr>
          <w:rFonts w:hint="cs"/>
          <w:rtl/>
        </w:rPr>
        <w:t xml:space="preserve"> </w:t>
      </w:r>
      <w:r>
        <w:rPr>
          <w:rFonts w:hint="cs"/>
          <w:rtl/>
        </w:rPr>
        <w:t xml:space="preserve"> – בטלפון 35592* או בטלפון 073-2055000.</w:t>
      </w:r>
    </w:p>
    <w:p w14:paraId="48C3AB01" w14:textId="77777777" w:rsidR="00DB3176" w:rsidRDefault="00DB3176" w:rsidP="00DB3176">
      <w:pPr>
        <w:numPr>
          <w:ilvl w:val="0"/>
          <w:numId w:val="2"/>
        </w:numPr>
        <w:spacing w:line="360" w:lineRule="auto"/>
        <w:jc w:val="both"/>
        <w:rPr>
          <w:rtl/>
        </w:rPr>
      </w:pPr>
      <w:r>
        <w:rPr>
          <w:rFonts w:hint="cs"/>
          <w:rtl/>
        </w:rPr>
        <w:t>במזומן בכל סניף של בנק הדואר – בהצגת תעודת זהות בלבד (אין צורך בהצגת בשוברי תשלום).</w:t>
      </w:r>
    </w:p>
    <w:p w14:paraId="15841BC2" w14:textId="77777777" w:rsidR="00DB3176" w:rsidRDefault="00DB3176" w:rsidP="00DB3176">
      <w:pPr>
        <w:pStyle w:val="a"/>
        <w:numPr>
          <w:ilvl w:val="0"/>
          <w:numId w:val="0"/>
        </w:numPr>
        <w:ind w:left="1620"/>
        <w:jc w:val="both"/>
        <w:rPr>
          <w:rtl/>
          <w:lang w:eastAsia="he-IL"/>
        </w:rPr>
      </w:pPr>
    </w:p>
    <w:p w14:paraId="0829A584" w14:textId="77777777" w:rsidR="00DB3176" w:rsidRDefault="00DB3176" w:rsidP="00DB3176">
      <w:pPr>
        <w:spacing w:after="120" w:line="360" w:lineRule="auto"/>
        <w:jc w:val="both"/>
        <w:rPr>
          <w:rFonts w:ascii="David" w:hAnsi="David"/>
          <w:color w:val="000000"/>
          <w:lang w:eastAsia="he-IL"/>
        </w:rPr>
      </w:pPr>
      <w:r>
        <w:rPr>
          <w:rFonts w:ascii="David" w:hAnsi="David"/>
          <w:color w:val="000000"/>
          <w:rtl/>
          <w:lang w:eastAsia="he-IL"/>
        </w:rPr>
        <w:t xml:space="preserve">לאחר היות גזר הדין חלוט – מורה כי הנשק והתחמושת שנתפסו, יושמדו או יחולטו לפי שיקול דעתו של קצין ממונה. </w:t>
      </w:r>
    </w:p>
    <w:p w14:paraId="40BF69BB" w14:textId="77777777" w:rsidR="00DB3176" w:rsidRPr="00BF40C9" w:rsidRDefault="00DB3176" w:rsidP="00DB3176">
      <w:pPr>
        <w:spacing w:after="120" w:line="360" w:lineRule="auto"/>
        <w:jc w:val="both"/>
        <w:rPr>
          <w:rtl/>
          <w:lang w:eastAsia="he-IL"/>
        </w:rPr>
      </w:pPr>
    </w:p>
    <w:p w14:paraId="0A480E4B" w14:textId="77777777" w:rsidR="00DB3176" w:rsidRPr="00326441" w:rsidRDefault="008158BE" w:rsidP="00DB3176">
      <w:pPr>
        <w:spacing w:after="120" w:line="360" w:lineRule="auto"/>
        <w:jc w:val="both"/>
        <w:rPr>
          <w:rFonts w:hint="cs"/>
          <w:b/>
          <w:bCs/>
          <w:rtl/>
          <w:lang w:eastAsia="he-IL"/>
        </w:rPr>
      </w:pPr>
      <w:r w:rsidRPr="008158BE">
        <w:rPr>
          <w:b/>
          <w:bCs/>
          <w:color w:val="FFFFFF"/>
          <w:sz w:val="2"/>
          <w:szCs w:val="2"/>
          <w:rtl/>
          <w:lang w:eastAsia="he-IL"/>
        </w:rPr>
        <w:t>5129371</w:t>
      </w:r>
      <w:r w:rsidR="00DB3176" w:rsidRPr="00326441">
        <w:rPr>
          <w:b/>
          <w:bCs/>
          <w:rtl/>
          <w:lang w:eastAsia="he-IL"/>
        </w:rPr>
        <w:t xml:space="preserve">זכות ערעור לבית-המשפט העליון תוך 45 ימים. </w:t>
      </w:r>
      <w:r w:rsidR="00A11EE9">
        <w:rPr>
          <w:rFonts w:hint="cs"/>
          <w:b/>
          <w:bCs/>
          <w:rtl/>
          <w:lang w:eastAsia="he-IL"/>
        </w:rPr>
        <w:t xml:space="preserve"> </w:t>
      </w:r>
    </w:p>
    <w:p w14:paraId="0959012E" w14:textId="77777777" w:rsidR="00DB3176" w:rsidRPr="008158BE" w:rsidRDefault="008158BE" w:rsidP="00DB3176">
      <w:pPr>
        <w:rPr>
          <w:rFonts w:ascii="Arial" w:hAnsi="Arial"/>
          <w:b/>
          <w:bCs/>
          <w:color w:val="FFFFFF"/>
          <w:sz w:val="2"/>
          <w:szCs w:val="2"/>
          <w:rtl/>
        </w:rPr>
      </w:pPr>
      <w:r w:rsidRPr="008158BE">
        <w:rPr>
          <w:rFonts w:ascii="Arial" w:hAnsi="Arial"/>
          <w:b/>
          <w:bCs/>
          <w:color w:val="FFFFFF"/>
          <w:sz w:val="2"/>
          <w:szCs w:val="2"/>
          <w:rtl/>
        </w:rPr>
        <w:t>54678313</w:t>
      </w:r>
    </w:p>
    <w:p w14:paraId="368F0273" w14:textId="77777777" w:rsidR="00DB3176" w:rsidRPr="000F2247" w:rsidRDefault="00DB3176" w:rsidP="00DB3176">
      <w:pPr>
        <w:rPr>
          <w:rFonts w:ascii="Arial" w:hAnsi="Arial"/>
          <w:b/>
          <w:bCs/>
          <w:sz w:val="26"/>
          <w:szCs w:val="26"/>
          <w:rtl/>
        </w:rPr>
      </w:pPr>
    </w:p>
    <w:p w14:paraId="275DCD38" w14:textId="77777777" w:rsidR="00DB3176" w:rsidRPr="000F2247" w:rsidRDefault="008158BE" w:rsidP="00DB317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טבת תשפ"ה, 26 ינואר 2025, בהעדר הצדדים. </w:t>
      </w:r>
      <w:bookmarkEnd w:id="8"/>
      <w:r w:rsidR="00DB3176">
        <w:rPr>
          <w:rFonts w:ascii="Arial" w:hAnsi="Arial"/>
          <w:b/>
          <w:bCs/>
          <w:sz w:val="26"/>
          <w:szCs w:val="26"/>
          <w:rtl/>
        </w:rPr>
        <w:tab/>
      </w:r>
      <w:r w:rsidR="00DB3176">
        <w:rPr>
          <w:rFonts w:ascii="Arial" w:hAnsi="Arial"/>
          <w:b/>
          <w:bCs/>
          <w:sz w:val="26"/>
          <w:szCs w:val="26"/>
          <w:rtl/>
        </w:rPr>
        <w:tab/>
      </w:r>
      <w:r w:rsidR="00DB3176">
        <w:rPr>
          <w:rFonts w:ascii="Arial" w:hAnsi="Arial"/>
          <w:b/>
          <w:bCs/>
          <w:sz w:val="26"/>
          <w:szCs w:val="26"/>
          <w:rtl/>
        </w:rPr>
        <w:tab/>
      </w:r>
      <w:r w:rsidR="00DB3176">
        <w:rPr>
          <w:rFonts w:ascii="Arial" w:hAnsi="Arial"/>
          <w:b/>
          <w:bCs/>
          <w:sz w:val="26"/>
          <w:szCs w:val="26"/>
          <w:rtl/>
        </w:rPr>
        <w:tab/>
      </w:r>
      <w:r w:rsidR="00DB3176">
        <w:rPr>
          <w:rFonts w:ascii="Arial" w:hAnsi="Arial"/>
          <w:b/>
          <w:bCs/>
          <w:sz w:val="26"/>
          <w:szCs w:val="26"/>
          <w:rtl/>
        </w:rPr>
        <w:tab/>
      </w:r>
      <w:r w:rsidR="00DB3176">
        <w:rPr>
          <w:rFonts w:ascii="Arial" w:hAnsi="Arial"/>
          <w:b/>
          <w:bCs/>
          <w:sz w:val="26"/>
          <w:szCs w:val="26"/>
          <w:rtl/>
        </w:rPr>
        <w:tab/>
      </w:r>
      <w:r w:rsidR="00DB3176">
        <w:rPr>
          <w:rFonts w:ascii="Arial" w:hAnsi="Arial"/>
          <w:b/>
          <w:bCs/>
          <w:sz w:val="26"/>
          <w:szCs w:val="26"/>
          <w:rtl/>
        </w:rPr>
        <w:tab/>
      </w:r>
      <w:r w:rsidR="00DB3176">
        <w:rPr>
          <w:rFonts w:ascii="Arial" w:hAnsi="Arial" w:hint="cs"/>
          <w:b/>
          <w:bCs/>
          <w:sz w:val="26"/>
          <w:szCs w:val="26"/>
          <w:rtl/>
        </w:rPr>
        <w:t xml:space="preserve">         </w:t>
      </w:r>
    </w:p>
    <w:p w14:paraId="5496B635" w14:textId="77777777" w:rsidR="008158BE" w:rsidRDefault="008158BE" w:rsidP="008158BE">
      <w:pPr>
        <w:rPr>
          <w:rtl/>
        </w:rPr>
      </w:pPr>
    </w:p>
    <w:p w14:paraId="34D8F96E" w14:textId="77777777" w:rsidR="008158BE" w:rsidRDefault="008158BE" w:rsidP="008158BE">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02E5B334" w14:textId="77777777" w:rsidR="00105311" w:rsidRPr="00105311" w:rsidRDefault="00105311" w:rsidP="00105311">
      <w:pPr>
        <w:keepNext/>
        <w:rPr>
          <w:rFonts w:ascii="David" w:hAnsi="David"/>
          <w:color w:val="000000"/>
          <w:sz w:val="22"/>
          <w:szCs w:val="22"/>
          <w:rtl/>
        </w:rPr>
      </w:pPr>
    </w:p>
    <w:p w14:paraId="411874E2" w14:textId="77777777" w:rsidR="00105311" w:rsidRPr="00105311" w:rsidRDefault="00105311" w:rsidP="00105311">
      <w:pPr>
        <w:keepNext/>
        <w:rPr>
          <w:rFonts w:ascii="David" w:hAnsi="David"/>
          <w:color w:val="000000"/>
          <w:sz w:val="22"/>
          <w:szCs w:val="22"/>
          <w:rtl/>
        </w:rPr>
      </w:pPr>
      <w:r w:rsidRPr="00105311">
        <w:rPr>
          <w:rFonts w:ascii="David" w:hAnsi="David"/>
          <w:color w:val="000000"/>
          <w:sz w:val="22"/>
          <w:szCs w:val="22"/>
          <w:rtl/>
        </w:rPr>
        <w:t>אבישי כהן 54678313-/</w:t>
      </w:r>
    </w:p>
    <w:p w14:paraId="6248D546" w14:textId="77777777" w:rsidR="008158BE" w:rsidRPr="008158BE" w:rsidRDefault="00105311" w:rsidP="00105311">
      <w:pPr>
        <w:rPr>
          <w:color w:val="0000FF"/>
          <w:u w:val="single"/>
        </w:rPr>
      </w:pPr>
      <w:r w:rsidRPr="00105311">
        <w:rPr>
          <w:color w:val="000000"/>
          <w:u w:val="single"/>
          <w:rtl/>
        </w:rPr>
        <w:t>נוסח מסמך זה כפוף לשינויי ניסוח ועריכה</w:t>
      </w:r>
    </w:p>
    <w:sectPr w:rsidR="008158BE" w:rsidRPr="008158BE" w:rsidSect="00105311">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4C150" w14:textId="77777777" w:rsidR="005035CC" w:rsidRDefault="005035CC" w:rsidP="00BA0E98">
      <w:r>
        <w:separator/>
      </w:r>
    </w:p>
  </w:endnote>
  <w:endnote w:type="continuationSeparator" w:id="0">
    <w:p w14:paraId="68B9EA60" w14:textId="77777777" w:rsidR="005035CC" w:rsidRDefault="005035CC" w:rsidP="00BA0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86207" w14:textId="77777777" w:rsidR="00105311" w:rsidRDefault="00105311" w:rsidP="00105311">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80579CB" w14:textId="77777777" w:rsidR="007B37D9" w:rsidRPr="00105311" w:rsidRDefault="00105311" w:rsidP="00105311">
    <w:pPr>
      <w:pStyle w:val="a6"/>
      <w:pBdr>
        <w:top w:val="single" w:sz="4" w:space="1" w:color="auto"/>
        <w:between w:val="single" w:sz="4" w:space="0" w:color="auto"/>
      </w:pBdr>
      <w:spacing w:after="60"/>
      <w:jc w:val="center"/>
      <w:rPr>
        <w:rFonts w:ascii="FrankRuehl" w:hAnsi="FrankRuehl" w:cs="FrankRuehl"/>
        <w:color w:val="000000"/>
      </w:rPr>
    </w:pPr>
    <w:r w:rsidRPr="001053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84D72" w14:textId="77777777" w:rsidR="00105311" w:rsidRDefault="00105311" w:rsidP="00105311">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135B">
      <w:rPr>
        <w:rFonts w:ascii="FrankRuehl" w:hAnsi="FrankRuehl" w:cs="FrankRuehl"/>
        <w:noProof/>
        <w:rtl/>
      </w:rPr>
      <w:t>1</w:t>
    </w:r>
    <w:r>
      <w:rPr>
        <w:rFonts w:ascii="FrankRuehl" w:hAnsi="FrankRuehl" w:cs="FrankRuehl"/>
        <w:rtl/>
      </w:rPr>
      <w:fldChar w:fldCharType="end"/>
    </w:r>
  </w:p>
  <w:p w14:paraId="611FBBAB" w14:textId="77777777" w:rsidR="007B37D9" w:rsidRPr="00105311" w:rsidRDefault="00105311" w:rsidP="00105311">
    <w:pPr>
      <w:pStyle w:val="a6"/>
      <w:pBdr>
        <w:top w:val="single" w:sz="4" w:space="1" w:color="auto"/>
        <w:between w:val="single" w:sz="4" w:space="0" w:color="auto"/>
      </w:pBdr>
      <w:spacing w:after="60"/>
      <w:jc w:val="center"/>
      <w:rPr>
        <w:rFonts w:ascii="FrankRuehl" w:hAnsi="FrankRuehl" w:cs="FrankRuehl"/>
        <w:color w:val="000000"/>
      </w:rPr>
    </w:pPr>
    <w:r w:rsidRPr="00105311">
      <w:rPr>
        <w:rFonts w:ascii="FrankRuehl" w:hAnsi="FrankRuehl" w:cs="FrankRuehl"/>
        <w:color w:val="000000"/>
      </w:rPr>
      <w:pict w14:anchorId="78742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0D220" w14:textId="77777777" w:rsidR="005035CC" w:rsidRDefault="005035CC" w:rsidP="00BA0E98">
      <w:r>
        <w:separator/>
      </w:r>
    </w:p>
  </w:footnote>
  <w:footnote w:type="continuationSeparator" w:id="0">
    <w:p w14:paraId="638723DC" w14:textId="77777777" w:rsidR="005035CC" w:rsidRDefault="005035CC" w:rsidP="00BA0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267F6" w14:textId="77777777" w:rsidR="008158BE" w:rsidRPr="00105311" w:rsidRDefault="00105311" w:rsidP="00105311">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36608-09-20</w:t>
    </w:r>
    <w:r>
      <w:rPr>
        <w:rFonts w:ascii="David" w:hAnsi="David"/>
        <w:color w:val="000000"/>
        <w:sz w:val="22"/>
        <w:szCs w:val="22"/>
        <w:rtl/>
      </w:rPr>
      <w:tab/>
      <w:t xml:space="preserve"> מדינת ישראל נ' הינו אבו אל קיעאן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3B961" w14:textId="77777777" w:rsidR="008158BE" w:rsidRPr="00105311" w:rsidRDefault="00105311" w:rsidP="00105311">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36608-09-20</w:t>
    </w:r>
    <w:r>
      <w:rPr>
        <w:rFonts w:ascii="David" w:hAnsi="David"/>
        <w:color w:val="000000"/>
        <w:sz w:val="22"/>
        <w:szCs w:val="22"/>
        <w:rtl/>
      </w:rPr>
      <w:tab/>
      <w:t xml:space="preserve"> מדינת ישראל נ' הינו אבו אל קיעאן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4A669A52"/>
    <w:lvl w:ilvl="0" w:tplc="DA14D3A2">
      <w:start w:val="1"/>
      <w:numFmt w:val="decimal"/>
      <w:pStyle w:val="a"/>
      <w:lvlText w:val="%1."/>
      <w:lvlJc w:val="left"/>
      <w:pPr>
        <w:tabs>
          <w:tab w:val="num" w:pos="720"/>
        </w:tabs>
        <w:ind w:left="720" w:hanging="720"/>
      </w:pPr>
      <w:rPr>
        <w:rFonts w:cs="Times New Roman"/>
        <w:b w:val="0"/>
        <w:bCs w:val="0"/>
        <w:i w:val="0"/>
        <w:iCs w:val="0"/>
      </w:rPr>
    </w:lvl>
    <w:lvl w:ilvl="1" w:tplc="912E2E92">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35555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807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B3176"/>
    <w:rsid w:val="00105311"/>
    <w:rsid w:val="001200C5"/>
    <w:rsid w:val="002F15F8"/>
    <w:rsid w:val="003F64C4"/>
    <w:rsid w:val="005035CC"/>
    <w:rsid w:val="007B37D9"/>
    <w:rsid w:val="008158BE"/>
    <w:rsid w:val="00844F67"/>
    <w:rsid w:val="008D496F"/>
    <w:rsid w:val="00972DBC"/>
    <w:rsid w:val="00A11EE9"/>
    <w:rsid w:val="00BA0E98"/>
    <w:rsid w:val="00CD135B"/>
    <w:rsid w:val="00CF2696"/>
    <w:rsid w:val="00DB3176"/>
    <w:rsid w:val="00E70091"/>
    <w:rsid w:val="00E91A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F633D9"/>
  <w15:chartTrackingRefBased/>
  <w15:docId w15:val="{F0454715-ED0A-4B20-9007-F8D1FD92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B3176"/>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B3176"/>
    <w:pPr>
      <w:tabs>
        <w:tab w:val="center" w:pos="4153"/>
        <w:tab w:val="right" w:pos="8306"/>
      </w:tabs>
    </w:pPr>
  </w:style>
  <w:style w:type="character" w:customStyle="1" w:styleId="a5">
    <w:name w:val="כותרת עליונה תו"/>
    <w:link w:val="a4"/>
    <w:rsid w:val="00DB3176"/>
    <w:rPr>
      <w:rFonts w:ascii="Times New Roman" w:eastAsia="Times New Roman" w:hAnsi="Times New Roman" w:cs="David"/>
      <w:sz w:val="24"/>
      <w:szCs w:val="24"/>
    </w:rPr>
  </w:style>
  <w:style w:type="paragraph" w:styleId="a6">
    <w:name w:val="footer"/>
    <w:basedOn w:val="a0"/>
    <w:link w:val="a7"/>
    <w:rsid w:val="00DB3176"/>
    <w:pPr>
      <w:tabs>
        <w:tab w:val="center" w:pos="4153"/>
        <w:tab w:val="right" w:pos="8306"/>
      </w:tabs>
    </w:pPr>
  </w:style>
  <w:style w:type="character" w:customStyle="1" w:styleId="a7">
    <w:name w:val="כותרת תחתונה תו"/>
    <w:link w:val="a6"/>
    <w:rsid w:val="00DB3176"/>
    <w:rPr>
      <w:rFonts w:ascii="Times New Roman" w:eastAsia="Times New Roman" w:hAnsi="Times New Roman" w:cs="David"/>
      <w:sz w:val="24"/>
      <w:szCs w:val="24"/>
    </w:rPr>
  </w:style>
  <w:style w:type="table" w:styleId="a8">
    <w:name w:val="Table Grid"/>
    <w:basedOn w:val="a2"/>
    <w:rsid w:val="00DB31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DB3176"/>
  </w:style>
  <w:style w:type="paragraph" w:customStyle="1" w:styleId="ListParagraph">
    <w:name w:val="List Paragraph"/>
    <w:basedOn w:val="a0"/>
    <w:qFormat/>
    <w:rsid w:val="00DB3176"/>
    <w:pPr>
      <w:ind w:left="720"/>
      <w:contextualSpacing/>
    </w:pPr>
  </w:style>
  <w:style w:type="paragraph" w:customStyle="1" w:styleId="a">
    <w:name w:val="ממוספר"/>
    <w:basedOn w:val="a0"/>
    <w:rsid w:val="00DB3176"/>
    <w:pPr>
      <w:numPr>
        <w:numId w:val="1"/>
      </w:numPr>
      <w:spacing w:after="120" w:line="360" w:lineRule="auto"/>
    </w:pPr>
    <w:rPr>
      <w:rFonts w:ascii="David" w:hAnsi="David"/>
      <w:color w:val="000000"/>
    </w:rPr>
  </w:style>
  <w:style w:type="character" w:styleId="Hyperlink">
    <w:name w:val="Hyperlink"/>
    <w:rsid w:val="00DB317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152132" TargetMode="External"/><Relationship Id="rId39" Type="http://schemas.openxmlformats.org/officeDocument/2006/relationships/hyperlink" Target="http://www.nevo.co.il/case/26828990" TargetMode="External"/><Relationship Id="rId21" Type="http://schemas.openxmlformats.org/officeDocument/2006/relationships/hyperlink" Target="http://www.nevo.co.il/case/22006503" TargetMode="External"/><Relationship Id="rId34" Type="http://schemas.openxmlformats.org/officeDocument/2006/relationships/hyperlink" Target="http://www.nevo.co.il/case/27115374" TargetMode="External"/><Relationship Id="rId42" Type="http://schemas.openxmlformats.org/officeDocument/2006/relationships/hyperlink" Target="http://www.nevo.co.il/law/70301/40ja" TargetMode="External"/><Relationship Id="rId47" Type="http://schemas.openxmlformats.org/officeDocument/2006/relationships/hyperlink" Target="http://www.eca.gov.il"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8203020"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70301/40i" TargetMode="External"/><Relationship Id="rId32" Type="http://schemas.openxmlformats.org/officeDocument/2006/relationships/hyperlink" Target="http://www.nevo.co.il/case/26484690" TargetMode="External"/><Relationship Id="rId37" Type="http://schemas.openxmlformats.org/officeDocument/2006/relationships/hyperlink" Target="http://www.nevo.co.il/case/11318880"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law/70301/144"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144.a" TargetMode="External"/><Relationship Id="rId19" Type="http://schemas.openxmlformats.org/officeDocument/2006/relationships/hyperlink" Target="http://www.nevo.co.il/law/70301/40jc.a" TargetMode="External"/><Relationship Id="rId31" Type="http://schemas.openxmlformats.org/officeDocument/2006/relationships/hyperlink" Target="http://www.nevo.co.il/case/21567481" TargetMode="External"/><Relationship Id="rId44" Type="http://schemas.openxmlformats.org/officeDocument/2006/relationships/hyperlink" Target="http://www.nevo.co.il/law/70301"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case/25940943" TargetMode="External"/><Relationship Id="rId27" Type="http://schemas.openxmlformats.org/officeDocument/2006/relationships/hyperlink" Target="http://www.nevo.co.il/case/26913995" TargetMode="External"/><Relationship Id="rId30" Type="http://schemas.openxmlformats.org/officeDocument/2006/relationships/hyperlink" Target="http://www.nevo.co.il/case/28926193"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144"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244" TargetMode="External"/><Relationship Id="rId25" Type="http://schemas.openxmlformats.org/officeDocument/2006/relationships/hyperlink" Target="http://www.nevo.co.il/case/28513828" TargetMode="External"/><Relationship Id="rId33" Type="http://schemas.openxmlformats.org/officeDocument/2006/relationships/hyperlink" Target="http://www.nevo.co.il/case/26745252" TargetMode="External"/><Relationship Id="rId38" Type="http://schemas.openxmlformats.org/officeDocument/2006/relationships/hyperlink" Target="http://www.nevo.co.il/case/6893535"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40ja"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8513828" TargetMode="External"/><Relationship Id="rId28" Type="http://schemas.openxmlformats.org/officeDocument/2006/relationships/hyperlink" Target="http://www.nevo.co.il/case/28424228" TargetMode="External"/><Relationship Id="rId36" Type="http://schemas.openxmlformats.org/officeDocument/2006/relationships/hyperlink" Target="http://www.nevo.co.il/law/70301/40jc"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4347</Words>
  <Characters>21737</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26032</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7864368</vt:i4>
      </vt:variant>
      <vt:variant>
        <vt:i4>120</vt:i4>
      </vt:variant>
      <vt:variant>
        <vt:i4>0</vt:i4>
      </vt:variant>
      <vt:variant>
        <vt:i4>5</vt:i4>
      </vt:variant>
      <vt:variant>
        <vt:lpwstr>http://www.eca.gov.il/</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6357092</vt:i4>
      </vt:variant>
      <vt:variant>
        <vt:i4>114</vt:i4>
      </vt:variant>
      <vt:variant>
        <vt:i4>0</vt:i4>
      </vt:variant>
      <vt:variant>
        <vt:i4>5</vt:i4>
      </vt:variant>
      <vt:variant>
        <vt:lpwstr>http://www.nevo.co.il/law/70301/144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6357092</vt:i4>
      </vt:variant>
      <vt:variant>
        <vt:i4>108</vt:i4>
      </vt:variant>
      <vt:variant>
        <vt:i4>0</vt:i4>
      </vt:variant>
      <vt:variant>
        <vt:i4>5</vt:i4>
      </vt:variant>
      <vt:variant>
        <vt:lpwstr>http://www.nevo.co.il/law/70301/144</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3866745</vt:i4>
      </vt:variant>
      <vt:variant>
        <vt:i4>96</vt:i4>
      </vt:variant>
      <vt:variant>
        <vt:i4>0</vt:i4>
      </vt:variant>
      <vt:variant>
        <vt:i4>5</vt:i4>
      </vt:variant>
      <vt:variant>
        <vt:lpwstr>http://www.nevo.co.il/case/26828990</vt:lpwstr>
      </vt:variant>
      <vt:variant>
        <vt:lpwstr/>
      </vt:variant>
      <vt:variant>
        <vt:i4>4128892</vt:i4>
      </vt:variant>
      <vt:variant>
        <vt:i4>93</vt:i4>
      </vt:variant>
      <vt:variant>
        <vt:i4>0</vt:i4>
      </vt:variant>
      <vt:variant>
        <vt:i4>5</vt:i4>
      </vt:variant>
      <vt:variant>
        <vt:lpwstr>http://www.nevo.co.il/case/6893535</vt:lpwstr>
      </vt:variant>
      <vt:variant>
        <vt:lpwstr/>
      </vt:variant>
      <vt:variant>
        <vt:i4>3276924</vt:i4>
      </vt:variant>
      <vt:variant>
        <vt:i4>90</vt:i4>
      </vt:variant>
      <vt:variant>
        <vt:i4>0</vt:i4>
      </vt:variant>
      <vt:variant>
        <vt:i4>5</vt:i4>
      </vt:variant>
      <vt:variant>
        <vt:lpwstr>http://www.nevo.co.il/case/11318880</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3211377</vt:i4>
      </vt:variant>
      <vt:variant>
        <vt:i4>81</vt:i4>
      </vt:variant>
      <vt:variant>
        <vt:i4>0</vt:i4>
      </vt:variant>
      <vt:variant>
        <vt:i4>5</vt:i4>
      </vt:variant>
      <vt:variant>
        <vt:lpwstr>http://www.nevo.co.il/case/27115374</vt:lpwstr>
      </vt:variant>
      <vt:variant>
        <vt:lpwstr/>
      </vt:variant>
      <vt:variant>
        <vt:i4>3473524</vt:i4>
      </vt:variant>
      <vt:variant>
        <vt:i4>78</vt:i4>
      </vt:variant>
      <vt:variant>
        <vt:i4>0</vt:i4>
      </vt:variant>
      <vt:variant>
        <vt:i4>5</vt:i4>
      </vt:variant>
      <vt:variant>
        <vt:lpwstr>http://www.nevo.co.il/case/26745252</vt:lpwstr>
      </vt:variant>
      <vt:variant>
        <vt:lpwstr/>
      </vt:variant>
      <vt:variant>
        <vt:i4>3866748</vt:i4>
      </vt:variant>
      <vt:variant>
        <vt:i4>75</vt:i4>
      </vt:variant>
      <vt:variant>
        <vt:i4>0</vt:i4>
      </vt:variant>
      <vt:variant>
        <vt:i4>5</vt:i4>
      </vt:variant>
      <vt:variant>
        <vt:lpwstr>http://www.nevo.co.il/case/26484690</vt:lpwstr>
      </vt:variant>
      <vt:variant>
        <vt:lpwstr/>
      </vt:variant>
      <vt:variant>
        <vt:i4>3670135</vt:i4>
      </vt:variant>
      <vt:variant>
        <vt:i4>72</vt:i4>
      </vt:variant>
      <vt:variant>
        <vt:i4>0</vt:i4>
      </vt:variant>
      <vt:variant>
        <vt:i4>5</vt:i4>
      </vt:variant>
      <vt:variant>
        <vt:lpwstr>http://www.nevo.co.il/case/21567481</vt:lpwstr>
      </vt:variant>
      <vt:variant>
        <vt:lpwstr/>
      </vt:variant>
      <vt:variant>
        <vt:i4>3407999</vt:i4>
      </vt:variant>
      <vt:variant>
        <vt:i4>69</vt:i4>
      </vt:variant>
      <vt:variant>
        <vt:i4>0</vt:i4>
      </vt:variant>
      <vt:variant>
        <vt:i4>5</vt:i4>
      </vt:variant>
      <vt:variant>
        <vt:lpwstr>http://www.nevo.co.il/case/28926193</vt:lpwstr>
      </vt:variant>
      <vt:variant>
        <vt:lpwstr/>
      </vt:variant>
      <vt:variant>
        <vt:i4>3211388</vt:i4>
      </vt:variant>
      <vt:variant>
        <vt:i4>66</vt:i4>
      </vt:variant>
      <vt:variant>
        <vt:i4>0</vt:i4>
      </vt:variant>
      <vt:variant>
        <vt:i4>5</vt:i4>
      </vt:variant>
      <vt:variant>
        <vt:lpwstr>http://www.nevo.co.il/case/28203020</vt:lpwstr>
      </vt:variant>
      <vt:variant>
        <vt:lpwstr/>
      </vt:variant>
      <vt:variant>
        <vt:i4>3145852</vt:i4>
      </vt:variant>
      <vt:variant>
        <vt:i4>63</vt:i4>
      </vt:variant>
      <vt:variant>
        <vt:i4>0</vt:i4>
      </vt:variant>
      <vt:variant>
        <vt:i4>5</vt:i4>
      </vt:variant>
      <vt:variant>
        <vt:lpwstr>http://www.nevo.co.il/case/28424228</vt:lpwstr>
      </vt:variant>
      <vt:variant>
        <vt:lpwstr/>
      </vt:variant>
      <vt:variant>
        <vt:i4>3211386</vt:i4>
      </vt:variant>
      <vt:variant>
        <vt:i4>60</vt:i4>
      </vt:variant>
      <vt:variant>
        <vt:i4>0</vt:i4>
      </vt:variant>
      <vt:variant>
        <vt:i4>5</vt:i4>
      </vt:variant>
      <vt:variant>
        <vt:lpwstr>http://www.nevo.co.il/case/26913995</vt:lpwstr>
      </vt:variant>
      <vt:variant>
        <vt:lpwstr/>
      </vt:variant>
      <vt:variant>
        <vt:i4>3276920</vt:i4>
      </vt:variant>
      <vt:variant>
        <vt:i4>57</vt:i4>
      </vt:variant>
      <vt:variant>
        <vt:i4>0</vt:i4>
      </vt:variant>
      <vt:variant>
        <vt:i4>5</vt:i4>
      </vt:variant>
      <vt:variant>
        <vt:lpwstr>http://www.nevo.co.il/case/28152132</vt:lpwstr>
      </vt:variant>
      <vt:variant>
        <vt:lpwstr/>
      </vt:variant>
      <vt:variant>
        <vt:i4>3539061</vt:i4>
      </vt:variant>
      <vt:variant>
        <vt:i4>54</vt:i4>
      </vt:variant>
      <vt:variant>
        <vt:i4>0</vt:i4>
      </vt:variant>
      <vt:variant>
        <vt:i4>5</vt:i4>
      </vt:variant>
      <vt:variant>
        <vt:lpwstr>http://www.nevo.co.il/case/28513828</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3539061</vt:i4>
      </vt:variant>
      <vt:variant>
        <vt:i4>48</vt:i4>
      </vt:variant>
      <vt:variant>
        <vt:i4>0</vt:i4>
      </vt:variant>
      <vt:variant>
        <vt:i4>5</vt:i4>
      </vt:variant>
      <vt:variant>
        <vt:lpwstr>http://www.nevo.co.il/case/28513828</vt:lpwstr>
      </vt:variant>
      <vt:variant>
        <vt:lpwstr/>
      </vt:variant>
      <vt:variant>
        <vt:i4>4128892</vt:i4>
      </vt:variant>
      <vt:variant>
        <vt:i4>45</vt:i4>
      </vt:variant>
      <vt:variant>
        <vt:i4>0</vt:i4>
      </vt:variant>
      <vt:variant>
        <vt:i4>5</vt:i4>
      </vt:variant>
      <vt:variant>
        <vt:lpwstr>http://www.nevo.co.il/case/25940943</vt:lpwstr>
      </vt:variant>
      <vt:variant>
        <vt:lpwstr/>
      </vt:variant>
      <vt:variant>
        <vt:i4>3407987</vt:i4>
      </vt:variant>
      <vt:variant>
        <vt:i4>42</vt:i4>
      </vt:variant>
      <vt:variant>
        <vt:i4>0</vt:i4>
      </vt:variant>
      <vt:variant>
        <vt:i4>5</vt:i4>
      </vt:variant>
      <vt:variant>
        <vt:lpwstr>http://www.nevo.co.il/case/22006503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6750245</vt:i4>
      </vt:variant>
      <vt:variant>
        <vt:i4>36</vt:i4>
      </vt:variant>
      <vt:variant>
        <vt:i4>0</vt:i4>
      </vt:variant>
      <vt:variant>
        <vt:i4>5</vt:i4>
      </vt:variant>
      <vt:variant>
        <vt:lpwstr>http://www.nevo.co.il/law/70301/40jc.a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2025-04-25T11:07:00Z</dcterms:created>
  <dcterms:modified xsi:type="dcterms:W3CDTF">2025-04-25T11:07:00Z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36608</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הינו אבו אל קיעאן;רנין אבו אל גיעאן</vt:lpwstr>
  </property>
  <property fmtid="{D5CDD505-2E9C-101B-9397-08002B2CF9AE}" pid="10" name="LAWYER">
    <vt:lpwstr>כרמית כהן;עבד חאג' יחיא </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20250126</vt:lpwstr>
  </property>
  <property fmtid="{D5CDD505-2E9C-101B-9397-08002B2CF9AE}" pid="14" name="TYPE_N_DATE">
    <vt:lpwstr>38020250126</vt:lpwstr>
  </property>
  <property fmtid="{D5CDD505-2E9C-101B-9397-08002B2CF9AE}" pid="15" name="CASESLISTTMP1">
    <vt:lpwstr>22006503;25940943;28513828:2;28152132;26913995;28424228;28203020;28926193;21567481;26484690;26745252;27115374;11318880;6893535;26828990</vt:lpwstr>
  </property>
  <property fmtid="{D5CDD505-2E9C-101B-9397-08002B2CF9AE}" pid="16" name="ISABSTRACT">
    <vt:lpwstr>Y</vt:lpwstr>
  </property>
  <property fmtid="{D5CDD505-2E9C-101B-9397-08002B2CF9AE}" pid="17" name="WORDNUMPAGES">
    <vt:lpwstr>14</vt:lpwstr>
  </property>
  <property fmtid="{D5CDD505-2E9C-101B-9397-08002B2CF9AE}" pid="18" name="TYPE_ABS_DATE">
    <vt:lpwstr>380120250126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70301/144.a;244;40jc.a;040i;40jc:2;40ja:2;144:2</vt:lpwstr>
  </property>
  <property fmtid="{D5CDD505-2E9C-101B-9397-08002B2CF9AE}" pid="37" name="METAKZER">
    <vt:lpwstr>שירי</vt:lpwstr>
  </property>
  <property fmtid="{D5CDD505-2E9C-101B-9397-08002B2CF9AE}" pid="38" name="NOSE1ID">
    <vt:lpwstr>18</vt:lpwstr>
  </property>
  <property fmtid="{D5CDD505-2E9C-101B-9397-08002B2CF9AE}" pid="39" name="NOSE2ID">
    <vt:lpwstr>456</vt:lpwstr>
  </property>
  <property fmtid="{D5CDD505-2E9C-101B-9397-08002B2CF9AE}" pid="40" name="NOSE3ID">
    <vt:lpwstr>3598</vt:lpwstr>
  </property>
  <property fmtid="{D5CDD505-2E9C-101B-9397-08002B2CF9AE}" pid="41" name="NOSE11">
    <vt:lpwstr>דיון פלילי</vt:lpwstr>
  </property>
  <property fmtid="{D5CDD505-2E9C-101B-9397-08002B2CF9AE}" pid="42" name="NOSE21">
    <vt:lpwstr>הודאה</vt:lpwstr>
  </property>
  <property fmtid="{D5CDD505-2E9C-101B-9397-08002B2CF9AE}" pid="43" name="NOSE31">
    <vt:lpwstr>חזרה מהודאה</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20250202</vt:lpwstr>
  </property>
</Properties>
</file>