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34A87" w:rsidRPr="00AD5A99" w14:paraId="7D48CD95" w14:textId="77777777" w:rsidTr="009D673E">
        <w:trPr>
          <w:trHeight w:hRule="exact" w:val="418"/>
          <w:jc w:val="center"/>
        </w:trPr>
        <w:tc>
          <w:tcPr>
            <w:tcW w:w="8721" w:type="dxa"/>
            <w:gridSpan w:val="2"/>
          </w:tcPr>
          <w:p w14:paraId="7C7DB2FF" w14:textId="77777777" w:rsidR="00B34A87" w:rsidRPr="00AD5A99" w:rsidRDefault="00B34A87" w:rsidP="00EC5FC3">
            <w:pPr>
              <w:pStyle w:val="a3"/>
              <w:jc w:val="center"/>
              <w:rPr>
                <w:rFonts w:ascii="Tahoma" w:hAnsi="Tahoma" w:cs="Tahoma"/>
                <w:color w:val="000080"/>
                <w:rtl/>
              </w:rPr>
            </w:pPr>
            <w:bookmarkStart w:id="0" w:name="LastJudge"/>
            <w:r w:rsidRPr="00AD5A99">
              <w:rPr>
                <w:rFonts w:ascii="Tahoma" w:hAnsi="Tahoma" w:cs="Tahoma"/>
                <w:b/>
                <w:bCs/>
                <w:color w:val="000080"/>
                <w:rtl/>
              </w:rPr>
              <w:t>בית משפט השלום באשקלון</w:t>
            </w:r>
          </w:p>
        </w:tc>
      </w:tr>
      <w:tr w:rsidR="00B34A87" w:rsidRPr="00AD5A99" w14:paraId="02AC5EA5" w14:textId="77777777" w:rsidTr="009D673E">
        <w:trPr>
          <w:trHeight w:val="337"/>
          <w:jc w:val="center"/>
        </w:trPr>
        <w:tc>
          <w:tcPr>
            <w:tcW w:w="5055" w:type="dxa"/>
            <w:vAlign w:val="bottom"/>
          </w:tcPr>
          <w:p w14:paraId="6D03B966" w14:textId="77777777" w:rsidR="00B34A87" w:rsidRPr="00AD5A99" w:rsidRDefault="00B34A87" w:rsidP="00EC5FC3">
            <w:pPr>
              <w:rPr>
                <w:rFonts w:cs="FrankRuehl"/>
                <w:sz w:val="28"/>
                <w:szCs w:val="28"/>
                <w:rtl/>
              </w:rPr>
            </w:pPr>
            <w:r w:rsidRPr="00AD5A99">
              <w:rPr>
                <w:rFonts w:ascii="David" w:hAnsi="David"/>
                <w:b/>
                <w:bCs/>
                <w:sz w:val="28"/>
                <w:szCs w:val="28"/>
                <w:rtl/>
              </w:rPr>
              <w:t>ת"פ 53043-09-20 מדינת ישראל נ' אבו שהאב</w:t>
            </w:r>
          </w:p>
        </w:tc>
        <w:tc>
          <w:tcPr>
            <w:tcW w:w="3666" w:type="dxa"/>
          </w:tcPr>
          <w:p w14:paraId="42EC6A07" w14:textId="77777777" w:rsidR="00B34A87" w:rsidRPr="00AD5A99" w:rsidRDefault="00B34A87" w:rsidP="00EC5FC3">
            <w:pPr>
              <w:pStyle w:val="a3"/>
              <w:jc w:val="right"/>
              <w:rPr>
                <w:rFonts w:cs="FrankRuehl"/>
                <w:sz w:val="28"/>
                <w:szCs w:val="28"/>
                <w:rtl/>
              </w:rPr>
            </w:pPr>
          </w:p>
        </w:tc>
      </w:tr>
    </w:tbl>
    <w:p w14:paraId="29B79A16" w14:textId="77777777" w:rsidR="00B34A87" w:rsidRPr="00AD5A99" w:rsidRDefault="00B34A87" w:rsidP="00B34A87">
      <w:pPr>
        <w:pStyle w:val="a3"/>
        <w:rPr>
          <w:rtl/>
        </w:rPr>
      </w:pPr>
      <w:r w:rsidRPr="00AD5A99">
        <w:rPr>
          <w:rFonts w:hint="cs"/>
          <w:rtl/>
        </w:rPr>
        <w:t xml:space="preserve"> </w:t>
      </w:r>
    </w:p>
    <w:tbl>
      <w:tblPr>
        <w:bidiVisual/>
        <w:tblW w:w="8369" w:type="dxa"/>
        <w:tblInd w:w="299" w:type="dxa"/>
        <w:tblLook w:val="01E0" w:firstRow="1" w:lastRow="1" w:firstColumn="1" w:lastColumn="1" w:noHBand="0" w:noVBand="0"/>
      </w:tblPr>
      <w:tblGrid>
        <w:gridCol w:w="1985"/>
        <w:gridCol w:w="6384"/>
      </w:tblGrid>
      <w:tr w:rsidR="00B34A87" w:rsidRPr="00AD5A99" w14:paraId="401A0F09" w14:textId="77777777" w:rsidTr="00B34A87">
        <w:tc>
          <w:tcPr>
            <w:tcW w:w="8369" w:type="dxa"/>
            <w:gridSpan w:val="2"/>
            <w:shd w:val="clear" w:color="auto" w:fill="auto"/>
          </w:tcPr>
          <w:p w14:paraId="039F160A" w14:textId="77777777" w:rsidR="00B34A87" w:rsidRPr="00AD5A99" w:rsidRDefault="00B34A87" w:rsidP="00B34A87">
            <w:pPr>
              <w:jc w:val="both"/>
              <w:rPr>
                <w:rFonts w:ascii="David" w:eastAsia="David" w:hAnsi="David"/>
                <w:b/>
                <w:bCs/>
                <w:sz w:val="28"/>
                <w:szCs w:val="28"/>
              </w:rPr>
            </w:pPr>
            <w:r w:rsidRPr="00AD5A99">
              <w:rPr>
                <w:rFonts w:ascii="David" w:eastAsia="David" w:hAnsi="David" w:hint="cs"/>
                <w:b/>
                <w:bCs/>
                <w:sz w:val="26"/>
                <w:szCs w:val="26"/>
                <w:rtl/>
              </w:rPr>
              <w:t>לפני כב' ה</w:t>
            </w:r>
            <w:r w:rsidRPr="00AD5A99">
              <w:rPr>
                <w:rFonts w:ascii="David" w:eastAsia="David" w:hAnsi="David"/>
                <w:b/>
                <w:bCs/>
                <w:sz w:val="26"/>
                <w:szCs w:val="26"/>
                <w:rtl/>
              </w:rPr>
              <w:t>שופטת זהר דולב להמן</w:t>
            </w:r>
          </w:p>
          <w:p w14:paraId="091D3229" w14:textId="77777777" w:rsidR="00B34A87" w:rsidRPr="00AD5A99" w:rsidRDefault="00B34A87" w:rsidP="00B34A87">
            <w:pPr>
              <w:ind w:left="26"/>
              <w:jc w:val="both"/>
              <w:rPr>
                <w:rFonts w:ascii="David" w:eastAsia="David" w:hAnsi="David"/>
                <w:b/>
                <w:bCs/>
                <w:sz w:val="28"/>
                <w:szCs w:val="28"/>
              </w:rPr>
            </w:pPr>
          </w:p>
        </w:tc>
      </w:tr>
      <w:tr w:rsidR="00B34A87" w:rsidRPr="00AD5A99" w14:paraId="3012A49E" w14:textId="77777777" w:rsidTr="00B34A87">
        <w:tc>
          <w:tcPr>
            <w:tcW w:w="1985" w:type="dxa"/>
            <w:shd w:val="clear" w:color="auto" w:fill="auto"/>
          </w:tcPr>
          <w:p w14:paraId="42BF9254" w14:textId="77777777" w:rsidR="00B34A87" w:rsidRPr="00AD5A99" w:rsidRDefault="00B34A87" w:rsidP="00B34A87">
            <w:pPr>
              <w:jc w:val="both"/>
              <w:rPr>
                <w:rFonts w:ascii="David" w:eastAsia="David" w:hAnsi="David"/>
                <w:b/>
                <w:bCs/>
                <w:sz w:val="28"/>
                <w:szCs w:val="28"/>
              </w:rPr>
            </w:pPr>
            <w:bookmarkStart w:id="1" w:name="FirstAppellant"/>
            <w:bookmarkStart w:id="2" w:name="FirstLawyer"/>
            <w:r w:rsidRPr="00AD5A99">
              <w:rPr>
                <w:rFonts w:ascii="David" w:eastAsia="David" w:hAnsi="David"/>
                <w:b/>
                <w:bCs/>
                <w:sz w:val="28"/>
                <w:szCs w:val="28"/>
                <w:rtl/>
              </w:rPr>
              <w:t xml:space="preserve"> </w:t>
            </w:r>
            <w:r w:rsidRPr="00AD5A99">
              <w:rPr>
                <w:rFonts w:ascii="David" w:eastAsia="David" w:hAnsi="David" w:hint="cs"/>
                <w:b/>
                <w:bCs/>
                <w:sz w:val="26"/>
                <w:szCs w:val="26"/>
                <w:rtl/>
              </w:rPr>
              <w:t>המאשימה</w:t>
            </w:r>
          </w:p>
        </w:tc>
        <w:tc>
          <w:tcPr>
            <w:tcW w:w="6384" w:type="dxa"/>
            <w:shd w:val="clear" w:color="auto" w:fill="auto"/>
          </w:tcPr>
          <w:p w14:paraId="4A5D73FC" w14:textId="77777777" w:rsidR="00B34A87" w:rsidRPr="00AD5A99" w:rsidRDefault="00B34A87" w:rsidP="00B34A87">
            <w:pPr>
              <w:jc w:val="both"/>
              <w:rPr>
                <w:rFonts w:ascii="David" w:eastAsia="David" w:hAnsi="David"/>
                <w:sz w:val="26"/>
                <w:szCs w:val="26"/>
                <w:rtl/>
              </w:rPr>
            </w:pPr>
            <w:r w:rsidRPr="00AD5A99">
              <w:rPr>
                <w:rFonts w:ascii="David" w:eastAsia="David" w:hAnsi="David" w:hint="cs"/>
                <w:b/>
                <w:bCs/>
                <w:sz w:val="26"/>
                <w:szCs w:val="26"/>
                <w:rtl/>
              </w:rPr>
              <w:t xml:space="preserve">מדינת ישראל </w:t>
            </w:r>
          </w:p>
          <w:p w14:paraId="7E3771B8" w14:textId="77777777" w:rsidR="00B34A87" w:rsidRPr="00AD5A99" w:rsidRDefault="00B34A87" w:rsidP="00B34A87">
            <w:pPr>
              <w:ind w:left="26"/>
              <w:jc w:val="both"/>
              <w:rPr>
                <w:rFonts w:ascii="David" w:eastAsia="David" w:hAnsi="David"/>
                <w:b/>
                <w:bCs/>
                <w:sz w:val="28"/>
                <w:szCs w:val="28"/>
                <w:rtl/>
              </w:rPr>
            </w:pPr>
            <w:r w:rsidRPr="00AD5A99">
              <w:rPr>
                <w:rFonts w:ascii="David" w:eastAsia="David" w:hAnsi="David" w:hint="cs"/>
                <w:rtl/>
              </w:rPr>
              <w:t>ע"י ב"כ עוה"ד אריאל סטרול</w:t>
            </w:r>
          </w:p>
        </w:tc>
      </w:tr>
      <w:bookmarkEnd w:id="1"/>
      <w:bookmarkEnd w:id="2"/>
      <w:tr w:rsidR="00B34A87" w:rsidRPr="00AD5A99" w14:paraId="19C11E02" w14:textId="77777777" w:rsidTr="00B34A87">
        <w:tc>
          <w:tcPr>
            <w:tcW w:w="8369" w:type="dxa"/>
            <w:gridSpan w:val="2"/>
            <w:shd w:val="clear" w:color="auto" w:fill="auto"/>
          </w:tcPr>
          <w:p w14:paraId="56421624" w14:textId="77777777" w:rsidR="00B34A87" w:rsidRPr="00AD5A99" w:rsidRDefault="00B34A87" w:rsidP="00B34A87">
            <w:pPr>
              <w:jc w:val="center"/>
              <w:rPr>
                <w:rFonts w:ascii="David" w:eastAsia="David" w:hAnsi="David"/>
                <w:b/>
                <w:bCs/>
                <w:sz w:val="28"/>
                <w:szCs w:val="28"/>
                <w:rtl/>
              </w:rPr>
            </w:pPr>
          </w:p>
          <w:p w14:paraId="40584DA0" w14:textId="77777777" w:rsidR="00B34A87" w:rsidRPr="00AD5A99" w:rsidRDefault="00B34A87" w:rsidP="00B34A87">
            <w:pPr>
              <w:jc w:val="center"/>
              <w:rPr>
                <w:rFonts w:ascii="David" w:eastAsia="David" w:hAnsi="David"/>
                <w:b/>
                <w:bCs/>
                <w:sz w:val="28"/>
                <w:szCs w:val="28"/>
              </w:rPr>
            </w:pPr>
            <w:r w:rsidRPr="00AD5A99">
              <w:rPr>
                <w:rFonts w:ascii="David" w:eastAsia="David" w:hAnsi="David" w:hint="cs"/>
                <w:b/>
                <w:bCs/>
                <w:sz w:val="28"/>
                <w:szCs w:val="28"/>
                <w:rtl/>
              </w:rPr>
              <w:t>נ ג ד</w:t>
            </w:r>
          </w:p>
          <w:p w14:paraId="16A6D835" w14:textId="77777777" w:rsidR="00B34A87" w:rsidRPr="00AD5A99" w:rsidRDefault="00B34A87" w:rsidP="00B34A87">
            <w:pPr>
              <w:jc w:val="center"/>
              <w:rPr>
                <w:rFonts w:ascii="David" w:eastAsia="David" w:hAnsi="David"/>
                <w:b/>
                <w:bCs/>
                <w:sz w:val="28"/>
                <w:szCs w:val="28"/>
                <w:rtl/>
              </w:rPr>
            </w:pPr>
          </w:p>
        </w:tc>
      </w:tr>
      <w:tr w:rsidR="00B34A87" w:rsidRPr="00AD5A99" w14:paraId="471A4DA3" w14:textId="77777777" w:rsidTr="00B34A87">
        <w:trPr>
          <w:trHeight w:val="593"/>
        </w:trPr>
        <w:tc>
          <w:tcPr>
            <w:tcW w:w="1985" w:type="dxa"/>
            <w:shd w:val="clear" w:color="auto" w:fill="auto"/>
          </w:tcPr>
          <w:p w14:paraId="20A8E169" w14:textId="77777777" w:rsidR="00B34A87" w:rsidRPr="00AD5A99" w:rsidRDefault="00B34A87" w:rsidP="00B34A87">
            <w:pPr>
              <w:jc w:val="both"/>
              <w:rPr>
                <w:rFonts w:ascii="David" w:eastAsia="David" w:hAnsi="David"/>
                <w:b/>
                <w:bCs/>
                <w:sz w:val="28"/>
                <w:szCs w:val="28"/>
                <w:rtl/>
              </w:rPr>
            </w:pPr>
            <w:r w:rsidRPr="00AD5A99">
              <w:rPr>
                <w:rFonts w:ascii="David" w:eastAsia="David" w:hAnsi="David"/>
                <w:b/>
                <w:bCs/>
                <w:sz w:val="28"/>
                <w:szCs w:val="28"/>
                <w:rtl/>
              </w:rPr>
              <w:t xml:space="preserve"> </w:t>
            </w:r>
            <w:r w:rsidRPr="00AD5A99">
              <w:rPr>
                <w:rFonts w:ascii="David" w:eastAsia="David" w:hAnsi="David" w:hint="cs"/>
                <w:b/>
                <w:bCs/>
                <w:sz w:val="26"/>
                <w:szCs w:val="26"/>
                <w:rtl/>
              </w:rPr>
              <w:t>הנאשמת</w:t>
            </w:r>
          </w:p>
        </w:tc>
        <w:tc>
          <w:tcPr>
            <w:tcW w:w="6384" w:type="dxa"/>
            <w:shd w:val="clear" w:color="auto" w:fill="auto"/>
          </w:tcPr>
          <w:p w14:paraId="09DC32D8" w14:textId="77777777" w:rsidR="00B34A87" w:rsidRPr="00AD5A99" w:rsidRDefault="00B34A87" w:rsidP="00B34A87">
            <w:pPr>
              <w:jc w:val="both"/>
              <w:rPr>
                <w:rFonts w:ascii="David" w:eastAsia="David" w:hAnsi="David"/>
                <w:szCs w:val="26"/>
                <w:rtl/>
              </w:rPr>
            </w:pPr>
            <w:r w:rsidRPr="00AD5A99">
              <w:rPr>
                <w:rFonts w:ascii="David" w:eastAsia="David" w:hAnsi="David" w:hint="cs"/>
                <w:b/>
                <w:bCs/>
                <w:sz w:val="26"/>
                <w:szCs w:val="26"/>
                <w:rtl/>
              </w:rPr>
              <w:t>סאמיה אבו שהאב</w:t>
            </w:r>
          </w:p>
          <w:p w14:paraId="5F9736B3" w14:textId="77777777" w:rsidR="00B34A87" w:rsidRPr="00AD5A99" w:rsidRDefault="00B34A87" w:rsidP="00B34A87">
            <w:pPr>
              <w:jc w:val="both"/>
              <w:rPr>
                <w:rFonts w:ascii="David" w:eastAsia="David" w:hAnsi="David"/>
              </w:rPr>
            </w:pPr>
            <w:r w:rsidRPr="00AD5A99">
              <w:rPr>
                <w:rFonts w:ascii="David" w:eastAsia="David" w:hAnsi="David" w:hint="cs"/>
                <w:rtl/>
              </w:rPr>
              <w:t>ע"י ב"כ עוה"ד אלין אלקרינאוי ועוה"ד ליל פטישי</w:t>
            </w:r>
          </w:p>
        </w:tc>
      </w:tr>
    </w:tbl>
    <w:p w14:paraId="57215389" w14:textId="77777777" w:rsidR="00B34A87" w:rsidRPr="00AD5A99" w:rsidRDefault="00B34A87" w:rsidP="00B34A87">
      <w:pPr>
        <w:spacing w:line="360" w:lineRule="auto"/>
        <w:jc w:val="both"/>
        <w:rPr>
          <w:rFonts w:ascii="David" w:eastAsia="David" w:hAnsi="David"/>
          <w:sz w:val="26"/>
          <w:szCs w:val="26"/>
        </w:rPr>
      </w:pPr>
    </w:p>
    <w:p w14:paraId="348E8922" w14:textId="77777777" w:rsidR="00AD5A99" w:rsidRPr="00AD5A99" w:rsidRDefault="00AD5A99" w:rsidP="00AD5A99">
      <w:pPr>
        <w:widowControl w:val="0"/>
        <w:spacing w:before="120" w:after="120" w:line="240" w:lineRule="exact"/>
        <w:ind w:left="283" w:hanging="283"/>
        <w:jc w:val="both"/>
        <w:rPr>
          <w:rFonts w:ascii="FrankRuehl" w:eastAsia="David" w:hAnsi="FrankRuehl" w:cs="FrankRuehl"/>
          <w:rtl/>
        </w:rPr>
      </w:pPr>
    </w:p>
    <w:p w14:paraId="5B2FB970" w14:textId="77777777" w:rsidR="00AD5A99" w:rsidRPr="00AD5A99" w:rsidRDefault="00AD5A99" w:rsidP="00AD5A99">
      <w:pPr>
        <w:widowControl w:val="0"/>
        <w:spacing w:line="360" w:lineRule="auto"/>
        <w:jc w:val="both"/>
        <w:rPr>
          <w:rFonts w:ascii="David" w:eastAsia="David" w:hAnsi="David"/>
          <w:sz w:val="26"/>
          <w:szCs w:val="26"/>
          <w:rtl/>
        </w:rPr>
      </w:pPr>
    </w:p>
    <w:p w14:paraId="50E9E098" w14:textId="77777777" w:rsidR="009D673E" w:rsidRPr="009D673E" w:rsidRDefault="009D673E" w:rsidP="009D673E">
      <w:pPr>
        <w:widowControl w:val="0"/>
        <w:spacing w:before="120" w:after="120" w:line="240" w:lineRule="exact"/>
        <w:ind w:left="283" w:hanging="283"/>
        <w:jc w:val="both"/>
        <w:rPr>
          <w:rFonts w:ascii="FrankRuehl" w:eastAsia="David" w:hAnsi="FrankRuehl" w:cs="FrankRuehl"/>
          <w:rtl/>
        </w:rPr>
      </w:pPr>
      <w:bookmarkStart w:id="3" w:name="LawTable"/>
      <w:bookmarkEnd w:id="3"/>
    </w:p>
    <w:p w14:paraId="3759F811" w14:textId="77777777" w:rsidR="009D673E" w:rsidRPr="009D673E" w:rsidRDefault="009D673E" w:rsidP="009D673E">
      <w:pPr>
        <w:widowControl w:val="0"/>
        <w:spacing w:before="120" w:after="120" w:line="240" w:lineRule="exact"/>
        <w:ind w:left="283" w:hanging="283"/>
        <w:jc w:val="both"/>
        <w:rPr>
          <w:rFonts w:ascii="FrankRuehl" w:eastAsia="David" w:hAnsi="FrankRuehl" w:cs="FrankRuehl"/>
          <w:rtl/>
        </w:rPr>
      </w:pPr>
      <w:r w:rsidRPr="009D673E">
        <w:rPr>
          <w:rFonts w:ascii="FrankRuehl" w:eastAsia="David" w:hAnsi="FrankRuehl" w:cs="FrankRuehl"/>
          <w:rtl/>
        </w:rPr>
        <w:t xml:space="preserve">חקיקה שאוזכרה: </w:t>
      </w:r>
    </w:p>
    <w:p w14:paraId="118E7DA5" w14:textId="77777777" w:rsidR="009D673E" w:rsidRPr="009D673E" w:rsidRDefault="009D673E" w:rsidP="009D673E">
      <w:pPr>
        <w:widowControl w:val="0"/>
        <w:spacing w:before="120" w:after="120" w:line="240" w:lineRule="exact"/>
        <w:ind w:left="283" w:hanging="283"/>
        <w:jc w:val="both"/>
        <w:rPr>
          <w:rFonts w:ascii="FrankRuehl" w:eastAsia="David" w:hAnsi="FrankRuehl" w:cs="FrankRuehl"/>
          <w:color w:val="0000FF"/>
          <w:rtl/>
        </w:rPr>
      </w:pPr>
      <w:hyperlink r:id="rId7" w:history="1">
        <w:r w:rsidRPr="009D673E">
          <w:rPr>
            <w:rStyle w:val="Hyperlink"/>
            <w:rFonts w:ascii="FrankRuehl" w:hAnsi="FrankRuehl" w:cs="FrankRuehl"/>
            <w:u w:val="none"/>
            <w:rtl/>
          </w:rPr>
          <w:t>חוק העונשין, תשל"ז-1977</w:t>
        </w:r>
      </w:hyperlink>
      <w:r w:rsidRPr="009D673E">
        <w:rPr>
          <w:rFonts w:ascii="FrankRuehl" w:eastAsia="David" w:hAnsi="FrankRuehl" w:cs="FrankRuehl"/>
          <w:color w:val="0000FF"/>
          <w:rtl/>
        </w:rPr>
        <w:t xml:space="preserve">: סע'  </w:t>
      </w:r>
      <w:hyperlink r:id="rId8" w:history="1">
        <w:r w:rsidRPr="009D673E">
          <w:rPr>
            <w:rStyle w:val="Hyperlink"/>
            <w:rFonts w:ascii="FrankRuehl" w:hAnsi="FrankRuehl" w:cs="FrankRuehl"/>
            <w:u w:val="none"/>
          </w:rPr>
          <w:t>40</w:t>
        </w:r>
        <w:r w:rsidRPr="009D673E">
          <w:rPr>
            <w:rStyle w:val="Hyperlink"/>
            <w:rFonts w:ascii="FrankRuehl" w:hAnsi="FrankRuehl" w:cs="FrankRuehl"/>
            <w:u w:val="none"/>
            <w:rtl/>
          </w:rPr>
          <w:t>ג</w:t>
        </w:r>
      </w:hyperlink>
      <w:r w:rsidRPr="009D673E">
        <w:rPr>
          <w:rFonts w:ascii="FrankRuehl" w:eastAsia="David" w:hAnsi="FrankRuehl" w:cs="FrankRuehl"/>
          <w:color w:val="0000FF"/>
          <w:rtl/>
        </w:rPr>
        <w:t xml:space="preserve">(א), </w:t>
      </w:r>
      <w:hyperlink r:id="rId9" w:history="1">
        <w:r w:rsidRPr="009D673E">
          <w:rPr>
            <w:rStyle w:val="Hyperlink"/>
            <w:rFonts w:ascii="FrankRuehl" w:hAnsi="FrankRuehl" w:cs="FrankRuehl"/>
            <w:u w:val="none"/>
          </w:rPr>
          <w:t>40</w:t>
        </w:r>
        <w:r w:rsidRPr="009D673E">
          <w:rPr>
            <w:rStyle w:val="Hyperlink"/>
            <w:rFonts w:ascii="FrankRuehl" w:hAnsi="FrankRuehl" w:cs="FrankRuehl"/>
            <w:u w:val="none"/>
            <w:rtl/>
          </w:rPr>
          <w:t>ג</w:t>
        </w:r>
      </w:hyperlink>
      <w:r w:rsidRPr="009D673E">
        <w:rPr>
          <w:rFonts w:ascii="FrankRuehl" w:eastAsia="David" w:hAnsi="FrankRuehl" w:cs="FrankRuehl"/>
          <w:color w:val="0000FF"/>
          <w:rtl/>
        </w:rPr>
        <w:t xml:space="preserve">(ב), </w:t>
      </w:r>
      <w:hyperlink r:id="rId10" w:history="1">
        <w:r w:rsidRPr="009D673E">
          <w:rPr>
            <w:rStyle w:val="Hyperlink"/>
            <w:rFonts w:ascii="FrankRuehl" w:hAnsi="FrankRuehl" w:cs="FrankRuehl"/>
            <w:u w:val="none"/>
          </w:rPr>
          <w:t>40</w:t>
        </w:r>
        <w:r w:rsidRPr="009D673E">
          <w:rPr>
            <w:rStyle w:val="Hyperlink"/>
            <w:rFonts w:ascii="FrankRuehl" w:hAnsi="FrankRuehl" w:cs="FrankRuehl"/>
            <w:u w:val="none"/>
            <w:rtl/>
          </w:rPr>
          <w:t>ד</w:t>
        </w:r>
      </w:hyperlink>
      <w:r w:rsidRPr="009D673E">
        <w:rPr>
          <w:rFonts w:ascii="FrankRuehl" w:eastAsia="David" w:hAnsi="FrankRuehl" w:cs="FrankRuehl"/>
          <w:color w:val="0000FF"/>
          <w:rtl/>
        </w:rPr>
        <w:t xml:space="preserve">, </w:t>
      </w:r>
      <w:hyperlink r:id="rId11" w:history="1">
        <w:r w:rsidRPr="009D673E">
          <w:rPr>
            <w:rStyle w:val="Hyperlink"/>
            <w:rFonts w:ascii="FrankRuehl" w:hAnsi="FrankRuehl" w:cs="FrankRuehl"/>
            <w:u w:val="none"/>
          </w:rPr>
          <w:t>40</w:t>
        </w:r>
        <w:r w:rsidRPr="009D673E">
          <w:rPr>
            <w:rStyle w:val="Hyperlink"/>
            <w:rFonts w:ascii="FrankRuehl" w:hAnsi="FrankRuehl" w:cs="FrankRuehl"/>
            <w:u w:val="none"/>
            <w:rtl/>
          </w:rPr>
          <w:t>ה</w:t>
        </w:r>
      </w:hyperlink>
      <w:r w:rsidRPr="009D673E">
        <w:rPr>
          <w:rFonts w:ascii="FrankRuehl" w:eastAsia="David" w:hAnsi="FrankRuehl" w:cs="FrankRuehl"/>
          <w:color w:val="0000FF"/>
          <w:rtl/>
        </w:rPr>
        <w:t xml:space="preserve">, </w:t>
      </w:r>
      <w:hyperlink r:id="rId12" w:history="1">
        <w:r w:rsidRPr="009D673E">
          <w:rPr>
            <w:rStyle w:val="Hyperlink"/>
            <w:rFonts w:ascii="FrankRuehl" w:hAnsi="FrankRuehl" w:cs="FrankRuehl"/>
            <w:u w:val="none"/>
          </w:rPr>
          <w:t>40</w:t>
        </w:r>
        <w:r w:rsidRPr="009D673E">
          <w:rPr>
            <w:rStyle w:val="Hyperlink"/>
            <w:rFonts w:ascii="FrankRuehl" w:hAnsi="FrankRuehl" w:cs="FrankRuehl"/>
            <w:u w:val="none"/>
            <w:rtl/>
          </w:rPr>
          <w:t>ו</w:t>
        </w:r>
      </w:hyperlink>
      <w:r w:rsidRPr="009D673E">
        <w:rPr>
          <w:rFonts w:ascii="FrankRuehl" w:eastAsia="David" w:hAnsi="FrankRuehl" w:cs="FrankRuehl"/>
          <w:color w:val="0000FF"/>
          <w:rtl/>
        </w:rPr>
        <w:t xml:space="preserve">, </w:t>
      </w:r>
      <w:hyperlink r:id="rId13" w:history="1">
        <w:r w:rsidRPr="009D673E">
          <w:rPr>
            <w:rStyle w:val="Hyperlink"/>
            <w:rFonts w:ascii="FrankRuehl" w:hAnsi="FrankRuehl" w:cs="FrankRuehl"/>
            <w:u w:val="none"/>
          </w:rPr>
          <w:t>40</w:t>
        </w:r>
        <w:r w:rsidRPr="009D673E">
          <w:rPr>
            <w:rStyle w:val="Hyperlink"/>
            <w:rFonts w:ascii="FrankRuehl" w:hAnsi="FrankRuehl" w:cs="FrankRuehl"/>
            <w:u w:val="none"/>
            <w:rtl/>
          </w:rPr>
          <w:t>ז</w:t>
        </w:r>
      </w:hyperlink>
      <w:r w:rsidRPr="009D673E">
        <w:rPr>
          <w:rFonts w:ascii="FrankRuehl" w:eastAsia="David" w:hAnsi="FrankRuehl" w:cs="FrankRuehl"/>
          <w:color w:val="0000FF"/>
          <w:rtl/>
        </w:rPr>
        <w:t xml:space="preserve">, </w:t>
      </w:r>
      <w:hyperlink r:id="rId14" w:history="1">
        <w:r w:rsidRPr="009D673E">
          <w:rPr>
            <w:rStyle w:val="Hyperlink"/>
            <w:rFonts w:ascii="FrankRuehl" w:hAnsi="FrankRuehl" w:cs="FrankRuehl"/>
            <w:u w:val="none"/>
          </w:rPr>
          <w:t>40</w:t>
        </w:r>
        <w:r w:rsidRPr="009D673E">
          <w:rPr>
            <w:rStyle w:val="Hyperlink"/>
            <w:rFonts w:ascii="FrankRuehl" w:hAnsi="FrankRuehl" w:cs="FrankRuehl"/>
            <w:u w:val="none"/>
            <w:rtl/>
          </w:rPr>
          <w:t>ח</w:t>
        </w:r>
      </w:hyperlink>
      <w:r w:rsidRPr="009D673E">
        <w:rPr>
          <w:rFonts w:ascii="FrankRuehl" w:eastAsia="David" w:hAnsi="FrankRuehl" w:cs="FrankRuehl"/>
          <w:color w:val="0000FF"/>
          <w:rtl/>
        </w:rPr>
        <w:t xml:space="preserve">, </w:t>
      </w:r>
      <w:hyperlink r:id="rId15" w:history="1">
        <w:r w:rsidRPr="009D673E">
          <w:rPr>
            <w:rStyle w:val="Hyperlink"/>
            <w:rFonts w:ascii="FrankRuehl" w:hAnsi="FrankRuehl" w:cs="FrankRuehl"/>
            <w:u w:val="none"/>
          </w:rPr>
          <w:t>144</w:t>
        </w:r>
      </w:hyperlink>
      <w:r w:rsidRPr="009D673E">
        <w:rPr>
          <w:rFonts w:ascii="FrankRuehl" w:eastAsia="David" w:hAnsi="FrankRuehl" w:cs="FrankRuehl"/>
          <w:color w:val="0000FF"/>
          <w:rtl/>
        </w:rPr>
        <w:t xml:space="preserve">(א), </w:t>
      </w:r>
      <w:hyperlink r:id="rId16" w:history="1">
        <w:r w:rsidRPr="009D673E">
          <w:rPr>
            <w:rStyle w:val="Hyperlink"/>
            <w:rFonts w:ascii="FrankRuehl" w:hAnsi="FrankRuehl" w:cs="FrankRuehl"/>
            <w:u w:val="none"/>
          </w:rPr>
          <w:t>40</w:t>
        </w:r>
        <w:r w:rsidRPr="009D673E">
          <w:rPr>
            <w:rStyle w:val="Hyperlink"/>
            <w:rFonts w:ascii="FrankRuehl" w:hAnsi="FrankRuehl" w:cs="FrankRuehl"/>
            <w:u w:val="none"/>
            <w:rtl/>
          </w:rPr>
          <w:t>יא</w:t>
        </w:r>
      </w:hyperlink>
      <w:r w:rsidRPr="009D673E">
        <w:rPr>
          <w:rFonts w:ascii="FrankRuehl" w:eastAsia="David" w:hAnsi="FrankRuehl" w:cs="FrankRuehl"/>
          <w:color w:val="0000FF"/>
          <w:rtl/>
        </w:rPr>
        <w:t xml:space="preserve">, </w:t>
      </w:r>
      <w:hyperlink r:id="rId17" w:history="1">
        <w:r w:rsidRPr="009D673E">
          <w:rPr>
            <w:rStyle w:val="Hyperlink"/>
            <w:rFonts w:ascii="FrankRuehl" w:hAnsi="FrankRuehl" w:cs="FrankRuehl"/>
            <w:u w:val="none"/>
          </w:rPr>
          <w:t>40</w:t>
        </w:r>
        <w:r w:rsidRPr="009D673E">
          <w:rPr>
            <w:rStyle w:val="Hyperlink"/>
            <w:rFonts w:ascii="FrankRuehl" w:hAnsi="FrankRuehl" w:cs="FrankRuehl"/>
            <w:u w:val="none"/>
            <w:rtl/>
          </w:rPr>
          <w:t>יט</w:t>
        </w:r>
      </w:hyperlink>
    </w:p>
    <w:p w14:paraId="2276D1C6" w14:textId="77777777" w:rsidR="00B34A87" w:rsidRPr="009D673E" w:rsidRDefault="00B34A87" w:rsidP="009D673E">
      <w:pPr>
        <w:widowControl w:val="0"/>
        <w:spacing w:line="360" w:lineRule="auto"/>
        <w:jc w:val="both"/>
        <w:rPr>
          <w:rFonts w:ascii="David" w:eastAsia="David" w:hAnsi="David"/>
          <w:sz w:val="26"/>
          <w:szCs w:val="26"/>
          <w:rtl/>
        </w:rPr>
      </w:pPr>
      <w:bookmarkStart w:id="4" w:name="LawTable_End"/>
      <w:bookmarkEnd w:id="4"/>
    </w:p>
    <w:p w14:paraId="435A6090" w14:textId="77777777" w:rsidR="009D673E" w:rsidRPr="00AD5A99" w:rsidRDefault="009D673E" w:rsidP="00AD5A99">
      <w:pPr>
        <w:widowControl w:val="0"/>
        <w:spacing w:line="360" w:lineRule="auto"/>
        <w:jc w:val="center"/>
        <w:rPr>
          <w:rFonts w:ascii="David" w:eastAsia="David" w:hAnsi="David"/>
          <w:b/>
          <w:bCs/>
          <w:sz w:val="32"/>
          <w:szCs w:val="32"/>
          <w:u w:val="single"/>
          <w:rtl/>
        </w:rPr>
      </w:pPr>
      <w:bookmarkStart w:id="5" w:name="PsakDin" w:colFirst="0" w:colLast="0"/>
      <w:bookmarkEnd w:id="0"/>
      <w:r w:rsidRPr="00AD5A99">
        <w:rPr>
          <w:rFonts w:ascii="David" w:eastAsia="David" w:hAnsi="David"/>
          <w:b/>
          <w:bCs/>
          <w:sz w:val="32"/>
          <w:szCs w:val="32"/>
          <w:u w:val="single"/>
          <w:rtl/>
        </w:rPr>
        <w:t>גזר דין</w:t>
      </w:r>
    </w:p>
    <w:p w14:paraId="7D3740A9" w14:textId="77777777" w:rsidR="009D673E" w:rsidRPr="00AD5A99" w:rsidRDefault="009D673E" w:rsidP="00AD5A99">
      <w:pPr>
        <w:widowControl w:val="0"/>
        <w:spacing w:line="360" w:lineRule="auto"/>
        <w:jc w:val="center"/>
        <w:rPr>
          <w:rFonts w:ascii="David" w:eastAsia="David" w:hAnsi="David"/>
          <w:bCs/>
          <w:sz w:val="32"/>
          <w:szCs w:val="32"/>
          <w:u w:val="single"/>
        </w:rPr>
      </w:pPr>
    </w:p>
    <w:p w14:paraId="4BB8971E" w14:textId="77777777" w:rsidR="00B34A87" w:rsidRPr="00D00A7F" w:rsidRDefault="00B34A87" w:rsidP="00B34A87">
      <w:pPr>
        <w:widowControl w:val="0"/>
        <w:spacing w:line="360" w:lineRule="auto"/>
        <w:jc w:val="both"/>
        <w:rPr>
          <w:rFonts w:ascii="David" w:eastAsia="David" w:hAnsi="David"/>
          <w:b/>
          <w:bCs/>
          <w:sz w:val="26"/>
          <w:szCs w:val="26"/>
        </w:rPr>
      </w:pPr>
      <w:bookmarkStart w:id="6" w:name="ABSTRACT_START"/>
      <w:bookmarkEnd w:id="5"/>
      <w:bookmarkEnd w:id="6"/>
      <w:r w:rsidRPr="00D00A7F">
        <w:rPr>
          <w:rFonts w:ascii="David" w:eastAsia="David" w:hAnsi="David" w:hint="cs"/>
          <w:b/>
          <w:bCs/>
          <w:sz w:val="26"/>
          <w:szCs w:val="26"/>
          <w:rtl/>
        </w:rPr>
        <w:t>כתב האישום, הסדר הטיע</w:t>
      </w:r>
      <w:r w:rsidRPr="00D00A7F">
        <w:rPr>
          <w:rFonts w:ascii="David" w:eastAsia="David" w:hAnsi="David"/>
          <w:b/>
          <w:bCs/>
          <w:sz w:val="26"/>
          <w:szCs w:val="26"/>
          <w:rtl/>
        </w:rPr>
        <w:t>ון, הכרעת הדין והשתלשלות ההליך</w:t>
      </w:r>
    </w:p>
    <w:p w14:paraId="038A4054"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rtl/>
        </w:rPr>
      </w:pPr>
      <w:r w:rsidRPr="00D00A7F">
        <w:rPr>
          <w:rFonts w:ascii="David" w:hAnsi="David"/>
          <w:rtl/>
        </w:rPr>
        <w:t>בתום שמיעת הראיות, הורשעה הנאשמת, בהכרעת הדין מיום 4.6.24 ב-</w:t>
      </w:r>
      <w:r w:rsidRPr="00D00A7F">
        <w:rPr>
          <w:rFonts w:ascii="David" w:hAnsi="David"/>
          <w:b/>
          <w:bCs/>
          <w:rtl/>
        </w:rPr>
        <w:t>החזקת נשק שלא כדין</w:t>
      </w:r>
      <w:r w:rsidRPr="00D00A7F">
        <w:rPr>
          <w:rFonts w:ascii="David" w:hAnsi="David"/>
          <w:rtl/>
        </w:rPr>
        <w:t xml:space="preserve">, עבירה לפי </w:t>
      </w:r>
      <w:hyperlink r:id="rId18" w:history="1">
        <w:r w:rsidR="009D673E" w:rsidRPr="009D673E">
          <w:rPr>
            <w:rStyle w:val="Hyperlink"/>
            <w:rFonts w:ascii="David" w:hAnsi="David"/>
            <w:color w:val="0000FF"/>
            <w:rtl/>
          </w:rPr>
          <w:t>סעיף 144(א)</w:t>
        </w:r>
      </w:hyperlink>
      <w:r w:rsidRPr="00D00A7F">
        <w:rPr>
          <w:rFonts w:ascii="David" w:hAnsi="David"/>
          <w:rtl/>
        </w:rPr>
        <w:t xml:space="preserve"> רישא </w:t>
      </w:r>
      <w:r w:rsidRPr="00D00A7F">
        <w:rPr>
          <w:rFonts w:ascii="David" w:eastAsia="Calibri" w:hAnsi="David"/>
          <w:rtl/>
        </w:rPr>
        <w:t>ל-</w:t>
      </w:r>
      <w:hyperlink r:id="rId19" w:history="1">
        <w:r w:rsidR="00AD5A99" w:rsidRPr="00AD5A99">
          <w:rPr>
            <w:rFonts w:ascii="Miriam" w:hAnsi="Miriam" w:cs="Miriam"/>
            <w:b/>
            <w:bCs/>
            <w:color w:val="0000FF"/>
            <w:sz w:val="16"/>
            <w:szCs w:val="22"/>
            <w:u w:val="single"/>
            <w:rtl/>
            <w:lang w:eastAsia="he-IL"/>
          </w:rPr>
          <w:t>חוק העונשין</w:t>
        </w:r>
      </w:hyperlink>
      <w:r w:rsidRPr="00D00A7F">
        <w:rPr>
          <w:rFonts w:ascii="David" w:eastAsia="Calibri" w:hAnsi="David"/>
          <w:rtl/>
        </w:rPr>
        <w:t xml:space="preserve">, התשל"ז-1977 (להלן: </w:t>
      </w:r>
      <w:r w:rsidRPr="00D00A7F">
        <w:rPr>
          <w:rFonts w:ascii="Miriam" w:hAnsi="Miriam" w:cs="Miriam"/>
          <w:b/>
          <w:bCs/>
          <w:sz w:val="16"/>
          <w:szCs w:val="22"/>
          <w:rtl/>
          <w:lang w:eastAsia="he-IL"/>
        </w:rPr>
        <w:t>חוק העונשין</w:t>
      </w:r>
      <w:r w:rsidRPr="00D00A7F">
        <w:rPr>
          <w:rFonts w:ascii="David" w:eastAsia="Calibri" w:hAnsi="David"/>
          <w:rtl/>
        </w:rPr>
        <w:t>)</w:t>
      </w:r>
      <w:r w:rsidRPr="00D00A7F">
        <w:rPr>
          <w:rFonts w:ascii="David" w:hAnsi="David"/>
          <w:rtl/>
        </w:rPr>
        <w:t xml:space="preserve"> ו-</w:t>
      </w:r>
      <w:r w:rsidRPr="00D00A7F">
        <w:rPr>
          <w:rFonts w:ascii="David" w:hAnsi="David"/>
          <w:b/>
          <w:bCs/>
          <w:rtl/>
        </w:rPr>
        <w:t>החזקת חלק של נשק או תחמושת</w:t>
      </w:r>
      <w:r w:rsidRPr="00D00A7F">
        <w:rPr>
          <w:rFonts w:ascii="David" w:hAnsi="David"/>
          <w:rtl/>
        </w:rPr>
        <w:t xml:space="preserve">, עבירה לפי </w:t>
      </w:r>
      <w:hyperlink r:id="rId20" w:history="1">
        <w:r w:rsidR="009D673E" w:rsidRPr="009D673E">
          <w:rPr>
            <w:rStyle w:val="Hyperlink"/>
            <w:rFonts w:ascii="David" w:hAnsi="David"/>
            <w:color w:val="0000FF"/>
            <w:rtl/>
          </w:rPr>
          <w:t>סעיף 144(א)</w:t>
        </w:r>
      </w:hyperlink>
      <w:r w:rsidRPr="00D00A7F">
        <w:rPr>
          <w:rFonts w:ascii="David" w:hAnsi="David"/>
          <w:rtl/>
        </w:rPr>
        <w:t xml:space="preserve"> סיפא ל-</w:t>
      </w:r>
      <w:r w:rsidRPr="00D00A7F">
        <w:rPr>
          <w:rFonts w:ascii="Miriam" w:hAnsi="Miriam" w:cs="Miriam"/>
          <w:b/>
          <w:bCs/>
          <w:sz w:val="16"/>
          <w:szCs w:val="22"/>
          <w:rtl/>
          <w:lang w:eastAsia="he-IL"/>
        </w:rPr>
        <w:t>חוק העונשין</w:t>
      </w:r>
      <w:r w:rsidRPr="00D00A7F">
        <w:rPr>
          <w:rFonts w:ascii="David" w:hAnsi="David"/>
          <w:rtl/>
        </w:rPr>
        <w:t>.</w:t>
      </w:r>
    </w:p>
    <w:p w14:paraId="69D2959A" w14:textId="77777777" w:rsidR="00B34A87" w:rsidRPr="00D00A7F" w:rsidRDefault="00B34A87" w:rsidP="00B34A87">
      <w:pPr>
        <w:widowControl w:val="0"/>
        <w:spacing w:line="360" w:lineRule="auto"/>
        <w:ind w:left="397"/>
        <w:contextualSpacing/>
        <w:jc w:val="both"/>
        <w:rPr>
          <w:rFonts w:ascii="David" w:hAnsi="David"/>
          <w:rtl/>
        </w:rPr>
      </w:pPr>
      <w:bookmarkStart w:id="7" w:name="ABSTRACT_END"/>
      <w:bookmarkEnd w:id="7"/>
      <w:r w:rsidRPr="00D00A7F">
        <w:rPr>
          <w:rFonts w:ascii="David" w:hAnsi="David"/>
          <w:rtl/>
        </w:rPr>
        <w:t xml:space="preserve">על פי עובדות כתב האישום, כחודשיים עובר ל-16.7.20 החזיקה הנאשמת, בצוותא עם אחרים, בחצר בית 184, שכונה 2, ביישוב ערערה שבנגב, אקדח הזנקה מסוג </w:t>
      </w:r>
      <w:r w:rsidRPr="00D00A7F">
        <w:rPr>
          <w:rFonts w:ascii="David" w:hAnsi="David"/>
          <w:sz w:val="22"/>
          <w:szCs w:val="22"/>
        </w:rPr>
        <w:t>RETAY</w:t>
      </w:r>
      <w:r w:rsidRPr="00D00A7F">
        <w:rPr>
          <w:rFonts w:ascii="David" w:hAnsi="David"/>
          <w:rtl/>
        </w:rPr>
        <w:t xml:space="preserve"> מודל </w:t>
      </w:r>
      <w:r w:rsidRPr="00D00A7F">
        <w:rPr>
          <w:rFonts w:ascii="David" w:hAnsi="David"/>
          <w:sz w:val="22"/>
          <w:szCs w:val="22"/>
        </w:rPr>
        <w:t>X</w:t>
      </w:r>
      <w:r w:rsidRPr="00D00A7F">
        <w:rPr>
          <w:rFonts w:ascii="David" w:hAnsi="David"/>
        </w:rPr>
        <w:t>1</w:t>
      </w:r>
      <w:r w:rsidRPr="00D00A7F">
        <w:rPr>
          <w:rFonts w:ascii="David" w:hAnsi="David"/>
          <w:rtl/>
        </w:rPr>
        <w:t xml:space="preserve"> בקוטר 9 מ"מ, שהוסב לירי תחמושת קליעית בקליבר 9 מ"מ (להלן: </w:t>
      </w:r>
      <w:r w:rsidRPr="00D00A7F">
        <w:rPr>
          <w:rFonts w:ascii="David" w:hAnsi="David"/>
          <w:b/>
          <w:bCs/>
          <w:rtl/>
        </w:rPr>
        <w:t>האקדח</w:t>
      </w:r>
      <w:r w:rsidRPr="00D00A7F">
        <w:rPr>
          <w:rFonts w:ascii="David" w:hAnsi="David"/>
          <w:rtl/>
        </w:rPr>
        <w:t xml:space="preserve">). האקדח הוחזק בגרב בתוך שקית שחורה (להלן: </w:t>
      </w:r>
      <w:r w:rsidRPr="00D00A7F">
        <w:rPr>
          <w:rFonts w:ascii="David" w:hAnsi="David"/>
          <w:b/>
          <w:bCs/>
          <w:rtl/>
        </w:rPr>
        <w:t>השקית</w:t>
      </w:r>
      <w:r w:rsidRPr="00D00A7F">
        <w:rPr>
          <w:rFonts w:ascii="David" w:hAnsi="David"/>
          <w:rtl/>
        </w:rPr>
        <w:t xml:space="preserve">). בצמוד לאקדח החזיקה הנאשמת מחסנית (להלן: </w:t>
      </w:r>
      <w:r w:rsidRPr="00D00A7F">
        <w:rPr>
          <w:rFonts w:ascii="David" w:hAnsi="David"/>
          <w:b/>
          <w:bCs/>
          <w:rtl/>
        </w:rPr>
        <w:t>המחסנית</w:t>
      </w:r>
      <w:r w:rsidRPr="00D00A7F">
        <w:rPr>
          <w:rFonts w:ascii="David" w:hAnsi="David"/>
          <w:rtl/>
        </w:rPr>
        <w:t xml:space="preserve">) ובה 8 כדורים, וב-26 כדורים נוספים, כולם בקוטר 9 מ"מ, מפוזרים בשקית (להלן: </w:t>
      </w:r>
      <w:r w:rsidRPr="00D00A7F">
        <w:rPr>
          <w:rFonts w:ascii="David" w:hAnsi="David"/>
          <w:b/>
          <w:bCs/>
          <w:rtl/>
        </w:rPr>
        <w:t>התחמושת</w:t>
      </w:r>
      <w:r w:rsidRPr="00D00A7F">
        <w:rPr>
          <w:rFonts w:ascii="David" w:hAnsi="David"/>
          <w:rtl/>
        </w:rPr>
        <w:t xml:space="preserve">). האקדח, המחסנית והתחמושת (להלן: </w:t>
      </w:r>
      <w:r w:rsidRPr="00D00A7F">
        <w:rPr>
          <w:rFonts w:ascii="David" w:hAnsi="David"/>
          <w:b/>
          <w:bCs/>
          <w:rtl/>
        </w:rPr>
        <w:t>הנשק וחלקיו</w:t>
      </w:r>
      <w:r w:rsidRPr="00D00A7F">
        <w:rPr>
          <w:rFonts w:ascii="David" w:hAnsi="David"/>
          <w:rtl/>
        </w:rPr>
        <w:t xml:space="preserve">) הוחזקו מבלי שהנאשמת קיבלה רשות על פי דין להחזיקם. </w:t>
      </w:r>
    </w:p>
    <w:p w14:paraId="4EC232E6" w14:textId="77777777" w:rsidR="00B34A87" w:rsidRPr="00D00A7F" w:rsidRDefault="00B34A87" w:rsidP="00B34A87">
      <w:pPr>
        <w:widowControl w:val="0"/>
        <w:spacing w:line="360" w:lineRule="auto"/>
        <w:ind w:left="397"/>
        <w:contextualSpacing/>
        <w:jc w:val="both"/>
        <w:rPr>
          <w:rFonts w:ascii="David" w:hAnsi="David"/>
        </w:rPr>
      </w:pPr>
    </w:p>
    <w:p w14:paraId="0B27885C"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rPr>
      </w:pPr>
      <w:r w:rsidRPr="00D00A7F">
        <w:rPr>
          <w:rFonts w:ascii="David" w:hAnsi="David"/>
          <w:rtl/>
        </w:rPr>
        <w:t xml:space="preserve">להשלמת התמונה אציין כי בפרשה האמורה היו מעורבים נוספים – בן זוגה של הנאשמת, נאיף אבו עראר (להלן: </w:t>
      </w:r>
      <w:r w:rsidRPr="00D00A7F">
        <w:rPr>
          <w:rFonts w:ascii="David" w:hAnsi="David"/>
          <w:b/>
          <w:bCs/>
          <w:rtl/>
        </w:rPr>
        <w:t>נאיף</w:t>
      </w:r>
      <w:r w:rsidRPr="00D00A7F">
        <w:rPr>
          <w:rFonts w:ascii="David" w:hAnsi="David"/>
          <w:rtl/>
        </w:rPr>
        <w:t xml:space="preserve">) ובנה של הנאשמת, עמראן שהאב (להלן: </w:t>
      </w:r>
      <w:r w:rsidRPr="00D00A7F">
        <w:rPr>
          <w:rFonts w:ascii="David" w:hAnsi="David"/>
          <w:b/>
          <w:bCs/>
          <w:rtl/>
        </w:rPr>
        <w:t>עמראן</w:t>
      </w:r>
      <w:r w:rsidRPr="00D00A7F">
        <w:rPr>
          <w:rFonts w:ascii="David" w:hAnsi="David"/>
          <w:rtl/>
        </w:rPr>
        <w:t>). נאיף ועמראן נתנו את הדין במסגרת הליכים נפרדים, כמפורט להלן:</w:t>
      </w:r>
    </w:p>
    <w:p w14:paraId="06A6ECFE" w14:textId="77777777" w:rsidR="00B34A87" w:rsidRPr="00D00A7F" w:rsidRDefault="00B34A87" w:rsidP="00B34A87">
      <w:pPr>
        <w:widowControl w:val="0"/>
        <w:ind w:left="397"/>
        <w:contextualSpacing/>
        <w:jc w:val="both"/>
        <w:rPr>
          <w:rFonts w:ascii="David" w:hAnsi="David"/>
          <w:u w:val="single"/>
          <w:rtl/>
        </w:rPr>
      </w:pPr>
    </w:p>
    <w:p w14:paraId="4CDE8F42" w14:textId="77777777" w:rsidR="00B34A87" w:rsidRPr="00D00A7F" w:rsidRDefault="00B34A87" w:rsidP="00B34A87">
      <w:pPr>
        <w:widowControl w:val="0"/>
        <w:spacing w:line="360" w:lineRule="auto"/>
        <w:ind w:left="397"/>
        <w:contextualSpacing/>
        <w:jc w:val="both"/>
        <w:rPr>
          <w:rFonts w:ascii="David" w:hAnsi="David"/>
          <w:rtl/>
        </w:rPr>
      </w:pPr>
      <w:r w:rsidRPr="00D00A7F">
        <w:rPr>
          <w:rFonts w:ascii="David" w:hAnsi="David"/>
          <w:b/>
          <w:bCs/>
          <w:u w:val="single"/>
          <w:rtl/>
        </w:rPr>
        <w:t>עמראן</w:t>
      </w:r>
      <w:r w:rsidRPr="00D00A7F">
        <w:rPr>
          <w:rFonts w:ascii="David" w:hAnsi="David"/>
          <w:rtl/>
        </w:rPr>
        <w:t xml:space="preserve"> – בגזר הדין שניתן ב-</w:t>
      </w:r>
      <w:hyperlink r:id="rId21" w:history="1">
        <w:r w:rsidR="00AD5A99" w:rsidRPr="00AD5A99">
          <w:rPr>
            <w:rFonts w:ascii="David" w:hAnsi="David"/>
            <w:color w:val="0000FF"/>
            <w:u w:val="single"/>
            <w:rtl/>
          </w:rPr>
          <w:t>ת"פ (שלום-ב"ש) 13473-08-20</w:t>
        </w:r>
      </w:hyperlink>
      <w:r w:rsidRPr="00D00A7F">
        <w:rPr>
          <w:rFonts w:ascii="David" w:hAnsi="David"/>
          <w:rtl/>
        </w:rPr>
        <w:t xml:space="preserve"> </w:t>
      </w:r>
      <w:r w:rsidRPr="00D00A7F">
        <w:rPr>
          <w:rFonts w:ascii="Miriam" w:hAnsi="Miriam" w:cs="Miriam"/>
          <w:b/>
          <w:bCs/>
          <w:sz w:val="22"/>
          <w:szCs w:val="22"/>
          <w:rtl/>
        </w:rPr>
        <w:t>מדינת ישראל נ' עמראן שהאב</w:t>
      </w:r>
      <w:r w:rsidRPr="00D00A7F">
        <w:rPr>
          <w:rFonts w:cs="Times New Roman" w:hint="cs"/>
          <w:rtl/>
        </w:rPr>
        <w:t xml:space="preserve"> </w:t>
      </w:r>
      <w:r w:rsidRPr="00D00A7F">
        <w:rPr>
          <w:rFonts w:ascii="David" w:hAnsi="David"/>
          <w:rtl/>
        </w:rPr>
        <w:t>(3.3.21), שגם אליו הפנה ב"כ המאשימה (</w:t>
      </w:r>
      <w:r w:rsidRPr="00D00A7F">
        <w:rPr>
          <w:rFonts w:ascii="David" w:hAnsi="David"/>
          <w:b/>
          <w:bCs/>
          <w:rtl/>
        </w:rPr>
        <w:t>טל/5</w:t>
      </w:r>
      <w:r w:rsidRPr="00D00A7F">
        <w:rPr>
          <w:rFonts w:ascii="David" w:hAnsi="David"/>
          <w:rtl/>
        </w:rPr>
        <w:t xml:space="preserve">) – אומץ הסדר טיעון, במסגרתו, בגין הרשעתו, על פי הודאתו, בהחזקת נשק שלא כדין, נגזרו 12 חודשי מאסר בפועל, בניכוי ימי מעצרו, 10 </w:t>
      </w:r>
      <w:r w:rsidRPr="00D00A7F">
        <w:rPr>
          <w:rFonts w:ascii="David" w:hAnsi="David"/>
          <w:rtl/>
        </w:rPr>
        <w:lastRenderedPageBreak/>
        <w:t xml:space="preserve">חודשי מאסר מותנה, 2,000 ₪ קנס והתחייבות בסך 3,000 ₪.  </w:t>
      </w:r>
    </w:p>
    <w:p w14:paraId="112ABFA8" w14:textId="77777777" w:rsidR="00B34A87" w:rsidRPr="00D00A7F" w:rsidRDefault="00B34A87" w:rsidP="00B34A87">
      <w:pPr>
        <w:widowControl w:val="0"/>
        <w:ind w:left="397"/>
        <w:contextualSpacing/>
        <w:jc w:val="both"/>
        <w:rPr>
          <w:rFonts w:ascii="David" w:hAnsi="David"/>
          <w:rtl/>
        </w:rPr>
      </w:pPr>
    </w:p>
    <w:p w14:paraId="300739FE" w14:textId="77777777" w:rsidR="00B34A87" w:rsidRPr="00D00A7F" w:rsidRDefault="00B34A87" w:rsidP="00B34A87">
      <w:pPr>
        <w:widowControl w:val="0"/>
        <w:spacing w:line="360" w:lineRule="auto"/>
        <w:ind w:left="397"/>
        <w:contextualSpacing/>
        <w:jc w:val="both"/>
        <w:rPr>
          <w:rFonts w:ascii="David" w:hAnsi="David"/>
          <w:rtl/>
        </w:rPr>
      </w:pPr>
      <w:r w:rsidRPr="00D00A7F">
        <w:rPr>
          <w:rFonts w:ascii="David" w:hAnsi="David"/>
          <w:b/>
          <w:bCs/>
          <w:u w:val="single"/>
          <w:rtl/>
        </w:rPr>
        <w:t>נאיף</w:t>
      </w:r>
      <w:r w:rsidRPr="00D00A7F">
        <w:rPr>
          <w:rFonts w:ascii="David" w:hAnsi="David"/>
          <w:rtl/>
        </w:rPr>
        <w:t xml:space="preserve"> – בפסק הדין שניתן ב-</w:t>
      </w:r>
      <w:hyperlink r:id="rId22" w:history="1">
        <w:r w:rsidR="00AD5A99" w:rsidRPr="00AD5A99">
          <w:rPr>
            <w:rFonts w:ascii="David" w:hAnsi="David"/>
            <w:color w:val="0000FF"/>
            <w:u w:val="single"/>
            <w:rtl/>
          </w:rPr>
          <w:t>ע"פ (מחוזי-ב"ש) 57230-03-24</w:t>
        </w:r>
      </w:hyperlink>
      <w:r w:rsidRPr="00D00A7F">
        <w:rPr>
          <w:rFonts w:ascii="David" w:hAnsi="David"/>
          <w:rtl/>
        </w:rPr>
        <w:t xml:space="preserve"> </w:t>
      </w:r>
      <w:r w:rsidRPr="00D00A7F">
        <w:rPr>
          <w:rFonts w:ascii="Miriam" w:hAnsi="Miriam" w:cs="Miriam"/>
          <w:b/>
          <w:bCs/>
          <w:sz w:val="22"/>
          <w:szCs w:val="22"/>
          <w:rtl/>
        </w:rPr>
        <w:t>אבו עראר נ' מדינת ישראל</w:t>
      </w:r>
      <w:r w:rsidRPr="00D00A7F">
        <w:rPr>
          <w:rFonts w:ascii="David" w:hAnsi="David"/>
          <w:sz w:val="22"/>
          <w:szCs w:val="22"/>
          <w:rtl/>
        </w:rPr>
        <w:t xml:space="preserve"> </w:t>
      </w:r>
      <w:r w:rsidRPr="00D00A7F">
        <w:rPr>
          <w:rFonts w:ascii="David" w:hAnsi="David"/>
          <w:rtl/>
        </w:rPr>
        <w:t>(22.5.24) – נדחה ערעור על הכרעת הדין ועל גזר הדין ב-</w:t>
      </w:r>
      <w:hyperlink r:id="rId23" w:history="1">
        <w:r w:rsidR="00AD5A99" w:rsidRPr="00AD5A99">
          <w:rPr>
            <w:rFonts w:ascii="David" w:hAnsi="David"/>
            <w:color w:val="0000FF"/>
            <w:u w:val="single"/>
            <w:rtl/>
          </w:rPr>
          <w:t>ת"פ (שלום-ב"ש) 17057-08-20</w:t>
        </w:r>
      </w:hyperlink>
      <w:r w:rsidRPr="00D00A7F">
        <w:rPr>
          <w:rFonts w:ascii="David" w:hAnsi="David"/>
          <w:rtl/>
        </w:rPr>
        <w:t xml:space="preserve"> </w:t>
      </w:r>
      <w:r w:rsidRPr="00D00A7F">
        <w:rPr>
          <w:rFonts w:ascii="Miriam" w:hAnsi="Miriam" w:cs="Miriam"/>
          <w:b/>
          <w:bCs/>
          <w:sz w:val="22"/>
          <w:szCs w:val="22"/>
          <w:rtl/>
        </w:rPr>
        <w:t>מדינת ישראל נ' אבו עראר</w:t>
      </w:r>
      <w:r w:rsidRPr="00D00A7F">
        <w:rPr>
          <w:rFonts w:ascii="David" w:hAnsi="David"/>
          <w:rtl/>
        </w:rPr>
        <w:t xml:space="preserve"> (19.2.24), אליהם הפנה ב"כ המאשימה (</w:t>
      </w:r>
      <w:r w:rsidRPr="00D00A7F">
        <w:rPr>
          <w:rFonts w:ascii="David" w:hAnsi="David"/>
          <w:b/>
          <w:bCs/>
          <w:rtl/>
        </w:rPr>
        <w:t>טל/6א</w:t>
      </w:r>
      <w:r w:rsidRPr="00D00A7F">
        <w:rPr>
          <w:rFonts w:ascii="David" w:hAnsi="David"/>
          <w:rtl/>
        </w:rPr>
        <w:t xml:space="preserve"> ו-</w:t>
      </w:r>
      <w:r w:rsidRPr="00D00A7F">
        <w:rPr>
          <w:rFonts w:ascii="David" w:hAnsi="David"/>
          <w:b/>
          <w:bCs/>
          <w:rtl/>
        </w:rPr>
        <w:t>טל/6ב</w:t>
      </w:r>
      <w:r w:rsidRPr="00D00A7F">
        <w:rPr>
          <w:rFonts w:ascii="David" w:hAnsi="David"/>
          <w:rtl/>
        </w:rPr>
        <w:t xml:space="preserve"> – להלן: </w:t>
      </w:r>
      <w:r w:rsidRPr="00D00A7F">
        <w:rPr>
          <w:rFonts w:ascii="Miriam" w:hAnsi="Miriam" w:cs="Miriam"/>
          <w:b/>
          <w:bCs/>
          <w:sz w:val="22"/>
          <w:szCs w:val="22"/>
          <w:rtl/>
        </w:rPr>
        <w:t>ענין אבו עראר</w:t>
      </w:r>
      <w:r w:rsidRPr="00D00A7F">
        <w:rPr>
          <w:rFonts w:ascii="David" w:hAnsi="David"/>
          <w:rtl/>
        </w:rPr>
        <w:t xml:space="preserve">). בגין הרשעתו, לאחר שמיעת ראיות, בהחזקת אותו אקדח הזנקה מסוג </w:t>
      </w:r>
      <w:r w:rsidRPr="00D00A7F">
        <w:rPr>
          <w:rFonts w:ascii="David" w:hAnsi="David"/>
          <w:sz w:val="22"/>
          <w:szCs w:val="22"/>
        </w:rPr>
        <w:t>RETAY</w:t>
      </w:r>
      <w:r w:rsidRPr="00D00A7F">
        <w:rPr>
          <w:rFonts w:ascii="David" w:hAnsi="David"/>
          <w:rtl/>
        </w:rPr>
        <w:t xml:space="preserve"> מודל 1</w:t>
      </w:r>
      <w:r w:rsidRPr="00D00A7F">
        <w:rPr>
          <w:rFonts w:ascii="David" w:hAnsi="David"/>
          <w:sz w:val="22"/>
          <w:szCs w:val="22"/>
        </w:rPr>
        <w:t>X</w:t>
      </w:r>
      <w:r w:rsidRPr="00D00A7F">
        <w:rPr>
          <w:rFonts w:ascii="David" w:hAnsi="David"/>
          <w:rtl/>
        </w:rPr>
        <w:t xml:space="preserve">, בקוטר 9 מ"מ, שהוסב לירי תחמושת קליעית בקליבר 9 מ"מ, אותה מחסנית ובה 8 כדורים ואותם 26 כדורים נוספים בתפזורת, שהיו באותה שקית בה הוחזק האקדח, ובאותו מקום – קרי בשקית שחורה בביתו, בשכונה 2, בית 184 בערוער – נקבע מתחם 18–36 חודשי מאסר בפועל. לא נעלם מעיני בית המפשט שהבן, אשר כאמור נתן אף הוא את הדין בגין החזקת אותו כלי נשק ואותה תחמושת, נדון ל-12 חודשי מאסר בפועל. נקבע שעיקרון אחידות הענישה הוא בעל משקל חשוב, ודאי כשמדובר במעורבים באותה פרשה – אולם אין בענישת הבן כדי להשליך על העונש המתאים לאב, בגין היתר בהינתן כי בעניין הבן נערך הסדר סגור שנומק, בין היתר, בקושי ראייתי ומשכך לא היה בגזר הדין בעניין הבן כדי לחייב, בפרט שלא היתה בו התייחסות למתחמי ענישה (כפי שנהוג בהסדר סגור) ובית המשפט קיבל את ההסדר. בהתחשב בעברו הפלילי, שכלל 4 הרשעות שעניינן גילוי הזדהות עם ארגון טרור ועתירת המאשימה להשתת עונש בשליש התחתון (שבנסיבותיו היתה מקלה) – הושתו 24 חודשי מאסר בפועל, בניכוי ימי מעצרו, מאסרים מותנים ו-10,000 ₪ קנס. בדחותו הערעור נקבע שלא רק שאין בענישה החמרה, אלא אף יש בה מימד מסוים של הקלה עם המערער. נקבע שאין בענישה במסגרת הסדר טיעון בכלל, ובפרט הסדר בשל קושי ראייתי כדי להשליך על ענישת שותף בענייננו הטיעון פתוח. נקבע כי עברו הפלילי המכביד רלוונטי לעבירות הנשק. </w:t>
      </w:r>
    </w:p>
    <w:p w14:paraId="20489453" w14:textId="77777777" w:rsidR="00B34A87" w:rsidRPr="00D00A7F" w:rsidRDefault="00B34A87" w:rsidP="00B34A87">
      <w:pPr>
        <w:widowControl w:val="0"/>
        <w:spacing w:line="360" w:lineRule="auto"/>
        <w:ind w:left="397"/>
        <w:contextualSpacing/>
        <w:jc w:val="both"/>
        <w:rPr>
          <w:rFonts w:ascii="David" w:hAnsi="David"/>
          <w:rtl/>
        </w:rPr>
      </w:pPr>
    </w:p>
    <w:p w14:paraId="1B6EFFD5"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rtl/>
        </w:rPr>
      </w:pPr>
      <w:r w:rsidRPr="00D00A7F">
        <w:rPr>
          <w:rFonts w:ascii="David" w:hAnsi="David"/>
          <w:rtl/>
        </w:rPr>
        <w:t xml:space="preserve">לאחר מתן הכרעת הדין עתרה ההגנה לדחיה קצרה, לבחינת אפשרות להפנות את הנאשמת לקבלת תסקיר ולכן דיון הטיעונים לעונש נדחה ל-9.7.24. בהמשך, נדחה הדיון ל-17.9.24 לבקשת ההגנה, לצורך הגשת חוות דעת מומחה בעניין הנאשמת. חוות הדעת מ-20.7.24, שנערכה על ידי פרופסור נוזהה אלאסאד אלהוזייל, הוגשה לבית המשפט ב-3.9.24 (להלן: </w:t>
      </w:r>
      <w:r w:rsidRPr="00D00A7F">
        <w:rPr>
          <w:rFonts w:ascii="David" w:hAnsi="David"/>
          <w:b/>
          <w:bCs/>
          <w:rtl/>
        </w:rPr>
        <w:t>חוות הדעת</w:t>
      </w:r>
      <w:r w:rsidRPr="00D00A7F">
        <w:rPr>
          <w:rFonts w:ascii="David" w:hAnsi="David"/>
          <w:rtl/>
        </w:rPr>
        <w:t xml:space="preserve">). בהמשך נדחה הדיון שוב לבקשת ההגנה. בדיון ב-19.11.24 הובא על ידי ההגנה כי בניגוד לעמדתה לאורך כל ההליך, בו הכחישה הנאשמת העבירות בהן הורשעה – כעת, לראשונה, הנאשמת מודה בעובדות כתב האישום המתוקן ומוכנה לקחת אחריות על מעשיה. בשים לב לחוות הדעת שהוגשה ונסיבות חייה המורכבות, עתרה ההגנה להפניתה לקבלת תסקיר ולהליך שיקום באמצעות שירות המבחן. ב"כ המאשימה התנגד לבקשה, בטענה שמדובר בניסיון לשפר מצבה ועונשה. מטעמים אלו, בהינתן מועד העלאת הבקשה בפתח הדיון שנקבע לשמיעת טיעונים לעונש, בחלוף כ-חצי שנה ממועד הכרעת הדין ולמעלה מ-4 שנים ממועד הגשת כתב האישום המקורי – הבקשה נדחתה. בתום הטיעונים לעונש נקבע מועד מתן גזר דין ב-10.2.25. </w:t>
      </w:r>
    </w:p>
    <w:p w14:paraId="0C595364" w14:textId="77777777" w:rsidR="00B34A87" w:rsidRPr="00D00A7F" w:rsidRDefault="00B34A87" w:rsidP="00B34A87">
      <w:pPr>
        <w:widowControl w:val="0"/>
        <w:spacing w:line="360" w:lineRule="auto"/>
        <w:jc w:val="both"/>
        <w:rPr>
          <w:rFonts w:ascii="David" w:eastAsia="David" w:hAnsi="David"/>
          <w:b/>
          <w:bCs/>
          <w:sz w:val="26"/>
          <w:szCs w:val="26"/>
        </w:rPr>
      </w:pPr>
    </w:p>
    <w:p w14:paraId="59E0E1F8" w14:textId="77777777" w:rsidR="00B34A87" w:rsidRPr="00D00A7F" w:rsidRDefault="00B34A87" w:rsidP="00B34A87">
      <w:pPr>
        <w:widowControl w:val="0"/>
        <w:spacing w:line="360" w:lineRule="auto"/>
        <w:jc w:val="both"/>
        <w:rPr>
          <w:rFonts w:ascii="David" w:eastAsia="David" w:hAnsi="David"/>
          <w:b/>
          <w:bCs/>
          <w:sz w:val="26"/>
          <w:szCs w:val="26"/>
          <w:rtl/>
        </w:rPr>
      </w:pPr>
      <w:r w:rsidRPr="00D00A7F">
        <w:rPr>
          <w:rFonts w:ascii="David" w:eastAsia="David" w:hAnsi="David"/>
          <w:b/>
          <w:bCs/>
          <w:sz w:val="26"/>
          <w:szCs w:val="26"/>
          <w:rtl/>
        </w:rPr>
        <w:t>קביעת מתחם העונש ההולם</w:t>
      </w:r>
    </w:p>
    <w:p w14:paraId="2349BB3E"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sz w:val="20"/>
          <w:rtl/>
          <w:lang w:eastAsia="he-IL"/>
        </w:rPr>
      </w:pPr>
      <w:r w:rsidRPr="00D00A7F">
        <w:rPr>
          <w:rFonts w:ascii="David" w:hAnsi="David"/>
          <w:rtl/>
        </w:rPr>
        <w:t xml:space="preserve">הנאשמת הורשעה ב-2 עבירות באירוע אחד. אמות המידה ואבני הבוחן בהן התחשבתי בקביעת מתחם העונש ההולם בהתאם </w:t>
      </w:r>
      <w:hyperlink r:id="rId24" w:history="1">
        <w:r w:rsidR="009D673E" w:rsidRPr="009D673E">
          <w:rPr>
            <w:rStyle w:val="Hyperlink"/>
            <w:rFonts w:ascii="David" w:hAnsi="David"/>
            <w:color w:val="0000FF"/>
            <w:rtl/>
          </w:rPr>
          <w:t>לסעיף 40ג(א)</w:t>
        </w:r>
      </w:hyperlink>
      <w:r w:rsidRPr="00D00A7F">
        <w:rPr>
          <w:rFonts w:ascii="David" w:hAnsi="David"/>
          <w:rtl/>
        </w:rPr>
        <w:t xml:space="preserve"> ל-</w:t>
      </w:r>
      <w:hyperlink r:id="rId25" w:history="1">
        <w:r w:rsidR="00AD5A99" w:rsidRPr="00AD5A99">
          <w:rPr>
            <w:rFonts w:ascii="Miriam" w:hAnsi="Miriam" w:cs="Miriam"/>
            <w:b/>
            <w:bCs/>
            <w:color w:val="0000FF"/>
            <w:sz w:val="18"/>
            <w:szCs w:val="22"/>
            <w:u w:val="single"/>
            <w:rtl/>
          </w:rPr>
          <w:t>חוק העונשין</w:t>
        </w:r>
      </w:hyperlink>
      <w:r w:rsidRPr="00D00A7F">
        <w:rPr>
          <w:rFonts w:ascii="David" w:hAnsi="David"/>
          <w:sz w:val="20"/>
          <w:rtl/>
          <w:lang w:eastAsia="he-IL"/>
        </w:rPr>
        <w:t>:</w:t>
      </w:r>
    </w:p>
    <w:p w14:paraId="5EA0EC53" w14:textId="77777777" w:rsidR="00B34A87" w:rsidRPr="00B34A87" w:rsidRDefault="00B34A87" w:rsidP="00B34A87">
      <w:pPr>
        <w:widowControl w:val="0"/>
        <w:jc w:val="both"/>
        <w:rPr>
          <w:rFonts w:ascii="David" w:eastAsia="David" w:hAnsi="David"/>
          <w:highlight w:val="lightGray"/>
          <w:rtl/>
        </w:rPr>
      </w:pPr>
    </w:p>
    <w:p w14:paraId="5E970BD6" w14:textId="77777777" w:rsidR="00B34A87" w:rsidRPr="00D00A7F" w:rsidRDefault="00B34A87" w:rsidP="00B34A87">
      <w:pPr>
        <w:numPr>
          <w:ilvl w:val="1"/>
          <w:numId w:val="2"/>
        </w:numPr>
        <w:snapToGrid w:val="0"/>
        <w:spacing w:line="360" w:lineRule="auto"/>
        <w:ind w:left="794" w:hanging="397"/>
        <w:contextualSpacing/>
        <w:jc w:val="both"/>
        <w:rPr>
          <w:rFonts w:ascii="David" w:hAnsi="David"/>
          <w:rtl/>
        </w:rPr>
      </w:pPr>
      <w:r w:rsidRPr="00D00A7F">
        <w:rPr>
          <w:rFonts w:ascii="David" w:hAnsi="David"/>
          <w:b/>
          <w:bCs/>
          <w:rtl/>
        </w:rPr>
        <w:lastRenderedPageBreak/>
        <w:t xml:space="preserve">הערכים החברתיים שנפגעו מביצוע העבירות </w:t>
      </w:r>
      <w:r w:rsidRPr="00D00A7F">
        <w:rPr>
          <w:rFonts w:ascii="David" w:hAnsi="David"/>
          <w:rtl/>
        </w:rPr>
        <w:t xml:space="preserve">הם שמירה על שלום הציבור ובטחונו ועל הסדר הציבורי. </w:t>
      </w:r>
      <w:bookmarkStart w:id="8" w:name="_Hlk175400961"/>
      <w:r w:rsidRPr="00D00A7F">
        <w:rPr>
          <w:rFonts w:ascii="David" w:hAnsi="David"/>
          <w:rtl/>
        </w:rPr>
        <w:t>בהחזקת נשק ללא היתר יש סכנה לציבור שהנשק ימצא דרכו לידיים בלתי מיומנות, עוינות, לצורך ביצוע פעילות פלילית או פעילות חבלנית עוינת. במעשיה פגעה הנאשמת בערכים חברתיים של הגנה על שלמות הגוף, שלוות הנפש ועל חיי אדם, שכן "</w:t>
      </w:r>
      <w:r w:rsidRPr="00D00A7F">
        <w:rPr>
          <w:rFonts w:ascii="David" w:hAnsi="David"/>
          <w:b/>
          <w:bCs/>
          <w:color w:val="000000"/>
          <w:sz w:val="28"/>
          <w:rtl/>
        </w:rPr>
        <w:t>החזקת נשק שלא כדין מאיימת על שלום הציבור ובטחונו</w:t>
      </w:r>
      <w:r w:rsidRPr="00D00A7F">
        <w:rPr>
          <w:rFonts w:ascii="David" w:hAnsi="David"/>
          <w:color w:val="000000"/>
          <w:sz w:val="28"/>
          <w:rtl/>
        </w:rPr>
        <w:t xml:space="preserve">..." [ראו </w:t>
      </w:r>
      <w:r w:rsidRPr="00D00A7F">
        <w:rPr>
          <w:rFonts w:ascii="David" w:hAnsi="David"/>
          <w:rtl/>
        </w:rPr>
        <w:t>סעיף 6 לפסק דינו של כב' הש' עמית ב- ב</w:t>
      </w:r>
      <w:hyperlink r:id="rId26" w:history="1">
        <w:r w:rsidR="00AD5A99" w:rsidRPr="00AD5A99">
          <w:rPr>
            <w:rFonts w:ascii="David" w:hAnsi="David"/>
            <w:color w:val="0000FF"/>
            <w:u w:val="single"/>
            <w:rtl/>
          </w:rPr>
          <w:t>ע"פ 2482/22</w:t>
        </w:r>
      </w:hyperlink>
      <w:r w:rsidRPr="00D00A7F">
        <w:rPr>
          <w:rFonts w:ascii="David" w:hAnsi="David"/>
          <w:rtl/>
        </w:rPr>
        <w:t xml:space="preserve"> </w:t>
      </w:r>
      <w:r w:rsidRPr="00D00A7F">
        <w:rPr>
          <w:rFonts w:ascii="Miriam" w:hAnsi="Miriam" w:cs="Miriam"/>
          <w:b/>
          <w:bCs/>
          <w:sz w:val="18"/>
          <w:szCs w:val="22"/>
          <w:rtl/>
        </w:rPr>
        <w:t>מדינת ישראל נ' קדורה</w:t>
      </w:r>
      <w:r w:rsidRPr="00D00A7F">
        <w:rPr>
          <w:rFonts w:ascii="David" w:hAnsi="David"/>
          <w:b/>
          <w:bCs/>
          <w:sz w:val="18"/>
          <w:szCs w:val="22"/>
          <w:rtl/>
        </w:rPr>
        <w:t xml:space="preserve"> </w:t>
      </w:r>
      <w:r w:rsidRPr="00D00A7F">
        <w:rPr>
          <w:rFonts w:ascii="David" w:hAnsi="David"/>
          <w:rtl/>
        </w:rPr>
        <w:t xml:space="preserve">(14.4.22) (להלן: </w:t>
      </w:r>
      <w:r w:rsidRPr="00D00A7F">
        <w:rPr>
          <w:rFonts w:ascii="Miriam" w:hAnsi="Miriam" w:cs="Miriam"/>
          <w:b/>
          <w:bCs/>
          <w:sz w:val="18"/>
          <w:szCs w:val="22"/>
          <w:rtl/>
        </w:rPr>
        <w:t>ענין קדורה</w:t>
      </w:r>
      <w:r w:rsidRPr="00D00A7F">
        <w:rPr>
          <w:rFonts w:ascii="David" w:hAnsi="David"/>
          <w:rtl/>
        </w:rPr>
        <w:t>)]. מטרתן "</w:t>
      </w:r>
      <w:r w:rsidRPr="00D00A7F">
        <w:rPr>
          <w:rFonts w:ascii="David" w:hAnsi="David"/>
          <w:b/>
          <w:bCs/>
          <w:rtl/>
        </w:rPr>
        <w:t>להקדים תרופה</w:t>
      </w:r>
      <w:r w:rsidRPr="00D00A7F">
        <w:rPr>
          <w:rFonts w:ascii="David" w:hAnsi="David"/>
          <w:rtl/>
        </w:rPr>
        <w:t>" לעבריינות ובריונות, החל מאיומים, עובר לירי ואלימות בדרגותיה השונות וכלה בעבירות המתה. עמד על כך כב' הש' שטיין בסעיף 7 לפסק דינו ב-</w:t>
      </w:r>
      <w:hyperlink r:id="rId27" w:history="1">
        <w:r w:rsidR="00AD5A99" w:rsidRPr="00AD5A99">
          <w:rPr>
            <w:rFonts w:ascii="David" w:hAnsi="David"/>
            <w:color w:val="0000FF"/>
            <w:u w:val="single"/>
            <w:rtl/>
          </w:rPr>
          <w:t>ע"פ 147/21</w:t>
        </w:r>
      </w:hyperlink>
      <w:r w:rsidRPr="00D00A7F">
        <w:rPr>
          <w:rFonts w:ascii="David" w:hAnsi="David"/>
          <w:rtl/>
        </w:rPr>
        <w:t xml:space="preserve"> </w:t>
      </w:r>
      <w:r w:rsidRPr="00D00A7F">
        <w:rPr>
          <w:rFonts w:ascii="Miriam" w:hAnsi="Miriam" w:cs="Miriam"/>
          <w:b/>
          <w:bCs/>
          <w:sz w:val="22"/>
          <w:szCs w:val="22"/>
          <w:rtl/>
        </w:rPr>
        <w:t>מדינת ישראל נ' ביטון</w:t>
      </w:r>
      <w:r w:rsidRPr="00D00A7F">
        <w:rPr>
          <w:rFonts w:ascii="David" w:hAnsi="David"/>
          <w:b/>
          <w:bCs/>
          <w:sz w:val="22"/>
          <w:szCs w:val="22"/>
          <w:rtl/>
        </w:rPr>
        <w:t xml:space="preserve"> </w:t>
      </w:r>
      <w:r w:rsidRPr="00D00A7F">
        <w:rPr>
          <w:rFonts w:ascii="David" w:hAnsi="David"/>
          <w:rtl/>
        </w:rPr>
        <w:t xml:space="preserve">(14.2.21) (להלן: </w:t>
      </w:r>
      <w:r w:rsidRPr="00D00A7F">
        <w:rPr>
          <w:rFonts w:ascii="Miriam" w:hAnsi="Miriam" w:cs="Miriam"/>
          <w:b/>
          <w:bCs/>
          <w:sz w:val="22"/>
          <w:szCs w:val="22"/>
          <w:rtl/>
        </w:rPr>
        <w:t>ענין ביטון</w:t>
      </w:r>
      <w:r w:rsidRPr="00D00A7F">
        <w:rPr>
          <w:rFonts w:ascii="David" w:hAnsi="David"/>
          <w:rtl/>
        </w:rPr>
        <w:t xml:space="preserve">) – </w:t>
      </w:r>
    </w:p>
    <w:p w14:paraId="63ADE8DB" w14:textId="77777777" w:rsidR="00B34A87" w:rsidRPr="00D00A7F" w:rsidRDefault="00B34A87" w:rsidP="00B34A87">
      <w:pPr>
        <w:snapToGrid w:val="0"/>
        <w:ind w:left="1588" w:right="794"/>
        <w:contextualSpacing/>
        <w:jc w:val="both"/>
        <w:rPr>
          <w:rFonts w:ascii="David" w:hAnsi="David"/>
          <w:rtl/>
        </w:rPr>
      </w:pPr>
      <w:r w:rsidRPr="00D00A7F">
        <w:rPr>
          <w:rFonts w:ascii="David" w:hAnsi="David"/>
          <w:rtl/>
        </w:rPr>
        <w:t>"</w:t>
      </w:r>
      <w:r w:rsidRPr="00D00A7F">
        <w:rPr>
          <w:rFonts w:ascii="David" w:hAnsi="David"/>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w:t>
      </w:r>
      <w:r w:rsidRPr="00D00A7F">
        <w:rPr>
          <w:rFonts w:ascii="David" w:hAnsi="David"/>
          <w:rtl/>
        </w:rPr>
        <w:t xml:space="preserve">" </w:t>
      </w:r>
    </w:p>
    <w:p w14:paraId="21CB0AC7" w14:textId="77777777" w:rsidR="00B34A87" w:rsidRPr="00D00A7F" w:rsidRDefault="00B34A87" w:rsidP="00B34A87">
      <w:pPr>
        <w:tabs>
          <w:tab w:val="left" w:pos="800"/>
        </w:tabs>
        <w:overflowPunct w:val="0"/>
        <w:autoSpaceDE w:val="0"/>
        <w:autoSpaceDN w:val="0"/>
        <w:adjustRightInd w:val="0"/>
        <w:jc w:val="both"/>
        <w:rPr>
          <w:rFonts w:ascii="David" w:hAnsi="David"/>
          <w:spacing w:val="10"/>
          <w:sz w:val="20"/>
          <w:szCs w:val="28"/>
          <w:rtl/>
        </w:rPr>
      </w:pPr>
    </w:p>
    <w:p w14:paraId="05693961" w14:textId="77777777" w:rsidR="00B34A87" w:rsidRPr="00D00A7F" w:rsidRDefault="00B34A87" w:rsidP="00B34A87">
      <w:pPr>
        <w:numPr>
          <w:ilvl w:val="1"/>
          <w:numId w:val="2"/>
        </w:numPr>
        <w:snapToGrid w:val="0"/>
        <w:spacing w:line="360" w:lineRule="auto"/>
        <w:ind w:left="794" w:hanging="397"/>
        <w:contextualSpacing/>
        <w:jc w:val="both"/>
        <w:rPr>
          <w:rFonts w:ascii="David" w:hAnsi="David"/>
          <w:rtl/>
        </w:rPr>
      </w:pPr>
      <w:r w:rsidRPr="00D00A7F">
        <w:rPr>
          <w:rFonts w:ascii="David" w:hAnsi="David"/>
          <w:rtl/>
        </w:rPr>
        <w:t xml:space="preserve">מקובלת עליי עמדת ב"כ המאשימה כי </w:t>
      </w:r>
      <w:r w:rsidRPr="00D00A7F">
        <w:rPr>
          <w:rFonts w:ascii="David" w:hAnsi="David"/>
          <w:b/>
          <w:bCs/>
          <w:rtl/>
        </w:rPr>
        <w:t>מידת הפגיעה בערכים החברתיים בכל הנוגע לעבירות נשק היא קשה משמעותית</w:t>
      </w:r>
      <w:r w:rsidRPr="00D00A7F">
        <w:rPr>
          <w:rFonts w:ascii="David" w:hAnsi="David"/>
          <w:rtl/>
        </w:rPr>
        <w:t xml:space="preserve">, בהינתן </w:t>
      </w:r>
      <w:r w:rsidRPr="00D00A7F">
        <w:rPr>
          <w:rFonts w:ascii="David" w:hAnsi="David"/>
          <w:shd w:val="clear" w:color="auto" w:fill="FFFFFF"/>
          <w:rtl/>
        </w:rPr>
        <w:t>"</w:t>
      </w:r>
      <w:r w:rsidRPr="00D00A7F">
        <w:rPr>
          <w:rFonts w:ascii="David" w:hAnsi="David"/>
          <w:b/>
          <w:bCs/>
          <w:shd w:val="clear" w:color="auto" w:fill="FFFFFF"/>
          <w:rtl/>
        </w:rPr>
        <w:t>החומרה הרבה הטמונה בעבירות נשק, עבירות שהפכו ל'מכת מדינה' ומגלמות סכנה ממשית לשלום הציבור ולביטחונו</w:t>
      </w:r>
      <w:r w:rsidRPr="00D00A7F">
        <w:rPr>
          <w:rFonts w:ascii="David" w:hAnsi="David"/>
          <w:shd w:val="clear" w:color="auto" w:fill="FFFFFF"/>
          <w:rtl/>
        </w:rPr>
        <w:t>.</w:t>
      </w:r>
      <w:r w:rsidRPr="00D00A7F">
        <w:rPr>
          <w:rFonts w:ascii="David" w:hAnsi="David"/>
          <w:color w:val="000000"/>
          <w:sz w:val="28"/>
          <w:rtl/>
        </w:rPr>
        <w:t>..</w:t>
      </w:r>
      <w:r w:rsidRPr="00D00A7F">
        <w:rPr>
          <w:rFonts w:ascii="David" w:hAnsi="David"/>
          <w:rtl/>
        </w:rPr>
        <w:t>" (סעיף 5 לפסק דינו של כב' הש' עמית ב-</w:t>
      </w:r>
      <w:r w:rsidRPr="00D00A7F">
        <w:rPr>
          <w:rFonts w:ascii="Miriam" w:hAnsi="Miriam" w:cs="Miriam"/>
          <w:b/>
          <w:bCs/>
          <w:sz w:val="18"/>
          <w:szCs w:val="22"/>
          <w:rtl/>
        </w:rPr>
        <w:t>ענין קדורה</w:t>
      </w:r>
      <w:r w:rsidRPr="00D00A7F">
        <w:rPr>
          <w:rFonts w:ascii="David" w:hAnsi="David"/>
          <w:rtl/>
        </w:rPr>
        <w:t>). זאת ועוד, כפי שקבע כב' הש' שטיין בסעיף 7 לפסק דינו ב-</w:t>
      </w:r>
      <w:r w:rsidRPr="00D00A7F">
        <w:rPr>
          <w:rFonts w:ascii="Miriam" w:hAnsi="Miriam" w:cs="Miriam"/>
          <w:b/>
          <w:bCs/>
          <w:sz w:val="22"/>
          <w:szCs w:val="22"/>
          <w:rtl/>
        </w:rPr>
        <w:t>ענין ביטון</w:t>
      </w:r>
      <w:r w:rsidRPr="00D00A7F">
        <w:rPr>
          <w:rFonts w:ascii="David" w:hAnsi="David"/>
          <w:rtl/>
        </w:rPr>
        <w:t xml:space="preserve"> – </w:t>
      </w:r>
    </w:p>
    <w:p w14:paraId="30CB03D9" w14:textId="77777777" w:rsidR="00B34A87" w:rsidRPr="00D00A7F" w:rsidRDefault="00B34A87" w:rsidP="00B34A87">
      <w:pPr>
        <w:snapToGrid w:val="0"/>
        <w:ind w:left="1588" w:right="794"/>
        <w:contextualSpacing/>
        <w:jc w:val="both"/>
        <w:rPr>
          <w:rFonts w:ascii="David" w:hAnsi="David"/>
          <w:rtl/>
        </w:rPr>
      </w:pPr>
    </w:p>
    <w:p w14:paraId="775F6BDA" w14:textId="77777777" w:rsidR="00B34A87" w:rsidRPr="00D00A7F" w:rsidRDefault="00B34A87" w:rsidP="00B34A87">
      <w:pPr>
        <w:snapToGrid w:val="0"/>
        <w:ind w:left="1588" w:right="794"/>
        <w:contextualSpacing/>
        <w:jc w:val="both"/>
        <w:rPr>
          <w:rFonts w:ascii="David" w:hAnsi="David"/>
          <w:rtl/>
        </w:rPr>
      </w:pPr>
      <w:r w:rsidRPr="00D00A7F">
        <w:rPr>
          <w:rFonts w:ascii="David" w:hAnsi="David"/>
          <w:rtl/>
        </w:rPr>
        <w:t>"</w:t>
      </w:r>
      <w:r w:rsidRPr="00D00A7F">
        <w:rPr>
          <w:rFonts w:ascii="David" w:hAnsi="David"/>
          <w:b/>
          <w:bCs/>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w:t>
      </w:r>
      <w:r w:rsidRPr="00D00A7F">
        <w:rPr>
          <w:rFonts w:ascii="David" w:hAnsi="David"/>
          <w:rtl/>
        </w:rPr>
        <w:t xml:space="preserve">... </w:t>
      </w:r>
      <w:r w:rsidRPr="00D00A7F">
        <w:rPr>
          <w:rFonts w:ascii="David" w:hAnsi="David"/>
          <w:b/>
          <w:bCs/>
          <w:rtl/>
        </w:rPr>
        <w:t>על מעשי הכנה כאלה נענשים בחומרה,</w:t>
      </w:r>
      <w:r w:rsidRPr="00D00A7F">
        <w:rPr>
          <w:rFonts w:ascii="David" w:hAnsi="David"/>
          <w:rtl/>
        </w:rPr>
        <w:t xml:space="preserve">..." </w:t>
      </w:r>
    </w:p>
    <w:bookmarkEnd w:id="8"/>
    <w:p w14:paraId="22B98A1A" w14:textId="77777777" w:rsidR="00B34A87" w:rsidRPr="00D00A7F" w:rsidRDefault="00B34A87" w:rsidP="00B34A87">
      <w:pPr>
        <w:snapToGrid w:val="0"/>
        <w:spacing w:line="360" w:lineRule="auto"/>
        <w:ind w:left="794"/>
        <w:contextualSpacing/>
        <w:jc w:val="both"/>
        <w:rPr>
          <w:rFonts w:ascii="David" w:hAnsi="David"/>
          <w:rtl/>
        </w:rPr>
      </w:pPr>
    </w:p>
    <w:p w14:paraId="42F3BD52" w14:textId="77777777" w:rsidR="00B34A87" w:rsidRPr="00D00A7F" w:rsidRDefault="00B34A87" w:rsidP="00B34A87">
      <w:pPr>
        <w:snapToGrid w:val="0"/>
        <w:spacing w:line="360" w:lineRule="auto"/>
        <w:ind w:left="794"/>
        <w:contextualSpacing/>
        <w:jc w:val="both"/>
        <w:rPr>
          <w:rFonts w:ascii="David" w:hAnsi="David"/>
        </w:rPr>
      </w:pPr>
      <w:r w:rsidRPr="00D00A7F">
        <w:rPr>
          <w:rFonts w:ascii="David" w:hAnsi="David"/>
          <w:rtl/>
        </w:rPr>
        <w:t xml:space="preserve">על אחת כמה וכמה עת עסקינן באקדח הזנקה שהוסב לירי תחמושת קליעית בקליבר 9 מ"מ, כשבצמוד לו מחסנית עם כדורים וכן כדורים נוספים, כולם בקוטר 9 מ"מ, המתאימים לשימוש באקדח. </w:t>
      </w:r>
    </w:p>
    <w:p w14:paraId="1BB2BD45" w14:textId="77777777" w:rsidR="00B34A87" w:rsidRPr="00D00A7F" w:rsidRDefault="00B34A87" w:rsidP="00B34A87">
      <w:pPr>
        <w:snapToGrid w:val="0"/>
        <w:spacing w:line="360" w:lineRule="auto"/>
        <w:ind w:left="794"/>
        <w:contextualSpacing/>
        <w:jc w:val="both"/>
        <w:rPr>
          <w:rFonts w:ascii="David" w:hAnsi="David"/>
          <w:rtl/>
        </w:rPr>
      </w:pPr>
    </w:p>
    <w:p w14:paraId="3313C8AC" w14:textId="77777777" w:rsidR="00B34A87" w:rsidRPr="00D00A7F" w:rsidRDefault="00B34A87" w:rsidP="00B34A87">
      <w:pPr>
        <w:numPr>
          <w:ilvl w:val="1"/>
          <w:numId w:val="2"/>
        </w:numPr>
        <w:snapToGrid w:val="0"/>
        <w:spacing w:line="360" w:lineRule="auto"/>
        <w:ind w:left="794" w:hanging="397"/>
        <w:contextualSpacing/>
        <w:jc w:val="both"/>
        <w:rPr>
          <w:rFonts w:ascii="David" w:hAnsi="David"/>
          <w:rtl/>
        </w:rPr>
      </w:pPr>
      <w:r w:rsidRPr="00D00A7F">
        <w:rPr>
          <w:rFonts w:ascii="David" w:hAnsi="David"/>
          <w:b/>
          <w:bCs/>
          <w:rtl/>
        </w:rPr>
        <w:t>מדיניות הענישה הנהוגה</w:t>
      </w:r>
      <w:r w:rsidRPr="00D00A7F">
        <w:rPr>
          <w:rFonts w:ascii="David" w:hAnsi="David"/>
          <w:rtl/>
        </w:rPr>
        <w:t xml:space="preserve"> – בחינת מדיניות הענישה הנהוגה בעבירות נשק מלמדת על קשת רחבה של ענישה, כאשר אופן ריצוי המאסר ומשכו תלויים בסוג הנשק והתחמושת, פוטנציאל הסיכון הנשקף מאלו, הכמות שנתפסה, טיב הנשק והתחמושת, אופיים, ובנסיבות נוספות. במהלך הטיעונים לעונש הופניתי אל פסיקה של בתי המשפט השונים, כשכל צד הציג פסיקה התומכת בעמדתו ועל אלו הוספתי פסיקה. כל מקרה לנסיבותיו ויש לאבחן המקרים השונים למקרה שלפניי, אם כי יש פסיקה ממנה ניתן לגזור אמת-מידה עונשית הולמת למקרה שלפניי – </w:t>
      </w:r>
    </w:p>
    <w:p w14:paraId="190648B3" w14:textId="77777777" w:rsidR="00B34A87" w:rsidRPr="00D00A7F" w:rsidRDefault="00B34A87" w:rsidP="00B34A87">
      <w:pPr>
        <w:widowControl w:val="0"/>
        <w:ind w:left="1191" w:hanging="397"/>
        <w:contextualSpacing/>
        <w:jc w:val="both"/>
        <w:rPr>
          <w:rFonts w:ascii="David" w:hAnsi="David"/>
          <w:rtl/>
        </w:rPr>
      </w:pPr>
    </w:p>
    <w:p w14:paraId="211FC92E"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b/>
          <w:bCs/>
        </w:rPr>
      </w:pPr>
      <w:hyperlink r:id="rId28" w:history="1">
        <w:r w:rsidRPr="00AD5A99">
          <w:rPr>
            <w:rFonts w:ascii="David" w:eastAsia="David" w:hAnsi="David"/>
            <w:color w:val="0000FF"/>
            <w:u w:val="single"/>
            <w:rtl/>
          </w:rPr>
          <w:t>רע"פ 3636/23</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אבו אלקיעאן נ' מדינת ישראל</w:t>
      </w:r>
      <w:r w:rsidR="00B34A87" w:rsidRPr="00D00A7F">
        <w:rPr>
          <w:rFonts w:ascii="David" w:eastAsia="David" w:hAnsi="David" w:hint="cs"/>
          <w:sz w:val="22"/>
          <w:szCs w:val="22"/>
          <w:rtl/>
        </w:rPr>
        <w:t xml:space="preserve"> </w:t>
      </w:r>
      <w:r w:rsidR="00B34A87" w:rsidRPr="00D00A7F">
        <w:rPr>
          <w:rFonts w:ascii="David" w:eastAsia="David" w:hAnsi="David" w:hint="cs"/>
          <w:rtl/>
        </w:rPr>
        <w:t>(16.5.23) – נדחתה בקשת רשות ערעור על פסק הדין שניתן ב-</w:t>
      </w:r>
      <w:hyperlink r:id="rId29" w:history="1">
        <w:r w:rsidRPr="00AD5A99">
          <w:rPr>
            <w:rFonts w:ascii="David" w:eastAsia="David" w:hAnsi="David"/>
            <w:color w:val="0000FF"/>
            <w:u w:val="single"/>
            <w:rtl/>
          </w:rPr>
          <w:t>ע"פ (מחוזי-ב"ש) 56723-05-22</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אבו-קיעאן נ' מדינת ישראל</w:t>
      </w:r>
      <w:r w:rsidR="00B34A87" w:rsidRPr="00D00A7F">
        <w:rPr>
          <w:rFonts w:ascii="David" w:eastAsia="David" w:hAnsi="David" w:hint="cs"/>
          <w:rtl/>
        </w:rPr>
        <w:t xml:space="preserve"> (16.4.23) – בגדרו נדחה ערעור על גזר הדין ב-</w:t>
      </w:r>
      <w:hyperlink r:id="rId30" w:history="1">
        <w:r w:rsidRPr="00AD5A99">
          <w:rPr>
            <w:rFonts w:ascii="David" w:eastAsia="David" w:hAnsi="David"/>
            <w:color w:val="0000FF"/>
            <w:u w:val="single"/>
            <w:rtl/>
          </w:rPr>
          <w:t>ת"פ (שלום-ב"ש) 64331-05-19</w:t>
        </w:r>
      </w:hyperlink>
      <w:r w:rsidR="00B34A87" w:rsidRPr="00D00A7F">
        <w:rPr>
          <w:rFonts w:ascii="Miriam" w:eastAsia="David" w:hAnsi="Miriam" w:cs="Miriam"/>
          <w:b/>
          <w:bCs/>
          <w:sz w:val="22"/>
          <w:szCs w:val="22"/>
          <w:rtl/>
        </w:rPr>
        <w:t xml:space="preserve"> מדינת ישראל נ' אבו קיעאן </w:t>
      </w:r>
      <w:r w:rsidR="00B34A87" w:rsidRPr="00D00A7F">
        <w:rPr>
          <w:rFonts w:ascii="David" w:eastAsia="David" w:hAnsi="David" w:hint="cs"/>
          <w:rtl/>
        </w:rPr>
        <w:t xml:space="preserve">(14.4.22). המערער הורשע על פי הודאתו בהחזקת נשק והחזקת חלק של נשק או תחמושת (החזיק בתוך תא המטען ברכב בו נהגו באותה העת שני אחרים, אקדח חצי אוטומטי מסוג </w:t>
      </w:r>
      <w:r w:rsidR="00B34A87" w:rsidRPr="00D00A7F">
        <w:rPr>
          <w:rFonts w:ascii="David" w:eastAsia="David" w:hAnsi="David"/>
          <w:sz w:val="22"/>
          <w:szCs w:val="22"/>
        </w:rPr>
        <w:t>CZ</w:t>
      </w:r>
      <w:r w:rsidR="00B34A87" w:rsidRPr="00D00A7F">
        <w:rPr>
          <w:rFonts w:ascii="David" w:eastAsia="David" w:hAnsi="David" w:hint="cs"/>
          <w:rtl/>
        </w:rPr>
        <w:t xml:space="preserve"> ומחסנית בה 6 כדורים בקוטר 9 מ"מ). נקבע מתחם 11–33 חודשי מאסר בפועל. בהתחשב בעבר נקי, התרשמות שירות המבחן מקיום רמת סיכון נוכח מאפייני אישיותו, קושי בנטילת אחריות, גילו הצעיר, קיום אורח חיים נורמטיבי, עבודה רציפה, שאיפותיו הנורמטיביות וחלוף הזמן – הושתו 13 חודשי מאסר בפועל (בניכוי ימי המעצר) ו-9 חודשי מאסר מותנה. בדחותו הערעור קבע בית המשפט המחוזי שהענישה לא מחמירה נוכח חומרת המעשים וכי בית משפט קמא נתן משקל לא מועט לנסיבותיו האישיות. גם בית המשפט העליון הבהיר כי לא נמצאה חריגה ממדיניות הענישה המקובלת או הראויה בנסיבות העניין, באופן המצדיק התערבות.</w:t>
      </w:r>
    </w:p>
    <w:p w14:paraId="5B75AE7E" w14:textId="77777777" w:rsidR="00B34A87" w:rsidRPr="00D00A7F" w:rsidRDefault="00B34A87" w:rsidP="00B34A87">
      <w:pPr>
        <w:widowControl w:val="0"/>
        <w:snapToGrid w:val="0"/>
        <w:ind w:left="1134"/>
        <w:jc w:val="both"/>
        <w:rPr>
          <w:rFonts w:ascii="David" w:eastAsia="David" w:hAnsi="David"/>
          <w:b/>
          <w:bCs/>
        </w:rPr>
      </w:pPr>
    </w:p>
    <w:p w14:paraId="4CB40E3C"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Pr>
      </w:pPr>
      <w:hyperlink r:id="rId31" w:history="1">
        <w:r w:rsidRPr="00AD5A99">
          <w:rPr>
            <w:rFonts w:ascii="David" w:eastAsia="David" w:hAnsi="David"/>
            <w:color w:val="0000FF"/>
            <w:u w:val="single"/>
            <w:rtl/>
          </w:rPr>
          <w:t>ע"פ 2141/21</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חניני נ' מדינת ישראל</w:t>
      </w:r>
      <w:r w:rsidR="00B34A87" w:rsidRPr="00D00A7F">
        <w:rPr>
          <w:rFonts w:ascii="David" w:eastAsia="David" w:hAnsi="David" w:hint="cs"/>
          <w:sz w:val="22"/>
          <w:szCs w:val="22"/>
          <w:rtl/>
        </w:rPr>
        <w:t xml:space="preserve"> </w:t>
      </w:r>
      <w:r w:rsidR="00B34A87" w:rsidRPr="00D00A7F">
        <w:rPr>
          <w:rFonts w:ascii="David" w:eastAsia="David" w:hAnsi="David" w:hint="cs"/>
          <w:rtl/>
        </w:rPr>
        <w:t xml:space="preserve">(27.5.21) – נדחה ערעור על גזר דין במסגרתו נקבע מתחם 12–30 בגין החזקת אקדח אוויר, אשר הוסב לירי תחמושת בקליבר 7.65 מ"מ וכדורים תואמים. המערער נתפס בחצר קרובה לביתו, לאחר השעה 01:00 בלילה, כשחזר מבילוי, במהלכו שתה משקאות משכרים, נושא האקדח על גופו ובו 4 כדורים. הושתו 20 חודשי מאסר וענישה נלווית, תוך התחשבות בנסיבות אישיות ושיקולי שיקום. בדחותו הערעור, קבע בית המשפט העליון כי חומרת החזקת נשק, שהפכה למכת מדינה, מחייבת ענישה של מאסר בפועל. </w:t>
      </w:r>
    </w:p>
    <w:p w14:paraId="3292F44E" w14:textId="77777777" w:rsidR="00B34A87" w:rsidRPr="00D00A7F" w:rsidRDefault="00B34A87" w:rsidP="00B34A87">
      <w:pPr>
        <w:ind w:left="720"/>
        <w:contextualSpacing/>
        <w:jc w:val="both"/>
        <w:rPr>
          <w:rFonts w:cs="Times New Roman"/>
        </w:rPr>
      </w:pPr>
    </w:p>
    <w:p w14:paraId="4AB32C60"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Pr>
      </w:pPr>
      <w:hyperlink r:id="rId32" w:history="1">
        <w:r w:rsidRPr="00AD5A99">
          <w:rPr>
            <w:rFonts w:ascii="David" w:eastAsia="David" w:hAnsi="David"/>
            <w:color w:val="0000FF"/>
            <w:u w:val="single"/>
            <w:rtl/>
          </w:rPr>
          <w:t>רע"פ 5613/20</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אלהוזייל נ' מדינת ישראל</w:t>
      </w:r>
      <w:r w:rsidR="00B34A87" w:rsidRPr="00D00A7F">
        <w:rPr>
          <w:rFonts w:ascii="David" w:eastAsia="David" w:hAnsi="David" w:hint="cs"/>
          <w:b/>
          <w:bCs/>
          <w:sz w:val="22"/>
          <w:szCs w:val="22"/>
          <w:rtl/>
        </w:rPr>
        <w:t xml:space="preserve"> </w:t>
      </w:r>
      <w:r w:rsidR="00B34A87" w:rsidRPr="00D00A7F">
        <w:rPr>
          <w:rFonts w:ascii="David" w:eastAsia="David" w:hAnsi="David" w:hint="cs"/>
          <w:rtl/>
        </w:rPr>
        <w:t xml:space="preserve">(25.8.20) – נדחו ערעור ובקשת רשות ערעור של מי שהחזיק במקום מגוריו אקדח מסוג </w:t>
      </w:r>
      <w:r w:rsidR="00B34A87" w:rsidRPr="00D00A7F">
        <w:rPr>
          <w:rFonts w:ascii="David" w:eastAsia="David" w:hAnsi="David"/>
          <w:sz w:val="22"/>
          <w:szCs w:val="22"/>
        </w:rPr>
        <w:t>FN</w:t>
      </w:r>
      <w:r w:rsidR="00B34A87" w:rsidRPr="00D00A7F">
        <w:rPr>
          <w:rFonts w:ascii="David" w:eastAsia="David" w:hAnsi="David" w:hint="cs"/>
          <w:rtl/>
        </w:rPr>
        <w:t xml:space="preserve"> בקוטר 9 מ"מ ו-20 כדורים בקוטר זהה. בגין החזקת נשק והחזקת תחמושת נקבע מתחם 33-11 חודשי מאסר בפועל. תוך התחשבות, בין היתר, בנסיבותיו האישיות, חלוף הזמן מהרשעותיו הקודמות, נטייתו להשיל מעליו האחריות, הודאתו, השפעת העונש על משפחתו ובפרט 8 ילדיו הקטינים ונכונותו להשתלב בהליך טיפולי – הושתו 12 חודשי מאסר בפועל ומאסר מותנה. בדחותו הבקשה עמד בית המשפט העליון על הצורך בהחמרת הענישה בעבירות נשק לשם העברת מסר מרתיע מפני ביצוען – "</w:t>
      </w:r>
      <w:r w:rsidR="00B34A87" w:rsidRPr="00D00A7F">
        <w:rPr>
          <w:rFonts w:ascii="David" w:eastAsia="David" w:hAnsi="David" w:hint="cs"/>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00B34A87" w:rsidRPr="00D00A7F">
        <w:rPr>
          <w:rFonts w:ascii="David" w:eastAsia="David" w:hAnsi="David" w:hint="cs"/>
          <w:rtl/>
        </w:rPr>
        <w:t xml:space="preserve">" – מפני אלו נסוגות נסיבות אישיות, לרבות המלצת שירות המבחן, במסגרתה לא נשקלים כל השיקולים ובכלל זה הצורך בהרתעת הרבים. </w:t>
      </w:r>
    </w:p>
    <w:p w14:paraId="56BA491F" w14:textId="77777777" w:rsidR="00B34A87" w:rsidRPr="00D00A7F" w:rsidRDefault="00B34A87" w:rsidP="00B34A87">
      <w:pPr>
        <w:ind w:left="720"/>
        <w:contextualSpacing/>
        <w:jc w:val="both"/>
        <w:rPr>
          <w:rFonts w:cs="Times New Roman"/>
        </w:rPr>
      </w:pPr>
    </w:p>
    <w:p w14:paraId="439419D4"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3" w:history="1">
        <w:r w:rsidRPr="00AD5A99">
          <w:rPr>
            <w:rFonts w:ascii="David" w:eastAsia="David" w:hAnsi="David"/>
            <w:color w:val="0000FF"/>
            <w:u w:val="single"/>
            <w:rtl/>
          </w:rPr>
          <w:t>ע"פ 1826/19</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אבו עסא נ' מדינת ישראל</w:t>
      </w:r>
      <w:r w:rsidR="00B34A87" w:rsidRPr="00D00A7F">
        <w:rPr>
          <w:rFonts w:ascii="David" w:eastAsia="David" w:hAnsi="David" w:hint="cs"/>
          <w:sz w:val="22"/>
          <w:szCs w:val="22"/>
          <w:rtl/>
        </w:rPr>
        <w:t xml:space="preserve"> </w:t>
      </w:r>
      <w:r w:rsidR="00B34A87" w:rsidRPr="00D00A7F">
        <w:rPr>
          <w:rFonts w:ascii="David" w:eastAsia="David" w:hAnsi="David" w:hint="cs"/>
          <w:rtl/>
        </w:rPr>
        <w:t xml:space="preserve">(11.7.19) – נדחה ערעור על גזר דין במסגרתו נקבע מתחם 15–36 חודשי מאסר בגין החזקת נשק מאולתר אוטומטי, שהועבר לאחר על מנת שיחזיקו באופן זמני. תוך התחשבות בגילו הצעיר, אורחות חייו, העדר עבר, הפגיעה בו ובמשפחתו, הודאתו וחרטתו, סיכוייו לחזור למוטב וחומרת המעשים – הושתו 18 חודשי מאסר בפועל ומאסר מותנה. </w:t>
      </w:r>
    </w:p>
    <w:p w14:paraId="23AFC59D" w14:textId="77777777" w:rsidR="00B34A87" w:rsidRPr="00D00A7F" w:rsidRDefault="00B34A87" w:rsidP="00B34A87">
      <w:pPr>
        <w:ind w:left="720"/>
        <w:contextualSpacing/>
        <w:jc w:val="both"/>
        <w:rPr>
          <w:rFonts w:cs="Times New Roman"/>
        </w:rPr>
      </w:pPr>
    </w:p>
    <w:p w14:paraId="293CEB95"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4" w:history="1">
        <w:r w:rsidRPr="00AD5A99">
          <w:rPr>
            <w:rFonts w:ascii="David" w:eastAsia="David" w:hAnsi="David"/>
            <w:color w:val="0000FF"/>
            <w:u w:val="single"/>
            <w:rtl/>
          </w:rPr>
          <w:t>ע"פ 2826/19</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מרעאנה נ' מדינת ישראל</w:t>
      </w:r>
      <w:r w:rsidR="00B34A87" w:rsidRPr="00D00A7F">
        <w:rPr>
          <w:rFonts w:ascii="David" w:eastAsia="David" w:hAnsi="David" w:hint="cs"/>
          <w:sz w:val="22"/>
          <w:szCs w:val="22"/>
          <w:rtl/>
        </w:rPr>
        <w:t xml:space="preserve"> </w:t>
      </w:r>
      <w:r w:rsidR="00B34A87" w:rsidRPr="00D00A7F">
        <w:rPr>
          <w:rFonts w:ascii="David" w:eastAsia="David" w:hAnsi="David" w:hint="cs"/>
          <w:rtl/>
        </w:rPr>
        <w:t xml:space="preserve">(11.7.19) – אליו הפנו ב"כ הנאשמת. התקבל בחלקו ערעור של מי שהורשע, לפי הודאתו, בהחזקת אקדח חצי אוטומטי מסוג </w:t>
      </w:r>
      <w:r w:rsidR="00B34A87" w:rsidRPr="00D00A7F">
        <w:rPr>
          <w:rFonts w:ascii="David" w:eastAsia="David" w:hAnsi="David"/>
          <w:sz w:val="22"/>
          <w:szCs w:val="22"/>
        </w:rPr>
        <w:t>GAL</w:t>
      </w:r>
      <w:r w:rsidR="00B34A87" w:rsidRPr="00D00A7F">
        <w:rPr>
          <w:rFonts w:ascii="David" w:eastAsia="David" w:hAnsi="David" w:hint="cs"/>
          <w:rtl/>
        </w:rPr>
        <w:t xml:space="preserve"> 5000-</w:t>
      </w:r>
      <w:r w:rsidR="00B34A87" w:rsidRPr="00D00A7F">
        <w:rPr>
          <w:rFonts w:ascii="David" w:eastAsia="David" w:hAnsi="David"/>
          <w:sz w:val="22"/>
          <w:szCs w:val="22"/>
        </w:rPr>
        <w:t>M</w:t>
      </w:r>
      <w:r w:rsidR="00B34A87" w:rsidRPr="00D00A7F">
        <w:rPr>
          <w:rFonts w:ascii="David" w:eastAsia="David" w:hAnsi="David"/>
          <w:rtl/>
        </w:rPr>
        <w:t xml:space="preserve"> </w:t>
      </w:r>
      <w:r w:rsidR="00B34A87" w:rsidRPr="00D00A7F">
        <w:rPr>
          <w:rFonts w:ascii="David" w:eastAsia="David" w:hAnsi="David" w:hint="cs"/>
          <w:rtl/>
        </w:rPr>
        <w:t>עטוף בגרביים עטופות בנייר כסף ובו מחסנית ריקה, בתוך תיק עם מסכת סקי שחורה, אותם החביא בביתו למשך שבוע, לבקשת גיסו, בשל חששו שהמשטרה תאתרו. נקבע מתחם 9–24 חודשי מאסר. תוך התחשבות בגילו הצעיר (שנות העשרים), נטילת אחריות, שיתוף פעולה עם גורמי אכיפת החוק, הפללת הגיס, שיתוף הפעולה עם שירות המבחן, ניהול אורח חיים תפקודי ותקין, ללא מעורבות פלילית משמעותית למעט הרשעה יחידה משנת 2013 בקבלת דבר בתחבולה, הסרת לוחית זיהוי ונהיגה ללא רישיון ובכך שמאסר ממושך יביא לפגיעה כלכלית ואישית בו – הופחת המאסר מ-10 ל-9 חודשי מאסר לריצוי בעבודות שירות (בפסק דין משלים מ-1.9.19) ומאסרים מותנים, בין היתר בשים לב למחיר האישי ששילם בגין שיתוף הפעולה עם הרשויות.</w:t>
      </w:r>
    </w:p>
    <w:p w14:paraId="21267AEA" w14:textId="77777777" w:rsidR="00B34A87" w:rsidRPr="00D00A7F" w:rsidRDefault="00B34A87" w:rsidP="00B34A87">
      <w:pPr>
        <w:ind w:left="720"/>
        <w:contextualSpacing/>
        <w:jc w:val="both"/>
        <w:rPr>
          <w:rFonts w:cs="Times New Roman"/>
        </w:rPr>
      </w:pPr>
    </w:p>
    <w:p w14:paraId="5C4616EF"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5" w:history="1">
        <w:r w:rsidRPr="00AD5A99">
          <w:rPr>
            <w:rFonts w:ascii="David" w:eastAsia="David" w:hAnsi="David"/>
            <w:color w:val="0000FF"/>
            <w:u w:val="single"/>
            <w:rtl/>
          </w:rPr>
          <w:t>עפ"ג (מחוזי-חי') 59848-12-23</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מחאגנה נ' מדינת ישראל</w:t>
      </w:r>
      <w:r w:rsidR="00B34A87" w:rsidRPr="00D00A7F">
        <w:rPr>
          <w:rFonts w:ascii="David" w:eastAsia="David" w:hAnsi="David" w:hint="cs"/>
          <w:b/>
          <w:bCs/>
          <w:sz w:val="22"/>
          <w:szCs w:val="22"/>
          <w:rtl/>
        </w:rPr>
        <w:t xml:space="preserve"> </w:t>
      </w:r>
      <w:r w:rsidR="00B34A87" w:rsidRPr="00D00A7F">
        <w:rPr>
          <w:rFonts w:ascii="David" w:eastAsia="David" w:hAnsi="David" w:hint="cs"/>
          <w:rtl/>
        </w:rPr>
        <w:t xml:space="preserve">(15.2.24) – הערעור התקבל בחלקו. בגין הרשעתו, לפי הודאתו, בהחזקת אקדח הזנקה שהוסב לירי תחמושת בקוטר 9 מ"מ והחזקת מחסנית ובה 8 כדורים באקדח – נקבע מתחם 36-18 חודשי מאסר בפועל וענישה נלווית. בית המשפט המחוזי עמד על החומרה בעבירות נשק שהפכו למכת מדינה, וכי יש להחמיר בענישה בעבירות אלו. עם זאת, עונשו הופחת ל-20 חלף 22 חודשי מאסר, שכן המאשימה עתרה לעונש שלא יפחת מ-20 חודשים, לצד מאסר מותנה ו-10,000 ₪ קנס, שנותרו על כנם. </w:t>
      </w:r>
    </w:p>
    <w:p w14:paraId="07EAA3F2" w14:textId="77777777" w:rsidR="00B34A87" w:rsidRPr="00D00A7F" w:rsidRDefault="00B34A87" w:rsidP="00B34A87">
      <w:pPr>
        <w:ind w:left="720"/>
        <w:contextualSpacing/>
        <w:jc w:val="both"/>
        <w:rPr>
          <w:rFonts w:cs="Times New Roman"/>
          <w:rtl/>
        </w:rPr>
      </w:pPr>
    </w:p>
    <w:p w14:paraId="4FA03B94"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6" w:history="1">
        <w:r w:rsidRPr="00AD5A99">
          <w:rPr>
            <w:rFonts w:ascii="David" w:eastAsia="David" w:hAnsi="David"/>
            <w:color w:val="0000FF"/>
            <w:u w:val="single"/>
            <w:rtl/>
          </w:rPr>
          <w:t>עפ"ג (מחוזי-י-ם) 53130-02-22</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סיאני</w:t>
      </w:r>
      <w:r w:rsidR="00B34A87" w:rsidRPr="00D00A7F">
        <w:rPr>
          <w:rFonts w:ascii="David" w:eastAsia="David" w:hAnsi="David" w:hint="cs"/>
          <w:rtl/>
        </w:rPr>
        <w:t xml:space="preserve"> (18.12.23) – בגדרו נדחה ערעור על גזר הדין ב-</w:t>
      </w:r>
      <w:hyperlink r:id="rId37" w:history="1">
        <w:r w:rsidRPr="00AD5A99">
          <w:rPr>
            <w:rFonts w:ascii="David" w:eastAsia="David" w:hAnsi="David"/>
            <w:color w:val="0000FF"/>
            <w:u w:val="single"/>
            <w:rtl/>
          </w:rPr>
          <w:t>ת"פ (שלום-י-ם) 17948-09-17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סיאני</w:t>
      </w:r>
      <w:r w:rsidR="00B34A87" w:rsidRPr="00D00A7F">
        <w:rPr>
          <w:rFonts w:ascii="David" w:eastAsia="David" w:hAnsi="David" w:hint="cs"/>
          <w:rtl/>
        </w:rPr>
        <w:t xml:space="preserve"> (9.1.22), אליו הפנו ב"כ הנאשמת. בגין הרשעתו על פי הודאתו בהחזקת נשק (החזיק בדירתו "סאקו") ובעבירות נוספות, גם בתיקים שצורפו (שיבוש מהלכי משפט, סחר בסמים בצוותא, תיווך בסמים, החזקת סמים שלא לצריכה עצמית, החזקת כלים, נהיגה ברכב ללא ביטוח, ללא רישיון שפקע, בשכרות מכוח סירוב להיבדק ו-4 עבירות סחר בסמים). נקבע מתחם הנע בין מספר חודשי מאסר שיכול וירוצו בעבודות שירות עד 12 חודשי מאסר בפועל בעבירות החזקת נשק, החזקת סמים וכלים, שיבוש מהלכי משפט. בהתחשב בגילו, הודאתו, נטילת האחריות ושיתוף הפעולה עם רשויות החוק, שירותו הצבאי (שנגדע בשל מעצרו), העדר עבר פלילי למעט עבירות תעבורה, 8 חודשי מעצר, נסיבות חייו האישיות, שילובו בטיפול, אשר הגם שלא הסתיים היתה לו השפעה רבה והפגיעה הצפויה ממאסרו – הושתו 9 חודשי מאסר לריצוי בעבודות שירות, מאסר מותנה, פסילה מותנית, התחייבות, צו מבחן לשנתיים ו-3,000 ₪ קנס. הערעור נדחה גם נוכח עמדתה ההגונה של המאשימה, התהליך שעבר והשינוי באורח חייו. </w:t>
      </w:r>
    </w:p>
    <w:p w14:paraId="511A6D3D" w14:textId="77777777" w:rsidR="00B34A87" w:rsidRPr="00D00A7F" w:rsidRDefault="00B34A87" w:rsidP="00B34A87">
      <w:pPr>
        <w:ind w:left="720"/>
        <w:contextualSpacing/>
        <w:jc w:val="both"/>
        <w:rPr>
          <w:rFonts w:cs="Times New Roman"/>
        </w:rPr>
      </w:pPr>
    </w:p>
    <w:p w14:paraId="7DDD9A25"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8" w:history="1">
        <w:r w:rsidRPr="00AD5A99">
          <w:rPr>
            <w:rFonts w:ascii="David" w:eastAsia="David" w:hAnsi="David"/>
            <w:color w:val="0000FF"/>
            <w:u w:val="single"/>
            <w:rtl/>
          </w:rPr>
          <w:t>עפ"ג (מחוזי-ב"ש) 50590-12-22</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אלסייד נ' מדינת ישראל</w:t>
      </w:r>
      <w:r w:rsidR="00B34A87" w:rsidRPr="00D00A7F">
        <w:rPr>
          <w:rFonts w:ascii="David" w:eastAsia="David" w:hAnsi="David" w:hint="cs"/>
          <w:rtl/>
        </w:rPr>
        <w:t xml:space="preserve"> (20.3.23) – נדחה ערעור של מי שהורשע על פי הודאתו בהחזקת נשק (החזיק במחסן הסמוך לביתו אקדח ומחסנית מסוג </w:t>
      </w:r>
      <w:r w:rsidR="00B34A87" w:rsidRPr="00D00A7F">
        <w:rPr>
          <w:rFonts w:ascii="David" w:eastAsia="David" w:hAnsi="David"/>
          <w:sz w:val="22"/>
          <w:szCs w:val="22"/>
        </w:rPr>
        <w:t>TAURUS</w:t>
      </w:r>
      <w:r w:rsidR="00B34A87" w:rsidRPr="00D00A7F">
        <w:rPr>
          <w:rFonts w:ascii="David" w:eastAsia="David" w:hAnsi="David" w:hint="cs"/>
          <w:rtl/>
        </w:rPr>
        <w:t xml:space="preserve"> בקוטר 9 מ"מ שמספרו הסידורי מחוק). נקבע מתחם 13–36 חודשי מאסר בפועל. בהתחשב, בין היתר, בגילו, נסיבותיו האישיות, העדר עבר, הודאתו, התרשמות שירות המבחן מנקיטת גישה מצמצמת ומסתירה, העדר המלצה טיפולית וחלוף הזמן – הושתו 14 חודשי מאסר בפועל, מאסר מתנה ו-5,000 ₪ קנס. בדחותו הערעור נקבע, בין היתר, כי יש להטמיע בציבור את התובנה שהחזקת נשק ללא היתר היא מעשה חמור, אסור בתכלית, המסכן את הציבור ואת מבצעו בענישה כואבת. עוד נקבע כי גזר הדין של בית משפט קמא הוא מדוד ושקול והעונש הביא בחשבון את כלל הנסיבות שעמדו לזכות המערער, ובמידה מסוימת אף הקל עמו. </w:t>
      </w:r>
    </w:p>
    <w:p w14:paraId="396F673E" w14:textId="77777777" w:rsidR="00B34A87" w:rsidRPr="00D00A7F" w:rsidRDefault="00B34A87" w:rsidP="00B34A87">
      <w:pPr>
        <w:widowControl w:val="0"/>
        <w:snapToGrid w:val="0"/>
        <w:ind w:left="1134"/>
        <w:jc w:val="both"/>
        <w:rPr>
          <w:rFonts w:ascii="David" w:eastAsia="David" w:hAnsi="David"/>
          <w:rtl/>
        </w:rPr>
      </w:pPr>
    </w:p>
    <w:p w14:paraId="01D87B49"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39" w:history="1">
        <w:r w:rsidRPr="00AD5A99">
          <w:rPr>
            <w:rFonts w:ascii="David" w:eastAsia="David" w:hAnsi="David"/>
            <w:color w:val="0000FF"/>
            <w:u w:val="single"/>
            <w:rtl/>
          </w:rPr>
          <w:t>עפ"ג (מחוזי-ב"ש) 25700-08-22</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זהר אלבחירי נ' מדינת ישראל</w:t>
      </w:r>
      <w:r w:rsidR="00B34A87" w:rsidRPr="00D00A7F">
        <w:rPr>
          <w:rFonts w:ascii="David" w:eastAsia="David" w:hAnsi="David" w:hint="cs"/>
          <w:rtl/>
        </w:rPr>
        <w:t xml:space="preserve"> (7.12.22) – נדחה ערעור על גזר הדין ב-</w:t>
      </w:r>
      <w:hyperlink r:id="rId40" w:history="1">
        <w:r w:rsidRPr="00AD5A99">
          <w:rPr>
            <w:rFonts w:ascii="David" w:eastAsia="David" w:hAnsi="David"/>
            <w:color w:val="0000FF"/>
            <w:u w:val="single"/>
            <w:rtl/>
          </w:rPr>
          <w:t>ת"פ (שלום-ב"ש) 54807-01-21</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אלבחירי</w:t>
      </w:r>
      <w:r w:rsidR="00B34A87" w:rsidRPr="00D00A7F">
        <w:rPr>
          <w:rFonts w:ascii="Miriam" w:eastAsia="David" w:hAnsi="Miriam" w:cs="Miriam"/>
          <w:b/>
          <w:bCs/>
          <w:rtl/>
        </w:rPr>
        <w:t xml:space="preserve"> </w:t>
      </w:r>
      <w:r w:rsidR="00B34A87" w:rsidRPr="00D00A7F">
        <w:rPr>
          <w:rFonts w:ascii="David" w:eastAsia="David" w:hAnsi="David" w:hint="cs"/>
          <w:rtl/>
        </w:rPr>
        <w:t xml:space="preserve">(3.7.22), אליהם הפנה ב"כ המאשימה. בגין הרשעתו, על פי הודאתו, בהחזקת נשק והחזקת תחמושת (החזיק בביתו במזוודת מתכת מעל ארון המטבח, אקדח חצי אוטומטי מסוג </w:t>
      </w:r>
      <w:r w:rsidR="00B34A87" w:rsidRPr="00D00A7F">
        <w:rPr>
          <w:rFonts w:ascii="David" w:eastAsia="David" w:hAnsi="David"/>
          <w:sz w:val="22"/>
          <w:szCs w:val="22"/>
        </w:rPr>
        <w:t>FN</w:t>
      </w:r>
      <w:r w:rsidR="00B34A87" w:rsidRPr="00D00A7F">
        <w:rPr>
          <w:rFonts w:ascii="David" w:eastAsia="David" w:hAnsi="David" w:hint="cs"/>
          <w:rtl/>
        </w:rPr>
        <w:t>, שבתוכו מחסנית, מחסנית אקדח נוספת ו-5 קופסאות תחמושת שהכילו 213 כדורי 9 מ"מ). נקבע מתחם 12–36 חודשי מאסר בפועל, בצירוף ענישה נלווית הכוללת קנס. בהתחשב בנסיבותיו האישיות, לרבות מצבם הבריאותי של ילדיו ומעורבותו בטיפולם, אורח חיים נורמטיבי, העדר עבר, הודאתו ונטילת האחריות – הושתו 18 חודשי מאסר בפועל, בניכוי ימי מעצרו, 6 חודשי מאסר מותנה ו-10,000 ₪ קנס. בדחותו הערעור קבע בית המשפט המחוזי כי העונש הולם חומרת מעשי המערער, עולה בקנה אחד עם מדיניות הענישה הנוהגת ומתחשב כראוי במכלול נסיבות העבירה ונסיבותיו האישיות.</w:t>
      </w:r>
    </w:p>
    <w:p w14:paraId="68FE571D" w14:textId="77777777" w:rsidR="00B34A87" w:rsidRPr="00D00A7F" w:rsidRDefault="00B34A87" w:rsidP="00B34A87">
      <w:pPr>
        <w:ind w:left="720"/>
        <w:contextualSpacing/>
        <w:jc w:val="both"/>
        <w:rPr>
          <w:rFonts w:cs="Times New Roman"/>
          <w:rtl/>
        </w:rPr>
      </w:pPr>
    </w:p>
    <w:p w14:paraId="0060EB34" w14:textId="77777777" w:rsidR="00B34A87" w:rsidRPr="00D00A7F" w:rsidRDefault="00B34A87" w:rsidP="00B34A87">
      <w:pPr>
        <w:widowControl w:val="0"/>
        <w:numPr>
          <w:ilvl w:val="2"/>
          <w:numId w:val="2"/>
        </w:numPr>
        <w:snapToGrid w:val="0"/>
        <w:spacing w:line="360" w:lineRule="auto"/>
        <w:ind w:left="1191" w:hanging="397"/>
        <w:jc w:val="both"/>
        <w:rPr>
          <w:rFonts w:ascii="David" w:eastAsia="David" w:hAnsi="David"/>
        </w:rPr>
      </w:pPr>
      <w:r w:rsidRPr="00D00A7F">
        <w:rPr>
          <w:rFonts w:ascii="David" w:eastAsia="David" w:hAnsi="David" w:hint="cs"/>
          <w:rtl/>
        </w:rPr>
        <w:t xml:space="preserve"> </w:t>
      </w:r>
      <w:hyperlink r:id="rId41" w:history="1">
        <w:r w:rsidR="00AD5A99" w:rsidRPr="00AD5A99">
          <w:rPr>
            <w:rFonts w:ascii="David" w:eastAsia="David" w:hAnsi="David"/>
            <w:color w:val="0000FF"/>
            <w:u w:val="single"/>
            <w:rtl/>
          </w:rPr>
          <w:t>עפ"ג (מחוזי-ב"ש) 41707-03-22</w:t>
        </w:r>
      </w:hyperlink>
      <w:r w:rsidRPr="00D00A7F">
        <w:rPr>
          <w:rFonts w:ascii="David" w:eastAsia="David" w:hAnsi="David" w:hint="cs"/>
          <w:rtl/>
        </w:rPr>
        <w:t xml:space="preserve"> </w:t>
      </w:r>
      <w:r w:rsidRPr="00D00A7F">
        <w:rPr>
          <w:rFonts w:ascii="Miriam" w:eastAsia="David" w:hAnsi="Miriam" w:cs="Miriam"/>
          <w:b/>
          <w:bCs/>
          <w:sz w:val="22"/>
          <w:szCs w:val="22"/>
          <w:rtl/>
        </w:rPr>
        <w:t>מדינת ישראל נ' אבו טראש</w:t>
      </w:r>
      <w:r w:rsidRPr="00D00A7F">
        <w:rPr>
          <w:rFonts w:ascii="David" w:eastAsia="David" w:hAnsi="David" w:hint="cs"/>
          <w:sz w:val="22"/>
          <w:szCs w:val="22"/>
          <w:rtl/>
        </w:rPr>
        <w:t xml:space="preserve"> </w:t>
      </w:r>
      <w:r w:rsidRPr="00D00A7F">
        <w:rPr>
          <w:rFonts w:ascii="David" w:eastAsia="David" w:hAnsi="David" w:hint="cs"/>
          <w:rtl/>
        </w:rPr>
        <w:t>(22.6.22) – בקבלו ערעור המדינה קבע בית המשפט המחוזי, כי מדיניות הענישה בהחזקת אקדח היא במתחם 18–30 חודשי מאסר בפועל וככלל עבירת נשק לא הולמת מאסר בעבודות שירות, קל וחומר לאחר תיקון 140 ל-</w:t>
      </w:r>
      <w:hyperlink r:id="rId42" w:history="1">
        <w:r w:rsidR="00AD5A99" w:rsidRPr="00AD5A99">
          <w:rPr>
            <w:rFonts w:ascii="Miriam" w:eastAsia="David" w:hAnsi="Miriam" w:cs="Miriam"/>
            <w:b/>
            <w:bCs/>
            <w:color w:val="0000FF"/>
            <w:sz w:val="18"/>
            <w:szCs w:val="22"/>
            <w:u w:val="single"/>
            <w:rtl/>
          </w:rPr>
          <w:t>חוק העונשין</w:t>
        </w:r>
      </w:hyperlink>
      <w:r w:rsidRPr="00D00A7F">
        <w:rPr>
          <w:rFonts w:ascii="David" w:eastAsia="David" w:hAnsi="David" w:hint="cs"/>
          <w:rtl/>
        </w:rPr>
        <w:t xml:space="preserve">, הגם שהתיקון לא חל על המשיב. נקבע כי אי תקינות הנשק יכולה להשפיע על הערכת הנזק הצפוי מביצוע העבירה ומשכך להשליך על קביעת מתחם העונש ההולם, אך אין בו כדי לשנות מהגדרת האקדח כנשק וכי גם כשמדובר בנשק לא תקין יש להשית מאסר בפועל. עונשו של מי שהודה בהחזקת אקדח חצי אוטומטי מסוג ברטה, ללא פין הדק ועצר מחלק, עטוף בבד בתוך שיח בחורשה, לאחר התחשבות בגילו הצעיר (21), נתוניו, אורח חייו, העדר עבר פלילי, הודאתו והתרשמות שירות המבחן – הוחמר ל-10 חודשי מאסר בפועל, חלף 5 חודשי מאסר בעבודות שירות. המאסרים המותנים נותרו על כנם. </w:t>
      </w:r>
    </w:p>
    <w:p w14:paraId="212BD115" w14:textId="77777777" w:rsidR="00B34A87" w:rsidRPr="00D00A7F" w:rsidRDefault="00B34A87" w:rsidP="00B34A87">
      <w:pPr>
        <w:ind w:left="720"/>
        <w:contextualSpacing/>
        <w:jc w:val="both"/>
        <w:rPr>
          <w:rFonts w:cs="Times New Roman"/>
        </w:rPr>
      </w:pPr>
    </w:p>
    <w:p w14:paraId="2900C608"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43" w:history="1">
        <w:r w:rsidRPr="00AD5A99">
          <w:rPr>
            <w:rFonts w:ascii="David" w:eastAsia="David" w:hAnsi="David"/>
            <w:color w:val="0000FF"/>
            <w:u w:val="single"/>
            <w:rtl/>
          </w:rPr>
          <w:t>עפ"ג (מחוזי-ב"ש) 44508-03-19</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צדק נ' מדינת ישראל</w:t>
      </w:r>
      <w:r w:rsidR="00B34A87" w:rsidRPr="00D00A7F">
        <w:rPr>
          <w:rFonts w:ascii="David" w:eastAsia="David" w:hAnsi="David" w:hint="cs"/>
          <w:rtl/>
        </w:rPr>
        <w:t xml:space="preserve"> (12.6.19) – לאחר ששמע את הערות בית המשפט, חזר בו המערער מערעורו על גזר הדין שניתן ב-</w:t>
      </w:r>
      <w:hyperlink r:id="rId44" w:history="1">
        <w:r w:rsidRPr="00AD5A99">
          <w:rPr>
            <w:rFonts w:ascii="David" w:eastAsia="David" w:hAnsi="David"/>
            <w:color w:val="0000FF"/>
            <w:u w:val="single"/>
            <w:rtl/>
          </w:rPr>
          <w:t>ת"פ (שלום ב"ש) 31106-09-17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צדק</w:t>
      </w:r>
      <w:r w:rsidR="00B34A87" w:rsidRPr="00D00A7F">
        <w:rPr>
          <w:rFonts w:ascii="David" w:eastAsia="David" w:hAnsi="David" w:hint="cs"/>
          <w:rtl/>
        </w:rPr>
        <w:t xml:space="preserve"> (3.2.19), אליו הפנו ב"כ הנאשמת. בגין הרשעתו לפי הודאתו בהחזקת נשק ותחמושת (משנת 1982 עד 30.5.16 החזיק בחדר השינה בביתו, בחוות האלה ליד שומריה, שני רובי קלצ'ניקוב ו-7 מחסניות מלאות כדורים המתאימים לנשק. הנשק והתחמושת נתפסו במהלך חיפוש שערכו שוטרי משטרת ישראל בביתו). נקבע מתחם 6–18 חודשי מאסר. אילולא נסיבותיו הייחודיות והמוסכם בדבר תכלית ההחזקה, היה נכון להעלות את רף הענישה למתחם המתחיל בשנת מאסר, בעיקר נוכח כך שמדובר בהחזקת 2 נשקים ומספר מחסניות, החזקה ארוכת השנים באופן נגיש גם לילדים. המאשימה הסכימה לחרוג מעתירתה העקרונית ולא למצות הדין בשל העדר עבר, נסיבות החזקתו להגנה עצמית, נסיבותיו האישיות, מקום מגוריו ומשלא נעשה שימוש בנשק, ולהסתפק ב-6 חודשי מאסר שיכול שירוצו בעבודות שירות לצד מאסר מותנה. בהתחשב בגילו (כבן 65), העדר עבר, היותו בעל משפחה ועסק, תרומתו הצבאית והביטחונית, נטילת אחריות מהירה, החזקת הנשק להגנה עצמית, יכולתו לקבל רישיון והפגיעה הצפויה – הושתו 6 חודשי מאסר לריצוי בעבודות שירות ומאסרים מותנים. </w:t>
      </w:r>
    </w:p>
    <w:p w14:paraId="1DB9FA00" w14:textId="77777777" w:rsidR="00B34A87" w:rsidRPr="00D00A7F" w:rsidRDefault="00B34A87" w:rsidP="00B34A87">
      <w:pPr>
        <w:ind w:left="720"/>
        <w:contextualSpacing/>
        <w:jc w:val="both"/>
        <w:rPr>
          <w:rFonts w:cs="Times New Roman"/>
        </w:rPr>
      </w:pPr>
    </w:p>
    <w:p w14:paraId="02B8845B"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45" w:history="1">
        <w:r w:rsidRPr="00AD5A99">
          <w:rPr>
            <w:rFonts w:ascii="David" w:eastAsia="David" w:hAnsi="David"/>
            <w:color w:val="0000FF"/>
            <w:u w:val="single"/>
            <w:rtl/>
          </w:rPr>
          <w:t>עפ"ג (מחוזי-ב"ש) 20062-03-19</w:t>
        </w:r>
      </w:hyperlink>
      <w:r w:rsidR="00B34A87" w:rsidRPr="00D00A7F">
        <w:rPr>
          <w:rFonts w:ascii="David" w:eastAsia="David" w:hAnsi="David" w:hint="cs"/>
          <w:rtl/>
        </w:rPr>
        <w:t xml:space="preserve"> </w:t>
      </w:r>
      <w:r w:rsidR="00B34A87" w:rsidRPr="00D00A7F">
        <w:rPr>
          <w:rFonts w:ascii="Miriam" w:eastAsia="David" w:hAnsi="Miriam" w:cs="Miriam"/>
          <w:b/>
          <w:bCs/>
          <w:sz w:val="18"/>
          <w:szCs w:val="22"/>
          <w:rtl/>
        </w:rPr>
        <w:t>אטרש נ' מדינת ישראל</w:t>
      </w:r>
      <w:r w:rsidR="00B34A87" w:rsidRPr="00D00A7F">
        <w:rPr>
          <w:rFonts w:ascii="David" w:eastAsia="David" w:hAnsi="David" w:hint="cs"/>
          <w:sz w:val="18"/>
          <w:szCs w:val="22"/>
          <w:rtl/>
        </w:rPr>
        <w:t xml:space="preserve"> </w:t>
      </w:r>
      <w:r w:rsidR="00B34A87" w:rsidRPr="00D00A7F">
        <w:rPr>
          <w:rFonts w:ascii="David" w:eastAsia="David" w:hAnsi="David" w:hint="cs"/>
          <w:rtl/>
        </w:rPr>
        <w:t>(17.4.19) – נדחה ערעור של מי שהחזיק בביתו אקדח ברטה ומספר קליעים בתוך גרביים, שהיו מוסתרים יחד בכובע. ב</w:t>
      </w:r>
      <w:hyperlink r:id="rId46" w:history="1">
        <w:r w:rsidRPr="00AD5A99">
          <w:rPr>
            <w:rFonts w:ascii="David" w:eastAsia="David" w:hAnsi="David"/>
            <w:color w:val="0000FF"/>
            <w:u w:val="single"/>
            <w:rtl/>
          </w:rPr>
          <w:t>ת"פ (שלום-ב"ש) 57859-12-16</w:t>
        </w:r>
      </w:hyperlink>
      <w:r w:rsidR="00B34A87" w:rsidRPr="00D00A7F">
        <w:rPr>
          <w:rFonts w:ascii="David" w:eastAsia="David" w:hAnsi="David" w:hint="cs"/>
          <w:rtl/>
        </w:rPr>
        <w:t xml:space="preserve"> </w:t>
      </w:r>
      <w:r w:rsidR="00B34A87" w:rsidRPr="00D00A7F">
        <w:rPr>
          <w:rFonts w:ascii="Miriam" w:eastAsia="David" w:hAnsi="Miriam" w:cs="Miriam"/>
          <w:b/>
          <w:bCs/>
          <w:sz w:val="18"/>
          <w:szCs w:val="22"/>
          <w:rtl/>
        </w:rPr>
        <w:t xml:space="preserve">מדינת ישראל נ' אטרש </w:t>
      </w:r>
      <w:r w:rsidR="00B34A87" w:rsidRPr="00D00A7F">
        <w:rPr>
          <w:rFonts w:ascii="David" w:eastAsia="David" w:hAnsi="David" w:hint="cs"/>
          <w:rtl/>
        </w:rPr>
        <w:t xml:space="preserve">(6.2.19) נקבע מתחם 30-10 חודשי מאסר בפועל. על מי שהודה, לחובתו עבר ישן שלא בעבירות נשק ושבעניינו הוגשו תסקירים חיוביים, המלמדים על התקדמות בטיפול – הושתו 10 חודשי מאסר בפועל. בדחותה הערעור, קבעה סגנית הנשיא, כב' הש' רז-לוי קביעות הרלוונטיות גם לעניינו, אליהן הצטרפה בהסכמה כב' הש' שלו, כנגד דעתו החולקת של כב' הש' עדן: </w:t>
      </w:r>
    </w:p>
    <w:p w14:paraId="7BBA4CEE" w14:textId="77777777" w:rsidR="00B34A87" w:rsidRPr="00D00A7F" w:rsidRDefault="00B34A87" w:rsidP="00B34A87">
      <w:pPr>
        <w:ind w:left="794" w:right="454"/>
        <w:jc w:val="both"/>
        <w:rPr>
          <w:rFonts w:ascii="David" w:eastAsia="David" w:hAnsi="David"/>
        </w:rPr>
      </w:pPr>
    </w:p>
    <w:p w14:paraId="3526374E" w14:textId="77777777" w:rsidR="00B34A87" w:rsidRPr="00D00A7F" w:rsidRDefault="00B34A87" w:rsidP="00B34A87">
      <w:pPr>
        <w:ind w:left="1588" w:right="794"/>
        <w:jc w:val="both"/>
        <w:rPr>
          <w:rFonts w:ascii="David" w:eastAsia="David" w:hAnsi="David"/>
          <w:b/>
          <w:bCs/>
          <w:rtl/>
        </w:rPr>
      </w:pPr>
      <w:r w:rsidRPr="00D00A7F">
        <w:rPr>
          <w:rFonts w:ascii="David" w:eastAsia="David" w:hAnsi="David" w:hint="cs"/>
          <w:rtl/>
        </w:rPr>
        <w:t>"</w:t>
      </w:r>
      <w:r w:rsidRPr="00D00A7F">
        <w:rPr>
          <w:rFonts w:ascii="David" w:eastAsia="David" w:hAnsi="David" w:hint="cs"/>
          <w:b/>
          <w:bCs/>
          <w:rtl/>
        </w:rPr>
        <w:t xml:space="preserve">הפסיקה חזרה וציינה כי יש מקום להחמרה ולענישה ממשית ומוחשית בעבירות הקשורות בנשק, זאת בשל הסיכון הרב שהן טומנות בחובן לציבור ולשלומו. </w:t>
      </w:r>
    </w:p>
    <w:p w14:paraId="16248B06" w14:textId="77777777" w:rsidR="00B34A87" w:rsidRPr="00D00A7F" w:rsidRDefault="00B34A87" w:rsidP="00B34A87">
      <w:pPr>
        <w:ind w:left="1588" w:right="794"/>
        <w:jc w:val="both"/>
        <w:rPr>
          <w:rFonts w:ascii="David" w:eastAsia="David" w:hAnsi="David"/>
          <w:rtl/>
        </w:rPr>
      </w:pPr>
      <w:r w:rsidRPr="00D00A7F">
        <w:rPr>
          <w:rFonts w:ascii="David" w:eastAsia="David" w:hAnsi="David" w:hint="cs"/>
          <w:b/>
          <w:bCs/>
          <w:rtl/>
        </w:rPr>
        <w:t>בפסקי דין לא מעטים שניתנו בהרכב הערעורים בבית משפט זה, ובפסיקת בית המשפט העליון ציינו את המימדים הקשים והמדאיגים של תופעת החזקת הנשק הבלתי חוקית</w:t>
      </w:r>
      <w:r w:rsidRPr="00D00A7F">
        <w:rPr>
          <w:rFonts w:ascii="David" w:eastAsia="David" w:hAnsi="David" w:hint="cs"/>
          <w:rtl/>
        </w:rPr>
        <w:t>...</w:t>
      </w:r>
    </w:p>
    <w:p w14:paraId="12F616EF" w14:textId="77777777" w:rsidR="00B34A87" w:rsidRPr="00D00A7F" w:rsidRDefault="00B34A87" w:rsidP="00B34A87">
      <w:pPr>
        <w:ind w:left="1588" w:right="794"/>
        <w:jc w:val="both"/>
        <w:rPr>
          <w:rFonts w:ascii="David" w:eastAsia="David" w:hAnsi="David"/>
        </w:rPr>
      </w:pPr>
      <w:r w:rsidRPr="00D00A7F">
        <w:rPr>
          <w:rFonts w:ascii="David" w:eastAsia="David" w:hAnsi="David" w:hint="cs"/>
          <w:b/>
          <w:bCs/>
          <w:rtl/>
        </w:rPr>
        <w:t>חובה על בית המשפט לאור היקף התופעה של החזקת נשק והשימוש בו, לתרום בענישתו לאותו נסיון שנעשה לבלום ולמגר את התופעה הקיימת ומכאן נפסק כי יש מקום להחמרה בענישה ולהשתת עונשי מאסר בפועל, גם במקרים בהם מדובר בנאשמים נעדרי עבר פלילי אשר בעניינם הוגשו תסקירים חיוביים</w:t>
      </w:r>
      <w:r w:rsidRPr="00D00A7F">
        <w:rPr>
          <w:rFonts w:ascii="David" w:eastAsia="David" w:hAnsi="David" w:hint="cs"/>
          <w:rtl/>
        </w:rPr>
        <w:t>...</w:t>
      </w:r>
    </w:p>
    <w:p w14:paraId="05DA99AE" w14:textId="77777777" w:rsidR="00B34A87" w:rsidRPr="00D00A7F" w:rsidRDefault="00B34A87" w:rsidP="00B34A87">
      <w:pPr>
        <w:ind w:left="1588" w:right="794"/>
        <w:jc w:val="both"/>
        <w:rPr>
          <w:rFonts w:ascii="David" w:eastAsia="David" w:hAnsi="David"/>
          <w:rtl/>
        </w:rPr>
      </w:pPr>
      <w:r w:rsidRPr="00D00A7F">
        <w:rPr>
          <w:rFonts w:ascii="David" w:eastAsia="David" w:hAnsi="David" w:hint="cs"/>
          <w:b/>
          <w:bCs/>
          <w:rtl/>
        </w:rPr>
        <w:t>עוד יש לזכור, כי בעניינו החזיק המערער אקדח אשר אין מחלוקת שהוא יכול לירות וגם תחמושת, שניהם מוטמנים ומוצפנים בביתו ואף לעניין החזקת התחמושת, מעבר לחזקת האקדח, יש משקל לחומרה</w:t>
      </w:r>
      <w:r w:rsidRPr="00D00A7F">
        <w:rPr>
          <w:rFonts w:ascii="David" w:eastAsia="David" w:hAnsi="David" w:hint="cs"/>
          <w:rtl/>
        </w:rPr>
        <w:t>".</w:t>
      </w:r>
    </w:p>
    <w:p w14:paraId="2E466D4C" w14:textId="77777777" w:rsidR="00B34A87" w:rsidRPr="00D00A7F" w:rsidRDefault="00B34A87" w:rsidP="00B34A87">
      <w:pPr>
        <w:spacing w:line="360" w:lineRule="auto"/>
        <w:ind w:left="720"/>
        <w:contextualSpacing/>
        <w:jc w:val="both"/>
        <w:rPr>
          <w:rFonts w:cs="Times New Roman"/>
        </w:rPr>
      </w:pPr>
    </w:p>
    <w:p w14:paraId="5EDBC237"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47" w:history="1">
        <w:r w:rsidRPr="00AD5A99">
          <w:rPr>
            <w:rFonts w:ascii="Calibri" w:eastAsia="David" w:hAnsi="Calibri" w:hint="eastAsia"/>
            <w:color w:val="0000FF"/>
            <w:u w:val="single"/>
            <w:rtl/>
          </w:rPr>
          <w:t>עפ</w:t>
        </w:r>
        <w:r w:rsidRPr="00AD5A99">
          <w:rPr>
            <w:rFonts w:ascii="Calibri" w:eastAsia="David" w:hAnsi="Calibri"/>
            <w:color w:val="0000FF"/>
            <w:u w:val="single"/>
            <w:rtl/>
          </w:rPr>
          <w:t>"</w:t>
        </w:r>
        <w:r w:rsidRPr="00AD5A99">
          <w:rPr>
            <w:rFonts w:ascii="Calibri" w:eastAsia="David" w:hAnsi="Calibri" w:hint="eastAsia"/>
            <w:color w:val="0000FF"/>
            <w:u w:val="single"/>
            <w:rtl/>
          </w:rPr>
          <w:t>ג</w:t>
        </w:r>
        <w:r w:rsidRPr="00AD5A99">
          <w:rPr>
            <w:rFonts w:ascii="Calibri" w:eastAsia="David" w:hAnsi="Calibri"/>
            <w:color w:val="0000FF"/>
            <w:u w:val="single"/>
            <w:rtl/>
          </w:rPr>
          <w:t xml:space="preserve"> (</w:t>
        </w:r>
        <w:r w:rsidRPr="00AD5A99">
          <w:rPr>
            <w:rFonts w:ascii="Calibri" w:eastAsia="David" w:hAnsi="Calibri" w:hint="eastAsia"/>
            <w:color w:val="0000FF"/>
            <w:u w:val="single"/>
            <w:rtl/>
          </w:rPr>
          <w:t>מחוזי</w:t>
        </w:r>
        <w:r w:rsidRPr="00AD5A99">
          <w:rPr>
            <w:rFonts w:ascii="Calibri" w:eastAsia="David" w:hAnsi="Calibri"/>
            <w:color w:val="0000FF"/>
            <w:u w:val="single"/>
            <w:rtl/>
          </w:rPr>
          <w:t>-</w:t>
        </w:r>
        <w:r w:rsidRPr="00AD5A99">
          <w:rPr>
            <w:rFonts w:ascii="Calibri" w:eastAsia="David" w:hAnsi="Calibri" w:hint="eastAsia"/>
            <w:color w:val="0000FF"/>
            <w:u w:val="single"/>
            <w:rtl/>
          </w:rPr>
          <w:t>ב</w:t>
        </w:r>
        <w:r w:rsidRPr="00AD5A99">
          <w:rPr>
            <w:rFonts w:ascii="Calibri" w:eastAsia="David" w:hAnsi="Calibri"/>
            <w:color w:val="0000FF"/>
            <w:u w:val="single"/>
            <w:rtl/>
          </w:rPr>
          <w:t>"</w:t>
        </w:r>
        <w:r w:rsidRPr="00AD5A99">
          <w:rPr>
            <w:rFonts w:ascii="Calibri" w:eastAsia="David" w:hAnsi="Calibri" w:hint="eastAsia"/>
            <w:color w:val="0000FF"/>
            <w:u w:val="single"/>
            <w:rtl/>
          </w:rPr>
          <w:t>ש</w:t>
        </w:r>
        <w:r w:rsidRPr="00AD5A99">
          <w:rPr>
            <w:rFonts w:ascii="Calibri" w:eastAsia="David" w:hAnsi="Calibri"/>
            <w:color w:val="0000FF"/>
            <w:u w:val="single"/>
            <w:rtl/>
          </w:rPr>
          <w:t>) 11716-12-17</w:t>
        </w:r>
      </w:hyperlink>
      <w:r w:rsidR="00B34A87" w:rsidRPr="00D00A7F">
        <w:rPr>
          <w:rFonts w:ascii="Calibri" w:eastAsia="David" w:hAnsi="Calibri" w:hint="cs"/>
          <w:rtl/>
        </w:rPr>
        <w:t xml:space="preserve"> </w:t>
      </w:r>
      <w:r w:rsidR="00B34A87" w:rsidRPr="00D00A7F">
        <w:rPr>
          <w:rFonts w:ascii="Miriam" w:eastAsia="David" w:hAnsi="Miriam" w:cs="Miriam"/>
          <w:b/>
          <w:bCs/>
          <w:sz w:val="22"/>
          <w:szCs w:val="22"/>
          <w:rtl/>
        </w:rPr>
        <w:t>אבו מדיעם נ' מדינת ישראל</w:t>
      </w:r>
      <w:r w:rsidR="00B34A87" w:rsidRPr="00D00A7F">
        <w:rPr>
          <w:rFonts w:ascii="Miriam" w:eastAsia="David" w:hAnsi="Miriam" w:cs="Miriam"/>
          <w:sz w:val="22"/>
          <w:szCs w:val="22"/>
          <w:rtl/>
        </w:rPr>
        <w:t xml:space="preserve"> </w:t>
      </w:r>
      <w:r w:rsidR="00B34A87" w:rsidRPr="00D00A7F">
        <w:rPr>
          <w:rFonts w:ascii="Calibri" w:eastAsia="David" w:hAnsi="Calibri" w:hint="cs"/>
          <w:rtl/>
        </w:rPr>
        <w:t>(7.2.18) – נדחה ערעור של מי שהחזיק בביתו אקדח יריחו טעון במחסנית, מוסלק בתוך גרב בספה בבית. נקבע מתחם 30-10 חודשי מאסר בפועל. בהתחשב בהודאתו, היותו צעיר נ</w:t>
      </w:r>
      <w:r w:rsidR="00B34A87" w:rsidRPr="00D00A7F">
        <w:rPr>
          <w:rFonts w:ascii="David" w:eastAsia="David" w:hAnsi="David" w:hint="cs"/>
          <w:rtl/>
        </w:rPr>
        <w:t>עדר עבר פלילי, ב</w:t>
      </w:r>
      <w:r w:rsidR="00B34A87" w:rsidRPr="00D00A7F">
        <w:rPr>
          <w:rFonts w:ascii="Calibri" w:eastAsia="David" w:hAnsi="Calibri" w:hint="cs"/>
          <w:rtl/>
        </w:rPr>
        <w:t xml:space="preserve">מצבו הסוציואקונומי, היותו מטופל בשני ילדים קטנים </w:t>
      </w:r>
      <w:r w:rsidR="00B34A87" w:rsidRPr="00D00A7F">
        <w:rPr>
          <w:rFonts w:ascii="David" w:eastAsia="David" w:hAnsi="David" w:hint="cs"/>
          <w:rtl/>
        </w:rPr>
        <w:t>והתרשמות שירות המבחן שההליכים המשפטיים ומחיריהם מהווים עבורו גורם מרתיע – הושתו 10 חודשי מאסר בפועל. בדחיית הערעור נקבעו</w:t>
      </w:r>
      <w:r w:rsidR="00B34A87" w:rsidRPr="00D00A7F">
        <w:rPr>
          <w:rFonts w:ascii="Calibri" w:eastAsia="David" w:hAnsi="Calibri" w:hint="cs"/>
          <w:rtl/>
        </w:rPr>
        <w:t xml:space="preserve"> הדברים הבאים, הרלוונטיים גם לענייננו – </w:t>
      </w:r>
    </w:p>
    <w:p w14:paraId="2FB6AE5E" w14:textId="77777777" w:rsidR="00B34A87" w:rsidRPr="00D00A7F" w:rsidRDefault="00B34A87" w:rsidP="00B34A87">
      <w:pPr>
        <w:ind w:left="1588" w:right="794"/>
        <w:jc w:val="both"/>
        <w:rPr>
          <w:rFonts w:ascii="David" w:eastAsia="David" w:hAnsi="David"/>
          <w:rtl/>
        </w:rPr>
      </w:pPr>
    </w:p>
    <w:p w14:paraId="0E4C25B1" w14:textId="77777777" w:rsidR="00B34A87" w:rsidRPr="00D00A7F" w:rsidRDefault="00B34A87" w:rsidP="00B34A87">
      <w:pPr>
        <w:ind w:left="1588" w:right="794"/>
        <w:jc w:val="both"/>
        <w:rPr>
          <w:rFonts w:ascii="David" w:eastAsia="David" w:hAnsi="David"/>
          <w:b/>
          <w:bCs/>
          <w:rtl/>
        </w:rPr>
      </w:pPr>
      <w:r w:rsidRPr="00D00A7F">
        <w:rPr>
          <w:rFonts w:ascii="David" w:eastAsia="David" w:hAnsi="David" w:hint="cs"/>
          <w:rtl/>
        </w:rPr>
        <w:t>"...</w:t>
      </w:r>
      <w:r w:rsidRPr="00D00A7F">
        <w:rPr>
          <w:rFonts w:ascii="David" w:eastAsia="David" w:hAnsi="David" w:hint="cs"/>
          <w:b/>
          <w:bCs/>
          <w:rtl/>
        </w:rPr>
        <w:t>מהפסיקה בעת האחרונה עולה מגמה ברורה של החמרה בענישה בנוגע לעבירות נשק וכך ראוי וכך גם נכון. עבירות הנשק טומנות בחובן פוטנציאל קטלני, ריבוי כלי הנשק המוחזקים בידי הציבור שלא כדין, הפך לסכנה של ממש, ופוטנציאל הסיכון מגיע גם לידי מימוש קטלני. נשק המוחזק שלא כחוק בידי אדם לא מורשה, יש עמו פוטנציאל של סיכון גם לשימוש שלא על פי הוראות פתיחה באש, גם לשימוש רשלני וגם לשימוש פלילי מכוון ולצערנו, כלי נשק אלה מוצאים דרכם גם לגורמי פח"ע ולארגוני פשיעה</w:t>
      </w:r>
      <w:r w:rsidRPr="00D00A7F">
        <w:rPr>
          <w:rFonts w:ascii="David" w:eastAsia="David" w:hAnsi="David" w:hint="cs"/>
          <w:rtl/>
        </w:rPr>
        <w:t>".</w:t>
      </w:r>
    </w:p>
    <w:p w14:paraId="1A4EAD1A" w14:textId="77777777" w:rsidR="00B34A87" w:rsidRPr="00D00A7F" w:rsidRDefault="00B34A87" w:rsidP="00B34A87">
      <w:pPr>
        <w:widowControl w:val="0"/>
        <w:snapToGrid w:val="0"/>
        <w:spacing w:line="360" w:lineRule="auto"/>
        <w:ind w:left="1134"/>
        <w:jc w:val="both"/>
        <w:rPr>
          <w:rFonts w:ascii="David" w:eastAsia="David" w:hAnsi="David"/>
          <w:rtl/>
        </w:rPr>
      </w:pPr>
    </w:p>
    <w:p w14:paraId="575381F4"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48" w:history="1">
        <w:r w:rsidRPr="00AD5A99">
          <w:rPr>
            <w:rFonts w:ascii="David" w:eastAsia="David" w:hAnsi="David"/>
            <w:color w:val="0000FF"/>
            <w:u w:val="single"/>
            <w:rtl/>
          </w:rPr>
          <w:t>עפ"ג (מחוזי-ב"ש) 39421-03-17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אבו אל קיעאן נ' מדינת ישראל</w:t>
      </w:r>
      <w:r w:rsidR="00B34A87" w:rsidRPr="00D00A7F">
        <w:rPr>
          <w:rFonts w:ascii="David" w:eastAsia="David" w:hAnsi="David" w:hint="cs"/>
          <w:rtl/>
        </w:rPr>
        <w:t xml:space="preserve"> (21.6.17), אליו הפנו ב"כ הנאשמת – נדחה ערעור. בגין הרשעתו, לפי הודאתו, בהחזקת נשק, תחמושת ונכס חשוד כגנוב (החזיק בביתו בחורה אקדח גלוק טעון במחסנית עם 14 כדורים, השייך לאדם אחר, כשקיים חשד כי מדובר בנשק גנוב) – נקבע מתחם 6–18 חודשי מאסר בפועל. על צעיר כבן 18, נעדר עבר, ששלל נזקקות טיפולית, בעל תפקוד נורמטיבי, שהודה, נטל אחריות והביע חרטה ובהתחשב במצבו הרפואי – הושתו 5 חודשי מאסר בפועל (לאחר שנמצא כי בשל מצב רפואי שאינו בשליטתו הוא לא כשיר לבצע עבודות שירות ונקבע כי לא ראוי לגזור דינו למאסר בפועל כמשך התקופה שהיה מרצה בעבודות שירות) ו-10 חודשי מאסר מותנה. בדחותו הערעור, לא מצא בית המשפט המחוזי כי יש מקום להימנע מהרשעה. עוד נקבע כי המתחם ראוי, ונוכח העמדה שהוצגה על ידי המערער לעניין ריצוי המאסר, אף לא נמצאה כל עילה להתערב בעונש שהוטל.</w:t>
      </w:r>
    </w:p>
    <w:p w14:paraId="39AD60BB" w14:textId="77777777" w:rsidR="00B34A87" w:rsidRPr="00D00A7F" w:rsidRDefault="00B34A87" w:rsidP="00B34A87">
      <w:pPr>
        <w:widowControl w:val="0"/>
        <w:snapToGrid w:val="0"/>
        <w:ind w:left="1134"/>
        <w:jc w:val="both"/>
        <w:rPr>
          <w:rFonts w:ascii="David" w:eastAsia="David" w:hAnsi="David"/>
          <w:rtl/>
        </w:rPr>
      </w:pPr>
    </w:p>
    <w:p w14:paraId="4B64BFC6"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Pr>
      </w:pPr>
      <w:hyperlink r:id="rId49" w:history="1">
        <w:r w:rsidRPr="00AD5A99">
          <w:rPr>
            <w:rFonts w:ascii="David" w:eastAsia="David" w:hAnsi="David"/>
            <w:color w:val="0000FF"/>
            <w:u w:val="single"/>
            <w:rtl/>
          </w:rPr>
          <w:t>ת"פ (שלום-חדרה) 7617-07-23</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אבו פני</w:t>
      </w:r>
      <w:r w:rsidR="00B34A87" w:rsidRPr="00D00A7F">
        <w:rPr>
          <w:rFonts w:ascii="Miriam" w:eastAsia="David" w:hAnsi="Miriam" w:cs="Miriam"/>
          <w:rtl/>
        </w:rPr>
        <w:t xml:space="preserve"> </w:t>
      </w:r>
      <w:r w:rsidR="00B34A87" w:rsidRPr="00D00A7F">
        <w:rPr>
          <w:rFonts w:ascii="David" w:eastAsia="David" w:hAnsi="David" w:hint="cs"/>
          <w:rtl/>
        </w:rPr>
        <w:t xml:space="preserve">(23.9.24), אליו הפנה ב"כ המאשימה – בגין הרשעתו בהחזקת נשק והחזקת חלק של נשק או תחמושת (יחד איתו הורשעה אשתו בשיבוש מהלכי משפט והפרעה לשוטר במילוי תפקידו – במועד בו בוצע צו חיפוש בביתם, החזיק אקדח חצי אוטומטי </w:t>
      </w:r>
      <w:r w:rsidR="00B34A87" w:rsidRPr="00D00A7F">
        <w:rPr>
          <w:rFonts w:ascii="David" w:eastAsia="David" w:hAnsi="David"/>
          <w:sz w:val="22"/>
          <w:szCs w:val="22"/>
        </w:rPr>
        <w:t>D.D.G</w:t>
      </w:r>
      <w:r w:rsidR="00B34A87" w:rsidRPr="00D00A7F">
        <w:rPr>
          <w:rFonts w:ascii="David" w:eastAsia="David" w:hAnsi="David" w:hint="cs"/>
          <w:rtl/>
        </w:rPr>
        <w:t>, טעון במחסנית מלאה תואמת, 16 כדורי תחמושת בקוטר 9 מ"מ ומחסנית נוספת תואמת שהכילה כדור תחמושת בקוטר 9 מ"מ). נקבע מתחם 18–36 חודשי מאסר בפועל. על נעדר עבר, שהודה והביע צער וחרטה, ששירות המבחן לא בהמלצה שיקומית בעניינו והמליץ על ענישה מוחשית, בהתחשב בנסיבותיו האישיות ומצבו הרפואי, הפגיעה הצפויה לו, למשפחתו ולפרנסתו מעונש מאסר והתקופה בה היה עצור – הושתו 18 חודשי מאסר בניכוי ימי מעצרו, 12 חודשי מאסר מותנה ו-8,000 ₪ קנס.</w:t>
      </w:r>
    </w:p>
    <w:p w14:paraId="731DE099" w14:textId="77777777" w:rsidR="00B34A87" w:rsidRPr="00D00A7F" w:rsidRDefault="00B34A87" w:rsidP="00B34A87">
      <w:pPr>
        <w:ind w:left="720"/>
        <w:contextualSpacing/>
        <w:jc w:val="both"/>
        <w:rPr>
          <w:rFonts w:cs="Times New Roman"/>
          <w:rtl/>
        </w:rPr>
      </w:pPr>
    </w:p>
    <w:p w14:paraId="5C3E4D55"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0" w:history="1">
        <w:r w:rsidRPr="00AD5A99">
          <w:rPr>
            <w:rFonts w:ascii="David" w:eastAsia="David" w:hAnsi="David"/>
            <w:color w:val="0000FF"/>
            <w:u w:val="single"/>
            <w:rtl/>
          </w:rPr>
          <w:t>ת"פ (שלום-קריות) 23533-01-24</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חאלד</w:t>
      </w:r>
      <w:r w:rsidR="00B34A87" w:rsidRPr="00D00A7F">
        <w:rPr>
          <w:rFonts w:ascii="David" w:eastAsia="David" w:hAnsi="David" w:hint="cs"/>
          <w:rtl/>
        </w:rPr>
        <w:t xml:space="preserve"> (16.7.24), אליו הפנה ב"כ המאשימה – בגין הרשעתו לפי הודאתו בהחזקת נשק ותחמושת (החזיק מתחת למזרן עליו ישן אקדח </w:t>
      </w:r>
      <w:r w:rsidR="00B34A87" w:rsidRPr="00D00A7F">
        <w:rPr>
          <w:rFonts w:ascii="David" w:eastAsia="David" w:hAnsi="David"/>
          <w:sz w:val="22"/>
          <w:szCs w:val="22"/>
        </w:rPr>
        <w:t>CZ</w:t>
      </w:r>
      <w:r w:rsidR="00B34A87" w:rsidRPr="00D00A7F">
        <w:rPr>
          <w:rFonts w:ascii="David" w:eastAsia="David" w:hAnsi="David" w:hint="cs"/>
          <w:rtl/>
        </w:rPr>
        <w:t xml:space="preserve"> ובו מחסנית עם 16 כדורי 9 מ"מ) נקבע מתחם 18–36 חודשי מאסר. בהתחשב בגילו הצעיר, נסיבותיו האישיות, הודאתו, התקופה בה היה עצור ועברו הפלילי – נגזרו 19 חודשי מאסר בפועל ומאסרים מותנים. </w:t>
      </w:r>
    </w:p>
    <w:p w14:paraId="5D29AA8A" w14:textId="77777777" w:rsidR="00B34A87" w:rsidRPr="00D00A7F" w:rsidRDefault="00B34A87" w:rsidP="00B34A87">
      <w:pPr>
        <w:ind w:left="720"/>
        <w:contextualSpacing/>
        <w:jc w:val="both"/>
        <w:rPr>
          <w:rFonts w:cs="Times New Roman"/>
        </w:rPr>
      </w:pPr>
    </w:p>
    <w:p w14:paraId="22806938"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1" w:history="1">
        <w:r w:rsidRPr="00AD5A99">
          <w:rPr>
            <w:rFonts w:ascii="David" w:eastAsia="David" w:hAnsi="David"/>
            <w:color w:val="0000FF"/>
            <w:u w:val="single"/>
            <w:rtl/>
          </w:rPr>
          <w:t>ת"פ (שלום-עכו) 53239-10-21</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חמוד</w:t>
      </w:r>
      <w:r w:rsidR="00B34A87" w:rsidRPr="00D00A7F">
        <w:rPr>
          <w:rFonts w:ascii="David" w:eastAsia="David" w:hAnsi="David" w:hint="cs"/>
          <w:rtl/>
        </w:rPr>
        <w:t xml:space="preserve"> (7.6.22), אליו הפנה ב"כ המאשימה – הורשע בהכרעת דין במחלוקת משפטית, ללא שמיעת ראיות, בניסיון החזקת/רכישת נשק ורכישת/החזקת חלק של נשק או תחמושת (החזיק באקדח הזנקה שהוסב לירי תחמושת קליעית בקליבר 9 מ"מ פאראבלום כשמנגנון ההדק במצב לא תקין ו-64 כדורים 9 מ"מ). נקבע מתחם 12–30 חודשי מאסר בפועל. בהתחשב, בין השאר, בגילו, אי הודאתו, עברו הפלילי המכביד, ישן יחסית אך רלוונטי ובכך שלא הונח אפיק שיקומי טיפולי – הושתו 12 חודשי מאסר החל מיום מעצרו, 9 חודשי מאסר מותנה, 5,000 ₪ קנס והתחייבות בסך 10,000 ₪. </w:t>
      </w:r>
    </w:p>
    <w:p w14:paraId="33515133" w14:textId="77777777" w:rsidR="00B34A87" w:rsidRPr="00D00A7F" w:rsidRDefault="00B34A87" w:rsidP="00B34A87">
      <w:pPr>
        <w:ind w:left="720"/>
        <w:contextualSpacing/>
        <w:jc w:val="both"/>
        <w:rPr>
          <w:rFonts w:cs="Times New Roman"/>
          <w:rtl/>
        </w:rPr>
      </w:pPr>
    </w:p>
    <w:p w14:paraId="51A4F2C9"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2" w:history="1">
        <w:r w:rsidRPr="00AD5A99">
          <w:rPr>
            <w:rFonts w:ascii="David" w:eastAsia="David" w:hAnsi="David"/>
            <w:color w:val="0000FF"/>
            <w:u w:val="single"/>
            <w:rtl/>
          </w:rPr>
          <w:t>ת"פ (מחוזי-חי) 41762-12-20</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גרדלי</w:t>
      </w:r>
      <w:r w:rsidR="00B34A87" w:rsidRPr="00D00A7F">
        <w:rPr>
          <w:rFonts w:ascii="David" w:eastAsia="David" w:hAnsi="David" w:hint="cs"/>
          <w:rtl/>
        </w:rPr>
        <w:t xml:space="preserve"> (16.11.21), אליו הפנו ב"כ הנאשמת. הורשע, לפי הודאתו, בהחזקת נשק [תושב כפר יאסיף החזיק מטען חבלה פירוטכני מאולתר ברכב בבעלותו, ביישוב אבו סנאן. המטען הורכב מחיבור שתי פחיות משקה עשויות מתכת באמצעות סרט הדבקה שחור לכדי מיכל שהכיל אבק שריפה, שבין מרכיביו דיפניל וחומר נפץ מסוג ניטרוגליצרין. עוד הכיל המטען 5 קליעים של כדורי נשק קל מסוג 5.56 ותרמיל של נשק קל מסוג 5.56. המטען היה ללא אמצעי יזימה. נקבע שבכוחו לגרום לנזק בעת הפעלתו או התפוצצותו, שחומרתו נעה החל מגרימת צפצופים באוזניים, פציעות שטחיות, כוויות ועד לרמה של קטיעת איבר]. נקבע מתחם 12–30 חודשי מאסר לצד עונשים נלווים. בהתחשב בהודאתו לאחר שנשמעו חלק מעדי התביעה, גילו הצעיר, עברו הנקי, נסיבותיו הקשות, תקופה בת חודשיים בה שהה מאחורי סורג ובריח ו-10 חודשים בהם שהה במעצר באיזוק אלקטרוני, הימנעות שירות המבחן מהמלצה טיפולית והערכתו כי ההליך מהווה גורם הרתעתי משמעותי, מחדל ועינוי דין מסוים שנגרם לו – מצא בית המשפט לסטות מהמתחם, לקבל המלצת שירות המבחן ולהטיל 9 חודשי מאסר לריצוי בעבודות שירות, מאסר מותנה ו-3,000 ₪ קנס.</w:t>
      </w:r>
    </w:p>
    <w:p w14:paraId="4002DA04" w14:textId="77777777" w:rsidR="00B34A87" w:rsidRPr="00D00A7F" w:rsidRDefault="00B34A87" w:rsidP="00B34A87">
      <w:pPr>
        <w:widowControl w:val="0"/>
        <w:snapToGrid w:val="0"/>
        <w:ind w:left="1134"/>
        <w:jc w:val="both"/>
        <w:rPr>
          <w:rFonts w:ascii="David" w:eastAsia="David" w:hAnsi="David"/>
        </w:rPr>
      </w:pPr>
    </w:p>
    <w:p w14:paraId="4872B2DB"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3" w:history="1">
        <w:r w:rsidRPr="00AD5A99">
          <w:rPr>
            <w:rFonts w:ascii="David" w:eastAsia="David" w:hAnsi="David"/>
            <w:color w:val="0000FF"/>
            <w:u w:val="single"/>
            <w:rtl/>
          </w:rPr>
          <w:t>ת"פ (שלום-ב"ש) 41612-08-20</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אבו כף ואח'</w:t>
      </w:r>
      <w:r w:rsidR="00B34A87" w:rsidRPr="00D00A7F">
        <w:rPr>
          <w:rFonts w:ascii="David" w:eastAsia="David" w:hAnsi="David" w:hint="cs"/>
          <w:rtl/>
        </w:rPr>
        <w:t xml:space="preserve"> (4.7.21), אליו הפנו ב"כ הנאשמת – בגין הרשעתו בהחזקת נשק חם (אקדח מסוג "מאוזר" שלגביו הוסכם כי הוחזק כמזכרת ולא היה תקין, על אף שניתן לבצע באמצעותו ירי ולהמית אדם). נעדר הרשעות מלבד הרשעה לפני כ-18 שנים בסמים, בגינה ריצה מאסר. נקבע שההסדר חרג לקולה, שכן המתחם הוא 1–2 שנות מאסר בפועל. נוכח נסיבותיו החריגות, משהנשק לא הוחזק למטרה עבריינית או למטרת שימוש כלשהו אושר ההסדר והושתו 3 חודשי מאסר לריצוי בעבודות שירות, מאסרים מותנים ו-5,000 ₪ קנס.</w:t>
      </w:r>
    </w:p>
    <w:p w14:paraId="73444882" w14:textId="77777777" w:rsidR="00B34A87" w:rsidRPr="00D00A7F" w:rsidRDefault="00B34A87" w:rsidP="00B34A87">
      <w:pPr>
        <w:ind w:left="720"/>
        <w:contextualSpacing/>
        <w:jc w:val="both"/>
        <w:rPr>
          <w:rFonts w:cs="Times New Roman"/>
        </w:rPr>
      </w:pPr>
    </w:p>
    <w:p w14:paraId="1D9E91F9"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Pr>
      </w:pPr>
      <w:hyperlink r:id="rId54" w:history="1">
        <w:r w:rsidRPr="00AD5A99">
          <w:rPr>
            <w:rFonts w:ascii="David" w:eastAsia="David" w:hAnsi="David"/>
            <w:color w:val="0000FF"/>
            <w:u w:val="single"/>
            <w:rtl/>
          </w:rPr>
          <w:t>ת"פ (שלום-ב"ש) 47445-08-17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בן מוסא גבועה</w:t>
      </w:r>
      <w:r w:rsidR="00B34A87" w:rsidRPr="00D00A7F">
        <w:rPr>
          <w:rFonts w:ascii="David" w:eastAsia="David" w:hAnsi="David" w:hint="cs"/>
          <w:rtl/>
        </w:rPr>
        <w:t xml:space="preserve"> (11.9.19), אליו הפנו ב"כ הנאשמת –הורשע על פי הודאתו בהחזקת נשק (אקדח חצי אוטומטי מסוג </w:t>
      </w:r>
      <w:r w:rsidR="00B34A87" w:rsidRPr="00D00A7F">
        <w:rPr>
          <w:rFonts w:ascii="David" w:eastAsia="David" w:hAnsi="David"/>
          <w:sz w:val="22"/>
          <w:szCs w:val="22"/>
        </w:rPr>
        <w:t>FN</w:t>
      </w:r>
      <w:r w:rsidR="00B34A87" w:rsidRPr="00D00A7F">
        <w:rPr>
          <w:rFonts w:ascii="David" w:eastAsia="David" w:hAnsi="David"/>
          <w:sz w:val="22"/>
          <w:szCs w:val="22"/>
          <w:rtl/>
        </w:rPr>
        <w:t xml:space="preserve"> </w:t>
      </w:r>
      <w:r w:rsidR="00B34A87" w:rsidRPr="00D00A7F">
        <w:rPr>
          <w:rFonts w:ascii="David" w:eastAsia="David" w:hAnsi="David" w:hint="cs"/>
          <w:rtl/>
        </w:rPr>
        <w:t xml:space="preserve">וכן "חפץ דמי תת מקלע מאולתר"). נקבע מתחם כולל 1–2.5. בהתחשב בנסיבותיו האישיות, הודאתו, התרשמות שירות המבחן כי עבר העבירה באופן אימפולסיבי ללא חשיבה על ההשלכות וכי הסתבכותו לא מאפיינת אורח חייו והמלצה לשלבו בהליך טיפולי לצד מאסר בעבודות שירות, בכך שטיבו של החפץ הנוסף לא הוברר, בכך שמורשה לשאת נשק ארגוני, היה לאחר שירות צבאי ארוך בסדיר וקבע ביחידה לוחמת, בקי בשימוש בנשק ומודע לסיכוניו, עברו נקי, הביע מוטיבציה גבוהה לטיפול – נקבע כי יש מקום לחרוג מטעמי שיקום והושתו 9 חודשי מאסר לריצוי בעבודות שירות, מאסרים מותנים ו-25,000 ₪ קנס. </w:t>
      </w:r>
    </w:p>
    <w:p w14:paraId="6752C2EA" w14:textId="77777777" w:rsidR="00B34A87" w:rsidRPr="00D00A7F" w:rsidRDefault="00B34A87" w:rsidP="00B34A87">
      <w:pPr>
        <w:ind w:left="720"/>
        <w:contextualSpacing/>
        <w:jc w:val="both"/>
        <w:rPr>
          <w:rFonts w:cs="Times New Roman"/>
          <w:rtl/>
        </w:rPr>
      </w:pPr>
    </w:p>
    <w:p w14:paraId="6D0C7375"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5" w:history="1">
        <w:r w:rsidRPr="00AD5A99">
          <w:rPr>
            <w:rFonts w:ascii="David" w:eastAsia="David" w:hAnsi="David"/>
            <w:color w:val="0000FF"/>
            <w:u w:val="single"/>
            <w:rtl/>
          </w:rPr>
          <w:t>ת"פ (מחוזי-חי) 66310-07-17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בריה</w:t>
      </w:r>
      <w:r w:rsidR="00B34A87" w:rsidRPr="00D00A7F">
        <w:rPr>
          <w:rFonts w:ascii="David" w:eastAsia="David" w:hAnsi="David" w:hint="cs"/>
          <w:rtl/>
        </w:rPr>
        <w:t xml:space="preserve"> (6.1.19), אליו הפנו ב"כ הנאשמת – הורשע על פי הודאתו בנשיאת נשק (ישב עם אחרים ברכב, יצא מהרכב כשעל גבו תיק גב ובו תת מקלע מאולתר מסוג "קרל גוסטב", מחסנית תואמת מלאה בכדורים ו-18 כדורים נוספים בקוטר 9 מ"מ בתפזורת. רץ והגיע למזנון "דלישז" בפרדיס. התקרב לרכב שעמד בקרבת מקום ובו ישבו שניים והחל לשוחח עמם, התכופף והחביא את התיק מתחת לחלקו הקדמי של הרכב). נקבע מתחם 12–36 חודשי מאסר לצד מאסר מותנה. בהתחשב בגילו (כבן 22), 8 חודשי מעצר באיזוק אלקטרוני, העדר עבר, הודאתו, הבעת חרטה ובושה, שיתוף פעולה עם ההליך הטיפולי, התרשמות שירות המבחן, אורח חייו הנורמטיבי ותפקודו התקין בעבר – נמצא כי יש לחרוג מהמתחם משיקולי שיקום והושתו 6 חודשי מאסר בעבודות שירות, מאסרים מותנים ו-צו מבחן ל-3 שנים.</w:t>
      </w:r>
    </w:p>
    <w:p w14:paraId="11B6314A" w14:textId="77777777" w:rsidR="00B34A87" w:rsidRPr="00D00A7F" w:rsidRDefault="00B34A87" w:rsidP="00B34A87">
      <w:pPr>
        <w:ind w:left="720"/>
        <w:contextualSpacing/>
        <w:jc w:val="both"/>
        <w:rPr>
          <w:rFonts w:cs="Times New Roman"/>
          <w:rtl/>
        </w:rPr>
      </w:pPr>
    </w:p>
    <w:p w14:paraId="158D9903" w14:textId="77777777" w:rsidR="00B34A87" w:rsidRPr="00D00A7F" w:rsidRDefault="00AD5A99" w:rsidP="00B34A87">
      <w:pPr>
        <w:widowControl w:val="0"/>
        <w:numPr>
          <w:ilvl w:val="2"/>
          <w:numId w:val="2"/>
        </w:numPr>
        <w:snapToGrid w:val="0"/>
        <w:spacing w:line="360" w:lineRule="auto"/>
        <w:ind w:left="1191" w:hanging="397"/>
        <w:jc w:val="both"/>
        <w:rPr>
          <w:rFonts w:ascii="David" w:eastAsia="David" w:hAnsi="David"/>
          <w:rtl/>
        </w:rPr>
      </w:pPr>
      <w:hyperlink r:id="rId56" w:history="1">
        <w:r w:rsidRPr="00AD5A99">
          <w:rPr>
            <w:rFonts w:ascii="David" w:eastAsia="David" w:hAnsi="David"/>
            <w:color w:val="0000FF"/>
            <w:u w:val="single"/>
            <w:rtl/>
          </w:rPr>
          <w:t>ת"פ (מחוזי-חי) 613-04-17</w:t>
        </w:r>
      </w:hyperlink>
      <w:r w:rsidR="00B34A87" w:rsidRPr="00D00A7F">
        <w:rPr>
          <w:rFonts w:ascii="David" w:eastAsia="David" w:hAnsi="David" w:hint="cs"/>
          <w:rtl/>
        </w:rPr>
        <w:t xml:space="preserve"> </w:t>
      </w:r>
      <w:r w:rsidR="00B34A87" w:rsidRPr="00D00A7F">
        <w:rPr>
          <w:rFonts w:ascii="Miriam" w:eastAsia="David" w:hAnsi="Miriam" w:cs="Miriam"/>
          <w:b/>
          <w:bCs/>
          <w:sz w:val="22"/>
          <w:szCs w:val="22"/>
          <w:rtl/>
        </w:rPr>
        <w:t>מדינת ישראל נ' אגבאריה</w:t>
      </w:r>
      <w:r w:rsidR="00B34A87" w:rsidRPr="00D00A7F">
        <w:rPr>
          <w:rFonts w:ascii="David" w:eastAsia="David" w:hAnsi="David" w:hint="cs"/>
          <w:rtl/>
        </w:rPr>
        <w:t xml:space="preserve"> (17.1.18), אליו הפנו ב"כ הנאשמת –הורשע בהתאם להודאתו בנשיאה והובלה של נשק ותחמושת (ישב במושב האחורי ברכב שנסע מכפר סאלם אל אום אל פחם בו נהג חברו ובמושב ליד הנהג ישב אחר. נשא והוביל אקדח חצי אוטומטי מסוג "ברטה", קליבר 9 מ"מ פאראבלום ובו מחסנית עם 15 כדורים לאקדח. האקדח הוחזק על גופו, בחלק הקדמי של מכנסיו, מוסתר בתוך חם צוואר). נקבע מתחם 10–30 חודשי מאסר בצירוף ענישה נלווית. בהתחשב בהודאתו, הבנת והפנמת חומרת מעשיו, הבעת חרטה ולקיחת אחריות מלאה, הבעת רצון ונכונות להשתלב בהליך טיפולי, המלצת שירות המבחן, עברו הנקי וגילו הצעיר – נמצא כי יש מקום לחרוג מהמתחם בשל שיקולי שיקום והוטלו 6 חודשי מאסר לריצוי בעבודות שירות, 12 חודשי מאסר מותנה, 3,000 ₪ קנס וצו פיקוח לשנה. </w:t>
      </w:r>
    </w:p>
    <w:p w14:paraId="7433B33F" w14:textId="77777777" w:rsidR="00B34A87" w:rsidRPr="00D00A7F" w:rsidRDefault="00B34A87" w:rsidP="00B34A87">
      <w:pPr>
        <w:spacing w:line="360" w:lineRule="auto"/>
        <w:ind w:left="720"/>
        <w:contextualSpacing/>
        <w:jc w:val="both"/>
        <w:rPr>
          <w:rFonts w:cs="Times New Roman"/>
          <w:highlight w:val="cyan"/>
        </w:rPr>
      </w:pPr>
    </w:p>
    <w:p w14:paraId="7E7069B3" w14:textId="77777777" w:rsidR="00B34A87" w:rsidRPr="00D00A7F" w:rsidRDefault="00B34A87" w:rsidP="00B34A87">
      <w:pPr>
        <w:numPr>
          <w:ilvl w:val="1"/>
          <w:numId w:val="2"/>
        </w:numPr>
        <w:snapToGrid w:val="0"/>
        <w:spacing w:line="360" w:lineRule="auto"/>
        <w:ind w:left="794" w:hanging="397"/>
        <w:jc w:val="both"/>
        <w:rPr>
          <w:rFonts w:ascii="David" w:eastAsia="David" w:hAnsi="David"/>
          <w:rtl/>
        </w:rPr>
      </w:pPr>
      <w:r w:rsidRPr="00D00A7F">
        <w:rPr>
          <w:rFonts w:ascii="David" w:eastAsia="David" w:hAnsi="David" w:hint="cs"/>
          <w:b/>
          <w:rtl/>
        </w:rPr>
        <w:t xml:space="preserve">בפסיקה עוברת כחוט השני חשיבות </w:t>
      </w:r>
      <w:r w:rsidRPr="00D00A7F">
        <w:rPr>
          <w:rFonts w:ascii="David" w:eastAsia="David" w:hAnsi="David" w:hint="cs"/>
          <w:b/>
          <w:bCs/>
          <w:rtl/>
        </w:rPr>
        <w:t>נסיבות הקשורות בביצוע העבירות</w:t>
      </w:r>
      <w:r w:rsidRPr="00D00A7F">
        <w:rPr>
          <w:rFonts w:ascii="David" w:eastAsia="David" w:hAnsi="David" w:hint="cs"/>
          <w:rtl/>
        </w:rPr>
        <w:t xml:space="preserve">, בהתאם </w:t>
      </w:r>
      <w:hyperlink r:id="rId57" w:history="1">
        <w:r w:rsidR="009D673E" w:rsidRPr="009D673E">
          <w:rPr>
            <w:rStyle w:val="Hyperlink"/>
            <w:rFonts w:ascii="David" w:eastAsia="David" w:hAnsi="David" w:hint="eastAsia"/>
            <w:color w:val="0000FF"/>
            <w:rtl/>
          </w:rPr>
          <w:t>לסעיף</w:t>
        </w:r>
        <w:r w:rsidR="009D673E" w:rsidRPr="009D673E">
          <w:rPr>
            <w:rStyle w:val="Hyperlink"/>
            <w:rFonts w:ascii="David" w:eastAsia="David" w:hAnsi="David"/>
            <w:color w:val="0000FF"/>
            <w:rtl/>
          </w:rPr>
          <w:t xml:space="preserve"> 40יט</w:t>
        </w:r>
      </w:hyperlink>
      <w:r w:rsidRPr="00D00A7F">
        <w:rPr>
          <w:rFonts w:ascii="David" w:eastAsia="David" w:hAnsi="David" w:hint="cs"/>
          <w:rtl/>
        </w:rPr>
        <w:t xml:space="preserve"> ל-</w:t>
      </w:r>
      <w:hyperlink r:id="rId58" w:history="1">
        <w:r w:rsidR="00AD5A99" w:rsidRPr="00AD5A99">
          <w:rPr>
            <w:rFonts w:ascii="Miriam" w:eastAsia="David" w:hAnsi="Miriam" w:cs="Miriam"/>
            <w:b/>
            <w:bCs/>
            <w:color w:val="0000FF"/>
            <w:szCs w:val="22"/>
            <w:u w:val="single"/>
            <w:rtl/>
          </w:rPr>
          <w:t>חוק העונשין</w:t>
        </w:r>
      </w:hyperlink>
      <w:r w:rsidRPr="00D00A7F">
        <w:rPr>
          <w:rFonts w:ascii="David" w:eastAsia="David" w:hAnsi="David" w:hint="cs"/>
          <w:sz w:val="28"/>
          <w:rtl/>
        </w:rPr>
        <w:t>,</w:t>
      </w:r>
      <w:r w:rsidRPr="00D00A7F">
        <w:rPr>
          <w:rFonts w:ascii="Miriam" w:eastAsia="David" w:hAnsi="Miriam" w:cs="Miriam"/>
          <w:b/>
          <w:bCs/>
          <w:szCs w:val="22"/>
          <w:rtl/>
        </w:rPr>
        <w:t xml:space="preserve"> </w:t>
      </w:r>
      <w:r w:rsidRPr="00D00A7F">
        <w:rPr>
          <w:rFonts w:ascii="David" w:eastAsia="David" w:hAnsi="David" w:hint="cs"/>
          <w:rtl/>
        </w:rPr>
        <w:t>משכך התחשבתי בנסיבות הבאות:</w:t>
      </w:r>
    </w:p>
    <w:p w14:paraId="3993F4EF" w14:textId="77777777" w:rsidR="00B34A87" w:rsidRPr="00D00A7F" w:rsidRDefault="00B34A87" w:rsidP="00B34A87">
      <w:pPr>
        <w:widowControl w:val="0"/>
        <w:snapToGrid w:val="0"/>
        <w:ind w:left="1191" w:hanging="397"/>
        <w:jc w:val="both"/>
        <w:rPr>
          <w:rFonts w:ascii="David" w:eastAsia="David" w:hAnsi="David"/>
        </w:rPr>
      </w:pPr>
    </w:p>
    <w:p w14:paraId="7C2846DE" w14:textId="77777777" w:rsidR="00B34A87" w:rsidRPr="00D00A7F" w:rsidRDefault="00B34A87" w:rsidP="00B34A87">
      <w:pPr>
        <w:widowControl w:val="0"/>
        <w:numPr>
          <w:ilvl w:val="0"/>
          <w:numId w:val="3"/>
        </w:numPr>
        <w:snapToGrid w:val="0"/>
        <w:spacing w:line="360" w:lineRule="auto"/>
        <w:ind w:left="1191" w:hanging="397"/>
        <w:jc w:val="both"/>
        <w:rPr>
          <w:rFonts w:ascii="David" w:eastAsia="David" w:hAnsi="David"/>
          <w:rtl/>
          <w:lang w:eastAsia="he-IL"/>
        </w:rPr>
      </w:pPr>
      <w:r w:rsidRPr="00D00A7F">
        <w:rPr>
          <w:rFonts w:ascii="David" w:eastAsia="David" w:hAnsi="David" w:hint="cs"/>
          <w:b/>
          <w:rtl/>
        </w:rPr>
        <w:t xml:space="preserve">ברי כי בהטמנת נשק ותחמושת בגרב בתוך שקית שחורה והחבאתם בחצר הבית, בין כלי חקלאי לביו מחסן – יש משום </w:t>
      </w:r>
      <w:r w:rsidRPr="00D00A7F">
        <w:rPr>
          <w:rFonts w:ascii="David" w:eastAsia="David" w:hAnsi="David" w:hint="cs"/>
          <w:bCs/>
          <w:rtl/>
        </w:rPr>
        <w:t>תכנון</w:t>
      </w:r>
      <w:r w:rsidRPr="00D00A7F">
        <w:rPr>
          <w:rFonts w:ascii="David" w:eastAsia="David" w:hAnsi="David" w:hint="cs"/>
          <w:b/>
          <w:rtl/>
        </w:rPr>
        <w:t xml:space="preserve"> </w:t>
      </w:r>
      <w:r w:rsidRPr="00D00A7F">
        <w:rPr>
          <w:rFonts w:ascii="David" w:eastAsia="David" w:hAnsi="David" w:hint="cs"/>
          <w:bCs/>
          <w:rtl/>
        </w:rPr>
        <w:t>מוקדם</w:t>
      </w:r>
      <w:r w:rsidRPr="00D00A7F">
        <w:rPr>
          <w:rFonts w:ascii="David" w:eastAsia="David" w:hAnsi="David" w:hint="cs"/>
          <w:b/>
          <w:rtl/>
        </w:rPr>
        <w:t xml:space="preserve">. זאת ועוד, </w:t>
      </w:r>
      <w:r w:rsidRPr="00D00A7F">
        <w:rPr>
          <w:rFonts w:ascii="David" w:eastAsia="David" w:hAnsi="David" w:hint="cs"/>
          <w:rtl/>
          <w:lang w:eastAsia="he-IL"/>
        </w:rPr>
        <w:t>בסעיף 17 להכרעת הדין פורטו הראיות מהן עלה כי הנאשמת ידעה על החזקת הנשק וחלקיו במקום, כי אלו הוחזקו בהסכמתה ואף כפועל יוצא ממעשיה, כחלק מ-"</w:t>
      </w:r>
      <w:r w:rsidRPr="00D00A7F">
        <w:rPr>
          <w:rFonts w:ascii="David" w:eastAsia="David" w:hAnsi="David" w:hint="cs"/>
          <w:b/>
          <w:bCs/>
          <w:rtl/>
          <w:lang w:eastAsia="he-IL"/>
        </w:rPr>
        <w:t>הידברות מוקדמת בין הצדדים</w:t>
      </w:r>
      <w:r w:rsidRPr="00D00A7F">
        <w:rPr>
          <w:rFonts w:ascii="David" w:eastAsia="David" w:hAnsi="David" w:hint="cs"/>
          <w:rtl/>
          <w:lang w:eastAsia="he-IL"/>
        </w:rPr>
        <w:t>", תוך שהיא פעלה "</w:t>
      </w:r>
      <w:r w:rsidRPr="00D00A7F">
        <w:rPr>
          <w:rFonts w:ascii="David" w:eastAsia="David" w:hAnsi="David" w:hint="cs"/>
          <w:b/>
          <w:bCs/>
          <w:rtl/>
          <w:lang w:eastAsia="he-IL"/>
        </w:rPr>
        <w:t>בעצה אחת עם שני האחרים</w:t>
      </w:r>
      <w:r w:rsidRPr="00D00A7F">
        <w:rPr>
          <w:rFonts w:ascii="David" w:eastAsia="David" w:hAnsi="David" w:hint="cs"/>
          <w:rtl/>
          <w:lang w:eastAsia="he-IL"/>
        </w:rPr>
        <w:t>", לאחר "</w:t>
      </w:r>
      <w:r w:rsidRPr="00D00A7F">
        <w:rPr>
          <w:rFonts w:ascii="David" w:eastAsia="David" w:hAnsi="David" w:hint="cs"/>
          <w:b/>
          <w:bCs/>
          <w:rtl/>
          <w:lang w:eastAsia="he-IL"/>
        </w:rPr>
        <w:t>שהם נועדו יחדיו למטרה משותפת</w:t>
      </w:r>
      <w:r w:rsidRPr="00D00A7F">
        <w:rPr>
          <w:rFonts w:ascii="David" w:eastAsia="David" w:hAnsi="David" w:hint="cs"/>
          <w:rtl/>
          <w:lang w:eastAsia="he-IL"/>
        </w:rPr>
        <w:t xml:space="preserve">" של החזקת הנשק וחלקיו. בין היתר נקבע שבהאזנות הסתר עלה כי הנאשמת אף </w:t>
      </w:r>
      <w:r w:rsidRPr="00D00A7F">
        <w:rPr>
          <w:rFonts w:ascii="David" w:eastAsia="David" w:hAnsi="David" w:hint="cs"/>
          <w:u w:val="single"/>
          <w:rtl/>
          <w:lang w:eastAsia="he-IL"/>
        </w:rPr>
        <w:t>ביצעה פעולות לקידום וביסוס החזקת הנשק וחלקיו</w:t>
      </w:r>
      <w:r w:rsidRPr="00D00A7F">
        <w:rPr>
          <w:rFonts w:ascii="David" w:eastAsia="David" w:hAnsi="David" w:hint="cs"/>
          <w:rtl/>
          <w:lang w:eastAsia="he-IL"/>
        </w:rPr>
        <w:t xml:space="preserve"> שהוחזקו, כאמור, בידיעתה ובהסכמתה. </w:t>
      </w:r>
    </w:p>
    <w:p w14:paraId="3033AEE1" w14:textId="77777777" w:rsidR="00B34A87" w:rsidRPr="00D00A7F" w:rsidRDefault="00B34A87" w:rsidP="00B34A87">
      <w:pPr>
        <w:widowControl w:val="0"/>
        <w:snapToGrid w:val="0"/>
        <w:spacing w:line="360" w:lineRule="auto"/>
        <w:ind w:left="1191"/>
        <w:jc w:val="both"/>
        <w:rPr>
          <w:rFonts w:ascii="David" w:eastAsia="David" w:hAnsi="David"/>
          <w:lang w:eastAsia="he-IL"/>
        </w:rPr>
      </w:pPr>
      <w:r w:rsidRPr="00D00A7F">
        <w:rPr>
          <w:rFonts w:ascii="David" w:eastAsia="David" w:hAnsi="David" w:hint="cs"/>
          <w:rtl/>
          <w:lang w:eastAsia="he-IL"/>
        </w:rPr>
        <w:t>כך, בין השאר, בשיחה 375 ביקש עמראן מהנאשמת לשוחח עם אביו ובהמשך ביקש מאביו "</w:t>
      </w:r>
      <w:r w:rsidRPr="00D00A7F">
        <w:rPr>
          <w:rFonts w:ascii="David" w:eastAsia="David" w:hAnsi="David" w:hint="cs"/>
          <w:b/>
          <w:bCs/>
          <w:rtl/>
          <w:lang w:eastAsia="he-IL"/>
        </w:rPr>
        <w:t>תשים את הטלפון על האוזן</w:t>
      </w:r>
      <w:r w:rsidRPr="00D00A7F">
        <w:rPr>
          <w:rFonts w:ascii="David" w:eastAsia="David" w:hAnsi="David" w:hint="cs"/>
          <w:rtl/>
          <w:lang w:eastAsia="he-IL"/>
        </w:rPr>
        <w:t>" ושאל "</w:t>
      </w:r>
      <w:r w:rsidRPr="00D00A7F">
        <w:rPr>
          <w:rFonts w:ascii="David" w:eastAsia="David" w:hAnsi="David" w:hint="cs"/>
          <w:b/>
          <w:bCs/>
          <w:rtl/>
          <w:lang w:eastAsia="he-IL"/>
        </w:rPr>
        <w:t>איפה הדבר?</w:t>
      </w:r>
      <w:r w:rsidRPr="00D00A7F">
        <w:rPr>
          <w:rFonts w:ascii="David" w:eastAsia="David" w:hAnsi="David" w:hint="cs"/>
          <w:rtl/>
          <w:lang w:eastAsia="he-IL"/>
        </w:rPr>
        <w:t>". עמראן אמר כי רוצה למוכרו ולהביא "</w:t>
      </w:r>
      <w:r w:rsidRPr="00D00A7F">
        <w:rPr>
          <w:rFonts w:ascii="David" w:eastAsia="David" w:hAnsi="David" w:hint="cs"/>
          <w:b/>
          <w:bCs/>
          <w:rtl/>
          <w:lang w:eastAsia="he-IL"/>
        </w:rPr>
        <w:t>אחר יותר טוב ממנו</w:t>
      </w:r>
      <w:r w:rsidRPr="00D00A7F">
        <w:rPr>
          <w:rFonts w:ascii="David" w:eastAsia="David" w:hAnsi="David" w:hint="cs"/>
          <w:rtl/>
          <w:lang w:eastAsia="he-IL"/>
        </w:rPr>
        <w:t>" ושאל "</w:t>
      </w:r>
      <w:r w:rsidRPr="00D00A7F">
        <w:rPr>
          <w:rFonts w:ascii="David" w:eastAsia="David" w:hAnsi="David" w:hint="cs"/>
          <w:b/>
          <w:bCs/>
          <w:u w:val="single"/>
          <w:rtl/>
          <w:lang w:eastAsia="he-IL"/>
        </w:rPr>
        <w:t>הכדורים איתו</w:t>
      </w:r>
      <w:r w:rsidRPr="00D00A7F">
        <w:rPr>
          <w:rFonts w:ascii="David" w:eastAsia="David" w:hAnsi="David" w:hint="cs"/>
          <w:b/>
          <w:bCs/>
          <w:rtl/>
          <w:lang w:eastAsia="he-IL"/>
        </w:rPr>
        <w:t xml:space="preserve"> נכון?</w:t>
      </w:r>
      <w:r w:rsidRPr="00D00A7F">
        <w:rPr>
          <w:rFonts w:ascii="David" w:eastAsia="David" w:hAnsi="David" w:hint="cs"/>
          <w:rtl/>
          <w:lang w:eastAsia="he-IL"/>
        </w:rPr>
        <w:t xml:space="preserve">... </w:t>
      </w:r>
      <w:r w:rsidRPr="00D00A7F">
        <w:rPr>
          <w:rFonts w:ascii="David" w:eastAsia="David" w:hAnsi="David" w:hint="cs"/>
          <w:b/>
          <w:bCs/>
          <w:u w:val="single"/>
          <w:rtl/>
          <w:lang w:eastAsia="he-IL"/>
        </w:rPr>
        <w:t>הכדורים בתוכו</w:t>
      </w:r>
      <w:r w:rsidRPr="00D00A7F">
        <w:rPr>
          <w:rFonts w:ascii="David" w:eastAsia="David" w:hAnsi="David" w:hint="cs"/>
          <w:b/>
          <w:bCs/>
          <w:rtl/>
          <w:lang w:eastAsia="he-IL"/>
        </w:rPr>
        <w:t xml:space="preserve"> עדיין באותו מקום</w:t>
      </w:r>
      <w:r w:rsidRPr="00D00A7F">
        <w:rPr>
          <w:rFonts w:ascii="David" w:eastAsia="David" w:hAnsi="David" w:hint="cs"/>
          <w:rtl/>
          <w:lang w:eastAsia="he-IL"/>
        </w:rPr>
        <w:t>...". נאיף השיב "</w:t>
      </w:r>
      <w:r w:rsidRPr="00D00A7F">
        <w:rPr>
          <w:rFonts w:ascii="David" w:eastAsia="David" w:hAnsi="David" w:hint="cs"/>
          <w:b/>
          <w:bCs/>
          <w:rtl/>
          <w:lang w:eastAsia="he-IL"/>
        </w:rPr>
        <w:t xml:space="preserve">אני </w:t>
      </w:r>
      <w:r w:rsidRPr="00D00A7F">
        <w:rPr>
          <w:rFonts w:ascii="David" w:eastAsia="David" w:hAnsi="David" w:hint="cs"/>
          <w:b/>
          <w:bCs/>
          <w:u w:val="single"/>
          <w:rtl/>
          <w:lang w:eastAsia="he-IL"/>
        </w:rPr>
        <w:t>אשאל את אמא שלך</w:t>
      </w:r>
      <w:r w:rsidRPr="00D00A7F">
        <w:rPr>
          <w:rFonts w:ascii="David" w:eastAsia="David" w:hAnsi="David" w:hint="cs"/>
          <w:rtl/>
          <w:lang w:eastAsia="he-IL"/>
        </w:rPr>
        <w:t>..." והעביר הטלפון חזרה לנאשמת. בהכרעת הדין נקבע כי הנאשמת לא רק ידעה והסכימה, אלא אף נטלה חלק פעיל בהחזקת הנשק וחלקיו [סעיף 17(ב)(2) להכרעת הדין]. בנוסף, בשיחה זו, כשעמראן אמר שמישהו רוצה את "</w:t>
      </w:r>
      <w:r w:rsidRPr="00D00A7F">
        <w:rPr>
          <w:rFonts w:ascii="David" w:eastAsia="David" w:hAnsi="David" w:hint="cs"/>
          <w:b/>
          <w:bCs/>
          <w:rtl/>
          <w:lang w:eastAsia="he-IL"/>
        </w:rPr>
        <w:t>הדבר</w:t>
      </w:r>
      <w:r w:rsidRPr="00D00A7F">
        <w:rPr>
          <w:rFonts w:ascii="David" w:eastAsia="David" w:hAnsi="David" w:hint="cs"/>
          <w:rtl/>
          <w:lang w:eastAsia="he-IL"/>
        </w:rPr>
        <w:t>" – הנאשמת הזהירה "</w:t>
      </w:r>
      <w:r w:rsidRPr="00D00A7F">
        <w:rPr>
          <w:rFonts w:ascii="David" w:eastAsia="David" w:hAnsi="David" w:hint="cs"/>
          <w:b/>
          <w:bCs/>
          <w:rtl/>
          <w:lang w:eastAsia="he-IL"/>
        </w:rPr>
        <w:t>עמראן הטלפון במעקב</w:t>
      </w:r>
      <w:r w:rsidRPr="00D00A7F">
        <w:rPr>
          <w:rFonts w:ascii="David" w:eastAsia="David" w:hAnsi="David" w:hint="cs"/>
          <w:rtl/>
          <w:lang w:eastAsia="he-IL"/>
        </w:rPr>
        <w:t>" ולכן שלא יתקשר, גם לא בווטסאפ. קרי, כפי שנקבע בהכרעת הדין, הנאשמת הייתה מודעת היטב לפליליות "</w:t>
      </w:r>
      <w:r w:rsidRPr="00D00A7F">
        <w:rPr>
          <w:rFonts w:ascii="David" w:eastAsia="David" w:hAnsi="David" w:hint="cs"/>
          <w:b/>
          <w:bCs/>
          <w:rtl/>
          <w:lang w:eastAsia="he-IL"/>
        </w:rPr>
        <w:t>הדבר</w:t>
      </w:r>
      <w:r w:rsidRPr="00D00A7F">
        <w:rPr>
          <w:rFonts w:ascii="David" w:eastAsia="David" w:hAnsi="David" w:hint="cs"/>
          <w:rtl/>
          <w:lang w:eastAsia="he-IL"/>
        </w:rPr>
        <w:t xml:space="preserve">" והסכימה להחזקתו [סעיף 17(ב)(4) להכרעת הדין]. </w:t>
      </w:r>
    </w:p>
    <w:p w14:paraId="49C8CDDF" w14:textId="77777777" w:rsidR="00B34A87" w:rsidRPr="00D00A7F" w:rsidRDefault="00B34A87" w:rsidP="00B34A87">
      <w:pPr>
        <w:widowControl w:val="0"/>
        <w:snapToGrid w:val="0"/>
        <w:ind w:left="1502"/>
        <w:contextualSpacing/>
        <w:jc w:val="both"/>
        <w:rPr>
          <w:rFonts w:cs="Times New Roman"/>
          <w:lang w:eastAsia="he-IL"/>
        </w:rPr>
      </w:pPr>
    </w:p>
    <w:p w14:paraId="378EBF93" w14:textId="77777777" w:rsidR="00B34A87" w:rsidRPr="00D00A7F" w:rsidRDefault="00B34A87" w:rsidP="00B34A87">
      <w:pPr>
        <w:widowControl w:val="0"/>
        <w:numPr>
          <w:ilvl w:val="0"/>
          <w:numId w:val="3"/>
        </w:numPr>
        <w:snapToGrid w:val="0"/>
        <w:spacing w:line="360" w:lineRule="auto"/>
        <w:ind w:left="1191" w:hanging="397"/>
        <w:jc w:val="both"/>
        <w:rPr>
          <w:rFonts w:ascii="David" w:eastAsia="David" w:hAnsi="David"/>
          <w:b/>
          <w:rtl/>
        </w:rPr>
      </w:pPr>
      <w:r w:rsidRPr="00D00A7F">
        <w:rPr>
          <w:rFonts w:ascii="David" w:eastAsia="David" w:hAnsi="David" w:hint="cs"/>
          <w:b/>
          <w:rtl/>
        </w:rPr>
        <w:t xml:space="preserve">אין חולק שהנאשמת היא לא המבצעת היחידה של העבירות, שכן אלו בוצעו בצוותא עם שני אחרים – בן זוגה ובנה של הנאשמת. מקובלת עלי טענת ההגנה לפיה טביעות האצבע על הנשק היו של בנה עמראן. יש לדחות הטענה כי הנאשמת תלותית בבן זוגה ובבנה, ניסתה להיות צייתנית, לא הצליחה לנהל אורח חיים נפרד, פעלה לפי הוראותיהם וכי יכולתה להתנגד להם היתה מוגבלת – שכן מהראיות שבבסיס הכרעת הדין עלה כי לא רק שהנאשמת היתה מודעת להחזקת הנשק והתחמושת, אלא אף נטלה חלק אקטיבי ופעיל בהחזקתם. בהכרעת הדין נקבע כי </w:t>
      </w:r>
      <w:r w:rsidRPr="00D00A7F">
        <w:rPr>
          <w:rFonts w:ascii="David" w:eastAsia="David" w:hAnsi="David" w:hint="cs"/>
          <w:bCs/>
          <w:rtl/>
        </w:rPr>
        <w:t>חלקה ותרומתה היו משמעותיות והיא היתה אקטיבית</w:t>
      </w:r>
      <w:r w:rsidRPr="00D00A7F">
        <w:rPr>
          <w:rFonts w:ascii="David" w:eastAsia="David" w:hAnsi="David" w:hint="cs"/>
          <w:b/>
          <w:rtl/>
        </w:rPr>
        <w:t xml:space="preserve"> בביצוע העבירות. כך, בין היתר, מהשיחה המבוקרת בין עמרן לנאשמת, ממנה עלה כי לנאשמת זיקה למקום </w:t>
      </w:r>
      <w:r w:rsidRPr="00D00A7F">
        <w:rPr>
          <w:rFonts w:ascii="David" w:eastAsia="David" w:hAnsi="David" w:hint="cs"/>
          <w:b/>
          <w:u w:val="single"/>
          <w:rtl/>
        </w:rPr>
        <w:t>ושליטה על הימצאות הנשק וחלקיו במקום</w:t>
      </w:r>
      <w:r w:rsidRPr="00D00A7F">
        <w:rPr>
          <w:rFonts w:ascii="David" w:eastAsia="David" w:hAnsi="David" w:hint="cs"/>
          <w:b/>
          <w:rtl/>
        </w:rPr>
        <w:t xml:space="preserve">. בין היתר, אמר עמראן לנאשמת </w:t>
      </w:r>
      <w:r w:rsidRPr="00D00A7F">
        <w:rPr>
          <w:rFonts w:ascii="David" w:eastAsia="David" w:hAnsi="David" w:hint="cs"/>
          <w:rtl/>
        </w:rPr>
        <w:t>"</w:t>
      </w:r>
      <w:r w:rsidRPr="00D00A7F">
        <w:rPr>
          <w:rFonts w:ascii="David" w:eastAsia="David" w:hAnsi="David" w:hint="cs"/>
          <w:b/>
          <w:bCs/>
          <w:rtl/>
        </w:rPr>
        <w:t xml:space="preserve">אמרתי לך אמא אל תחבי כלום </w:t>
      </w:r>
      <w:r w:rsidRPr="00D00A7F">
        <w:rPr>
          <w:rFonts w:ascii="David" w:eastAsia="David" w:hAnsi="David" w:hint="cs"/>
          <w:b/>
          <w:bCs/>
          <w:u w:val="single"/>
          <w:rtl/>
        </w:rPr>
        <w:t>בבית</w:t>
      </w:r>
      <w:r w:rsidRPr="00D00A7F">
        <w:rPr>
          <w:rFonts w:ascii="David" w:eastAsia="David" w:hAnsi="David" w:hint="cs"/>
          <w:rtl/>
        </w:rPr>
        <w:t>...</w:t>
      </w:r>
      <w:r w:rsidRPr="00D00A7F">
        <w:rPr>
          <w:rFonts w:ascii="David" w:eastAsia="David" w:hAnsi="David" w:hint="cs"/>
          <w:b/>
          <w:bCs/>
          <w:rtl/>
        </w:rPr>
        <w:t xml:space="preserve"> אמרתי לכם אל תשאירו כלום </w:t>
      </w:r>
      <w:r w:rsidRPr="00D00A7F">
        <w:rPr>
          <w:rFonts w:ascii="David" w:eastAsia="David" w:hAnsi="David" w:hint="cs"/>
          <w:b/>
          <w:bCs/>
          <w:u w:val="single"/>
          <w:rtl/>
        </w:rPr>
        <w:t>בבית</w:t>
      </w:r>
      <w:r w:rsidRPr="00D00A7F">
        <w:rPr>
          <w:rFonts w:ascii="David" w:eastAsia="David" w:hAnsi="David" w:hint="cs"/>
          <w:rtl/>
        </w:rPr>
        <w:t>". בהמשך עמראן אף הטיח בנאשמת "</w:t>
      </w:r>
      <w:r w:rsidRPr="00D00A7F">
        <w:rPr>
          <w:rFonts w:ascii="David" w:eastAsia="David" w:hAnsi="David" w:hint="cs"/>
          <w:b/>
          <w:bCs/>
          <w:rtl/>
        </w:rPr>
        <w:t>את אשמה אימא</w:t>
      </w:r>
      <w:r w:rsidRPr="00D00A7F">
        <w:rPr>
          <w:rFonts w:ascii="David" w:eastAsia="David" w:hAnsi="David" w:hint="cs"/>
          <w:rtl/>
        </w:rPr>
        <w:t xml:space="preserve">... </w:t>
      </w:r>
      <w:r w:rsidRPr="00D00A7F">
        <w:rPr>
          <w:rFonts w:ascii="David" w:eastAsia="David" w:hAnsi="David" w:hint="cs"/>
          <w:b/>
          <w:bCs/>
          <w:u w:val="single"/>
          <w:rtl/>
        </w:rPr>
        <w:t>הינו מוצאים אותו החוצה</w:t>
      </w:r>
      <w:r w:rsidRPr="00D00A7F">
        <w:rPr>
          <w:rFonts w:ascii="David" w:eastAsia="David" w:hAnsi="David" w:hint="cs"/>
          <w:b/>
          <w:bCs/>
          <w:rtl/>
        </w:rPr>
        <w:t xml:space="preserve"> מזמן</w:t>
      </w:r>
      <w:r w:rsidRPr="00D00A7F">
        <w:rPr>
          <w:rFonts w:ascii="David" w:eastAsia="David" w:hAnsi="David" w:hint="cs"/>
          <w:rtl/>
        </w:rPr>
        <w:t>" (קובץ 4 ב-</w:t>
      </w:r>
      <w:r w:rsidRPr="00D00A7F">
        <w:rPr>
          <w:rFonts w:ascii="David" w:eastAsia="David" w:hAnsi="David" w:hint="cs"/>
          <w:b/>
          <w:bCs/>
          <w:rtl/>
        </w:rPr>
        <w:t>ת/20ב</w:t>
      </w:r>
      <w:r w:rsidRPr="00D00A7F">
        <w:rPr>
          <w:rFonts w:ascii="David" w:eastAsia="David" w:hAnsi="David" w:hint="cs"/>
          <w:rtl/>
        </w:rPr>
        <w:t>). בתמלול הנוסף נרשמו דברים דומים של הטחת עמראן בנאשמת "</w:t>
      </w:r>
      <w:r w:rsidRPr="00D00A7F">
        <w:rPr>
          <w:rFonts w:ascii="David" w:eastAsia="David" w:hAnsi="David" w:hint="cs"/>
          <w:b/>
          <w:bCs/>
          <w:rtl/>
        </w:rPr>
        <w:t>את אשימה אמא, פעם הבא אל תשימי כלום</w:t>
      </w:r>
      <w:r w:rsidRPr="00D00A7F">
        <w:rPr>
          <w:rFonts w:ascii="David" w:eastAsia="David" w:hAnsi="David" w:hint="cs"/>
          <w:rtl/>
        </w:rPr>
        <w:t xml:space="preserve">... </w:t>
      </w:r>
      <w:r w:rsidRPr="00D00A7F">
        <w:rPr>
          <w:rFonts w:ascii="David" w:eastAsia="David" w:hAnsi="David" w:hint="cs"/>
          <w:b/>
          <w:bCs/>
          <w:u w:val="single"/>
          <w:rtl/>
        </w:rPr>
        <w:t>יתפסו אותו בחוץ ולא אצלנו</w:t>
      </w:r>
      <w:r w:rsidRPr="00D00A7F">
        <w:rPr>
          <w:rFonts w:ascii="David" w:eastAsia="David" w:hAnsi="David" w:hint="cs"/>
          <w:rtl/>
        </w:rPr>
        <w:t xml:space="preserve">... </w:t>
      </w:r>
      <w:r w:rsidRPr="00D00A7F">
        <w:rPr>
          <w:rFonts w:ascii="David" w:eastAsia="David" w:hAnsi="David" w:hint="cs"/>
          <w:b/>
          <w:bCs/>
          <w:rtl/>
        </w:rPr>
        <w:t>הטעות מצלך את נשארת בשקט ואומר תביא</w:t>
      </w:r>
      <w:r w:rsidRPr="00D00A7F">
        <w:rPr>
          <w:rFonts w:ascii="David" w:eastAsia="David" w:hAnsi="David" w:hint="cs"/>
          <w:rtl/>
        </w:rPr>
        <w:t xml:space="preserve">... </w:t>
      </w:r>
      <w:r w:rsidRPr="00D00A7F">
        <w:rPr>
          <w:rFonts w:ascii="David" w:eastAsia="David" w:hAnsi="David" w:hint="cs"/>
          <w:b/>
          <w:bCs/>
          <w:u w:val="single"/>
          <w:rtl/>
        </w:rPr>
        <w:t>הינו מוצאים אותו בחוץ</w:t>
      </w:r>
      <w:r w:rsidRPr="00D00A7F">
        <w:rPr>
          <w:rFonts w:ascii="David" w:eastAsia="David" w:hAnsi="David" w:hint="cs"/>
          <w:rtl/>
        </w:rPr>
        <w:t>..." [קובץ מ-16.7.20, משעה 17:00 (4) ב-</w:t>
      </w:r>
      <w:r w:rsidRPr="00D00A7F">
        <w:rPr>
          <w:rFonts w:ascii="David" w:eastAsia="David" w:hAnsi="David" w:hint="cs"/>
          <w:b/>
          <w:bCs/>
          <w:rtl/>
        </w:rPr>
        <w:t>ת20ג</w:t>
      </w:r>
      <w:r w:rsidRPr="00D00A7F">
        <w:rPr>
          <w:rFonts w:ascii="David" w:eastAsia="David" w:hAnsi="David" w:hint="cs"/>
          <w:rtl/>
        </w:rPr>
        <w:t>]</w:t>
      </w:r>
      <w:r w:rsidRPr="00D00A7F">
        <w:rPr>
          <w:rFonts w:ascii="David" w:eastAsia="David" w:hAnsi="David" w:hint="cs"/>
          <w:rtl/>
          <w:lang w:eastAsia="he-IL"/>
        </w:rPr>
        <w:t xml:space="preserve"> (כל ההדגשות לא במקור – זד"ל)</w:t>
      </w:r>
      <w:r w:rsidRPr="00D00A7F">
        <w:rPr>
          <w:rFonts w:ascii="David" w:eastAsia="David" w:hAnsi="David" w:hint="cs"/>
          <w:rtl/>
        </w:rPr>
        <w:t xml:space="preserve"> [ראו סעיף 8(ג) להכרעת הדין].</w:t>
      </w:r>
    </w:p>
    <w:p w14:paraId="7A5842E4" w14:textId="77777777" w:rsidR="00B34A87" w:rsidRPr="00D00A7F" w:rsidRDefault="00B34A87" w:rsidP="00B34A87">
      <w:pPr>
        <w:widowControl w:val="0"/>
        <w:snapToGrid w:val="0"/>
        <w:spacing w:line="360" w:lineRule="auto"/>
        <w:ind w:left="1191"/>
        <w:jc w:val="both"/>
        <w:rPr>
          <w:rFonts w:ascii="David" w:eastAsia="David" w:hAnsi="David"/>
          <w:b/>
        </w:rPr>
      </w:pPr>
      <w:r w:rsidRPr="00D00A7F">
        <w:rPr>
          <w:rFonts w:ascii="David" w:eastAsia="David" w:hAnsi="David" w:hint="cs"/>
          <w:b/>
          <w:rtl/>
        </w:rPr>
        <w:t xml:space="preserve">מעורבות הנאשמת בהחזקת הנשק וחלקיו, לא רק מבחינת ידיעה והסכמה, אלא אף בעצם החבאתם, היתה גבוהה, שכן הנאשמת לא כפרה בהטחות אלו של בנה [סעיף 20(ג) להכרעת הדין]. גם בתמלול </w:t>
      </w:r>
      <w:r w:rsidRPr="00D00A7F">
        <w:rPr>
          <w:rFonts w:ascii="David" w:eastAsia="David" w:hAnsi="David" w:hint="cs"/>
          <w:rtl/>
        </w:rPr>
        <w:t>הנוסף תומללה ההטחה של עמראן בנאשמת כפי שצוטט לעיל והנאשמת השיבה "</w:t>
      </w:r>
      <w:r w:rsidRPr="00D00A7F">
        <w:rPr>
          <w:rFonts w:ascii="David" w:eastAsia="David" w:hAnsi="David" w:hint="cs"/>
          <w:b/>
          <w:bCs/>
          <w:rtl/>
        </w:rPr>
        <w:t>רק שלא תפסו</w:t>
      </w:r>
      <w:r w:rsidRPr="00D00A7F">
        <w:rPr>
          <w:rFonts w:ascii="David" w:eastAsia="David" w:hAnsi="David" w:hint="cs"/>
          <w:rtl/>
        </w:rPr>
        <w:t>". עמראן בתגובה "</w:t>
      </w:r>
      <w:r w:rsidRPr="00D00A7F">
        <w:rPr>
          <w:rFonts w:ascii="David" w:eastAsia="David" w:hAnsi="David" w:hint="cs"/>
          <w:b/>
          <w:bCs/>
          <w:rtl/>
        </w:rPr>
        <w:t>לא לא את אוכלת אותו</w:t>
      </w:r>
      <w:r w:rsidRPr="00D00A7F">
        <w:rPr>
          <w:rFonts w:ascii="David" w:eastAsia="David" w:hAnsi="David" w:hint="cs"/>
          <w:rtl/>
        </w:rPr>
        <w:t>" [קובץ מ-16.7.20, משעה 17:00 (4) ב-</w:t>
      </w:r>
      <w:r w:rsidRPr="00D00A7F">
        <w:rPr>
          <w:rFonts w:ascii="David" w:eastAsia="David" w:hAnsi="David" w:hint="cs"/>
          <w:b/>
          <w:bCs/>
          <w:rtl/>
        </w:rPr>
        <w:t>ת20ג</w:t>
      </w:r>
      <w:r w:rsidRPr="00D00A7F">
        <w:rPr>
          <w:rFonts w:ascii="David" w:eastAsia="David" w:hAnsi="David" w:hint="cs"/>
          <w:rtl/>
        </w:rPr>
        <w:t xml:space="preserve">]. אמירות אלו של הנאשמת והעדר הכחשת הטחות בנה, לימדו על ידיעה, הסכמה ונטילת חלק פעיל בהחזקת הנשק וחלקיו [סעיף 20(ה) להכרעת הדין]. כעולה מסעיף 24 להכרעת הדין הנאשמת ידעה והסכימה להחזקת הנשק וחלקיו במקום, </w:t>
      </w:r>
      <w:r w:rsidRPr="00D00A7F">
        <w:rPr>
          <w:rFonts w:ascii="David" w:eastAsia="David" w:hAnsi="David" w:hint="cs"/>
          <w:u w:val="single"/>
          <w:rtl/>
        </w:rPr>
        <w:t>ואף נטלה חלק פעיל בהחזקתם</w:t>
      </w:r>
      <w:r w:rsidRPr="00D00A7F">
        <w:rPr>
          <w:rFonts w:ascii="David" w:eastAsia="David" w:hAnsi="David" w:hint="cs"/>
          <w:rtl/>
        </w:rPr>
        <w:t>. לא ניתן לנתק מהקשרם הדברים שנאמרו בשיחה המבוקרת שצוטטו לעיל והטחות הבן בנאשמת על אשמה בכך שהנשק נתפס "</w:t>
      </w:r>
      <w:r w:rsidRPr="00D00A7F">
        <w:rPr>
          <w:rFonts w:ascii="David" w:eastAsia="David" w:hAnsi="David" w:hint="cs"/>
          <w:b/>
          <w:bCs/>
          <w:rtl/>
        </w:rPr>
        <w:t>אמרתי לך אמא אל תחבי כלום בבית</w:t>
      </w:r>
      <w:r w:rsidRPr="00D00A7F">
        <w:rPr>
          <w:rFonts w:ascii="David" w:eastAsia="David" w:hAnsi="David" w:hint="cs"/>
          <w:rtl/>
        </w:rPr>
        <w:t>...</w:t>
      </w:r>
      <w:r w:rsidRPr="00D00A7F">
        <w:rPr>
          <w:rFonts w:ascii="David" w:eastAsia="David" w:hAnsi="David" w:hint="cs"/>
          <w:b/>
          <w:bCs/>
          <w:rtl/>
        </w:rPr>
        <w:t xml:space="preserve"> אמרתי לכם אל תשאירו כלום בבית</w:t>
      </w:r>
      <w:r w:rsidRPr="00D00A7F">
        <w:rPr>
          <w:rFonts w:ascii="David" w:eastAsia="David" w:hAnsi="David" w:hint="cs"/>
          <w:rtl/>
        </w:rPr>
        <w:t>", "</w:t>
      </w:r>
      <w:r w:rsidRPr="00D00A7F">
        <w:rPr>
          <w:rFonts w:ascii="David" w:eastAsia="David" w:hAnsi="David" w:hint="cs"/>
          <w:b/>
          <w:bCs/>
          <w:rtl/>
        </w:rPr>
        <w:t>את אשימה אמא, פעם הבא אל תשימי כלום</w:t>
      </w:r>
      <w:r w:rsidRPr="00D00A7F">
        <w:rPr>
          <w:rFonts w:ascii="David" w:eastAsia="David" w:hAnsi="David" w:hint="cs"/>
          <w:rtl/>
        </w:rPr>
        <w:t xml:space="preserve">... </w:t>
      </w:r>
      <w:r w:rsidRPr="00D00A7F">
        <w:rPr>
          <w:rFonts w:ascii="David" w:eastAsia="David" w:hAnsi="David" w:hint="cs"/>
          <w:b/>
          <w:bCs/>
          <w:rtl/>
        </w:rPr>
        <w:t>יתפסו אותו בחוץ ולא אצלנו</w:t>
      </w:r>
      <w:r w:rsidRPr="00D00A7F">
        <w:rPr>
          <w:rFonts w:ascii="David" w:eastAsia="David" w:hAnsi="David" w:hint="cs"/>
          <w:rtl/>
        </w:rPr>
        <w:t xml:space="preserve">... </w:t>
      </w:r>
      <w:r w:rsidRPr="00D00A7F">
        <w:rPr>
          <w:rFonts w:ascii="David" w:eastAsia="David" w:hAnsi="David" w:hint="cs"/>
          <w:b/>
          <w:bCs/>
          <w:rtl/>
        </w:rPr>
        <w:t>הטעות מצלך את נשארת בשקט ואומר תביא</w:t>
      </w:r>
      <w:r w:rsidRPr="00D00A7F">
        <w:rPr>
          <w:rFonts w:ascii="David" w:eastAsia="David" w:hAnsi="David" w:hint="cs"/>
          <w:rtl/>
        </w:rPr>
        <w:t xml:space="preserve">... </w:t>
      </w:r>
      <w:r w:rsidRPr="00D00A7F">
        <w:rPr>
          <w:rFonts w:ascii="David" w:eastAsia="David" w:hAnsi="David" w:hint="cs"/>
          <w:b/>
          <w:bCs/>
          <w:rtl/>
        </w:rPr>
        <w:t>הינו מוצאים אותו בחוץ</w:t>
      </w:r>
      <w:r w:rsidRPr="00D00A7F">
        <w:rPr>
          <w:rFonts w:ascii="David" w:eastAsia="David" w:hAnsi="David" w:hint="cs"/>
          <w:rtl/>
        </w:rPr>
        <w:t>..." ו-"</w:t>
      </w:r>
      <w:r w:rsidRPr="00D00A7F">
        <w:rPr>
          <w:rFonts w:ascii="David" w:eastAsia="David" w:hAnsi="David" w:hint="cs"/>
          <w:b/>
          <w:bCs/>
          <w:rtl/>
        </w:rPr>
        <w:t>את אשמה אימא</w:t>
      </w:r>
      <w:r w:rsidRPr="00D00A7F">
        <w:rPr>
          <w:rFonts w:ascii="David" w:eastAsia="David" w:hAnsi="David" w:hint="cs"/>
          <w:rtl/>
        </w:rPr>
        <w:t xml:space="preserve">... </w:t>
      </w:r>
      <w:r w:rsidRPr="00D00A7F">
        <w:rPr>
          <w:rFonts w:ascii="David" w:eastAsia="David" w:hAnsi="David" w:hint="cs"/>
          <w:b/>
          <w:bCs/>
          <w:rtl/>
        </w:rPr>
        <w:t>הינו מוצאים אותו החוצה מזמן</w:t>
      </w:r>
      <w:r w:rsidRPr="00D00A7F">
        <w:rPr>
          <w:rFonts w:ascii="David" w:eastAsia="David" w:hAnsi="David" w:hint="cs"/>
          <w:rtl/>
        </w:rPr>
        <w:t>". כך גם התשובה שענתה הנאשמת לעמראן "</w:t>
      </w:r>
      <w:r w:rsidRPr="00D00A7F">
        <w:rPr>
          <w:rFonts w:ascii="David" w:eastAsia="David" w:hAnsi="David" w:hint="cs"/>
          <w:b/>
          <w:bCs/>
          <w:rtl/>
        </w:rPr>
        <w:t>ממלוא בתוכה</w:t>
      </w:r>
      <w:r w:rsidRPr="00D00A7F">
        <w:rPr>
          <w:rFonts w:ascii="David" w:eastAsia="David" w:hAnsi="David" w:hint="cs"/>
          <w:rtl/>
        </w:rPr>
        <w:t>" מתיישבת עם ידיעתה על כך שהמחסנית שהוחבאה מלאה בכדורים.</w:t>
      </w:r>
    </w:p>
    <w:p w14:paraId="270B1286" w14:textId="77777777" w:rsidR="00B34A87" w:rsidRPr="00D00A7F" w:rsidRDefault="00B34A87" w:rsidP="00B34A87">
      <w:pPr>
        <w:widowControl w:val="0"/>
        <w:snapToGrid w:val="0"/>
        <w:spacing w:line="360" w:lineRule="auto"/>
        <w:ind w:left="1191"/>
        <w:jc w:val="both"/>
        <w:rPr>
          <w:rFonts w:ascii="David" w:eastAsia="David" w:hAnsi="David"/>
          <w:b/>
          <w:rtl/>
        </w:rPr>
      </w:pPr>
      <w:r w:rsidRPr="00D00A7F">
        <w:rPr>
          <w:rFonts w:ascii="David" w:eastAsia="David" w:hAnsi="David" w:hint="cs"/>
          <w:b/>
          <w:rtl/>
        </w:rPr>
        <w:t xml:space="preserve">הנה כי כן, מהמקובץ לעיל עולה כי בהתאם להכרעת הדין, </w:t>
      </w:r>
      <w:r w:rsidRPr="00D00A7F">
        <w:rPr>
          <w:rFonts w:ascii="David" w:eastAsia="David" w:hAnsi="David" w:hint="cs"/>
          <w:bCs/>
          <w:rtl/>
        </w:rPr>
        <w:t>חלקה של הנאשמת בביצוע העבירות היה אקטיבי ומשמעותי</w:t>
      </w:r>
      <w:r w:rsidRPr="00D00A7F">
        <w:rPr>
          <w:rFonts w:ascii="David" w:eastAsia="David" w:hAnsi="David" w:hint="cs"/>
          <w:b/>
          <w:rtl/>
        </w:rPr>
        <w:t xml:space="preserve">. </w:t>
      </w:r>
    </w:p>
    <w:p w14:paraId="6ED27585" w14:textId="77777777" w:rsidR="00B34A87" w:rsidRPr="00D00A7F" w:rsidRDefault="00B34A87" w:rsidP="00B34A87">
      <w:pPr>
        <w:ind w:left="720"/>
        <w:contextualSpacing/>
        <w:jc w:val="both"/>
        <w:rPr>
          <w:rFonts w:cs="Times New Roman"/>
          <w:b/>
          <w:rtl/>
        </w:rPr>
      </w:pPr>
    </w:p>
    <w:p w14:paraId="1AF35D2A" w14:textId="77777777" w:rsidR="00B34A87" w:rsidRPr="00D00A7F" w:rsidRDefault="00B34A87" w:rsidP="00B34A87">
      <w:pPr>
        <w:widowControl w:val="0"/>
        <w:numPr>
          <w:ilvl w:val="0"/>
          <w:numId w:val="3"/>
        </w:numPr>
        <w:snapToGrid w:val="0"/>
        <w:spacing w:line="360" w:lineRule="auto"/>
        <w:ind w:left="1191" w:hanging="397"/>
        <w:jc w:val="both"/>
        <w:rPr>
          <w:rFonts w:ascii="David" w:eastAsia="David" w:hAnsi="David"/>
        </w:rPr>
      </w:pPr>
      <w:r w:rsidRPr="00D00A7F">
        <w:rPr>
          <w:rFonts w:ascii="David" w:eastAsia="David" w:hAnsi="David" w:hint="cs"/>
          <w:b/>
          <w:rtl/>
        </w:rPr>
        <w:t xml:space="preserve">מביצוע העבירות </w:t>
      </w:r>
      <w:r w:rsidRPr="00D00A7F">
        <w:rPr>
          <w:rFonts w:ascii="David" w:eastAsia="David" w:hAnsi="David" w:hint="cs"/>
          <w:bCs/>
          <w:rtl/>
        </w:rPr>
        <w:t>אמנם לא נגרם נזק בפועל</w:t>
      </w:r>
      <w:r w:rsidRPr="00D00A7F">
        <w:rPr>
          <w:rFonts w:ascii="David" w:eastAsia="David" w:hAnsi="David" w:hint="cs"/>
          <w:b/>
          <w:rtl/>
        </w:rPr>
        <w:t xml:space="preserve">, שכן הנשק והתחמושת נתפסו – אך </w:t>
      </w:r>
      <w:r w:rsidRPr="00D00A7F">
        <w:rPr>
          <w:rFonts w:ascii="David" w:eastAsia="David" w:hAnsi="David" w:hint="cs"/>
          <w:bCs/>
          <w:rtl/>
        </w:rPr>
        <w:t>הנזק שעלול היה להיגרם גבוה ומשמעותי</w:t>
      </w:r>
      <w:r w:rsidRPr="00D00A7F">
        <w:rPr>
          <w:rFonts w:ascii="David" w:eastAsia="David" w:hAnsi="David" w:hint="cs"/>
          <w:b/>
          <w:rtl/>
        </w:rPr>
        <w:t xml:space="preserve">. </w:t>
      </w:r>
      <w:r w:rsidRPr="00D00A7F">
        <w:rPr>
          <w:rFonts w:ascii="David" w:eastAsia="David" w:hAnsi="David" w:hint="cs"/>
          <w:rtl/>
        </w:rPr>
        <w:t xml:space="preserve">פוטנציאל הפגיעה בציבור רב, על אחת כמה וכמה שעה שמדובר </w:t>
      </w:r>
      <w:r w:rsidRPr="00D00A7F">
        <w:rPr>
          <w:rFonts w:ascii="David" w:eastAsia="David" w:hAnsi="David" w:hint="cs"/>
          <w:b/>
          <w:rtl/>
        </w:rPr>
        <w:t xml:space="preserve">בהחזקה על ידי מי שלא מורשה או מיומן בשימוש </w:t>
      </w:r>
      <w:r w:rsidRPr="00D00A7F">
        <w:rPr>
          <w:rFonts w:ascii="David" w:eastAsia="David" w:hAnsi="David" w:hint="cs"/>
          <w:rtl/>
        </w:rPr>
        <w:t>באקדח טעון במחסנית ובה כדורים</w:t>
      </w:r>
      <w:r w:rsidRPr="00D00A7F">
        <w:rPr>
          <w:rFonts w:ascii="David" w:eastAsia="David" w:hAnsi="David" w:hint="cs"/>
          <w:b/>
          <w:rtl/>
        </w:rPr>
        <w:t xml:space="preserve"> וכן בכדורים נוספים. </w:t>
      </w:r>
      <w:r w:rsidRPr="00D00A7F">
        <w:rPr>
          <w:rFonts w:ascii="David" w:eastAsia="David" w:hAnsi="David" w:hint="cs"/>
          <w:rtl/>
        </w:rPr>
        <w:t>כך נקבע בסעיף 6 לפסק דינו של כב' הש' עמית ב-ב</w:t>
      </w:r>
      <w:hyperlink r:id="rId59" w:history="1">
        <w:r w:rsidR="00AD5A99" w:rsidRPr="00AD5A99">
          <w:rPr>
            <w:rFonts w:ascii="David" w:eastAsia="David" w:hAnsi="David"/>
            <w:color w:val="0000FF"/>
            <w:u w:val="single"/>
            <w:rtl/>
          </w:rPr>
          <w:t>ע"פ 2482/22</w:t>
        </w:r>
      </w:hyperlink>
      <w:r w:rsidRPr="00D00A7F">
        <w:rPr>
          <w:rFonts w:ascii="David" w:eastAsia="David" w:hAnsi="David" w:hint="cs"/>
          <w:rtl/>
        </w:rPr>
        <w:t xml:space="preserve"> </w:t>
      </w:r>
      <w:r w:rsidRPr="00D00A7F">
        <w:rPr>
          <w:rFonts w:ascii="Miriam" w:eastAsia="David" w:hAnsi="Miriam" w:cs="Miriam"/>
          <w:b/>
          <w:bCs/>
          <w:sz w:val="18"/>
          <w:szCs w:val="22"/>
          <w:rtl/>
        </w:rPr>
        <w:t xml:space="preserve">מדינת ישראל נ' קדורה </w:t>
      </w:r>
      <w:r w:rsidRPr="00D00A7F">
        <w:rPr>
          <w:rFonts w:ascii="David" w:eastAsia="David" w:hAnsi="David" w:hint="cs"/>
          <w:rtl/>
        </w:rPr>
        <w:t xml:space="preserve">(14.4.22) (להלן: </w:t>
      </w:r>
      <w:r w:rsidRPr="00D00A7F">
        <w:rPr>
          <w:rFonts w:ascii="Miriam" w:eastAsia="David" w:hAnsi="Miriam" w:cs="Miriam"/>
          <w:b/>
          <w:bCs/>
          <w:sz w:val="18"/>
          <w:szCs w:val="22"/>
          <w:rtl/>
        </w:rPr>
        <w:t>ענין קדורה</w:t>
      </w:r>
      <w:r w:rsidRPr="00D00A7F">
        <w:rPr>
          <w:rFonts w:ascii="David" w:eastAsia="David" w:hAnsi="David" w:hint="cs"/>
          <w:rtl/>
        </w:rPr>
        <w:t xml:space="preserve">) </w:t>
      </w:r>
      <w:r w:rsidRPr="00D00A7F">
        <w:rPr>
          <w:rFonts w:ascii="David" w:eastAsia="David" w:hAnsi="David"/>
          <w:rtl/>
        </w:rPr>
        <w:t>–</w:t>
      </w:r>
    </w:p>
    <w:p w14:paraId="0549D2D4" w14:textId="77777777" w:rsidR="00B34A87" w:rsidRPr="00D00A7F" w:rsidRDefault="00B34A87" w:rsidP="00B34A87">
      <w:pPr>
        <w:snapToGrid w:val="0"/>
        <w:ind w:left="1588" w:right="794"/>
        <w:contextualSpacing/>
        <w:jc w:val="both"/>
        <w:rPr>
          <w:rFonts w:ascii="David" w:hAnsi="David"/>
          <w:sz w:val="20"/>
        </w:rPr>
      </w:pPr>
    </w:p>
    <w:p w14:paraId="7C29B5D3" w14:textId="77777777" w:rsidR="00B34A87" w:rsidRPr="00D00A7F" w:rsidRDefault="00B34A87" w:rsidP="00B34A87">
      <w:pPr>
        <w:snapToGrid w:val="0"/>
        <w:ind w:left="1588" w:right="794"/>
        <w:contextualSpacing/>
        <w:jc w:val="both"/>
        <w:rPr>
          <w:rFonts w:ascii="David" w:hAnsi="David"/>
          <w:rtl/>
        </w:rPr>
      </w:pPr>
      <w:r w:rsidRPr="00D00A7F">
        <w:rPr>
          <w:rFonts w:ascii="David" w:hAnsi="David"/>
          <w:sz w:val="20"/>
          <w:rtl/>
        </w:rPr>
        <w:t>"...</w:t>
      </w:r>
      <w:r w:rsidRPr="00D00A7F">
        <w:rPr>
          <w:rFonts w:ascii="David" w:hAnsi="David"/>
          <w:b/>
          <w:bCs/>
          <w:sz w:val="20"/>
          <w:rtl/>
        </w:rPr>
        <w:t>ל</w:t>
      </w:r>
      <w:r w:rsidRPr="00D00A7F">
        <w:rPr>
          <w:rFonts w:ascii="David" w:hAnsi="David"/>
          <w:b/>
          <w:bCs/>
          <w:color w:val="000000"/>
          <w:sz w:val="28"/>
          <w:shd w:val="clear" w:color="auto" w:fill="FFFFFF"/>
          <w:rtl/>
        </w:rPr>
        <w:t>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w:t>
      </w:r>
      <w:r w:rsidRPr="00D00A7F">
        <w:rPr>
          <w:rFonts w:ascii="David" w:hAnsi="David"/>
          <w:rtl/>
        </w:rPr>
        <w:t xml:space="preserve">... </w:t>
      </w:r>
      <w:r w:rsidRPr="00D00A7F">
        <w:rPr>
          <w:rFonts w:ascii="David" w:hAnsi="David"/>
          <w:b/>
          <w:bCs/>
          <w:rtl/>
        </w:rPr>
        <w:t>כמו גם לאסונות נוראיים</w:t>
      </w:r>
      <w:r w:rsidRPr="00D00A7F">
        <w:rPr>
          <w:rFonts w:ascii="David" w:hAnsi="David"/>
          <w:rtl/>
        </w:rPr>
        <w:t>".</w:t>
      </w:r>
    </w:p>
    <w:p w14:paraId="6731634D" w14:textId="77777777" w:rsidR="00B34A87" w:rsidRPr="00D00A7F" w:rsidRDefault="00B34A87" w:rsidP="00B34A87">
      <w:pPr>
        <w:snapToGrid w:val="0"/>
        <w:spacing w:line="360" w:lineRule="auto"/>
        <w:ind w:left="1588" w:right="794"/>
        <w:contextualSpacing/>
        <w:jc w:val="both"/>
        <w:rPr>
          <w:rFonts w:ascii="David" w:hAnsi="David"/>
          <w:rtl/>
        </w:rPr>
      </w:pPr>
    </w:p>
    <w:p w14:paraId="6CBB605B" w14:textId="77777777" w:rsidR="00B34A87" w:rsidRPr="00D00A7F" w:rsidRDefault="00B34A87" w:rsidP="00B34A87">
      <w:pPr>
        <w:widowControl w:val="0"/>
        <w:snapToGrid w:val="0"/>
        <w:spacing w:line="360" w:lineRule="auto"/>
        <w:ind w:left="1191"/>
        <w:jc w:val="both"/>
        <w:rPr>
          <w:rFonts w:ascii="David" w:eastAsia="David" w:hAnsi="David"/>
          <w:rtl/>
        </w:rPr>
      </w:pPr>
      <w:r w:rsidRPr="00D00A7F">
        <w:rPr>
          <w:rFonts w:ascii="David" w:eastAsia="David" w:hAnsi="David" w:hint="cs"/>
          <w:rtl/>
        </w:rPr>
        <w:t>האמור מקבל משנה תוקף בהינתן סוג הנשק – אקדח הזנקה שהוסב לירי תחמושת קליעית בקליבר 9 מ"מ. כפי שנקבע בהכרעת הדין, בהתאם ל-</w:t>
      </w:r>
      <w:r w:rsidRPr="00D00A7F">
        <w:rPr>
          <w:rFonts w:ascii="David" w:eastAsia="David" w:hAnsi="David" w:hint="cs"/>
          <w:b/>
          <w:bCs/>
          <w:rtl/>
        </w:rPr>
        <w:t xml:space="preserve">ת/6 </w:t>
      </w:r>
      <w:r w:rsidRPr="00D00A7F">
        <w:rPr>
          <w:rFonts w:ascii="David" w:eastAsia="David" w:hAnsi="David" w:hint="cs"/>
          <w:rtl/>
        </w:rPr>
        <w:t>– חוות דעת מומחה נשק מיום 5.8.20, שנערכה על ידי ע"ת/16 בכתב האישום – הנשק "</w:t>
      </w:r>
      <w:r w:rsidRPr="00D00A7F">
        <w:rPr>
          <w:rFonts w:ascii="David" w:eastAsia="David" w:hAnsi="David" w:hint="cs"/>
          <w:b/>
          <w:bCs/>
          <w:rtl/>
        </w:rPr>
        <w:t>הינו אקדח שסוגל לירות תחמישים</w:t>
      </w:r>
      <w:r w:rsidRPr="00D00A7F">
        <w:rPr>
          <w:rFonts w:ascii="David" w:eastAsia="David" w:hAnsi="David" w:hint="cs"/>
          <w:rtl/>
        </w:rPr>
        <w:t>", ש"</w:t>
      </w:r>
      <w:r w:rsidRPr="00D00A7F">
        <w:rPr>
          <w:rFonts w:ascii="David" w:eastAsia="David" w:hAnsi="David" w:hint="cs"/>
          <w:b/>
          <w:bCs/>
          <w:rtl/>
        </w:rPr>
        <w:t>הוסב לירי תחמושת קליעית בקליבר 9 מ"מ קצר</w:t>
      </w:r>
      <w:r w:rsidRPr="00D00A7F">
        <w:rPr>
          <w:rFonts w:ascii="David" w:eastAsia="David" w:hAnsi="David" w:hint="cs"/>
          <w:rtl/>
        </w:rPr>
        <w:t>", ובבדיקה נמצא שהאקדח "</w:t>
      </w:r>
      <w:r w:rsidRPr="00D00A7F">
        <w:rPr>
          <w:rFonts w:ascii="David" w:eastAsia="David" w:hAnsi="David" w:hint="cs"/>
          <w:b/>
          <w:bCs/>
          <w:rtl/>
        </w:rPr>
        <w:t>יורה ובכוחו להמית אדם</w:t>
      </w:r>
      <w:r w:rsidRPr="00D00A7F">
        <w:rPr>
          <w:rFonts w:ascii="David" w:eastAsia="David" w:hAnsi="David" w:hint="cs"/>
          <w:rtl/>
        </w:rPr>
        <w:t>" (סעיף 36 להכרעת הדין). מקובלת עליי טענת ב"כ המאשימה, כי האמור מצביע על כוונה מובהקת של החזקה עם פוטנציאל מסכן חיים, קל וחומר כאשר הנשק והתחמושת הוחזקו בחצר הבית והיו עלולים להגיע גם להישג ידם שם ילדים.</w:t>
      </w:r>
    </w:p>
    <w:p w14:paraId="6B6C65A9" w14:textId="77777777" w:rsidR="00B34A87" w:rsidRPr="00D00A7F" w:rsidRDefault="00B34A87" w:rsidP="00B34A87">
      <w:pPr>
        <w:snapToGrid w:val="0"/>
        <w:ind w:left="1588" w:right="794"/>
        <w:contextualSpacing/>
        <w:jc w:val="both"/>
        <w:rPr>
          <w:rFonts w:cs="Times New Roman"/>
          <w:rtl/>
        </w:rPr>
      </w:pPr>
    </w:p>
    <w:p w14:paraId="38850619" w14:textId="77777777" w:rsidR="00B34A87" w:rsidRPr="00D00A7F" w:rsidRDefault="00B34A87" w:rsidP="00B34A87">
      <w:pPr>
        <w:widowControl w:val="0"/>
        <w:numPr>
          <w:ilvl w:val="0"/>
          <w:numId w:val="3"/>
        </w:numPr>
        <w:snapToGrid w:val="0"/>
        <w:spacing w:line="360" w:lineRule="auto"/>
        <w:ind w:left="1191" w:hanging="397"/>
        <w:jc w:val="both"/>
        <w:rPr>
          <w:rFonts w:ascii="David" w:eastAsia="Calibri" w:hAnsi="David"/>
          <w:b/>
          <w:rtl/>
        </w:rPr>
      </w:pPr>
      <w:r w:rsidRPr="00D00A7F">
        <w:rPr>
          <w:rFonts w:ascii="David" w:eastAsia="Calibri" w:hAnsi="David" w:hint="cs"/>
          <w:b/>
          <w:bCs/>
          <w:rtl/>
        </w:rPr>
        <w:t>הסיבות שהביאו את הנאשמת לביצוע העבירות</w:t>
      </w:r>
      <w:r w:rsidRPr="00D00A7F">
        <w:rPr>
          <w:rFonts w:ascii="David" w:eastAsia="Calibri" w:hAnsi="David" w:hint="cs"/>
          <w:rtl/>
        </w:rPr>
        <w:t xml:space="preserve"> – בטיעונים לעונש ביום 19.11.24, בחלוף למעלה מ-4 שנים מהגשת כתב האישום המקורי, הנאשמת הודתה בעובדות כתב האישום ונטען שהחזיקה את הנאשם והתחמושת בהיותה </w:t>
      </w:r>
      <w:r w:rsidRPr="00D00A7F">
        <w:rPr>
          <w:rFonts w:ascii="David" w:eastAsia="David" w:hAnsi="David" w:hint="cs"/>
          <w:b/>
          <w:rtl/>
        </w:rPr>
        <w:t>תלותית בבן זוגה ובבנה, פעלה לפי הוראותיהם ויכולתה להתנגד להם היתה מוגבלת. בדבריה לעונש מסרה הנאשמת "</w:t>
      </w:r>
      <w:r w:rsidRPr="00D00A7F">
        <w:rPr>
          <w:rFonts w:ascii="David" w:eastAsia="David" w:hAnsi="David" w:hint="cs"/>
          <w:bCs/>
          <w:rtl/>
        </w:rPr>
        <w:t xml:space="preserve">אני רוצה להגיד שאני מצטערת על מה שהיה, אני ידעתי שלעמראן יש נשק </w:t>
      </w:r>
      <w:r w:rsidRPr="00D00A7F">
        <w:rPr>
          <w:rFonts w:ascii="David" w:eastAsia="David" w:hAnsi="David"/>
          <w:bCs/>
          <w:rtl/>
        </w:rPr>
        <w:t>בבית ואני לא הצלחתי לפעול בצורה טוב יותר</w:t>
      </w:r>
      <w:r w:rsidRPr="00D00A7F">
        <w:rPr>
          <w:rFonts w:ascii="David" w:eastAsia="David" w:hAnsi="David"/>
          <w:b/>
          <w:rtl/>
        </w:rPr>
        <w:t>...".</w:t>
      </w:r>
    </w:p>
    <w:p w14:paraId="6247B0BE" w14:textId="77777777" w:rsidR="00B34A87" w:rsidRPr="00D00A7F" w:rsidRDefault="00B34A87" w:rsidP="00B34A87">
      <w:pPr>
        <w:widowControl w:val="0"/>
        <w:snapToGrid w:val="0"/>
        <w:spacing w:line="360" w:lineRule="auto"/>
        <w:contextualSpacing/>
        <w:jc w:val="both"/>
        <w:rPr>
          <w:rFonts w:ascii="David" w:eastAsia="David" w:hAnsi="David"/>
          <w:bCs/>
          <w:sz w:val="26"/>
          <w:szCs w:val="26"/>
          <w:rtl/>
        </w:rPr>
      </w:pPr>
    </w:p>
    <w:p w14:paraId="735443AF" w14:textId="77777777" w:rsidR="00B34A87" w:rsidRPr="00D00A7F" w:rsidRDefault="00B34A87" w:rsidP="00B34A87">
      <w:pPr>
        <w:widowControl w:val="0"/>
        <w:snapToGrid w:val="0"/>
        <w:spacing w:line="360" w:lineRule="auto"/>
        <w:contextualSpacing/>
        <w:jc w:val="both"/>
        <w:rPr>
          <w:rFonts w:ascii="David" w:eastAsia="Calibri" w:hAnsi="David"/>
          <w:bCs/>
          <w:sz w:val="26"/>
          <w:szCs w:val="26"/>
          <w:rtl/>
        </w:rPr>
      </w:pPr>
      <w:r w:rsidRPr="00D00A7F">
        <w:rPr>
          <w:rFonts w:ascii="David" w:hAnsi="David"/>
          <w:bCs/>
          <w:sz w:val="26"/>
          <w:szCs w:val="26"/>
          <w:rtl/>
        </w:rPr>
        <w:t>מתחם העונש ההולם</w:t>
      </w:r>
    </w:p>
    <w:p w14:paraId="02B5888A" w14:textId="77777777" w:rsidR="00B34A87" w:rsidRPr="00D00A7F" w:rsidRDefault="00B34A87" w:rsidP="00B34A87">
      <w:pPr>
        <w:widowControl w:val="0"/>
        <w:numPr>
          <w:ilvl w:val="0"/>
          <w:numId w:val="1"/>
        </w:numPr>
        <w:spacing w:line="360" w:lineRule="auto"/>
        <w:ind w:left="397" w:hanging="397"/>
        <w:contextualSpacing/>
        <w:jc w:val="both"/>
        <w:rPr>
          <w:rFonts w:ascii="David" w:eastAsia="David" w:hAnsi="David"/>
          <w:rtl/>
        </w:rPr>
      </w:pPr>
      <w:r w:rsidRPr="00D00A7F">
        <w:rPr>
          <w:rFonts w:ascii="David" w:hAnsi="David"/>
          <w:color w:val="000000"/>
          <w:shd w:val="clear" w:color="auto" w:fill="FFFFFF"/>
          <w:rtl/>
        </w:rPr>
        <w:t xml:space="preserve">בהינתן הערכים המוגנים ומידת הפגיעה בהם, מדיניות הענישה ונסיבות ביצוע העבירות </w:t>
      </w:r>
      <w:r w:rsidRPr="00D00A7F">
        <w:rPr>
          <w:rFonts w:ascii="David" w:hAnsi="David"/>
          <w:rtl/>
        </w:rPr>
        <w:t xml:space="preserve">ובהתאם לכלל האחידות הענישה – </w:t>
      </w:r>
      <w:r w:rsidRPr="00D00A7F">
        <w:rPr>
          <w:rFonts w:ascii="David" w:hAnsi="David"/>
          <w:bCs/>
          <w:rtl/>
        </w:rPr>
        <w:t>יש לקבוע מתחם זהה לזה שנקבע ב-</w:t>
      </w:r>
      <w:r w:rsidRPr="00D00A7F">
        <w:rPr>
          <w:rFonts w:ascii="Miriam" w:hAnsi="Miriam" w:cs="Miriam"/>
          <w:b/>
          <w:bCs/>
          <w:sz w:val="22"/>
          <w:szCs w:val="22"/>
          <w:rtl/>
        </w:rPr>
        <w:t>ענין אבו עראר</w:t>
      </w:r>
      <w:r w:rsidRPr="00D00A7F">
        <w:rPr>
          <w:rFonts w:ascii="David" w:hAnsi="David"/>
          <w:b/>
          <w:rtl/>
        </w:rPr>
        <w:t>.</w:t>
      </w:r>
      <w:r w:rsidRPr="00D00A7F">
        <w:rPr>
          <w:rFonts w:ascii="David" w:hAnsi="David"/>
          <w:bCs/>
          <w:rtl/>
        </w:rPr>
        <w:t xml:space="preserve"> </w:t>
      </w:r>
      <w:r w:rsidRPr="00D00A7F">
        <w:rPr>
          <w:rFonts w:ascii="David" w:hAnsi="David"/>
          <w:b/>
          <w:rtl/>
        </w:rPr>
        <w:t>ודוק, לצד החשיבות הלא מבוטלת שיש לאחידות הענישה – אין בעונשו של עמראן כדי להשליך על המתחם שיש לקבוע בגין מעשי הנאשמת בנסיבות ביצוע העבירות. כפי שנקבע ב-</w:t>
      </w:r>
      <w:r w:rsidRPr="00D00A7F">
        <w:rPr>
          <w:rFonts w:ascii="Miriam" w:hAnsi="Miriam" w:cs="Miriam"/>
          <w:b/>
          <w:bCs/>
          <w:sz w:val="22"/>
          <w:szCs w:val="22"/>
          <w:rtl/>
        </w:rPr>
        <w:t>ענין אבו עראר</w:t>
      </w:r>
      <w:r w:rsidRPr="00D00A7F">
        <w:rPr>
          <w:rFonts w:ascii="David" w:hAnsi="David"/>
          <w:b/>
          <w:rtl/>
        </w:rPr>
        <w:t xml:space="preserve"> עונשו של הבן נקבע במסגרת הסדר טיעון סגור, שנומק בקושי ראייתי (</w:t>
      </w:r>
      <w:r w:rsidRPr="00D00A7F">
        <w:rPr>
          <w:rFonts w:ascii="David" w:hAnsi="David"/>
          <w:b/>
          <w:bCs/>
          <w:rtl/>
        </w:rPr>
        <w:t>טל/6א</w:t>
      </w:r>
      <w:r w:rsidRPr="00D00A7F">
        <w:rPr>
          <w:rFonts w:ascii="David" w:hAnsi="David"/>
          <w:rtl/>
        </w:rPr>
        <w:t xml:space="preserve"> ו-</w:t>
      </w:r>
      <w:r w:rsidRPr="00D00A7F">
        <w:rPr>
          <w:rFonts w:ascii="David" w:hAnsi="David"/>
          <w:b/>
          <w:bCs/>
          <w:rtl/>
        </w:rPr>
        <w:t>טל/6ב</w:t>
      </w:r>
      <w:r w:rsidRPr="00D00A7F">
        <w:rPr>
          <w:rFonts w:ascii="David" w:hAnsi="David"/>
          <w:b/>
          <w:rtl/>
        </w:rPr>
        <w:t xml:space="preserve">). נפסק לא אחת כי במקרה בו הוצג </w:t>
      </w:r>
      <w:r w:rsidRPr="00D00A7F">
        <w:rPr>
          <w:rFonts w:ascii="David" w:hAnsi="David"/>
          <w:rtl/>
        </w:rPr>
        <w:t>הסדר סגור, כלל אחידות הענישה לא מחייב, שכן מערך השיקולים הפועלים בעת גיבוש הסדר טיעון רחב ושונה ממערך שיקולי בית המשפט במסגרת תיקון 113 ל-</w:t>
      </w:r>
      <w:hyperlink r:id="rId60" w:history="1">
        <w:r w:rsidR="00AD5A99" w:rsidRPr="00AD5A99">
          <w:rPr>
            <w:rFonts w:ascii="Miriam" w:hAnsi="Miriam" w:cs="Miriam"/>
            <w:b/>
            <w:bCs/>
            <w:color w:val="0000FF"/>
            <w:sz w:val="22"/>
            <w:szCs w:val="22"/>
            <w:u w:val="single"/>
            <w:rtl/>
          </w:rPr>
          <w:t>חוק העונשין</w:t>
        </w:r>
      </w:hyperlink>
      <w:r w:rsidRPr="00D00A7F">
        <w:rPr>
          <w:rFonts w:ascii="David" w:hAnsi="David"/>
          <w:rtl/>
        </w:rPr>
        <w:t xml:space="preserve"> [ראו </w:t>
      </w:r>
      <w:hyperlink r:id="rId61" w:history="1">
        <w:r w:rsidR="00AD5A99" w:rsidRPr="00AD5A99">
          <w:rPr>
            <w:rFonts w:ascii="David" w:hAnsi="David"/>
            <w:color w:val="0000FF"/>
            <w:u w:val="single"/>
            <w:rtl/>
          </w:rPr>
          <w:t>רע"פ 3446/18</w:t>
        </w:r>
      </w:hyperlink>
      <w:r w:rsidRPr="00D00A7F">
        <w:rPr>
          <w:rFonts w:ascii="David" w:hAnsi="David"/>
          <w:rtl/>
        </w:rPr>
        <w:t xml:space="preserve"> </w:t>
      </w:r>
      <w:r w:rsidRPr="00D00A7F">
        <w:rPr>
          <w:rFonts w:ascii="Miriam" w:hAnsi="Miriam" w:cs="Miriam"/>
          <w:b/>
          <w:bCs/>
          <w:sz w:val="22"/>
          <w:szCs w:val="22"/>
          <w:rtl/>
        </w:rPr>
        <w:t>חרחש נד מדינת ישראל</w:t>
      </w:r>
      <w:r w:rsidRPr="00D00A7F">
        <w:rPr>
          <w:rFonts w:ascii="David" w:hAnsi="David"/>
          <w:sz w:val="22"/>
          <w:szCs w:val="22"/>
          <w:rtl/>
        </w:rPr>
        <w:t xml:space="preserve"> </w:t>
      </w:r>
      <w:r w:rsidRPr="00D00A7F">
        <w:rPr>
          <w:rFonts w:ascii="David" w:hAnsi="David"/>
          <w:rtl/>
        </w:rPr>
        <w:t>(19.6.18), אליו הפנה ב"כ המאשימה].</w:t>
      </w:r>
    </w:p>
    <w:p w14:paraId="0943C245" w14:textId="77777777" w:rsidR="00B34A87" w:rsidRPr="00D00A7F" w:rsidRDefault="00B34A87" w:rsidP="00B34A87">
      <w:pPr>
        <w:widowControl w:val="0"/>
        <w:spacing w:line="360" w:lineRule="auto"/>
        <w:ind w:left="397"/>
        <w:contextualSpacing/>
        <w:jc w:val="both"/>
        <w:rPr>
          <w:rFonts w:ascii="David" w:hAnsi="David"/>
          <w:bCs/>
        </w:rPr>
      </w:pPr>
      <w:r w:rsidRPr="00D00A7F">
        <w:rPr>
          <w:rFonts w:ascii="David" w:hAnsi="David"/>
          <w:color w:val="000000"/>
          <w:shd w:val="clear" w:color="auto" w:fill="FFFFFF"/>
          <w:rtl/>
        </w:rPr>
        <w:t xml:space="preserve">בהינתן כל האמור, אני קובעת כי מתחם העונש ההולם הוא </w:t>
      </w:r>
      <w:r w:rsidRPr="00D00A7F">
        <w:rPr>
          <w:rFonts w:ascii="David" w:hAnsi="David"/>
          <w:b/>
          <w:bCs/>
          <w:color w:val="000000"/>
          <w:shd w:val="clear" w:color="auto" w:fill="FFFFFF"/>
          <w:rtl/>
        </w:rPr>
        <w:t>18–36 חודשי מאסר בפועל</w:t>
      </w:r>
      <w:r w:rsidRPr="00D00A7F">
        <w:rPr>
          <w:rFonts w:ascii="David" w:hAnsi="David"/>
          <w:color w:val="000000"/>
          <w:shd w:val="clear" w:color="auto" w:fill="FFFFFF"/>
          <w:rtl/>
        </w:rPr>
        <w:t xml:space="preserve"> וענישה נלווית. </w:t>
      </w:r>
      <w:r w:rsidRPr="00D00A7F">
        <w:rPr>
          <w:rFonts w:ascii="David" w:hAnsi="David"/>
          <w:sz w:val="20"/>
          <w:rtl/>
          <w:lang w:eastAsia="he-IL"/>
        </w:rPr>
        <w:t xml:space="preserve">עבירות נשק מחייבות עיצומים כלכליים. </w:t>
      </w:r>
      <w:r w:rsidRPr="00D00A7F">
        <w:rPr>
          <w:rFonts w:ascii="David" w:hAnsi="David"/>
          <w:rtl/>
        </w:rPr>
        <w:t xml:space="preserve">בהתאם להוראות </w:t>
      </w:r>
      <w:hyperlink r:id="rId62" w:history="1">
        <w:r w:rsidR="009D673E" w:rsidRPr="009D673E">
          <w:rPr>
            <w:rStyle w:val="Hyperlink"/>
            <w:rFonts w:ascii="David" w:hAnsi="David"/>
            <w:color w:val="0000FF"/>
            <w:rtl/>
          </w:rPr>
          <w:t>סעיף 40ח</w:t>
        </w:r>
      </w:hyperlink>
      <w:r w:rsidRPr="00D00A7F">
        <w:rPr>
          <w:rFonts w:ascii="David" w:hAnsi="David"/>
          <w:rtl/>
        </w:rPr>
        <w:t xml:space="preserve"> ל-</w:t>
      </w:r>
      <w:hyperlink r:id="rId63" w:history="1">
        <w:r w:rsidR="00AD5A99" w:rsidRPr="00AD5A99">
          <w:rPr>
            <w:rFonts w:ascii="Miriam" w:hAnsi="Miriam" w:cs="Miriam"/>
            <w:b/>
            <w:bCs/>
            <w:color w:val="0000FF"/>
            <w:szCs w:val="22"/>
            <w:u w:val="single"/>
            <w:rtl/>
          </w:rPr>
          <w:t>חוק העונשין</w:t>
        </w:r>
      </w:hyperlink>
      <w:r w:rsidRPr="00D00A7F">
        <w:rPr>
          <w:rFonts w:ascii="David" w:hAnsi="David"/>
          <w:rtl/>
        </w:rPr>
        <w:t xml:space="preserve">, </w:t>
      </w:r>
      <w:r w:rsidRPr="00D00A7F">
        <w:rPr>
          <w:rFonts w:ascii="David" w:hAnsi="David"/>
          <w:sz w:val="20"/>
          <w:rtl/>
          <w:lang w:eastAsia="he-IL"/>
        </w:rPr>
        <w:t xml:space="preserve">כשמדובר בקנס – אין דין פלונית כאלמונית. </w:t>
      </w:r>
      <w:r w:rsidRPr="00D00A7F">
        <w:rPr>
          <w:rFonts w:ascii="David" w:hAnsi="David"/>
          <w:rtl/>
        </w:rPr>
        <w:t xml:space="preserve">מטעם ההגנה לא הוגשו אסמכתאות המעידות על מצב כלכלי קשה, אך נתתי דעתי לדברי ב"כ הנאשמת </w:t>
      </w:r>
      <w:r w:rsidRPr="00D00A7F">
        <w:rPr>
          <w:rFonts w:ascii="David" w:hAnsi="David"/>
          <w:sz w:val="20"/>
          <w:rtl/>
          <w:lang w:eastAsia="he-IL"/>
        </w:rPr>
        <w:t xml:space="preserve">בנושא (כפי שיפורט בהמשך). </w:t>
      </w:r>
      <w:r w:rsidRPr="00D00A7F">
        <w:rPr>
          <w:rFonts w:ascii="David" w:hAnsi="David"/>
          <w:rtl/>
        </w:rPr>
        <w:t xml:space="preserve">משכך </w:t>
      </w:r>
      <w:r w:rsidRPr="00D00A7F">
        <w:rPr>
          <w:rFonts w:ascii="David" w:hAnsi="David"/>
          <w:bCs/>
          <w:rtl/>
        </w:rPr>
        <w:t xml:space="preserve">מתחם הקנס יהיה מתון בחלקו התחתון ויעמוד על </w:t>
      </w:r>
      <w:r w:rsidRPr="00D00A7F">
        <w:rPr>
          <w:rFonts w:ascii="David" w:hAnsi="David"/>
          <w:b/>
          <w:bCs/>
          <w:sz w:val="20"/>
          <w:rtl/>
          <w:lang w:eastAsia="he-IL"/>
        </w:rPr>
        <w:t>3,000 ₪–10,000 ₪</w:t>
      </w:r>
      <w:r w:rsidRPr="00D00A7F">
        <w:rPr>
          <w:rFonts w:ascii="David" w:hAnsi="David"/>
          <w:sz w:val="20"/>
          <w:rtl/>
          <w:lang w:eastAsia="he-IL"/>
        </w:rPr>
        <w:t>.</w:t>
      </w:r>
    </w:p>
    <w:p w14:paraId="07808406" w14:textId="77777777" w:rsidR="00B34A87" w:rsidRPr="00D00A7F" w:rsidRDefault="00B34A87" w:rsidP="00B34A87">
      <w:pPr>
        <w:widowControl w:val="0"/>
        <w:spacing w:line="360" w:lineRule="auto"/>
        <w:jc w:val="both"/>
        <w:rPr>
          <w:rFonts w:ascii="David" w:eastAsia="David" w:hAnsi="David"/>
          <w:bCs/>
          <w:sz w:val="26"/>
          <w:szCs w:val="26"/>
          <w:rtl/>
        </w:rPr>
      </w:pPr>
    </w:p>
    <w:p w14:paraId="68559211" w14:textId="77777777" w:rsidR="00B34A87" w:rsidRPr="00D00A7F" w:rsidRDefault="00B34A87" w:rsidP="00B34A87">
      <w:pPr>
        <w:widowControl w:val="0"/>
        <w:spacing w:line="360" w:lineRule="auto"/>
        <w:jc w:val="both"/>
        <w:rPr>
          <w:rFonts w:ascii="David" w:eastAsia="David" w:hAnsi="David"/>
          <w:bCs/>
          <w:sz w:val="26"/>
          <w:szCs w:val="26"/>
        </w:rPr>
      </w:pPr>
      <w:r w:rsidRPr="00D00A7F">
        <w:rPr>
          <w:rFonts w:ascii="David" w:eastAsia="David" w:hAnsi="David"/>
          <w:bCs/>
          <w:sz w:val="26"/>
          <w:szCs w:val="26"/>
          <w:rtl/>
        </w:rPr>
        <w:t>גזירת העונש המתאים לנאשמת במסגרת המתחם</w:t>
      </w:r>
    </w:p>
    <w:p w14:paraId="35D17417"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sz w:val="20"/>
          <w:rtl/>
          <w:lang w:eastAsia="he-IL"/>
        </w:rPr>
      </w:pPr>
      <w:r w:rsidRPr="00D00A7F">
        <w:rPr>
          <w:rFonts w:ascii="David" w:hAnsi="David"/>
          <w:sz w:val="20"/>
          <w:rtl/>
          <w:lang w:eastAsia="he-IL"/>
        </w:rPr>
        <w:t xml:space="preserve">בגזירת העונש המתאים לנאשמת התחשבתי, בהתאם </w:t>
      </w:r>
      <w:hyperlink r:id="rId64" w:history="1">
        <w:r w:rsidR="009D673E" w:rsidRPr="009D673E">
          <w:rPr>
            <w:rStyle w:val="Hyperlink"/>
            <w:rFonts w:ascii="David" w:hAnsi="David"/>
            <w:color w:val="0000FF"/>
            <w:sz w:val="20"/>
            <w:rtl/>
            <w:lang w:eastAsia="he-IL"/>
          </w:rPr>
          <w:t>לסעיף 40ג(ב)</w:t>
        </w:r>
      </w:hyperlink>
      <w:r w:rsidRPr="00D00A7F">
        <w:rPr>
          <w:rFonts w:ascii="David" w:hAnsi="David"/>
          <w:sz w:val="20"/>
          <w:rtl/>
          <w:lang w:eastAsia="he-IL"/>
        </w:rPr>
        <w:t xml:space="preserve"> </w:t>
      </w:r>
      <w:r w:rsidRPr="00D00A7F">
        <w:rPr>
          <w:rFonts w:ascii="David" w:hAnsi="David"/>
          <w:rtl/>
        </w:rPr>
        <w:t>ל-</w:t>
      </w:r>
      <w:hyperlink r:id="rId65" w:history="1">
        <w:r w:rsidR="00AD5A99" w:rsidRPr="00AD5A99">
          <w:rPr>
            <w:rFonts w:ascii="Miriam" w:hAnsi="Miriam" w:cs="Miriam"/>
            <w:b/>
            <w:bCs/>
            <w:color w:val="0000FF"/>
            <w:szCs w:val="22"/>
            <w:u w:val="single"/>
            <w:rtl/>
          </w:rPr>
          <w:t>חוק העונשין</w:t>
        </w:r>
      </w:hyperlink>
      <w:r w:rsidRPr="00D00A7F">
        <w:rPr>
          <w:rFonts w:ascii="David" w:hAnsi="David"/>
          <w:sz w:val="20"/>
          <w:rtl/>
          <w:lang w:eastAsia="he-IL"/>
        </w:rPr>
        <w:t xml:space="preserve">, </w:t>
      </w:r>
      <w:r w:rsidRPr="00D00A7F">
        <w:rPr>
          <w:rFonts w:ascii="David" w:hAnsi="David"/>
          <w:b/>
          <w:bCs/>
          <w:sz w:val="20"/>
          <w:rtl/>
          <w:lang w:eastAsia="he-IL"/>
        </w:rPr>
        <w:t>בנסיבות שאינן קשורות בביצוע העבירה</w:t>
      </w:r>
      <w:r w:rsidRPr="00D00A7F">
        <w:rPr>
          <w:rFonts w:ascii="David" w:hAnsi="David"/>
          <w:sz w:val="20"/>
          <w:rtl/>
          <w:lang w:eastAsia="he-IL"/>
        </w:rPr>
        <w:t xml:space="preserve">, כאמור </w:t>
      </w:r>
      <w:hyperlink r:id="rId66" w:history="1">
        <w:r w:rsidR="009D673E" w:rsidRPr="009D673E">
          <w:rPr>
            <w:rStyle w:val="Hyperlink"/>
            <w:rFonts w:ascii="David" w:hAnsi="David"/>
            <w:color w:val="0000FF"/>
            <w:sz w:val="20"/>
            <w:rtl/>
            <w:lang w:eastAsia="he-IL"/>
          </w:rPr>
          <w:t>בסעיף 40יא</w:t>
        </w:r>
      </w:hyperlink>
      <w:r w:rsidRPr="00D00A7F">
        <w:rPr>
          <w:rFonts w:ascii="David" w:hAnsi="David"/>
          <w:sz w:val="20"/>
          <w:rtl/>
          <w:lang w:eastAsia="he-IL"/>
        </w:rPr>
        <w:t xml:space="preserve"> </w:t>
      </w:r>
      <w:r w:rsidRPr="00D00A7F">
        <w:rPr>
          <w:rFonts w:ascii="David" w:hAnsi="David"/>
          <w:rtl/>
        </w:rPr>
        <w:t>ל-</w:t>
      </w:r>
      <w:r w:rsidRPr="00D00A7F">
        <w:rPr>
          <w:rFonts w:ascii="Miriam" w:hAnsi="Miriam" w:cs="Miriam"/>
          <w:b/>
          <w:bCs/>
          <w:szCs w:val="22"/>
          <w:rtl/>
        </w:rPr>
        <w:t>חוק העונשין</w:t>
      </w:r>
      <w:r w:rsidRPr="00D00A7F">
        <w:rPr>
          <w:rFonts w:ascii="David" w:hAnsi="David"/>
          <w:szCs w:val="22"/>
          <w:rtl/>
        </w:rPr>
        <w:t xml:space="preserve">, </w:t>
      </w:r>
      <w:r w:rsidRPr="00D00A7F">
        <w:rPr>
          <w:rFonts w:ascii="David" w:hAnsi="David"/>
          <w:sz w:val="28"/>
          <w:rtl/>
        </w:rPr>
        <w:t>כפי שעלה מהכרעת הדין, מטענות ב"כ הצדדים, מחוות הדעת ומדברי הנאשמת – הכל כמפורט להלן:</w:t>
      </w:r>
    </w:p>
    <w:p w14:paraId="3F5F681A" w14:textId="77777777" w:rsidR="00B34A87" w:rsidRPr="00D00A7F" w:rsidRDefault="00B34A87" w:rsidP="00B34A87">
      <w:pPr>
        <w:widowControl w:val="0"/>
        <w:ind w:left="794"/>
        <w:contextualSpacing/>
        <w:jc w:val="both"/>
        <w:rPr>
          <w:rFonts w:ascii="David" w:hAnsi="David"/>
          <w:rtl/>
        </w:rPr>
      </w:pPr>
      <w:bookmarkStart w:id="9" w:name="Rov1059"/>
    </w:p>
    <w:p w14:paraId="4A298DCE"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rtl/>
        </w:rPr>
      </w:pPr>
      <w:r w:rsidRPr="00D00A7F">
        <w:rPr>
          <w:rFonts w:ascii="David" w:hAnsi="David"/>
          <w:b/>
          <w:bCs/>
          <w:sz w:val="20"/>
          <w:rtl/>
          <w:lang w:eastAsia="he-IL"/>
        </w:rPr>
        <w:t>נסיבות חיים של הנאשמת, מצבה המשפחתי והכללי</w:t>
      </w:r>
      <w:r w:rsidRPr="00D00A7F">
        <w:rPr>
          <w:rFonts w:ascii="David" w:hAnsi="David"/>
          <w:sz w:val="20"/>
          <w:rtl/>
          <w:lang w:eastAsia="he-IL"/>
        </w:rPr>
        <w:t xml:space="preserve"> – </w:t>
      </w:r>
      <w:r w:rsidRPr="00D00A7F">
        <w:rPr>
          <w:rFonts w:ascii="David" w:hAnsi="David"/>
          <w:rtl/>
        </w:rPr>
        <w:t xml:space="preserve">הנאשמת כבת 49, אם ל-14 ילדים, 9 בנות ו-5 בנים, 6 מהם מעל גיל 18. בנה עמראן (שותפה לביצוע העבירות) הוא הבן הראשון שנולד לה לאחר 5 בנות. 2 מבנותיה גרושות וחיות איתה, יחד עם ילדיהן, בבית הכולל 3 חדרים, סלון ומטבח. </w:t>
      </w:r>
    </w:p>
    <w:p w14:paraId="3731E1F1" w14:textId="77777777" w:rsidR="00B34A87" w:rsidRPr="00D00A7F" w:rsidRDefault="00B34A87" w:rsidP="00B34A87">
      <w:pPr>
        <w:widowControl w:val="0"/>
        <w:spacing w:line="360" w:lineRule="auto"/>
        <w:ind w:left="794"/>
        <w:contextualSpacing/>
        <w:jc w:val="both"/>
        <w:rPr>
          <w:rFonts w:ascii="David" w:hAnsi="David"/>
          <w:sz w:val="20"/>
          <w:lang w:eastAsia="he-IL"/>
        </w:rPr>
      </w:pPr>
      <w:r w:rsidRPr="00D00A7F">
        <w:rPr>
          <w:rFonts w:ascii="David" w:hAnsi="David"/>
          <w:sz w:val="20"/>
          <w:rtl/>
          <w:lang w:eastAsia="he-IL"/>
        </w:rPr>
        <w:t>הנאשמת נולדה בלוד, למשפחה בת 14 נפשות, הוריה לא עבדו, והמשפחה, קשת יום עם קשיים סוציואקונומיים מרובים, התגוררה בדירת עמידר בת 3 חדרים.</w:t>
      </w:r>
    </w:p>
    <w:p w14:paraId="0FB5A6AE" w14:textId="77777777" w:rsidR="00B34A87" w:rsidRPr="00D00A7F" w:rsidRDefault="00B34A87" w:rsidP="00B34A87">
      <w:pPr>
        <w:widowControl w:val="0"/>
        <w:spacing w:line="360" w:lineRule="auto"/>
        <w:ind w:left="794"/>
        <w:contextualSpacing/>
        <w:jc w:val="both"/>
        <w:rPr>
          <w:rFonts w:ascii="David" w:hAnsi="David"/>
          <w:sz w:val="20"/>
          <w:lang w:eastAsia="he-IL"/>
        </w:rPr>
      </w:pPr>
      <w:r w:rsidRPr="00D00A7F">
        <w:rPr>
          <w:rFonts w:ascii="David" w:hAnsi="David"/>
          <w:sz w:val="20"/>
          <w:rtl/>
          <w:lang w:eastAsia="he-IL"/>
        </w:rPr>
        <w:t>ה-7 בסדר משפחתה, נשרה מבית הספר לאחר 6 שנות לימוד (לא היה ניסיון מצד הרשויות או המשפחה, להחזירה ללימודים), ומאז הייתה חסרת מעש, לא למדה או עבדה.</w:t>
      </w:r>
    </w:p>
    <w:p w14:paraId="46C829AB"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 xml:space="preserve">בגיל 16 נישאה לנאיף (שותפה לביצוע העבירות), בדואי מכפר ערערה בנגב, מבוגר ממנה ב-16 שנים, מובטל, החי מביטוח לאומי. נאיף נשוי ל-2 נשים נוספות, אותן עזב לטובת הנאשמת, מה שעורר עוינות ושנאה מצדן ומצד 11 ילדיהן כלפי הנאשמת וילדיה. </w:t>
      </w:r>
    </w:p>
    <w:p w14:paraId="07F35167"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 xml:space="preserve">כעולה מחוות הדעת, הנאשמת במקור ממשפחת אבו שהאב, משפחה בדואית קטנה שאין לה מעמד שיוכי, ונישאה לשבט אבו עראר, הגדול בכפר ערערה, בעל מעמד הישגי. נחשבת אישה זרה, מעמד נחות בחברה הערבית, הממקם אותה בשולי השבט, מודרת ונתונה לביקורת, התנהגותה מוכפשת וחינוך ילדיה מוטל בספק. בנוסף, מעמדה בשבט נחות, בהיותה אם ל-9 בנות, 5 ברצף, שלאחר מכן נולד בנה הראשון, אשר קיבל מעמד מיוחד במשפחה. </w:t>
      </w:r>
    </w:p>
    <w:p w14:paraId="1C868C73"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 xml:space="preserve">עוד עולה מחוות הדעת, כי הנאשמת מאפשרת לבנותיה חופשיות מסוימת (מתלבשות כרצונן, ללא כיסוי ראש, חלקן לובשות מכנסיים) מה שמוגדר על ידי סביבתה ומשפחתה המורחבת כהתנהגות לא מכבדת ושאינה הולמת את התרבות ומנהגי משפחת אבו עראר. הנאשמת מואשמת בעידוד בנותיה לקריאת תיגר על המוסכמות החברתיות ומעמיד אותה ואת בנותיה בסיכון תמידי ובניסיונות לפגיעה. הנאשמת יעד לאלימות, ונפגעה, יותר מפעם אחת, על ידי המשפחה המורחבת, וגם בנותיה סבלו מאלימות מתמשכת מצד בני הדודים ואחיהם מנשותיו הראשונות של נאיף. הנאשמת תיארה גם מקרי הטרדה מינית וניסיון אונס כלפי בנותיה, מצד בני הדודים והשכנים, ולדבריה, הן הגישו תלונות מרובות במשטרה, אך זו לא עושה דבר ולא מספקת הגנה; הפניות למשטרה תייגו אותה באור שלילי, הוגדרה כ"מרגלת", הפכה ליעד להקנטות ודחייה על ידי השבט, בייחוד כי לא הגיעה משבט חזק או בעל מוניטין. </w:t>
      </w:r>
    </w:p>
    <w:p w14:paraId="70C6DBCF"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 xml:space="preserve">כעולה מחוות הדעת, העוינות והדחיה החברתית נגד הנאשמת הובילו לתלות מוחלטת בבעלה ובבנה הגדול – עמראן, המגנים מהסביבה העוינת, תומכים בה ומעניקים לה ולבנותיה הגנה כחלק מהתפקידים "הגבריים" בחברה הבדואית. נטען כי הנאשמת לא מצליחה לנהל את חייה בנפרד ופועלת לפי הנחיות בעלה ובנה. </w:t>
      </w:r>
    </w:p>
    <w:p w14:paraId="17EB91B5" w14:textId="77777777" w:rsidR="00B34A87" w:rsidRPr="00D00A7F" w:rsidRDefault="00B34A87" w:rsidP="00B34A87">
      <w:pPr>
        <w:widowControl w:val="0"/>
        <w:jc w:val="both"/>
        <w:rPr>
          <w:rFonts w:ascii="David" w:eastAsia="David" w:hAnsi="David"/>
          <w:sz w:val="20"/>
          <w:rtl/>
          <w:lang w:eastAsia="he-IL"/>
        </w:rPr>
      </w:pPr>
    </w:p>
    <w:p w14:paraId="434189D2"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sz w:val="20"/>
          <w:rtl/>
          <w:lang w:eastAsia="he-IL"/>
        </w:rPr>
      </w:pPr>
      <w:r w:rsidRPr="00D00A7F">
        <w:rPr>
          <w:rFonts w:ascii="David" w:hAnsi="David"/>
          <w:b/>
          <w:bCs/>
          <w:sz w:val="20"/>
          <w:rtl/>
          <w:lang w:eastAsia="he-IL"/>
        </w:rPr>
        <w:t>מצב כלכלי</w:t>
      </w:r>
      <w:r w:rsidRPr="00D00A7F">
        <w:rPr>
          <w:rFonts w:ascii="David" w:hAnsi="David"/>
          <w:sz w:val="20"/>
          <w:rtl/>
          <w:lang w:eastAsia="he-IL"/>
        </w:rPr>
        <w:t xml:space="preserve"> – לדברי ב"כ הנאשמת, מצבה הכלכלי של הנאשמת קשה, היא אם ל-8 קטינים, ו-2 בנותיה הגרושות חיות אצלה, כשאחת מהן לא מקבלת מזונות; עוד מסרה ב"כ הנאשמת כי היא ביקרה אצלה בבית והמצב מאוד קשה.  </w:t>
      </w:r>
    </w:p>
    <w:p w14:paraId="4451188D" w14:textId="77777777" w:rsidR="00B34A87" w:rsidRPr="00D00A7F" w:rsidRDefault="00B34A87" w:rsidP="00B34A87">
      <w:pPr>
        <w:ind w:left="720"/>
        <w:contextualSpacing/>
        <w:jc w:val="both"/>
        <w:rPr>
          <w:rFonts w:ascii="David" w:hAnsi="David"/>
          <w:sz w:val="20"/>
          <w:rtl/>
          <w:lang w:eastAsia="he-IL"/>
        </w:rPr>
      </w:pPr>
    </w:p>
    <w:p w14:paraId="7627BC33"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sz w:val="20"/>
          <w:rtl/>
          <w:lang w:eastAsia="he-IL"/>
        </w:rPr>
      </w:pPr>
      <w:r w:rsidRPr="00D00A7F">
        <w:rPr>
          <w:rFonts w:ascii="David" w:hAnsi="David"/>
          <w:b/>
          <w:bCs/>
          <w:sz w:val="20"/>
          <w:rtl/>
          <w:lang w:eastAsia="he-IL"/>
        </w:rPr>
        <w:t>מצב רפואי ונפשי</w:t>
      </w:r>
      <w:r w:rsidRPr="00D00A7F">
        <w:rPr>
          <w:rFonts w:ascii="David" w:hAnsi="David"/>
          <w:sz w:val="20"/>
          <w:rtl/>
          <w:lang w:eastAsia="he-IL"/>
        </w:rPr>
        <w:t xml:space="preserve"> – כעולה מחוות הדעת, הנאשמת סובלת מסכרת, לחץ דם ואי ספיקת לב, מזה כשנתיים, ומטופלת בתרופות. </w:t>
      </w:r>
    </w:p>
    <w:p w14:paraId="6D6BEEB4" w14:textId="77777777" w:rsidR="00B34A87" w:rsidRPr="00D00A7F" w:rsidRDefault="00B34A87" w:rsidP="00B34A87">
      <w:pPr>
        <w:widowControl w:val="0"/>
        <w:spacing w:line="360" w:lineRule="auto"/>
        <w:ind w:left="794"/>
        <w:contextualSpacing/>
        <w:jc w:val="both"/>
        <w:rPr>
          <w:rFonts w:ascii="David" w:hAnsi="David"/>
          <w:sz w:val="20"/>
          <w:lang w:eastAsia="he-IL"/>
        </w:rPr>
      </w:pPr>
      <w:r w:rsidRPr="00D00A7F">
        <w:rPr>
          <w:rFonts w:ascii="David" w:hAnsi="David"/>
          <w:sz w:val="20"/>
          <w:rtl/>
          <w:lang w:eastAsia="he-IL"/>
        </w:rPr>
        <w:t>נתתי דעתי אף לדברי ב"כ הנאשמת לפיהם לנאשמת גם רקע נפשי – הפרעת חרדה על רקע הפרעת הסתגלות משנית לטריגרים בחייה (</w:t>
      </w:r>
      <w:r w:rsidRPr="00D00A7F">
        <w:rPr>
          <w:rFonts w:ascii="David" w:hAnsi="David"/>
          <w:b/>
          <w:bCs/>
          <w:sz w:val="20"/>
          <w:rtl/>
          <w:lang w:eastAsia="he-IL"/>
        </w:rPr>
        <w:t>טל/2 – טל/4</w:t>
      </w:r>
      <w:r w:rsidRPr="00D00A7F">
        <w:rPr>
          <w:rFonts w:ascii="David" w:hAnsi="David"/>
          <w:sz w:val="20"/>
          <w:rtl/>
          <w:lang w:eastAsia="he-IL"/>
        </w:rPr>
        <w:t>).</w:t>
      </w:r>
    </w:p>
    <w:p w14:paraId="60B16B18"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גם בחוות הדעת הובא כי בשנתיים האחרונות סובלת הנאשמת ממועקה נפשית ומצויה בטיפול פסיכיאטרי.</w:t>
      </w:r>
    </w:p>
    <w:p w14:paraId="116673BA" w14:textId="77777777" w:rsidR="00B34A87" w:rsidRPr="00D00A7F" w:rsidRDefault="00B34A87" w:rsidP="00B34A87">
      <w:pPr>
        <w:widowControl w:val="0"/>
        <w:ind w:left="794" w:hanging="397"/>
        <w:contextualSpacing/>
        <w:jc w:val="both"/>
        <w:rPr>
          <w:rFonts w:ascii="David" w:hAnsi="David"/>
          <w:sz w:val="20"/>
          <w:lang w:eastAsia="he-IL"/>
        </w:rPr>
      </w:pPr>
    </w:p>
    <w:p w14:paraId="227271A7"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rtl/>
          <w:lang w:eastAsia="he-IL"/>
        </w:rPr>
      </w:pPr>
      <w:r w:rsidRPr="00D00A7F">
        <w:rPr>
          <w:rFonts w:ascii="David" w:hAnsi="David"/>
          <w:b/>
          <w:bCs/>
          <w:sz w:val="20"/>
          <w:rtl/>
          <w:lang w:eastAsia="he-IL"/>
        </w:rPr>
        <w:t xml:space="preserve">נטילת </w:t>
      </w:r>
      <w:r w:rsidRPr="00D00A7F">
        <w:rPr>
          <w:rFonts w:ascii="David" w:hAnsi="David"/>
          <w:b/>
          <w:bCs/>
          <w:rtl/>
          <w:lang w:eastAsia="he-IL"/>
        </w:rPr>
        <w:t>אחריות</w:t>
      </w:r>
      <w:r w:rsidRPr="00D00A7F">
        <w:rPr>
          <w:rFonts w:ascii="David" w:hAnsi="David"/>
          <w:rtl/>
          <w:lang w:eastAsia="he-IL"/>
        </w:rPr>
        <w:t xml:space="preserve"> – הנאשמת כפרה במיוחס לה ולא הודתה בביצוע העבירות – וזו זכותה. אין לזקוף לחובתה עצם ניהול ההליך, אך ברי כי הנאשמת לא יכולה ליהנות מהקלות להן זכאים אלו שנוטלים אחריות על מעשיהם, מביעים חרטה, עוברים טיפול מפחית מסוכנות, חוסכים מזמנם היקר של העדים ושל בית המשפט. </w:t>
      </w:r>
      <w:r w:rsidRPr="00D00A7F">
        <w:rPr>
          <w:rFonts w:ascii="David" w:hAnsi="David"/>
          <w:sz w:val="20"/>
          <w:rtl/>
          <w:lang w:eastAsia="he-IL"/>
        </w:rPr>
        <w:t xml:space="preserve">גם מחוות הדעת (נושאת תאריך 20.7.24) עלה כי הנאשמת מכחישה ביצוע המעשים שיוחסו לה. </w:t>
      </w:r>
      <w:r w:rsidRPr="00D00A7F">
        <w:rPr>
          <w:rFonts w:ascii="David" w:hAnsi="David"/>
          <w:rtl/>
          <w:lang w:eastAsia="he-IL"/>
        </w:rPr>
        <w:t xml:space="preserve">מחוות הדעת עלה, כי </w:t>
      </w:r>
      <w:r w:rsidRPr="00D00A7F">
        <w:rPr>
          <w:rFonts w:ascii="David" w:hAnsi="David"/>
          <w:sz w:val="20"/>
          <w:rtl/>
          <w:lang w:eastAsia="he-IL"/>
        </w:rPr>
        <w:t>הודאה בעבירה משמעותה "בגידה" וכישלון במילוי תפקיד "האישה הטובה" המצופה ממנה בחברה בה חיה.</w:t>
      </w:r>
    </w:p>
    <w:p w14:paraId="1B7EC74C" w14:textId="77777777" w:rsidR="00B34A87" w:rsidRPr="00D00A7F" w:rsidRDefault="00B34A87" w:rsidP="00B34A87">
      <w:pPr>
        <w:widowControl w:val="0"/>
        <w:spacing w:line="360" w:lineRule="auto"/>
        <w:ind w:left="794"/>
        <w:contextualSpacing/>
        <w:jc w:val="both"/>
        <w:rPr>
          <w:rFonts w:ascii="David" w:hAnsi="David"/>
          <w:b/>
          <w:bCs/>
          <w:sz w:val="20"/>
          <w:lang w:eastAsia="he-IL"/>
        </w:rPr>
      </w:pPr>
      <w:r w:rsidRPr="00D00A7F">
        <w:rPr>
          <w:rFonts w:ascii="David" w:hAnsi="David"/>
          <w:sz w:val="20"/>
          <w:rtl/>
          <w:lang w:eastAsia="he-IL"/>
        </w:rPr>
        <w:t xml:space="preserve">כתוצאה מכך, העונש החברתי שיוטל עליה אם תודה, עלול להיות קשה מנשוא ולהציבה בסיכון גדול לפגיעה, הן פיזית והן בנידוי חברתי מצד המשפחה. </w:t>
      </w:r>
    </w:p>
    <w:p w14:paraId="69B067DA" w14:textId="77777777" w:rsidR="00B34A87" w:rsidRPr="00D00A7F" w:rsidRDefault="00B34A87" w:rsidP="00B34A87">
      <w:pPr>
        <w:widowControl w:val="0"/>
        <w:spacing w:line="360" w:lineRule="auto"/>
        <w:ind w:left="794"/>
        <w:contextualSpacing/>
        <w:jc w:val="both"/>
        <w:rPr>
          <w:rFonts w:ascii="David" w:hAnsi="David"/>
          <w:lang w:eastAsia="he-IL"/>
        </w:rPr>
      </w:pPr>
      <w:r w:rsidRPr="00D00A7F">
        <w:rPr>
          <w:rFonts w:ascii="David" w:hAnsi="David"/>
          <w:sz w:val="20"/>
          <w:rtl/>
          <w:lang w:eastAsia="he-IL"/>
        </w:rPr>
        <w:t xml:space="preserve">חרף האמור, בדיון הטיעונים לעונש (שנדחה, בין היתר, על מנת לאפשר להגנה לשקול בקשה להפניית הנאשמת לשירות המבחן לעריכת תסקיר) – בחלוף למעלה מ-4 שנים מהגשת כתב האישום המקורי, וכחצי שנה ממועד הכרעת הדין – עלה לראשונה </w:t>
      </w:r>
      <w:r w:rsidRPr="00D00A7F">
        <w:rPr>
          <w:rFonts w:ascii="David" w:hAnsi="David"/>
          <w:rtl/>
          <w:lang w:eastAsia="he-IL"/>
        </w:rPr>
        <w:t xml:space="preserve">כי הנאשמת מודה בעובדות המתוארות בכתב האישום וכעת מוכנה ליטול אחריות על מעשיה. הגם שמדובר בנטילת אחריות מאוחרת – זו תיזקף לזכותה במסגרת גזר הדין. </w:t>
      </w:r>
    </w:p>
    <w:p w14:paraId="2F8D0DB5" w14:textId="77777777" w:rsidR="00B34A87" w:rsidRPr="00B34A87" w:rsidRDefault="00B34A87" w:rsidP="00B34A87">
      <w:pPr>
        <w:ind w:left="720"/>
        <w:contextualSpacing/>
        <w:jc w:val="both"/>
        <w:rPr>
          <w:rFonts w:ascii="David" w:hAnsi="David"/>
          <w:highlight w:val="lightGray"/>
          <w:lang w:eastAsia="he-IL"/>
        </w:rPr>
      </w:pPr>
    </w:p>
    <w:p w14:paraId="5153A7BA"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rtl/>
          <w:lang w:eastAsia="he-IL"/>
        </w:rPr>
      </w:pPr>
      <w:r w:rsidRPr="00D00A7F">
        <w:rPr>
          <w:rFonts w:ascii="David" w:hAnsi="David"/>
          <w:b/>
          <w:bCs/>
          <w:rtl/>
        </w:rPr>
        <w:t xml:space="preserve">הנזקים שנגרמו לנאשמת מביצוע העבירות ומהרשעתה </w:t>
      </w:r>
      <w:r w:rsidRPr="00D00A7F">
        <w:rPr>
          <w:rFonts w:ascii="David" w:hAnsi="David"/>
          <w:rtl/>
        </w:rPr>
        <w:t>–</w:t>
      </w:r>
      <w:r w:rsidRPr="00D00A7F">
        <w:rPr>
          <w:rFonts w:ascii="David" w:hAnsi="David"/>
          <w:rtl/>
          <w:lang w:eastAsia="he-IL"/>
        </w:rPr>
        <w:t xml:space="preserve"> כעולה מחוות הדעת, הנאשמת הייתה עצורה 9 ימים, ותיארה זאת כתקופה קשה וחוויה טראומטית המלווה אותה עד היום, כשלדבריה, היא סובלת מנדודי שינה וצורכת תרופות הרגעה, פחד ממעצר מטריד אותה, היא חיה בחרדה ובוכה כל הזמן מול ילדיה הקטנים. </w:t>
      </w:r>
    </w:p>
    <w:p w14:paraId="115675A5" w14:textId="77777777" w:rsidR="00B34A87" w:rsidRPr="00B34A87" w:rsidRDefault="00B34A87" w:rsidP="00B34A87">
      <w:pPr>
        <w:widowControl w:val="0"/>
        <w:ind w:left="794" w:hanging="397"/>
        <w:contextualSpacing/>
        <w:jc w:val="both"/>
        <w:rPr>
          <w:rFonts w:ascii="David" w:hAnsi="David"/>
          <w:sz w:val="20"/>
          <w:highlight w:val="lightGray"/>
          <w:lang w:eastAsia="he-IL"/>
        </w:rPr>
      </w:pPr>
    </w:p>
    <w:p w14:paraId="3CEC0412"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rtl/>
        </w:rPr>
      </w:pPr>
      <w:r w:rsidRPr="00D00A7F">
        <w:rPr>
          <w:rFonts w:ascii="David" w:hAnsi="David"/>
          <w:b/>
          <w:bCs/>
          <w:sz w:val="20"/>
          <w:rtl/>
          <w:lang w:eastAsia="he-IL"/>
        </w:rPr>
        <w:t>השפעת העונש על הנאשמת ועל משפחתה</w:t>
      </w:r>
      <w:r w:rsidRPr="00D00A7F">
        <w:rPr>
          <w:rFonts w:ascii="David" w:hAnsi="David"/>
          <w:sz w:val="20"/>
          <w:rtl/>
          <w:lang w:eastAsia="he-IL"/>
        </w:rPr>
        <w:t xml:space="preserve"> – נתתי דעתי לטענות </w:t>
      </w:r>
      <w:r w:rsidRPr="00D00A7F">
        <w:rPr>
          <w:rFonts w:ascii="David" w:hAnsi="David"/>
          <w:rtl/>
        </w:rPr>
        <w:t>ב"כ הנאשמת לכך שענישת אישה שונה מענישת גבר וכי כל הפסיקה והמתחמים עוסקים בנאשמים גברים. כן נתתי דעתי לקביעת כב' הש' עמית (כתוארו אז) בסעיף 5 להחלטתו ב-</w:t>
      </w:r>
      <w:hyperlink r:id="rId67" w:history="1">
        <w:r w:rsidR="00AD5A99" w:rsidRPr="00AD5A99">
          <w:rPr>
            <w:rFonts w:ascii="David" w:hAnsi="David"/>
            <w:color w:val="0000FF"/>
            <w:u w:val="single"/>
            <w:rtl/>
          </w:rPr>
          <w:t>בש"פ 5693/16</w:t>
        </w:r>
      </w:hyperlink>
      <w:r w:rsidRPr="00D00A7F">
        <w:rPr>
          <w:rFonts w:ascii="David" w:hAnsi="David"/>
          <w:rtl/>
        </w:rPr>
        <w:t xml:space="preserve"> </w:t>
      </w:r>
      <w:r w:rsidRPr="00D00A7F">
        <w:rPr>
          <w:rFonts w:ascii="Miriam" w:hAnsi="Miriam" w:cs="Miriam"/>
          <w:b/>
          <w:bCs/>
          <w:sz w:val="22"/>
          <w:szCs w:val="22"/>
          <w:rtl/>
        </w:rPr>
        <w:t>שי שלום זה נ' מדינת ישראל</w:t>
      </w:r>
      <w:r w:rsidRPr="00D00A7F">
        <w:rPr>
          <w:rFonts w:ascii="David" w:hAnsi="David"/>
          <w:sz w:val="22"/>
          <w:szCs w:val="22"/>
          <w:rtl/>
        </w:rPr>
        <w:t xml:space="preserve"> </w:t>
      </w:r>
      <w:r w:rsidRPr="00D00A7F">
        <w:rPr>
          <w:rFonts w:ascii="David" w:hAnsi="David"/>
          <w:rtl/>
        </w:rPr>
        <w:t xml:space="preserve">(24.7.16), אליו הפנו ב"כ הנאשמת ביחס לעבריינות נשית – </w:t>
      </w:r>
    </w:p>
    <w:p w14:paraId="45650B2B" w14:textId="77777777" w:rsidR="00B34A87" w:rsidRPr="00D00A7F" w:rsidRDefault="00B34A87" w:rsidP="00B34A87">
      <w:pPr>
        <w:ind w:left="720"/>
        <w:contextualSpacing/>
        <w:jc w:val="both"/>
        <w:rPr>
          <w:rFonts w:ascii="David" w:hAnsi="David"/>
        </w:rPr>
      </w:pPr>
    </w:p>
    <w:p w14:paraId="506A4849" w14:textId="77777777" w:rsidR="00B34A87" w:rsidRPr="00D00A7F" w:rsidRDefault="00B34A87" w:rsidP="00B34A87">
      <w:pPr>
        <w:tabs>
          <w:tab w:val="left" w:pos="800"/>
        </w:tabs>
        <w:overflowPunct w:val="0"/>
        <w:autoSpaceDE w:val="0"/>
        <w:autoSpaceDN w:val="0"/>
        <w:adjustRightInd w:val="0"/>
        <w:ind w:left="1588" w:right="794"/>
        <w:jc w:val="both"/>
        <w:rPr>
          <w:rFonts w:ascii="David" w:hAnsi="David"/>
          <w:rtl/>
        </w:rPr>
      </w:pPr>
      <w:r w:rsidRPr="00D00A7F">
        <w:rPr>
          <w:rFonts w:ascii="David" w:hAnsi="David"/>
          <w:rtl/>
        </w:rPr>
        <w:t>"</w:t>
      </w:r>
      <w:r w:rsidRPr="00D00A7F">
        <w:rPr>
          <w:rFonts w:ascii="David" w:hAnsi="David"/>
          <w:b/>
          <w:bCs/>
          <w:rtl/>
        </w:rPr>
        <w:t>... למעלה מן הצורך אומר כי איני משוכנע כי הגיעה העת ל'שוויון' מלא בין נשים וגברים בתחום המעצרים והמאסרים. גלוי וידוע כי עבריינות נשים אינה שכיחה כעבריינות גברים, מספר האסירות והעצורות בישראל קטן עשרת מונים ממספר האסירים והעצורים, וטוב שכך. גם אם שופטי ישראל 'חוטאים' ביחס לקולא כלפי נשים, הרי שהדבר נובע, בין היתר, מההכרה במאפיינים ובצרכים הייחודיים של נשים עברייניות ואסירות. מחקרים מלמדים על הפרופיל הייחודי של נשים עברייניות, השונה מזה של הגבר העבריין, לרבות ההיסטוריה האישית הקשה שמסתתרת מאחורי אחוז ניכר מביניהן. השפיטה, הענישה, הטיפול ודרכי השיקום של נשים עברייניות הוא מושא לכתיבה עניפה בתחום הקרימינולוגיה, ולא זה המקום להרחיב</w:t>
      </w:r>
      <w:r w:rsidRPr="00D00A7F">
        <w:rPr>
          <w:rFonts w:ascii="David" w:hAnsi="David"/>
          <w:rtl/>
        </w:rPr>
        <w:t>".</w:t>
      </w:r>
    </w:p>
    <w:p w14:paraId="1864064B" w14:textId="77777777" w:rsidR="00B34A87" w:rsidRPr="00D00A7F" w:rsidRDefault="00B34A87" w:rsidP="00B34A87">
      <w:pPr>
        <w:spacing w:line="360" w:lineRule="auto"/>
        <w:ind w:left="720"/>
        <w:contextualSpacing/>
        <w:jc w:val="both"/>
        <w:rPr>
          <w:rFonts w:ascii="David" w:hAnsi="David"/>
          <w:sz w:val="20"/>
          <w:lang w:eastAsia="he-IL"/>
        </w:rPr>
      </w:pPr>
    </w:p>
    <w:p w14:paraId="505222B1" w14:textId="77777777" w:rsidR="00B34A87" w:rsidRPr="00D00A7F" w:rsidRDefault="00B34A87" w:rsidP="00B34A87">
      <w:pPr>
        <w:widowControl w:val="0"/>
        <w:spacing w:line="360" w:lineRule="auto"/>
        <w:ind w:left="794"/>
        <w:contextualSpacing/>
        <w:jc w:val="both"/>
        <w:rPr>
          <w:rFonts w:ascii="David" w:hAnsi="David"/>
          <w:sz w:val="20"/>
          <w:rtl/>
          <w:lang w:eastAsia="he-IL"/>
        </w:rPr>
      </w:pPr>
      <w:r w:rsidRPr="00D00A7F">
        <w:rPr>
          <w:rFonts w:ascii="David" w:hAnsi="David"/>
          <w:sz w:val="20"/>
          <w:rtl/>
          <w:lang w:eastAsia="he-IL"/>
        </w:rPr>
        <w:t>בהקשר זה, נתתי לכך ש</w:t>
      </w:r>
      <w:r w:rsidRPr="00D00A7F">
        <w:rPr>
          <w:rFonts w:ascii="David" w:hAnsi="David"/>
          <w:rtl/>
        </w:rPr>
        <w:t xml:space="preserve">בחוות הדעת נטען כי </w:t>
      </w:r>
      <w:r w:rsidRPr="00D00A7F">
        <w:rPr>
          <w:rFonts w:ascii="David" w:hAnsi="David"/>
          <w:sz w:val="20"/>
          <w:rtl/>
          <w:lang w:eastAsia="he-IL"/>
        </w:rPr>
        <w:t>עונש מאסר עלול להיות הרסני עבור הנאשמת ומשפחתה, בפרט בנותיה, קיים חשש כי מאסר יחליש מעמדה ויגביר התמריץ לפגיעה בה ובבנותיה, בשל הסטיגמה החברתית הנלווית למאסר עבור נשים. הנאשמת הביעה חשש לגורל משפחתה, בעיקר בנותיה המתבגרות, כי קרובי המשפחה יפגעו בהן אם תאסר, על רקע ניסיונות עבר לפגיעה בה ובבנותיה. הנאשמת רואה בנוכחותה כמגינה ושומרת על בנותיה והיעדרה יפגע בכל המשפחה, כאשר האב, נאיף, נשפט לשנתיים.</w:t>
      </w:r>
      <w:r w:rsidRPr="00D00A7F">
        <w:rPr>
          <w:rFonts w:ascii="David" w:hAnsi="David"/>
          <w:rtl/>
        </w:rPr>
        <w:t xml:space="preserve"> </w:t>
      </w:r>
    </w:p>
    <w:p w14:paraId="7A09CA05" w14:textId="77777777" w:rsidR="00B34A87" w:rsidRPr="00D00A7F" w:rsidRDefault="00B34A87" w:rsidP="00B34A87">
      <w:pPr>
        <w:widowControl w:val="0"/>
        <w:spacing w:line="360" w:lineRule="auto"/>
        <w:ind w:left="794"/>
        <w:contextualSpacing/>
        <w:jc w:val="both"/>
        <w:rPr>
          <w:rFonts w:ascii="David" w:hAnsi="David"/>
          <w:sz w:val="26"/>
          <w:szCs w:val="26"/>
          <w:rtl/>
        </w:rPr>
      </w:pPr>
      <w:r w:rsidRPr="00D00A7F">
        <w:rPr>
          <w:rFonts w:ascii="David" w:hAnsi="David"/>
          <w:sz w:val="20"/>
          <w:rtl/>
          <w:lang w:eastAsia="he-IL"/>
        </w:rPr>
        <w:t xml:space="preserve">לעמדת ב"כ הנאשמת בטיעונים לעונש, אף מאסר בעבודות שירות יפגע משמעותית בנאשמת וילדיה הקטינים, ובהינתן מצבה החברתי והמשפחתי יגביר תמריץ פגיעה בה ובילדיה. </w:t>
      </w:r>
    </w:p>
    <w:p w14:paraId="64982D55" w14:textId="77777777" w:rsidR="00B34A87" w:rsidRPr="00D00A7F" w:rsidRDefault="00B34A87" w:rsidP="00B34A87">
      <w:pPr>
        <w:widowControl w:val="0"/>
        <w:ind w:left="794"/>
        <w:contextualSpacing/>
        <w:jc w:val="both"/>
        <w:rPr>
          <w:rFonts w:ascii="David" w:hAnsi="David"/>
          <w:sz w:val="26"/>
          <w:szCs w:val="26"/>
        </w:rPr>
      </w:pPr>
    </w:p>
    <w:p w14:paraId="3D0FF81C"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sz w:val="26"/>
          <w:szCs w:val="26"/>
          <w:rtl/>
        </w:rPr>
      </w:pPr>
      <w:r w:rsidRPr="00D00A7F">
        <w:rPr>
          <w:rFonts w:ascii="David" w:hAnsi="David"/>
          <w:b/>
          <w:bCs/>
          <w:rtl/>
        </w:rPr>
        <w:t>הנאשמת נעדר עבר פלילי</w:t>
      </w:r>
      <w:r w:rsidRPr="00D00A7F">
        <w:rPr>
          <w:rFonts w:ascii="David" w:hAnsi="David"/>
          <w:rtl/>
        </w:rPr>
        <w:t xml:space="preserve">. </w:t>
      </w:r>
    </w:p>
    <w:p w14:paraId="28AE2908" w14:textId="77777777" w:rsidR="00B34A87" w:rsidRPr="00D00A7F" w:rsidRDefault="00B34A87" w:rsidP="00B34A87">
      <w:pPr>
        <w:widowControl w:val="0"/>
        <w:ind w:left="794" w:hanging="397"/>
        <w:contextualSpacing/>
        <w:jc w:val="both"/>
        <w:rPr>
          <w:rFonts w:ascii="David" w:hAnsi="David"/>
        </w:rPr>
      </w:pPr>
    </w:p>
    <w:p w14:paraId="3C68F019" w14:textId="77777777" w:rsidR="00B34A87" w:rsidRPr="00D00A7F" w:rsidRDefault="00B34A87" w:rsidP="00B34A87">
      <w:pPr>
        <w:widowControl w:val="0"/>
        <w:numPr>
          <w:ilvl w:val="0"/>
          <w:numId w:val="4"/>
        </w:numPr>
        <w:spacing w:line="360" w:lineRule="auto"/>
        <w:ind w:left="794" w:hanging="397"/>
        <w:contextualSpacing/>
        <w:jc w:val="both"/>
        <w:rPr>
          <w:rFonts w:ascii="David" w:hAnsi="David"/>
        </w:rPr>
      </w:pPr>
      <w:r w:rsidRPr="00D00A7F">
        <w:rPr>
          <w:rFonts w:ascii="David" w:hAnsi="David"/>
          <w:b/>
          <w:bCs/>
          <w:rtl/>
          <w:lang w:eastAsia="he-IL"/>
        </w:rPr>
        <w:t>חלוף הזמן</w:t>
      </w:r>
      <w:r w:rsidRPr="00D00A7F">
        <w:rPr>
          <w:rFonts w:ascii="David" w:hAnsi="David"/>
          <w:rtl/>
          <w:lang w:eastAsia="he-IL"/>
        </w:rPr>
        <w:t xml:space="preserve"> – מביצוע העביר</w:t>
      </w:r>
      <w:bookmarkEnd w:id="9"/>
      <w:r w:rsidRPr="00D00A7F">
        <w:rPr>
          <w:rFonts w:ascii="David" w:hAnsi="David"/>
          <w:rtl/>
          <w:lang w:eastAsia="he-IL"/>
        </w:rPr>
        <w:t xml:space="preserve">ות חלפו למעלה </w:t>
      </w:r>
      <w:r w:rsidRPr="00D00A7F">
        <w:rPr>
          <w:rFonts w:ascii="David" w:hAnsi="David"/>
          <w:rtl/>
        </w:rPr>
        <w:t xml:space="preserve">מ-4.5 שנים, </w:t>
      </w:r>
      <w:r w:rsidRPr="00D00A7F">
        <w:rPr>
          <w:rFonts w:ascii="David" w:hAnsi="David"/>
          <w:rtl/>
          <w:lang w:eastAsia="he-IL"/>
        </w:rPr>
        <w:t xml:space="preserve">במהלכן לא נפתחו נגד הנאשמת תיקים נוספים. </w:t>
      </w:r>
    </w:p>
    <w:p w14:paraId="20CFC0E8" w14:textId="77777777" w:rsidR="00B34A87" w:rsidRPr="00D00A7F" w:rsidRDefault="00B34A87" w:rsidP="00B34A87">
      <w:pPr>
        <w:widowControl w:val="0"/>
        <w:spacing w:line="360" w:lineRule="auto"/>
        <w:jc w:val="both"/>
        <w:rPr>
          <w:rFonts w:ascii="David" w:eastAsia="David" w:hAnsi="David"/>
          <w:b/>
          <w:bCs/>
          <w:sz w:val="26"/>
          <w:szCs w:val="26"/>
        </w:rPr>
      </w:pPr>
    </w:p>
    <w:p w14:paraId="5D28453E" w14:textId="77777777" w:rsidR="00B34A87" w:rsidRPr="00D00A7F" w:rsidRDefault="00B34A87" w:rsidP="00B34A87">
      <w:pPr>
        <w:widowControl w:val="0"/>
        <w:spacing w:line="360" w:lineRule="auto"/>
        <w:jc w:val="both"/>
        <w:rPr>
          <w:rFonts w:ascii="David" w:eastAsia="David" w:hAnsi="David"/>
          <w:b/>
          <w:bCs/>
          <w:sz w:val="26"/>
          <w:szCs w:val="26"/>
          <w:rtl/>
        </w:rPr>
      </w:pPr>
      <w:r w:rsidRPr="00D00A7F">
        <w:rPr>
          <w:rFonts w:ascii="David" w:eastAsia="David" w:hAnsi="David"/>
          <w:b/>
          <w:bCs/>
          <w:sz w:val="26"/>
          <w:szCs w:val="26"/>
          <w:rtl/>
        </w:rPr>
        <w:t>סוף דבר</w:t>
      </w:r>
    </w:p>
    <w:p w14:paraId="6CF547DE" w14:textId="77777777" w:rsidR="00B34A87" w:rsidRPr="00D00A7F" w:rsidRDefault="00B34A87" w:rsidP="00B34A87">
      <w:pPr>
        <w:widowControl w:val="0"/>
        <w:numPr>
          <w:ilvl w:val="0"/>
          <w:numId w:val="1"/>
        </w:numPr>
        <w:spacing w:line="360" w:lineRule="auto"/>
        <w:ind w:left="397" w:hanging="397"/>
        <w:contextualSpacing/>
        <w:jc w:val="both"/>
        <w:rPr>
          <w:rFonts w:ascii="David" w:hAnsi="David"/>
          <w:sz w:val="20"/>
          <w:rtl/>
          <w:lang w:eastAsia="he-IL"/>
        </w:rPr>
      </w:pPr>
      <w:r w:rsidRPr="00D00A7F">
        <w:rPr>
          <w:rFonts w:ascii="David" w:hAnsi="David"/>
          <w:sz w:val="20"/>
          <w:rtl/>
          <w:lang w:eastAsia="he-IL"/>
        </w:rPr>
        <w:t xml:space="preserve">לא מצאתי מקום לחרוג ממתחם העונש ההולם בשל שיקולי שיקום או הגנה על שלום הציבור לפי הוראות </w:t>
      </w:r>
      <w:hyperlink r:id="rId68" w:history="1">
        <w:r w:rsidR="009D673E" w:rsidRPr="009D673E">
          <w:rPr>
            <w:rStyle w:val="Hyperlink"/>
            <w:rFonts w:ascii="David" w:hAnsi="David"/>
            <w:color w:val="0000FF"/>
            <w:sz w:val="20"/>
            <w:rtl/>
            <w:lang w:eastAsia="he-IL"/>
          </w:rPr>
          <w:t>סעיפים 40ד</w:t>
        </w:r>
      </w:hyperlink>
      <w:r w:rsidRPr="00D00A7F">
        <w:rPr>
          <w:rFonts w:ascii="David" w:hAnsi="David"/>
          <w:sz w:val="20"/>
          <w:rtl/>
          <w:lang w:eastAsia="he-IL"/>
        </w:rPr>
        <w:t xml:space="preserve"> ו-</w:t>
      </w:r>
      <w:hyperlink r:id="rId69" w:history="1">
        <w:r w:rsidR="009D673E" w:rsidRPr="009D673E">
          <w:rPr>
            <w:rStyle w:val="Hyperlink"/>
            <w:rFonts w:ascii="David" w:hAnsi="David"/>
            <w:color w:val="0000FF"/>
            <w:sz w:val="20"/>
            <w:rtl/>
            <w:lang w:eastAsia="he-IL"/>
          </w:rPr>
          <w:t>40ה</w:t>
        </w:r>
      </w:hyperlink>
      <w:r w:rsidRPr="00D00A7F">
        <w:rPr>
          <w:rFonts w:ascii="David" w:hAnsi="David"/>
          <w:sz w:val="20"/>
          <w:rtl/>
          <w:lang w:eastAsia="he-IL"/>
        </w:rPr>
        <w:t xml:space="preserve"> ל</w:t>
      </w:r>
      <w:r>
        <w:rPr>
          <w:rFonts w:ascii="David" w:hAnsi="David" w:hint="cs"/>
          <w:sz w:val="20"/>
          <w:rtl/>
          <w:lang w:eastAsia="he-IL"/>
        </w:rPr>
        <w:t>-</w:t>
      </w:r>
      <w:hyperlink r:id="rId70" w:history="1">
        <w:r w:rsidR="00AD5A99" w:rsidRPr="00AD5A99">
          <w:rPr>
            <w:rFonts w:ascii="Miriam" w:hAnsi="Miriam" w:cs="Miriam"/>
            <w:b/>
            <w:bCs/>
            <w:color w:val="0000FF"/>
            <w:sz w:val="18"/>
            <w:szCs w:val="22"/>
            <w:u w:val="single"/>
            <w:rtl/>
            <w:lang w:eastAsia="he-IL"/>
          </w:rPr>
          <w:t>חוק העונשין</w:t>
        </w:r>
      </w:hyperlink>
      <w:r w:rsidRPr="00D00A7F">
        <w:rPr>
          <w:rFonts w:ascii="David" w:hAnsi="David"/>
          <w:sz w:val="20"/>
          <w:rtl/>
          <w:lang w:eastAsia="he-IL"/>
        </w:rPr>
        <w:t xml:space="preserve">. במסגרת גזר הדין נתתי דעתי לצורך בהרתעה אישית ובהרתעת הרבים, בהתאם לסעיפים </w:t>
      </w:r>
      <w:hyperlink r:id="rId71" w:history="1">
        <w:r w:rsidR="009D673E" w:rsidRPr="009D673E">
          <w:rPr>
            <w:rStyle w:val="Hyperlink"/>
            <w:rFonts w:ascii="David" w:hAnsi="David"/>
            <w:color w:val="0000FF"/>
            <w:sz w:val="20"/>
            <w:rtl/>
            <w:lang w:eastAsia="he-IL"/>
          </w:rPr>
          <w:t>40ו</w:t>
        </w:r>
      </w:hyperlink>
      <w:r w:rsidRPr="00D00A7F">
        <w:rPr>
          <w:rFonts w:ascii="David" w:hAnsi="David"/>
          <w:sz w:val="20"/>
          <w:rtl/>
          <w:lang w:eastAsia="he-IL"/>
        </w:rPr>
        <w:t xml:space="preserve"> ו-</w:t>
      </w:r>
      <w:hyperlink r:id="rId72" w:history="1">
        <w:r w:rsidR="009D673E" w:rsidRPr="009D673E">
          <w:rPr>
            <w:rStyle w:val="Hyperlink"/>
            <w:rFonts w:ascii="David" w:hAnsi="David"/>
            <w:color w:val="0000FF"/>
            <w:sz w:val="20"/>
            <w:rtl/>
            <w:lang w:eastAsia="he-IL"/>
          </w:rPr>
          <w:t>40ז</w:t>
        </w:r>
      </w:hyperlink>
      <w:r w:rsidRPr="00D00A7F">
        <w:rPr>
          <w:rFonts w:ascii="David" w:hAnsi="David"/>
          <w:sz w:val="20"/>
          <w:rtl/>
          <w:lang w:eastAsia="he-IL"/>
        </w:rPr>
        <w:t xml:space="preserve"> ל</w:t>
      </w:r>
      <w:r>
        <w:rPr>
          <w:rFonts w:ascii="David" w:hAnsi="David" w:hint="cs"/>
          <w:sz w:val="20"/>
          <w:rtl/>
          <w:lang w:eastAsia="he-IL"/>
        </w:rPr>
        <w:t>-</w:t>
      </w:r>
      <w:hyperlink r:id="rId73" w:history="1">
        <w:r w:rsidR="00AD5A99" w:rsidRPr="00AD5A99">
          <w:rPr>
            <w:rFonts w:ascii="Miriam" w:hAnsi="Miriam" w:cs="Miriam"/>
            <w:b/>
            <w:bCs/>
            <w:color w:val="0000FF"/>
            <w:sz w:val="18"/>
            <w:szCs w:val="22"/>
            <w:u w:val="single"/>
            <w:rtl/>
            <w:lang w:eastAsia="he-IL"/>
          </w:rPr>
          <w:t>חוק העונשין</w:t>
        </w:r>
      </w:hyperlink>
      <w:r w:rsidRPr="00D00A7F">
        <w:rPr>
          <w:rFonts w:ascii="David" w:hAnsi="David"/>
          <w:sz w:val="20"/>
          <w:rtl/>
          <w:lang w:eastAsia="he-IL"/>
        </w:rPr>
        <w:t xml:space="preserve">. בהתחשב בעברה הנקי, חלוף הזמן ובעיקר נסיבותיה האישיות, לרבות מצבה הרפואי והשפעת העונש על ילדיה ובייחוד על בנותיה הקטינות והבגירות, והעובדה כי נכון להיום גם אביהם במאסר – מצאתי לנכון למקם הנאשמת בחלקו התחתון של המתחם. אשר על כן, </w:t>
      </w:r>
      <w:r w:rsidRPr="00D00A7F">
        <w:rPr>
          <w:rFonts w:ascii="David" w:hAnsi="David"/>
          <w:b/>
          <w:bCs/>
          <w:sz w:val="20"/>
          <w:rtl/>
          <w:lang w:eastAsia="he-IL"/>
        </w:rPr>
        <w:t>אני גוזרת על הנאשמת העונשים הבאים</w:t>
      </w:r>
      <w:r w:rsidRPr="00D00A7F">
        <w:rPr>
          <w:rFonts w:ascii="David" w:hAnsi="David"/>
          <w:sz w:val="20"/>
          <w:rtl/>
          <w:lang w:eastAsia="he-IL"/>
        </w:rPr>
        <w:t>:</w:t>
      </w:r>
    </w:p>
    <w:p w14:paraId="18D30284" w14:textId="77777777" w:rsidR="00B34A87" w:rsidRPr="00D00A7F" w:rsidRDefault="00B34A87" w:rsidP="00B34A87">
      <w:pPr>
        <w:widowControl w:val="0"/>
        <w:ind w:left="357"/>
        <w:contextualSpacing/>
        <w:jc w:val="both"/>
        <w:rPr>
          <w:rFonts w:ascii="David" w:hAnsi="David"/>
          <w:sz w:val="20"/>
          <w:lang w:eastAsia="he-IL"/>
        </w:rPr>
      </w:pPr>
    </w:p>
    <w:p w14:paraId="721446F6" w14:textId="77777777" w:rsidR="00B34A87" w:rsidRPr="00D00A7F" w:rsidRDefault="00B34A87" w:rsidP="00B34A87">
      <w:pPr>
        <w:widowControl w:val="0"/>
        <w:numPr>
          <w:ilvl w:val="1"/>
          <w:numId w:val="5"/>
        </w:numPr>
        <w:snapToGrid w:val="0"/>
        <w:spacing w:line="360" w:lineRule="auto"/>
        <w:ind w:left="794" w:hanging="397"/>
        <w:jc w:val="both"/>
        <w:rPr>
          <w:rFonts w:ascii="David" w:eastAsia="David" w:hAnsi="David"/>
          <w:sz w:val="20"/>
          <w:rtl/>
          <w:lang w:eastAsia="he-IL"/>
        </w:rPr>
      </w:pPr>
      <w:r w:rsidRPr="00D00A7F">
        <w:rPr>
          <w:rFonts w:ascii="David" w:eastAsia="David" w:hAnsi="David" w:hint="cs"/>
          <w:b/>
          <w:bCs/>
          <w:sz w:val="20"/>
          <w:rtl/>
          <w:lang w:eastAsia="he-IL"/>
        </w:rPr>
        <w:t>18 חודשי מאסר בפועל</w:t>
      </w:r>
      <w:r w:rsidRPr="00D00A7F">
        <w:rPr>
          <w:rFonts w:ascii="David" w:eastAsia="David" w:hAnsi="David" w:hint="cs"/>
          <w:sz w:val="20"/>
          <w:rtl/>
          <w:lang w:eastAsia="he-IL"/>
        </w:rPr>
        <w:t xml:space="preserve">, </w:t>
      </w:r>
      <w:r w:rsidRPr="00D00A7F">
        <w:rPr>
          <w:rFonts w:hint="cs"/>
          <w:sz w:val="20"/>
          <w:rtl/>
          <w:lang w:eastAsia="he-IL"/>
        </w:rPr>
        <w:t>בניכוי ימי מעצרה על פי רישומי שב"ס</w:t>
      </w:r>
      <w:r w:rsidRPr="00D00A7F">
        <w:rPr>
          <w:rFonts w:ascii="David" w:eastAsia="David" w:hAnsi="David" w:hint="cs"/>
          <w:sz w:val="20"/>
          <w:rtl/>
          <w:lang w:eastAsia="he-IL"/>
        </w:rPr>
        <w:t xml:space="preserve">. עונש המאסר ירוצה מהיום. </w:t>
      </w:r>
    </w:p>
    <w:p w14:paraId="0EF33060" w14:textId="77777777" w:rsidR="00B34A87" w:rsidRPr="00D00A7F" w:rsidRDefault="00B34A87" w:rsidP="00B34A87">
      <w:pPr>
        <w:widowControl w:val="0"/>
        <w:snapToGrid w:val="0"/>
        <w:ind w:left="794"/>
        <w:jc w:val="both"/>
        <w:rPr>
          <w:rFonts w:ascii="David" w:eastAsia="David" w:hAnsi="David"/>
          <w:b/>
          <w:bCs/>
          <w:u w:val="single"/>
          <w:lang w:eastAsia="he-IL"/>
        </w:rPr>
      </w:pPr>
    </w:p>
    <w:p w14:paraId="229380A9" w14:textId="77777777" w:rsidR="00B34A87" w:rsidRPr="00D00A7F" w:rsidRDefault="00B34A87" w:rsidP="00B34A87">
      <w:pPr>
        <w:widowControl w:val="0"/>
        <w:numPr>
          <w:ilvl w:val="1"/>
          <w:numId w:val="5"/>
        </w:numPr>
        <w:snapToGrid w:val="0"/>
        <w:spacing w:line="360" w:lineRule="auto"/>
        <w:ind w:left="794" w:hanging="397"/>
        <w:jc w:val="both"/>
        <w:rPr>
          <w:rFonts w:ascii="David" w:eastAsia="David" w:hAnsi="David"/>
          <w:szCs w:val="32"/>
          <w:lang w:eastAsia="he-IL"/>
        </w:rPr>
      </w:pPr>
      <w:r w:rsidRPr="00D00A7F">
        <w:rPr>
          <w:rFonts w:ascii="David" w:eastAsia="David" w:hAnsi="David" w:hint="cs"/>
          <w:b/>
          <w:bCs/>
          <w:sz w:val="20"/>
          <w:rtl/>
          <w:lang w:eastAsia="he-IL"/>
        </w:rPr>
        <w:t>9 חודשי מאסר על תנאי</w:t>
      </w:r>
      <w:r w:rsidRPr="00D00A7F">
        <w:rPr>
          <w:rFonts w:ascii="David" w:eastAsia="David" w:hAnsi="David" w:hint="cs"/>
          <w:sz w:val="20"/>
          <w:rtl/>
          <w:lang w:eastAsia="he-IL"/>
        </w:rPr>
        <w:t xml:space="preserve">, למשך שלוש שנים מתום ריצוי המאסר, </w:t>
      </w:r>
      <w:r w:rsidRPr="00D00A7F">
        <w:rPr>
          <w:rFonts w:hint="cs"/>
          <w:sz w:val="20"/>
          <w:rtl/>
          <w:lang w:eastAsia="he-IL"/>
        </w:rPr>
        <w:t>שלא תעבור עבירות בהן הורשעה</w:t>
      </w:r>
      <w:r w:rsidRPr="00D00A7F">
        <w:rPr>
          <w:rFonts w:ascii="David" w:eastAsia="David" w:hAnsi="David" w:hint="cs"/>
          <w:sz w:val="20"/>
          <w:rtl/>
          <w:lang w:eastAsia="he-IL"/>
        </w:rPr>
        <w:t>.</w:t>
      </w:r>
    </w:p>
    <w:p w14:paraId="0FBB8633" w14:textId="77777777" w:rsidR="00B34A87" w:rsidRPr="00B34A87" w:rsidRDefault="00B34A87" w:rsidP="00B34A87">
      <w:pPr>
        <w:ind w:left="794" w:hanging="397"/>
        <w:contextualSpacing/>
        <w:jc w:val="both"/>
        <w:rPr>
          <w:rFonts w:ascii="David" w:hAnsi="David"/>
          <w:highlight w:val="lightGray"/>
          <w:lang w:eastAsia="he-IL"/>
        </w:rPr>
      </w:pPr>
    </w:p>
    <w:p w14:paraId="28180BD9" w14:textId="77777777" w:rsidR="00B34A87" w:rsidRPr="00D00A7F" w:rsidRDefault="00B34A87" w:rsidP="00B34A87">
      <w:pPr>
        <w:widowControl w:val="0"/>
        <w:numPr>
          <w:ilvl w:val="1"/>
          <w:numId w:val="5"/>
        </w:numPr>
        <w:snapToGrid w:val="0"/>
        <w:spacing w:line="360" w:lineRule="auto"/>
        <w:ind w:left="794" w:hanging="397"/>
        <w:jc w:val="both"/>
        <w:rPr>
          <w:rFonts w:ascii="David" w:eastAsia="David" w:hAnsi="David"/>
          <w:sz w:val="20"/>
          <w:rtl/>
          <w:lang w:eastAsia="he-IL"/>
        </w:rPr>
      </w:pPr>
      <w:r w:rsidRPr="00D00A7F">
        <w:rPr>
          <w:rFonts w:ascii="David" w:eastAsia="David" w:hAnsi="David" w:hint="cs"/>
          <w:b/>
          <w:bCs/>
          <w:sz w:val="20"/>
          <w:rtl/>
          <w:lang w:eastAsia="he-IL"/>
        </w:rPr>
        <w:t>קנס בסך 3,000 ₪, או 30 ימי מאסר תמורתו</w:t>
      </w:r>
      <w:r w:rsidRPr="00D00A7F">
        <w:rPr>
          <w:rFonts w:ascii="David" w:eastAsia="David" w:hAnsi="David" w:hint="cs"/>
          <w:sz w:val="20"/>
          <w:rtl/>
          <w:lang w:eastAsia="he-IL"/>
        </w:rPr>
        <w:t>.</w:t>
      </w:r>
      <w:r w:rsidRPr="00D00A7F">
        <w:rPr>
          <w:rFonts w:ascii="David" w:eastAsia="David" w:hAnsi="David"/>
          <w:b/>
          <w:bCs/>
          <w:sz w:val="20"/>
          <w:rtl/>
          <w:lang w:eastAsia="he-IL"/>
        </w:rPr>
        <w:t xml:space="preserve"> </w:t>
      </w:r>
      <w:r w:rsidRPr="00D00A7F">
        <w:rPr>
          <w:rFonts w:ascii="David" w:eastAsia="David" w:hAnsi="David"/>
          <w:sz w:val="20"/>
          <w:rtl/>
          <w:lang w:eastAsia="he-IL"/>
        </w:rPr>
        <w:t xml:space="preserve"> </w:t>
      </w:r>
    </w:p>
    <w:p w14:paraId="3D8B5BF3" w14:textId="77777777" w:rsidR="00B34A87" w:rsidRPr="00D00A7F" w:rsidRDefault="00B34A87" w:rsidP="00B34A87">
      <w:pPr>
        <w:widowControl w:val="0"/>
        <w:spacing w:line="360" w:lineRule="auto"/>
        <w:ind w:left="794"/>
        <w:jc w:val="both"/>
        <w:rPr>
          <w:rFonts w:ascii="David" w:hAnsi="David"/>
          <w:sz w:val="20"/>
        </w:rPr>
      </w:pPr>
      <w:r w:rsidRPr="00D00A7F">
        <w:rPr>
          <w:rFonts w:ascii="David" w:hAnsi="David"/>
          <w:rtl/>
        </w:rPr>
        <w:t>הקנס ישולם ב-10 תשלומים שווים ורצופים, החל מיום</w:t>
      </w:r>
      <w:r w:rsidRPr="00D00A7F">
        <w:rPr>
          <w:rFonts w:ascii="David" w:hAnsi="David"/>
          <w:sz w:val="20"/>
          <w:rtl/>
        </w:rPr>
        <w:t xml:space="preserve"> 1.4.25 וכל 1 בחודש שלאחריו.</w:t>
      </w:r>
    </w:p>
    <w:p w14:paraId="26534422" w14:textId="77777777" w:rsidR="00B34A87" w:rsidRPr="00D00A7F" w:rsidRDefault="00B34A87" w:rsidP="00B34A87">
      <w:pPr>
        <w:widowControl w:val="0"/>
        <w:spacing w:line="360" w:lineRule="auto"/>
        <w:ind w:left="794"/>
        <w:jc w:val="both"/>
        <w:rPr>
          <w:rFonts w:ascii="David" w:hAnsi="David"/>
          <w:sz w:val="20"/>
        </w:rPr>
      </w:pPr>
      <w:r w:rsidRPr="00D00A7F">
        <w:rPr>
          <w:rFonts w:ascii="David" w:hAnsi="David"/>
          <w:rtl/>
        </w:rPr>
        <w:t>אם לא יבוצע תשלום במועדו – תעמוד כל יתרת הקנס לפירעון מידי.</w:t>
      </w:r>
    </w:p>
    <w:p w14:paraId="6369916F" w14:textId="77777777" w:rsidR="00B34A87" w:rsidRPr="00D00A7F" w:rsidRDefault="00B34A87" w:rsidP="00B34A87">
      <w:pPr>
        <w:widowControl w:val="0"/>
        <w:snapToGrid w:val="0"/>
        <w:ind w:left="794"/>
        <w:contextualSpacing/>
        <w:jc w:val="both"/>
        <w:rPr>
          <w:rFonts w:ascii="David" w:eastAsia="David" w:hAnsi="David"/>
          <w:sz w:val="20"/>
          <w:lang w:eastAsia="he-IL"/>
        </w:rPr>
      </w:pPr>
      <w:r w:rsidRPr="00D00A7F">
        <w:rPr>
          <w:rFonts w:ascii="David" w:eastAsia="David" w:hAnsi="David" w:hint="cs"/>
          <w:b/>
          <w:bCs/>
          <w:sz w:val="20"/>
          <w:u w:val="single"/>
          <w:rtl/>
          <w:lang w:eastAsia="he-IL"/>
        </w:rPr>
        <w:t>תשומת לב הנאשמת, כי ניתן לשלם את הקנס באחת הדרכים הבאות</w:t>
      </w:r>
      <w:r w:rsidRPr="00D00A7F">
        <w:rPr>
          <w:rFonts w:ascii="David" w:eastAsia="David" w:hAnsi="David" w:hint="cs"/>
          <w:sz w:val="20"/>
          <w:rtl/>
          <w:lang w:eastAsia="he-IL"/>
        </w:rPr>
        <w:t>:</w:t>
      </w:r>
    </w:p>
    <w:p w14:paraId="63FD3B4B" w14:textId="77777777" w:rsidR="00B34A87" w:rsidRPr="00D00A7F" w:rsidRDefault="00B34A87" w:rsidP="00B34A87">
      <w:pPr>
        <w:widowControl w:val="0"/>
        <w:ind w:left="794"/>
        <w:jc w:val="both"/>
        <w:rPr>
          <w:rFonts w:ascii="David" w:eastAsia="Calibri" w:hAnsi="David"/>
          <w:rtl/>
        </w:rPr>
      </w:pPr>
      <w:r w:rsidRPr="00D00A7F">
        <w:rPr>
          <w:rFonts w:ascii="Symbol" w:eastAsia="Calibri" w:hAnsi="Symbol"/>
        </w:rPr>
        <w:sym w:font="Symbol" w:char="F0AC"/>
      </w:r>
      <w:r w:rsidR="00AD5A99">
        <w:rPr>
          <w:rFonts w:ascii="David" w:eastAsia="Calibri" w:hAnsi="David" w:hint="cs"/>
          <w:rtl/>
        </w:rPr>
        <w:t xml:space="preserve">  </w:t>
      </w:r>
      <w:r w:rsidRPr="00D00A7F">
        <w:rPr>
          <w:rFonts w:ascii="David" w:eastAsia="Calibri" w:hAnsi="David" w:hint="cs"/>
          <w:rtl/>
        </w:rPr>
        <w:t>בכרטיס</w:t>
      </w:r>
      <w:r w:rsidRPr="00D00A7F">
        <w:rPr>
          <w:rFonts w:ascii="David" w:eastAsia="Calibri" w:hAnsi="David" w:hint="cs"/>
        </w:rPr>
        <w:t xml:space="preserve"> </w:t>
      </w:r>
      <w:r w:rsidRPr="00D00A7F">
        <w:rPr>
          <w:rFonts w:ascii="David" w:eastAsia="Calibri" w:hAnsi="David" w:hint="cs"/>
          <w:rtl/>
        </w:rPr>
        <w:t>אשראי - באתר</w:t>
      </w:r>
      <w:r w:rsidRPr="00D00A7F">
        <w:rPr>
          <w:rFonts w:ascii="David" w:eastAsia="Calibri" w:hAnsi="David" w:hint="cs"/>
        </w:rPr>
        <w:t xml:space="preserve"> </w:t>
      </w:r>
      <w:r w:rsidRPr="00D00A7F">
        <w:rPr>
          <w:rFonts w:ascii="David" w:eastAsia="Calibri" w:hAnsi="David" w:hint="cs"/>
          <w:rtl/>
        </w:rPr>
        <w:t>המקוון</w:t>
      </w:r>
      <w:r w:rsidRPr="00D00A7F">
        <w:rPr>
          <w:rFonts w:ascii="David" w:eastAsia="Calibri" w:hAnsi="David" w:hint="cs"/>
        </w:rPr>
        <w:t xml:space="preserve"> </w:t>
      </w:r>
      <w:r w:rsidRPr="00D00A7F">
        <w:rPr>
          <w:rFonts w:ascii="David" w:eastAsia="Calibri" w:hAnsi="David" w:hint="cs"/>
          <w:rtl/>
        </w:rPr>
        <w:t>של</w:t>
      </w:r>
      <w:r w:rsidRPr="00D00A7F">
        <w:rPr>
          <w:rFonts w:ascii="David" w:eastAsia="Calibri" w:hAnsi="David" w:hint="cs"/>
        </w:rPr>
        <w:t xml:space="preserve"> </w:t>
      </w:r>
      <w:r w:rsidRPr="00D00A7F">
        <w:rPr>
          <w:rFonts w:ascii="David" w:eastAsia="Calibri" w:hAnsi="David" w:hint="cs"/>
          <w:rtl/>
        </w:rPr>
        <w:t>רשות</w:t>
      </w:r>
      <w:r w:rsidRPr="00D00A7F">
        <w:rPr>
          <w:rFonts w:ascii="David" w:eastAsia="Calibri" w:hAnsi="David" w:hint="cs"/>
        </w:rPr>
        <w:t xml:space="preserve"> </w:t>
      </w:r>
      <w:r w:rsidRPr="00D00A7F">
        <w:rPr>
          <w:rFonts w:ascii="David" w:eastAsia="Calibri" w:hAnsi="David" w:hint="cs"/>
          <w:rtl/>
        </w:rPr>
        <w:t>האכיפה</w:t>
      </w:r>
      <w:r w:rsidRPr="00D00A7F">
        <w:rPr>
          <w:rFonts w:ascii="David" w:eastAsia="Calibri" w:hAnsi="David" w:hint="cs"/>
        </w:rPr>
        <w:t xml:space="preserve"> </w:t>
      </w:r>
      <w:r w:rsidRPr="00D00A7F">
        <w:rPr>
          <w:rFonts w:ascii="David" w:eastAsia="Calibri" w:hAnsi="David" w:hint="cs"/>
          <w:rtl/>
        </w:rPr>
        <w:t xml:space="preserve">והגבייה </w:t>
      </w:r>
      <w:r w:rsidRPr="00D00A7F">
        <w:rPr>
          <w:rFonts w:ascii="David" w:eastAsia="Calibri" w:hAnsi="David" w:cs="Times New Roman"/>
        </w:rPr>
        <w:t>www.eca.gov.il</w:t>
      </w:r>
      <w:r w:rsidRPr="00D00A7F">
        <w:rPr>
          <w:rFonts w:ascii="David" w:eastAsia="Calibri" w:hAnsi="David" w:hint="cs"/>
          <w:rtl/>
        </w:rPr>
        <w:t>.</w:t>
      </w:r>
    </w:p>
    <w:p w14:paraId="04D8A2A3" w14:textId="77777777" w:rsidR="00B34A87" w:rsidRPr="00D00A7F" w:rsidRDefault="00B34A87" w:rsidP="00B34A87">
      <w:pPr>
        <w:widowControl w:val="0"/>
        <w:ind w:left="794"/>
        <w:jc w:val="both"/>
        <w:rPr>
          <w:rFonts w:eastAsia="Calibri"/>
        </w:rPr>
      </w:pPr>
      <w:r w:rsidRPr="00D00A7F">
        <w:rPr>
          <w:rFonts w:ascii="Symbol" w:eastAsia="Calibri" w:hAnsi="Symbol"/>
        </w:rPr>
        <w:sym w:font="Symbol" w:char="F0AC"/>
      </w:r>
      <w:r w:rsidR="00AD5A99">
        <w:rPr>
          <w:rFonts w:ascii="David" w:eastAsia="Calibri" w:hAnsi="David" w:hint="cs"/>
          <w:rtl/>
        </w:rPr>
        <w:t xml:space="preserve"> </w:t>
      </w:r>
      <w:r w:rsidRPr="00D00A7F">
        <w:rPr>
          <w:rFonts w:ascii="David" w:eastAsia="Calibri" w:hAnsi="David" w:hint="cs"/>
          <w:rtl/>
        </w:rPr>
        <w:t xml:space="preserve"> מוקד</w:t>
      </w:r>
      <w:r w:rsidRPr="00D00A7F">
        <w:rPr>
          <w:rFonts w:ascii="David" w:eastAsia="Calibri" w:hAnsi="David" w:hint="cs"/>
        </w:rPr>
        <w:t xml:space="preserve"> </w:t>
      </w:r>
      <w:r w:rsidRPr="00D00A7F">
        <w:rPr>
          <w:rFonts w:ascii="David" w:eastAsia="Calibri" w:hAnsi="David" w:hint="cs"/>
          <w:rtl/>
        </w:rPr>
        <w:t>שירות</w:t>
      </w:r>
      <w:r w:rsidRPr="00D00A7F">
        <w:rPr>
          <w:rFonts w:ascii="David" w:eastAsia="Calibri" w:hAnsi="David" w:hint="cs"/>
        </w:rPr>
        <w:t xml:space="preserve"> </w:t>
      </w:r>
      <w:r w:rsidRPr="00D00A7F">
        <w:rPr>
          <w:rFonts w:ascii="David" w:eastAsia="Calibri" w:hAnsi="David" w:hint="cs"/>
          <w:rtl/>
        </w:rPr>
        <w:t>טלפוני</w:t>
      </w:r>
      <w:r w:rsidRPr="00D00A7F">
        <w:rPr>
          <w:rFonts w:ascii="David" w:eastAsia="Calibri" w:hAnsi="David" w:hint="cs"/>
        </w:rPr>
        <w:t xml:space="preserve"> </w:t>
      </w:r>
      <w:r w:rsidRPr="00D00A7F">
        <w:rPr>
          <w:rFonts w:ascii="David" w:eastAsia="Calibri" w:hAnsi="David" w:hint="cs"/>
          <w:rtl/>
        </w:rPr>
        <w:t>(בשרות</w:t>
      </w:r>
      <w:r w:rsidRPr="00D00A7F">
        <w:rPr>
          <w:rFonts w:ascii="David" w:eastAsia="Calibri" w:hAnsi="David" w:hint="cs"/>
        </w:rPr>
        <w:t xml:space="preserve"> </w:t>
      </w:r>
      <w:r w:rsidRPr="00D00A7F">
        <w:rPr>
          <w:rFonts w:ascii="David" w:eastAsia="Calibri" w:hAnsi="David" w:hint="cs"/>
          <w:rtl/>
        </w:rPr>
        <w:t>עצמי) מרכז</w:t>
      </w:r>
      <w:r w:rsidRPr="00D00A7F">
        <w:rPr>
          <w:rFonts w:ascii="David" w:eastAsia="Calibri" w:hAnsi="David" w:hint="cs"/>
        </w:rPr>
        <w:t xml:space="preserve"> </w:t>
      </w:r>
      <w:r w:rsidRPr="00D00A7F">
        <w:rPr>
          <w:rFonts w:ascii="David" w:eastAsia="Calibri" w:hAnsi="David" w:hint="cs"/>
          <w:rtl/>
        </w:rPr>
        <w:t>גבייה - במספר *</w:t>
      </w:r>
      <w:r w:rsidRPr="00D00A7F">
        <w:rPr>
          <w:rFonts w:ascii="David" w:eastAsia="Calibri" w:hAnsi="David"/>
        </w:rPr>
        <w:t>35592</w:t>
      </w:r>
      <w:r w:rsidRPr="00D00A7F">
        <w:rPr>
          <w:rFonts w:ascii="David" w:eastAsia="Calibri" w:hAnsi="David" w:hint="cs"/>
          <w:rtl/>
        </w:rPr>
        <w:t xml:space="preserve"> או</w:t>
      </w:r>
      <w:r w:rsidRPr="00D00A7F">
        <w:rPr>
          <w:rFonts w:ascii="David" w:eastAsia="Calibri" w:hAnsi="David"/>
        </w:rPr>
        <w:t xml:space="preserve">073-2055000 </w:t>
      </w:r>
    </w:p>
    <w:p w14:paraId="05E3FA65" w14:textId="77777777" w:rsidR="00B34A87" w:rsidRPr="00D00A7F" w:rsidRDefault="00B34A87" w:rsidP="00B34A87">
      <w:pPr>
        <w:widowControl w:val="0"/>
        <w:spacing w:line="360" w:lineRule="auto"/>
        <w:ind w:left="794"/>
        <w:jc w:val="both"/>
        <w:rPr>
          <w:rFonts w:ascii="David" w:eastAsia="Calibri" w:hAnsi="David"/>
          <w:rtl/>
        </w:rPr>
      </w:pPr>
      <w:r w:rsidRPr="00D00A7F">
        <w:rPr>
          <w:rFonts w:ascii="Symbol" w:eastAsia="Calibri" w:hAnsi="Symbol"/>
        </w:rPr>
        <w:sym w:font="Symbol" w:char="F0AC"/>
      </w:r>
      <w:r w:rsidR="00AD5A99">
        <w:rPr>
          <w:rFonts w:ascii="David" w:eastAsia="Calibri" w:hAnsi="David" w:hint="cs"/>
          <w:rtl/>
        </w:rPr>
        <w:t xml:space="preserve">  </w:t>
      </w:r>
      <w:r w:rsidRPr="00D00A7F">
        <w:rPr>
          <w:rFonts w:ascii="David" w:eastAsia="Calibri" w:hAnsi="David" w:hint="cs"/>
          <w:rtl/>
        </w:rPr>
        <w:t>במזומן</w:t>
      </w:r>
      <w:r w:rsidRPr="00D00A7F">
        <w:rPr>
          <w:rFonts w:ascii="David" w:eastAsia="Calibri" w:hAnsi="David" w:hint="cs"/>
        </w:rPr>
        <w:t xml:space="preserve"> </w:t>
      </w:r>
      <w:r w:rsidRPr="00D00A7F">
        <w:rPr>
          <w:rFonts w:ascii="David" w:eastAsia="Calibri" w:hAnsi="David" w:hint="cs"/>
          <w:rtl/>
        </w:rPr>
        <w:t>בכל</w:t>
      </w:r>
      <w:r w:rsidRPr="00D00A7F">
        <w:rPr>
          <w:rFonts w:ascii="David" w:eastAsia="Calibri" w:hAnsi="David" w:hint="cs"/>
        </w:rPr>
        <w:t xml:space="preserve"> </w:t>
      </w:r>
      <w:r w:rsidRPr="00D00A7F">
        <w:rPr>
          <w:rFonts w:ascii="David" w:eastAsia="Calibri" w:hAnsi="David" w:hint="cs"/>
          <w:rtl/>
        </w:rPr>
        <w:t>סניף</w:t>
      </w:r>
      <w:r w:rsidRPr="00D00A7F">
        <w:rPr>
          <w:rFonts w:ascii="David" w:eastAsia="Calibri" w:hAnsi="David" w:hint="cs"/>
        </w:rPr>
        <w:t xml:space="preserve"> </w:t>
      </w:r>
      <w:r w:rsidRPr="00D00A7F">
        <w:rPr>
          <w:rFonts w:ascii="David" w:eastAsia="Calibri" w:hAnsi="David" w:hint="cs"/>
          <w:rtl/>
        </w:rPr>
        <w:t>של</w:t>
      </w:r>
      <w:r w:rsidRPr="00D00A7F">
        <w:rPr>
          <w:rFonts w:ascii="David" w:eastAsia="Calibri" w:hAnsi="David" w:hint="cs"/>
        </w:rPr>
        <w:t xml:space="preserve"> </w:t>
      </w:r>
      <w:r w:rsidRPr="00D00A7F">
        <w:rPr>
          <w:rFonts w:ascii="David" w:eastAsia="Calibri" w:hAnsi="David" w:hint="cs"/>
          <w:rtl/>
        </w:rPr>
        <w:t>בנק</w:t>
      </w:r>
      <w:r w:rsidRPr="00D00A7F">
        <w:rPr>
          <w:rFonts w:ascii="David" w:eastAsia="Calibri" w:hAnsi="David" w:hint="cs"/>
        </w:rPr>
        <w:t xml:space="preserve"> </w:t>
      </w:r>
      <w:r w:rsidRPr="00D00A7F">
        <w:rPr>
          <w:rFonts w:ascii="David" w:eastAsia="Calibri" w:hAnsi="David" w:hint="cs"/>
          <w:rtl/>
        </w:rPr>
        <w:t>הדואר - בהצגת</w:t>
      </w:r>
      <w:r w:rsidRPr="00D00A7F">
        <w:rPr>
          <w:rFonts w:ascii="David" w:eastAsia="Calibri" w:hAnsi="David" w:hint="cs"/>
        </w:rPr>
        <w:t xml:space="preserve"> </w:t>
      </w:r>
      <w:r w:rsidRPr="00D00A7F">
        <w:rPr>
          <w:rFonts w:ascii="David" w:eastAsia="Calibri" w:hAnsi="David" w:hint="cs"/>
          <w:rtl/>
        </w:rPr>
        <w:t>תעודת</w:t>
      </w:r>
      <w:r w:rsidRPr="00D00A7F">
        <w:rPr>
          <w:rFonts w:ascii="David" w:eastAsia="Calibri" w:hAnsi="David" w:hint="cs"/>
        </w:rPr>
        <w:t xml:space="preserve"> </w:t>
      </w:r>
      <w:r w:rsidRPr="00D00A7F">
        <w:rPr>
          <w:rFonts w:ascii="David" w:eastAsia="Calibri" w:hAnsi="David" w:hint="cs"/>
          <w:rtl/>
        </w:rPr>
        <w:t>זהות</w:t>
      </w:r>
      <w:r w:rsidRPr="00D00A7F">
        <w:rPr>
          <w:rFonts w:ascii="David" w:eastAsia="Calibri" w:hAnsi="David" w:hint="cs"/>
        </w:rPr>
        <w:t xml:space="preserve"> </w:t>
      </w:r>
      <w:r w:rsidRPr="00D00A7F">
        <w:rPr>
          <w:rFonts w:ascii="David" w:eastAsia="Calibri" w:hAnsi="David" w:hint="cs"/>
          <w:rtl/>
        </w:rPr>
        <w:t>(אין</w:t>
      </w:r>
      <w:r w:rsidRPr="00D00A7F">
        <w:rPr>
          <w:rFonts w:ascii="David" w:eastAsia="Calibri" w:hAnsi="David" w:hint="cs"/>
        </w:rPr>
        <w:t xml:space="preserve"> </w:t>
      </w:r>
      <w:r w:rsidRPr="00D00A7F">
        <w:rPr>
          <w:rFonts w:ascii="David" w:eastAsia="Calibri" w:hAnsi="David" w:hint="cs"/>
          <w:rtl/>
        </w:rPr>
        <w:t>צורך</w:t>
      </w:r>
      <w:r w:rsidRPr="00D00A7F">
        <w:rPr>
          <w:rFonts w:ascii="David" w:eastAsia="Calibri" w:hAnsi="David" w:hint="cs"/>
        </w:rPr>
        <w:t xml:space="preserve"> </w:t>
      </w:r>
      <w:r w:rsidRPr="00D00A7F">
        <w:rPr>
          <w:rFonts w:ascii="David" w:eastAsia="Calibri" w:hAnsi="David" w:hint="cs"/>
          <w:rtl/>
        </w:rPr>
        <w:t>בשוברי</w:t>
      </w:r>
      <w:r w:rsidRPr="00D00A7F">
        <w:rPr>
          <w:rFonts w:ascii="David" w:eastAsia="Calibri" w:hAnsi="David" w:hint="cs"/>
        </w:rPr>
        <w:t xml:space="preserve"> </w:t>
      </w:r>
      <w:r w:rsidRPr="00D00A7F">
        <w:rPr>
          <w:rFonts w:ascii="David" w:eastAsia="Calibri" w:hAnsi="David" w:hint="cs"/>
          <w:rtl/>
        </w:rPr>
        <w:t>תשלום).</w:t>
      </w:r>
    </w:p>
    <w:p w14:paraId="1609AA7E" w14:textId="77777777" w:rsidR="00B34A87" w:rsidRPr="00D00A7F" w:rsidRDefault="00B34A87" w:rsidP="00B34A87">
      <w:pPr>
        <w:widowControl w:val="0"/>
        <w:snapToGrid w:val="0"/>
        <w:spacing w:line="360" w:lineRule="auto"/>
        <w:ind w:left="811"/>
        <w:contextualSpacing/>
        <w:jc w:val="both"/>
        <w:rPr>
          <w:rFonts w:ascii="David" w:hAnsi="David"/>
          <w:b/>
          <w:bCs/>
          <w:sz w:val="20"/>
          <w:rtl/>
          <w:lang w:eastAsia="he-IL"/>
        </w:rPr>
      </w:pPr>
      <w:r w:rsidRPr="00D00A7F">
        <w:rPr>
          <w:rFonts w:ascii="David" w:eastAsia="David" w:hAnsi="David" w:hint="cs"/>
          <w:b/>
          <w:bCs/>
          <w:sz w:val="20"/>
          <w:rtl/>
          <w:lang w:eastAsia="he-IL"/>
        </w:rPr>
        <w:t>לא תישמע טענה שהנאשמת לא קיבלה שוברי תשלום בדואר</w:t>
      </w:r>
      <w:r w:rsidRPr="00D00A7F">
        <w:rPr>
          <w:rFonts w:ascii="David" w:eastAsia="David" w:hAnsi="David" w:hint="cs"/>
          <w:sz w:val="20"/>
          <w:rtl/>
          <w:lang w:eastAsia="he-IL"/>
        </w:rPr>
        <w:t>.</w:t>
      </w:r>
    </w:p>
    <w:p w14:paraId="0BDE674A" w14:textId="77777777" w:rsidR="00B34A87" w:rsidRPr="00D00A7F" w:rsidRDefault="00B34A87" w:rsidP="00B34A87">
      <w:pPr>
        <w:widowControl w:val="0"/>
        <w:snapToGrid w:val="0"/>
        <w:spacing w:line="360" w:lineRule="auto"/>
        <w:ind w:left="794"/>
        <w:jc w:val="both"/>
        <w:rPr>
          <w:rFonts w:ascii="David" w:hAnsi="David"/>
          <w:lang w:eastAsia="he-IL"/>
        </w:rPr>
      </w:pPr>
    </w:p>
    <w:p w14:paraId="6E2D283E" w14:textId="77777777" w:rsidR="00B34A87" w:rsidRPr="00D00A7F" w:rsidRDefault="00B34A87" w:rsidP="00B34A87">
      <w:pPr>
        <w:widowControl w:val="0"/>
        <w:numPr>
          <w:ilvl w:val="1"/>
          <w:numId w:val="5"/>
        </w:numPr>
        <w:snapToGrid w:val="0"/>
        <w:spacing w:line="360" w:lineRule="auto"/>
        <w:ind w:left="794" w:hanging="397"/>
        <w:jc w:val="both"/>
        <w:rPr>
          <w:sz w:val="20"/>
          <w:lang w:eastAsia="he-IL"/>
        </w:rPr>
      </w:pPr>
      <w:r w:rsidRPr="00D00A7F">
        <w:rPr>
          <w:rFonts w:hint="cs"/>
          <w:b/>
          <w:bCs/>
          <w:sz w:val="20"/>
          <w:rtl/>
          <w:lang w:eastAsia="he-IL"/>
        </w:rPr>
        <w:t>5,000 ₪ התחייבות</w:t>
      </w:r>
      <w:r w:rsidRPr="00D00A7F">
        <w:rPr>
          <w:rFonts w:hint="cs"/>
          <w:sz w:val="20"/>
          <w:rtl/>
          <w:lang w:eastAsia="he-IL"/>
        </w:rPr>
        <w:t xml:space="preserve">, למשך 3 שנים </w:t>
      </w:r>
      <w:r>
        <w:rPr>
          <w:rFonts w:hint="cs"/>
          <w:sz w:val="20"/>
          <w:rtl/>
          <w:lang w:eastAsia="he-IL"/>
        </w:rPr>
        <w:t>מתום ריצוי המאסר</w:t>
      </w:r>
      <w:r w:rsidRPr="00D00A7F">
        <w:rPr>
          <w:rFonts w:hint="cs"/>
          <w:sz w:val="20"/>
          <w:rtl/>
          <w:lang w:eastAsia="he-IL"/>
        </w:rPr>
        <w:t>, שלא תעבור עבירות בהן הורשעה.</w:t>
      </w:r>
    </w:p>
    <w:p w14:paraId="556DD2BA" w14:textId="77777777" w:rsidR="00B34A87" w:rsidRPr="00D00A7F" w:rsidRDefault="00B34A87" w:rsidP="00B34A87">
      <w:pPr>
        <w:snapToGrid w:val="0"/>
        <w:spacing w:before="60"/>
        <w:ind w:left="794"/>
        <w:jc w:val="both"/>
        <w:rPr>
          <w:sz w:val="20"/>
          <w:lang w:eastAsia="he-IL"/>
        </w:rPr>
      </w:pPr>
      <w:r w:rsidRPr="00D00A7F">
        <w:rPr>
          <w:rFonts w:hint="cs"/>
          <w:sz w:val="20"/>
          <w:rtl/>
          <w:lang w:eastAsia="he-IL"/>
        </w:rPr>
        <w:t xml:space="preserve">על הנאשמת להצהיר על ההתחייבות היום. לא תצהיר על ההתחייבות היום – יהיה על הנאשמת לרצות 30 ימי מאסר בפועל, במצטבר לכל עונש אחר, לשם כפייה. </w:t>
      </w:r>
    </w:p>
    <w:p w14:paraId="7139FB50" w14:textId="77777777" w:rsidR="00B34A87" w:rsidRPr="00B34A87" w:rsidRDefault="00B34A87" w:rsidP="00B34A87">
      <w:pPr>
        <w:widowControl w:val="0"/>
        <w:snapToGrid w:val="0"/>
        <w:jc w:val="both"/>
        <w:rPr>
          <w:rFonts w:ascii="David" w:eastAsia="David" w:hAnsi="David"/>
          <w:sz w:val="20"/>
          <w:highlight w:val="lightGray"/>
          <w:rtl/>
          <w:lang w:eastAsia="he-IL"/>
        </w:rPr>
      </w:pPr>
    </w:p>
    <w:p w14:paraId="586B32C8" w14:textId="77777777" w:rsidR="00B34A87" w:rsidRPr="00D00A7F" w:rsidRDefault="00B34A87" w:rsidP="00B34A87">
      <w:pPr>
        <w:widowControl w:val="0"/>
        <w:jc w:val="both"/>
        <w:rPr>
          <w:rFonts w:ascii="David" w:eastAsia="David" w:hAnsi="David"/>
          <w:rtl/>
        </w:rPr>
      </w:pPr>
      <w:r w:rsidRPr="00D00A7F">
        <w:rPr>
          <w:rFonts w:ascii="David" w:eastAsia="David" w:hAnsi="David" w:hint="cs"/>
          <w:b/>
          <w:bCs/>
          <w:rtl/>
        </w:rPr>
        <w:t>צו למוצגים</w:t>
      </w:r>
      <w:r w:rsidRPr="00D00A7F">
        <w:rPr>
          <w:rFonts w:ascii="David" w:eastAsia="David" w:hAnsi="David" w:hint="cs"/>
          <w:rtl/>
        </w:rPr>
        <w:t xml:space="preserve">: נשק ותחמושת – לחלט או להשמיד, לפי שיקול דעת היחידה החוקרת. </w:t>
      </w:r>
    </w:p>
    <w:p w14:paraId="23881347" w14:textId="77777777" w:rsidR="00B34A87" w:rsidRPr="00D00A7F" w:rsidRDefault="00B34A87" w:rsidP="00B34A87">
      <w:pPr>
        <w:widowControl w:val="0"/>
        <w:jc w:val="both"/>
        <w:rPr>
          <w:rFonts w:ascii="David" w:eastAsia="David" w:hAnsi="David"/>
          <w:rtl/>
        </w:rPr>
      </w:pPr>
      <w:r w:rsidRPr="00D00A7F">
        <w:rPr>
          <w:rFonts w:ascii="David" w:eastAsia="David" w:hAnsi="David" w:hint="cs"/>
          <w:b/>
          <w:bCs/>
          <w:rtl/>
        </w:rPr>
        <w:t>צו כללי למוצגים הנוספים</w:t>
      </w:r>
      <w:r w:rsidRPr="00D00A7F">
        <w:rPr>
          <w:rFonts w:ascii="David" w:eastAsia="David" w:hAnsi="David" w:hint="cs"/>
          <w:rtl/>
        </w:rPr>
        <w:t>: להשמיד, לחלט ולהשיב לבעלים, לפי שיקול דעת היחידה החוקרת.</w:t>
      </w:r>
    </w:p>
    <w:p w14:paraId="36583E7F" w14:textId="77777777" w:rsidR="00B34A87" w:rsidRPr="00D00A7F" w:rsidRDefault="00B34A87" w:rsidP="00B34A87">
      <w:pPr>
        <w:widowControl w:val="0"/>
        <w:jc w:val="both"/>
        <w:rPr>
          <w:rFonts w:ascii="David" w:eastAsia="David" w:hAnsi="David"/>
          <w:b/>
          <w:bCs/>
          <w:rtl/>
        </w:rPr>
      </w:pPr>
    </w:p>
    <w:p w14:paraId="72624E59" w14:textId="77777777" w:rsidR="00B34A87" w:rsidRPr="00D00A7F" w:rsidRDefault="00B34A87" w:rsidP="00B34A87">
      <w:pPr>
        <w:widowControl w:val="0"/>
        <w:jc w:val="both"/>
        <w:rPr>
          <w:rFonts w:ascii="David" w:eastAsia="David" w:hAnsi="David"/>
          <w:b/>
          <w:bCs/>
          <w:u w:val="single"/>
          <w:rtl/>
        </w:rPr>
      </w:pPr>
      <w:r w:rsidRPr="00D00A7F">
        <w:rPr>
          <w:rFonts w:ascii="David" w:eastAsia="David" w:hAnsi="David" w:hint="cs"/>
          <w:b/>
          <w:bCs/>
          <w:u w:val="single"/>
          <w:rtl/>
        </w:rPr>
        <w:t>זכות ערעור לבית-המשפט המחוזי תוך 45 יום</w:t>
      </w:r>
      <w:r w:rsidRPr="00D00A7F">
        <w:rPr>
          <w:rFonts w:ascii="David" w:eastAsia="David" w:hAnsi="David" w:hint="cs"/>
          <w:rtl/>
        </w:rPr>
        <w:t>.</w:t>
      </w:r>
    </w:p>
    <w:p w14:paraId="40649FB9" w14:textId="77777777" w:rsidR="00B34A87" w:rsidRPr="00AD5A99" w:rsidRDefault="00AD5A99" w:rsidP="00B34A87">
      <w:pPr>
        <w:jc w:val="both"/>
        <w:rPr>
          <w:rFonts w:ascii="Arial" w:eastAsia="David" w:hAnsi="Arial"/>
          <w:b/>
          <w:bCs/>
          <w:color w:val="FFFFFF"/>
          <w:sz w:val="2"/>
          <w:szCs w:val="2"/>
          <w:rtl/>
        </w:rPr>
      </w:pPr>
      <w:r w:rsidRPr="00AD5A99">
        <w:rPr>
          <w:rFonts w:ascii="Arial" w:eastAsia="David" w:hAnsi="Arial"/>
          <w:b/>
          <w:bCs/>
          <w:color w:val="FFFFFF"/>
          <w:sz w:val="2"/>
          <w:szCs w:val="2"/>
          <w:rtl/>
        </w:rPr>
        <w:t>5129371</w:t>
      </w:r>
    </w:p>
    <w:p w14:paraId="6F504B8E" w14:textId="77777777" w:rsidR="00B34A87" w:rsidRPr="00D00A7F" w:rsidRDefault="00AD5A99" w:rsidP="00B34A87">
      <w:pPr>
        <w:jc w:val="both"/>
        <w:rPr>
          <w:rFonts w:ascii="Arial" w:eastAsia="David" w:hAnsi="Arial"/>
          <w:b/>
          <w:bCs/>
          <w:sz w:val="26"/>
          <w:szCs w:val="26"/>
          <w:rtl/>
        </w:rPr>
      </w:pPr>
      <w:bookmarkStart w:id="10" w:name="Nitan"/>
      <w:r w:rsidRPr="00AD5A99">
        <w:rPr>
          <w:rFonts w:ascii="Arial" w:eastAsia="David" w:hAnsi="Arial"/>
          <w:b/>
          <w:bCs/>
          <w:color w:val="FFFFFF"/>
          <w:sz w:val="2"/>
          <w:szCs w:val="2"/>
          <w:rtl/>
        </w:rPr>
        <w:t>54678313</w:t>
      </w:r>
      <w:r>
        <w:rPr>
          <w:rFonts w:ascii="Arial" w:eastAsia="David" w:hAnsi="Arial"/>
          <w:b/>
          <w:bCs/>
          <w:sz w:val="26"/>
          <w:szCs w:val="26"/>
          <w:rtl/>
        </w:rPr>
        <w:t xml:space="preserve">ניתן היום,  י"ב שבט תשפ"ה, 10 פברואר 2025, במעמד הצדדים. </w:t>
      </w:r>
      <w:bookmarkEnd w:id="10"/>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r>
      <w:r w:rsidR="00B34A87" w:rsidRPr="00D00A7F">
        <w:rPr>
          <w:rFonts w:ascii="Arial" w:eastAsia="David" w:hAnsi="Arial" w:hint="cs"/>
          <w:b/>
          <w:bCs/>
          <w:sz w:val="26"/>
          <w:szCs w:val="26"/>
          <w:rtl/>
        </w:rPr>
        <w:tab/>
        <w:t xml:space="preserve">         </w:t>
      </w:r>
    </w:p>
    <w:p w14:paraId="766F6E22" w14:textId="77777777" w:rsidR="00B34A87" w:rsidRPr="00D00A7F" w:rsidRDefault="00B34A87" w:rsidP="00AD5A99">
      <w:pPr>
        <w:jc w:val="center"/>
      </w:pPr>
      <w:r w:rsidRPr="00D00A7F">
        <w:rPr>
          <w:rFonts w:ascii="Arial" w:eastAsia="David" w:hAnsi="Arial" w:hint="cs"/>
          <w:b/>
          <w:bCs/>
          <w:sz w:val="26"/>
          <w:szCs w:val="26"/>
          <w:rtl/>
        </w:rPr>
        <w:t xml:space="preserve">   </w:t>
      </w:r>
      <w:r w:rsidRPr="00D00A7F">
        <w:rPr>
          <w:rFonts w:ascii="Arial" w:eastAsia="David" w:hAnsi="Arial" w:hint="cs"/>
          <w:b/>
          <w:bCs/>
          <w:sz w:val="26"/>
          <w:szCs w:val="26"/>
          <w:rtl/>
        </w:rPr>
        <w:tab/>
      </w:r>
      <w:r w:rsidRPr="00D00A7F">
        <w:rPr>
          <w:rFonts w:ascii="Arial" w:eastAsia="David" w:hAnsi="Arial" w:hint="cs"/>
          <w:b/>
          <w:bCs/>
          <w:sz w:val="26"/>
          <w:szCs w:val="26"/>
          <w:rtl/>
        </w:rPr>
        <w:tab/>
      </w:r>
      <w:r w:rsidRPr="00D00A7F">
        <w:rPr>
          <w:rFonts w:ascii="Arial" w:eastAsia="David" w:hAnsi="Arial" w:hint="cs"/>
          <w:b/>
          <w:bCs/>
          <w:sz w:val="26"/>
          <w:szCs w:val="26"/>
          <w:rtl/>
        </w:rPr>
        <w:tab/>
      </w:r>
      <w:r w:rsidRPr="00D00A7F">
        <w:rPr>
          <w:rFonts w:ascii="Arial" w:eastAsia="David" w:hAnsi="Arial" w:hint="cs"/>
          <w:b/>
          <w:bCs/>
          <w:sz w:val="26"/>
          <w:szCs w:val="26"/>
          <w:rtl/>
        </w:rPr>
        <w:tab/>
      </w:r>
      <w:r w:rsidRPr="00D00A7F">
        <w:rPr>
          <w:rFonts w:ascii="Arial" w:eastAsia="David" w:hAnsi="Arial" w:hint="cs"/>
          <w:b/>
          <w:bCs/>
          <w:sz w:val="26"/>
          <w:szCs w:val="26"/>
          <w:rtl/>
        </w:rPr>
        <w:tab/>
      </w:r>
    </w:p>
    <w:p w14:paraId="2BE10FC1" w14:textId="77777777" w:rsidR="00B34A87" w:rsidRPr="00D00A7F" w:rsidRDefault="00B34A87" w:rsidP="00B34A87">
      <w:pPr>
        <w:jc w:val="center"/>
        <w:rPr>
          <w:rFonts w:ascii="Arial" w:eastAsia="David" w:hAnsi="Arial"/>
          <w:b/>
          <w:bCs/>
          <w:sz w:val="26"/>
          <w:szCs w:val="26"/>
          <w:rtl/>
        </w:rPr>
      </w:pPr>
    </w:p>
    <w:p w14:paraId="74262D43" w14:textId="77777777" w:rsidR="00AD5A99" w:rsidRDefault="00AD5A99" w:rsidP="00AD5A99">
      <w:pPr>
        <w:rPr>
          <w:rtl/>
        </w:rPr>
      </w:pPr>
    </w:p>
    <w:p w14:paraId="77A34E7C" w14:textId="77777777" w:rsidR="00AD5A99" w:rsidRDefault="00AD5A99" w:rsidP="00AD5A99">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4F06E1A8" w14:textId="77777777" w:rsidR="009D673E" w:rsidRPr="009D673E" w:rsidRDefault="009D673E" w:rsidP="009D673E">
      <w:pPr>
        <w:keepNext/>
        <w:rPr>
          <w:rFonts w:ascii="David" w:hAnsi="David"/>
          <w:color w:val="000000"/>
          <w:sz w:val="22"/>
          <w:szCs w:val="22"/>
          <w:rtl/>
        </w:rPr>
      </w:pPr>
    </w:p>
    <w:p w14:paraId="560BD88D" w14:textId="77777777" w:rsidR="009D673E" w:rsidRPr="009D673E" w:rsidRDefault="009D673E" w:rsidP="009D673E">
      <w:pPr>
        <w:keepNext/>
        <w:rPr>
          <w:rFonts w:ascii="David" w:hAnsi="David"/>
          <w:color w:val="000000"/>
          <w:sz w:val="22"/>
          <w:szCs w:val="22"/>
          <w:rtl/>
        </w:rPr>
      </w:pPr>
      <w:r w:rsidRPr="009D673E">
        <w:rPr>
          <w:rFonts w:ascii="David" w:hAnsi="David"/>
          <w:color w:val="000000"/>
          <w:sz w:val="22"/>
          <w:szCs w:val="22"/>
          <w:rtl/>
        </w:rPr>
        <w:t>זהר דולב להמן 54678313-/</w:t>
      </w:r>
    </w:p>
    <w:p w14:paraId="1F7F6FFE" w14:textId="77777777" w:rsidR="00AD5A99" w:rsidRPr="00AD5A99" w:rsidRDefault="009D673E" w:rsidP="009D673E">
      <w:pPr>
        <w:rPr>
          <w:color w:val="0000FF"/>
          <w:u w:val="single"/>
        </w:rPr>
      </w:pPr>
      <w:r w:rsidRPr="009D673E">
        <w:rPr>
          <w:color w:val="000000"/>
          <w:u w:val="single"/>
          <w:rtl/>
        </w:rPr>
        <w:t>נוסח מסמך זה כפוף לשינויי ניסוח ועריכה</w:t>
      </w:r>
    </w:p>
    <w:sectPr w:rsidR="00AD5A99" w:rsidRPr="00AD5A99" w:rsidSect="009D673E">
      <w:headerReference w:type="even" r:id="rId75"/>
      <w:headerReference w:type="default" r:id="rId76"/>
      <w:footerReference w:type="even" r:id="rId77"/>
      <w:footerReference w:type="default" r:id="rId7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F7E8D" w14:textId="77777777" w:rsidR="00F87834" w:rsidRDefault="00F87834" w:rsidP="001646B8">
      <w:r>
        <w:separator/>
      </w:r>
    </w:p>
  </w:endnote>
  <w:endnote w:type="continuationSeparator" w:id="0">
    <w:p w14:paraId="3E3D3DAB" w14:textId="77777777" w:rsidR="00F87834" w:rsidRDefault="00F87834" w:rsidP="0016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8FE2D" w14:textId="77777777" w:rsidR="009D673E" w:rsidRDefault="009D673E" w:rsidP="009D67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45BF3D8" w14:textId="77777777" w:rsidR="00EC5FC3" w:rsidRPr="009D673E" w:rsidRDefault="009D673E" w:rsidP="009D673E">
    <w:pPr>
      <w:pStyle w:val="a5"/>
      <w:pBdr>
        <w:top w:val="single" w:sz="4" w:space="1" w:color="auto"/>
        <w:between w:val="single" w:sz="4" w:space="0" w:color="auto"/>
      </w:pBdr>
      <w:spacing w:after="60"/>
      <w:jc w:val="center"/>
      <w:rPr>
        <w:rFonts w:ascii="FrankRuehl" w:hAnsi="FrankRuehl" w:cs="FrankRuehl"/>
        <w:color w:val="000000"/>
      </w:rPr>
    </w:pPr>
    <w:r w:rsidRPr="009D67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25322" w14:textId="77777777" w:rsidR="009D673E" w:rsidRDefault="009D673E" w:rsidP="009D67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72CA">
      <w:rPr>
        <w:rFonts w:ascii="FrankRuehl" w:hAnsi="FrankRuehl" w:cs="FrankRuehl"/>
        <w:noProof/>
        <w:rtl/>
      </w:rPr>
      <w:t>1</w:t>
    </w:r>
    <w:r>
      <w:rPr>
        <w:rFonts w:ascii="FrankRuehl" w:hAnsi="FrankRuehl" w:cs="FrankRuehl"/>
        <w:rtl/>
      </w:rPr>
      <w:fldChar w:fldCharType="end"/>
    </w:r>
  </w:p>
  <w:p w14:paraId="38FC0376" w14:textId="77777777" w:rsidR="00EC5FC3" w:rsidRPr="009D673E" w:rsidRDefault="009D673E" w:rsidP="009D673E">
    <w:pPr>
      <w:pStyle w:val="a5"/>
      <w:pBdr>
        <w:top w:val="single" w:sz="4" w:space="1" w:color="auto"/>
        <w:between w:val="single" w:sz="4" w:space="0" w:color="auto"/>
      </w:pBdr>
      <w:spacing w:after="60"/>
      <w:jc w:val="center"/>
      <w:rPr>
        <w:rFonts w:ascii="FrankRuehl" w:hAnsi="FrankRuehl" w:cs="FrankRuehl"/>
        <w:color w:val="000000"/>
      </w:rPr>
    </w:pPr>
    <w:r w:rsidRPr="009D673E">
      <w:rPr>
        <w:rFonts w:ascii="FrankRuehl" w:hAnsi="FrankRuehl" w:cs="FrankRuehl"/>
        <w:color w:val="000000"/>
      </w:rPr>
      <w:pict w14:anchorId="39B82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1BEEC" w14:textId="77777777" w:rsidR="00F87834" w:rsidRDefault="00F87834" w:rsidP="001646B8">
      <w:r>
        <w:separator/>
      </w:r>
    </w:p>
  </w:footnote>
  <w:footnote w:type="continuationSeparator" w:id="0">
    <w:p w14:paraId="78EA30A1" w14:textId="77777777" w:rsidR="00F87834" w:rsidRDefault="00F87834" w:rsidP="00164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94284" w14:textId="77777777" w:rsidR="00AD5A99" w:rsidRPr="009D673E" w:rsidRDefault="009D673E" w:rsidP="009D67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53043-09-20</w:t>
    </w:r>
    <w:r>
      <w:rPr>
        <w:rFonts w:ascii="David" w:hAnsi="David"/>
        <w:color w:val="000000"/>
        <w:sz w:val="22"/>
        <w:szCs w:val="22"/>
        <w:rtl/>
      </w:rPr>
      <w:tab/>
      <w:t xml:space="preserve"> מדינת ישראל נ' סאמיה אבו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7E277" w14:textId="77777777" w:rsidR="00AD5A99" w:rsidRPr="009D673E" w:rsidRDefault="009D673E" w:rsidP="009D67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53043-09-20</w:t>
    </w:r>
    <w:r>
      <w:rPr>
        <w:rFonts w:ascii="David" w:hAnsi="David"/>
        <w:color w:val="000000"/>
        <w:sz w:val="22"/>
        <w:szCs w:val="22"/>
        <w:rtl/>
      </w:rPr>
      <w:tab/>
      <w:t xml:space="preserve"> מדינת ישראל נ' סאמיה אבו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82854"/>
    <w:multiLevelType w:val="hybridMultilevel"/>
    <w:tmpl w:val="8DF09C2E"/>
    <w:lvl w:ilvl="0" w:tplc="4B9E505E">
      <w:start w:val="1"/>
      <w:numFmt w:val="decimal"/>
      <w:lvlText w:val="%1)"/>
      <w:lvlJc w:val="left"/>
      <w:pPr>
        <w:ind w:left="888" w:hanging="180"/>
      </w:pPr>
      <w:rPr>
        <w:bCs w:val="0"/>
        <w:iCs w:val="0"/>
        <w:sz w:val="24"/>
        <w:szCs w:val="24"/>
      </w:rPr>
    </w:lvl>
    <w:lvl w:ilvl="1" w:tplc="7A8A6ED8">
      <w:start w:val="1"/>
      <w:numFmt w:val="lowerLetter"/>
      <w:lvlText w:val="%2."/>
      <w:lvlJc w:val="left"/>
      <w:pPr>
        <w:ind w:left="1440" w:hanging="360"/>
      </w:pPr>
      <w:rPr>
        <w:rFonts w:cs="Times New Roman"/>
      </w:rPr>
    </w:lvl>
    <w:lvl w:ilvl="2" w:tplc="D0086196">
      <w:start w:val="1"/>
      <w:numFmt w:val="lowerRoman"/>
      <w:lvlText w:val="%3."/>
      <w:lvlJc w:val="right"/>
      <w:pPr>
        <w:ind w:left="2160" w:hanging="180"/>
      </w:pPr>
      <w:rPr>
        <w:rFonts w:cs="Times New Roman"/>
      </w:rPr>
    </w:lvl>
    <w:lvl w:ilvl="3" w:tplc="0F0A40AE">
      <w:start w:val="1"/>
      <w:numFmt w:val="decimal"/>
      <w:lvlText w:val="%4."/>
      <w:lvlJc w:val="left"/>
      <w:pPr>
        <w:ind w:left="2880" w:hanging="360"/>
      </w:pPr>
      <w:rPr>
        <w:rFonts w:cs="Times New Roman"/>
      </w:rPr>
    </w:lvl>
    <w:lvl w:ilvl="4" w:tplc="C99C048C">
      <w:start w:val="1"/>
      <w:numFmt w:val="lowerLetter"/>
      <w:lvlText w:val="%5."/>
      <w:lvlJc w:val="left"/>
      <w:pPr>
        <w:ind w:left="3600" w:hanging="360"/>
      </w:pPr>
      <w:rPr>
        <w:rFonts w:cs="Times New Roman"/>
      </w:rPr>
    </w:lvl>
    <w:lvl w:ilvl="5" w:tplc="E370C334">
      <w:start w:val="1"/>
      <w:numFmt w:val="lowerRoman"/>
      <w:lvlText w:val="%6."/>
      <w:lvlJc w:val="right"/>
      <w:pPr>
        <w:ind w:left="4320" w:hanging="180"/>
      </w:pPr>
      <w:rPr>
        <w:rFonts w:cs="Times New Roman"/>
      </w:rPr>
    </w:lvl>
    <w:lvl w:ilvl="6" w:tplc="3E8CD45E">
      <w:start w:val="1"/>
      <w:numFmt w:val="decimal"/>
      <w:lvlText w:val="%7."/>
      <w:lvlJc w:val="left"/>
      <w:pPr>
        <w:ind w:left="5040" w:hanging="360"/>
      </w:pPr>
      <w:rPr>
        <w:rFonts w:cs="Times New Roman"/>
      </w:rPr>
    </w:lvl>
    <w:lvl w:ilvl="7" w:tplc="B4CEB890">
      <w:start w:val="1"/>
      <w:numFmt w:val="lowerLetter"/>
      <w:lvlText w:val="%8."/>
      <w:lvlJc w:val="left"/>
      <w:pPr>
        <w:ind w:left="5760" w:hanging="360"/>
      </w:pPr>
      <w:rPr>
        <w:rFonts w:cs="Times New Roman"/>
      </w:rPr>
    </w:lvl>
    <w:lvl w:ilvl="8" w:tplc="FA50523C">
      <w:start w:val="1"/>
      <w:numFmt w:val="lowerRoman"/>
      <w:lvlText w:val="%9."/>
      <w:lvlJc w:val="right"/>
      <w:pPr>
        <w:ind w:left="6480" w:hanging="180"/>
      </w:pPr>
      <w:rPr>
        <w:rFonts w:cs="Times New Roman"/>
      </w:rPr>
    </w:lvl>
  </w:abstractNum>
  <w:abstractNum w:abstractNumId="1" w15:restartNumberingAfterBreak="0">
    <w:nsid w:val="69830394"/>
    <w:multiLevelType w:val="hybridMultilevel"/>
    <w:tmpl w:val="DB3ABDB4"/>
    <w:lvl w:ilvl="0" w:tplc="B5CA934C">
      <w:start w:val="1"/>
      <w:numFmt w:val="decimal"/>
      <w:lvlText w:val="%1."/>
      <w:lvlJc w:val="left"/>
      <w:pPr>
        <w:ind w:left="720" w:hanging="360"/>
      </w:pPr>
      <w:rPr>
        <w:rFonts w:cs="Times New Roman"/>
      </w:rPr>
    </w:lvl>
    <w:lvl w:ilvl="1" w:tplc="3678EF3C">
      <w:start w:val="1"/>
      <w:numFmt w:val="hebrew1"/>
      <w:lvlText w:val="%2."/>
      <w:lvlJc w:val="center"/>
      <w:pPr>
        <w:ind w:left="1440" w:hanging="360"/>
      </w:pPr>
      <w:rPr>
        <w:rFonts w:ascii="David" w:hAnsi="David" w:cs="David" w:hint="default"/>
        <w:b w:val="0"/>
        <w:bCs w:val="0"/>
        <w:sz w:val="20"/>
        <w:szCs w:val="24"/>
      </w:rPr>
    </w:lvl>
    <w:lvl w:ilvl="2" w:tplc="EE586584">
      <w:start w:val="1"/>
      <w:numFmt w:val="decimal"/>
      <w:lvlText w:val="(%3)"/>
      <w:lvlJc w:val="left"/>
      <w:pPr>
        <w:ind w:left="2160" w:hanging="180"/>
      </w:pPr>
      <w:rPr>
        <w:rFonts w:ascii="David" w:hAnsi="David" w:cs="David" w:hint="default"/>
        <w:bCs w:val="0"/>
        <w:iCs w:val="0"/>
        <w:sz w:val="24"/>
        <w:szCs w:val="24"/>
      </w:rPr>
    </w:lvl>
    <w:lvl w:ilvl="3" w:tplc="171CF9D8">
      <w:start w:val="1"/>
      <w:numFmt w:val="decimal"/>
      <w:lvlText w:val="%4."/>
      <w:lvlJc w:val="left"/>
      <w:pPr>
        <w:ind w:left="2880" w:hanging="360"/>
      </w:pPr>
      <w:rPr>
        <w:rFonts w:cs="Times New Roman"/>
      </w:rPr>
    </w:lvl>
    <w:lvl w:ilvl="4" w:tplc="97C4BA16">
      <w:start w:val="1"/>
      <w:numFmt w:val="lowerLetter"/>
      <w:lvlText w:val="%5."/>
      <w:lvlJc w:val="left"/>
      <w:pPr>
        <w:ind w:left="3600" w:hanging="360"/>
      </w:pPr>
      <w:rPr>
        <w:rFonts w:cs="Times New Roman"/>
      </w:rPr>
    </w:lvl>
    <w:lvl w:ilvl="5" w:tplc="5644F73A">
      <w:start w:val="1"/>
      <w:numFmt w:val="lowerRoman"/>
      <w:lvlText w:val="%6."/>
      <w:lvlJc w:val="right"/>
      <w:pPr>
        <w:ind w:left="4320" w:hanging="180"/>
      </w:pPr>
      <w:rPr>
        <w:rFonts w:cs="Times New Roman"/>
      </w:rPr>
    </w:lvl>
    <w:lvl w:ilvl="6" w:tplc="11AA1E62">
      <w:start w:val="1"/>
      <w:numFmt w:val="decimal"/>
      <w:lvlText w:val="%7."/>
      <w:lvlJc w:val="left"/>
      <w:pPr>
        <w:ind w:left="5040" w:hanging="360"/>
      </w:pPr>
      <w:rPr>
        <w:rFonts w:cs="Times New Roman"/>
      </w:rPr>
    </w:lvl>
    <w:lvl w:ilvl="7" w:tplc="1EF611CE">
      <w:start w:val="1"/>
      <w:numFmt w:val="lowerLetter"/>
      <w:lvlText w:val="%8."/>
      <w:lvlJc w:val="left"/>
      <w:pPr>
        <w:ind w:left="5760" w:hanging="360"/>
      </w:pPr>
      <w:rPr>
        <w:rFonts w:cs="Times New Roman"/>
      </w:rPr>
    </w:lvl>
    <w:lvl w:ilvl="8" w:tplc="55C02518">
      <w:start w:val="1"/>
      <w:numFmt w:val="lowerRoman"/>
      <w:lvlText w:val="%9."/>
      <w:lvlJc w:val="right"/>
      <w:pPr>
        <w:ind w:left="6480" w:hanging="180"/>
      </w:pPr>
      <w:rPr>
        <w:rFonts w:cs="Times New Roman"/>
      </w:rPr>
    </w:lvl>
  </w:abstractNum>
  <w:abstractNum w:abstractNumId="2" w15:restartNumberingAfterBreak="0">
    <w:nsid w:val="6C693E3F"/>
    <w:multiLevelType w:val="hybridMultilevel"/>
    <w:tmpl w:val="5FD26C10"/>
    <w:lvl w:ilvl="0" w:tplc="0CE6329E">
      <w:start w:val="1"/>
      <w:numFmt w:val="decimal"/>
      <w:lvlText w:val="%1."/>
      <w:lvlJc w:val="left"/>
      <w:pPr>
        <w:ind w:left="643" w:hanging="360"/>
      </w:pPr>
    </w:lvl>
    <w:lvl w:ilvl="1" w:tplc="3AD68F82">
      <w:start w:val="1"/>
      <w:numFmt w:val="hebrew1"/>
      <w:lvlText w:val="%2."/>
      <w:lvlJc w:val="center"/>
      <w:pPr>
        <w:ind w:left="1440" w:hanging="360"/>
      </w:pPr>
      <w:rPr>
        <w:rFonts w:ascii="David" w:hAnsi="David" w:cs="David"/>
        <w:b w:val="0"/>
        <w:bCs w:val="0"/>
        <w:lang w:val="en-US"/>
      </w:rPr>
    </w:lvl>
    <w:lvl w:ilvl="2" w:tplc="566015AA">
      <w:start w:val="1"/>
      <w:numFmt w:val="decimal"/>
      <w:lvlText w:val="%3)"/>
      <w:lvlJc w:val="left"/>
      <w:pPr>
        <w:ind w:left="747" w:hanging="180"/>
      </w:pPr>
      <w:rPr>
        <w:rFonts w:ascii="David" w:hAnsi="David" w:cs="David" w:hint="default"/>
        <w:b w:val="0"/>
        <w:bCs w:val="0"/>
        <w:i w:val="0"/>
        <w:iCs w:val="0"/>
        <w:sz w:val="22"/>
        <w:szCs w:val="24"/>
      </w:rPr>
    </w:lvl>
    <w:lvl w:ilvl="3" w:tplc="566E522A">
      <w:start w:val="1"/>
      <w:numFmt w:val="decimal"/>
      <w:lvlText w:val="%4."/>
      <w:lvlJc w:val="left"/>
      <w:pPr>
        <w:ind w:left="2880" w:hanging="360"/>
      </w:pPr>
      <w:rPr>
        <w:rFonts w:cs="Times New Roman"/>
      </w:rPr>
    </w:lvl>
    <w:lvl w:ilvl="4" w:tplc="6CAED518">
      <w:start w:val="1"/>
      <w:numFmt w:val="lowerLetter"/>
      <w:lvlText w:val="%5."/>
      <w:lvlJc w:val="left"/>
      <w:pPr>
        <w:ind w:left="3600" w:hanging="360"/>
      </w:pPr>
      <w:rPr>
        <w:rFonts w:cs="Times New Roman"/>
      </w:rPr>
    </w:lvl>
    <w:lvl w:ilvl="5" w:tplc="A87E8262">
      <w:start w:val="1"/>
      <w:numFmt w:val="lowerRoman"/>
      <w:lvlText w:val="%6."/>
      <w:lvlJc w:val="right"/>
      <w:pPr>
        <w:ind w:left="4320" w:hanging="180"/>
      </w:pPr>
      <w:rPr>
        <w:rFonts w:cs="Times New Roman"/>
      </w:rPr>
    </w:lvl>
    <w:lvl w:ilvl="6" w:tplc="49C2FAFA">
      <w:start w:val="1"/>
      <w:numFmt w:val="decimal"/>
      <w:lvlText w:val="%7."/>
      <w:lvlJc w:val="left"/>
      <w:pPr>
        <w:ind w:left="5040" w:hanging="360"/>
      </w:pPr>
      <w:rPr>
        <w:rFonts w:cs="Times New Roman"/>
      </w:rPr>
    </w:lvl>
    <w:lvl w:ilvl="7" w:tplc="D9BA6272">
      <w:start w:val="1"/>
      <w:numFmt w:val="lowerLetter"/>
      <w:lvlText w:val="%8."/>
      <w:lvlJc w:val="left"/>
      <w:pPr>
        <w:ind w:left="5760" w:hanging="360"/>
      </w:pPr>
      <w:rPr>
        <w:rFonts w:cs="Times New Roman"/>
      </w:rPr>
    </w:lvl>
    <w:lvl w:ilvl="8" w:tplc="360E3F0E">
      <w:start w:val="1"/>
      <w:numFmt w:val="lowerRoman"/>
      <w:lvlText w:val="%9."/>
      <w:lvlJc w:val="right"/>
      <w:pPr>
        <w:ind w:left="6480" w:hanging="180"/>
      </w:pPr>
      <w:rPr>
        <w:rFonts w:cs="Times New Roman"/>
      </w:rPr>
    </w:lvl>
  </w:abstractNum>
  <w:abstractNum w:abstractNumId="3" w15:restartNumberingAfterBreak="0">
    <w:nsid w:val="6DDA1539"/>
    <w:multiLevelType w:val="hybridMultilevel"/>
    <w:tmpl w:val="4426CE34"/>
    <w:lvl w:ilvl="0" w:tplc="86C8165E">
      <w:start w:val="1"/>
      <w:numFmt w:val="decimal"/>
      <w:lvlText w:val="%1."/>
      <w:lvlJc w:val="left"/>
      <w:pPr>
        <w:ind w:left="720" w:hanging="360"/>
      </w:pPr>
      <w:rPr>
        <w:rFonts w:ascii="David" w:eastAsia="Times New Roman" w:hAnsi="David" w:cs="David" w:hint="default"/>
        <w:b/>
        <w:bCs w:val="0"/>
        <w:strike w:val="0"/>
        <w:dstrike w:val="0"/>
        <w:sz w:val="22"/>
        <w:u w:val="none"/>
        <w:effect w:val="none"/>
      </w:rPr>
    </w:lvl>
    <w:lvl w:ilvl="1" w:tplc="999EE8BA">
      <w:start w:val="1"/>
      <w:numFmt w:val="decimal"/>
      <w:lvlText w:val="%2)"/>
      <w:lvlJc w:val="left"/>
      <w:pPr>
        <w:ind w:left="1440" w:hanging="360"/>
      </w:pPr>
    </w:lvl>
    <w:lvl w:ilvl="2" w:tplc="A6B02AD0">
      <w:start w:val="1"/>
      <w:numFmt w:val="lowerRoman"/>
      <w:lvlText w:val="%3."/>
      <w:lvlJc w:val="right"/>
      <w:pPr>
        <w:ind w:left="2160" w:hanging="180"/>
      </w:pPr>
    </w:lvl>
    <w:lvl w:ilvl="3" w:tplc="E64E0038">
      <w:start w:val="1"/>
      <w:numFmt w:val="decimal"/>
      <w:lvlText w:val="%4."/>
      <w:lvlJc w:val="left"/>
      <w:pPr>
        <w:ind w:left="2880" w:hanging="360"/>
      </w:pPr>
    </w:lvl>
    <w:lvl w:ilvl="4" w:tplc="DBE8CD10">
      <w:start w:val="1"/>
      <w:numFmt w:val="lowerLetter"/>
      <w:lvlText w:val="%5."/>
      <w:lvlJc w:val="left"/>
      <w:pPr>
        <w:ind w:left="3600" w:hanging="360"/>
      </w:pPr>
    </w:lvl>
    <w:lvl w:ilvl="5" w:tplc="994A1CF6">
      <w:start w:val="1"/>
      <w:numFmt w:val="lowerRoman"/>
      <w:lvlText w:val="%6."/>
      <w:lvlJc w:val="right"/>
      <w:pPr>
        <w:ind w:left="4320" w:hanging="180"/>
      </w:pPr>
    </w:lvl>
    <w:lvl w:ilvl="6" w:tplc="67780060">
      <w:start w:val="1"/>
      <w:numFmt w:val="decimal"/>
      <w:lvlText w:val="%7."/>
      <w:lvlJc w:val="left"/>
      <w:pPr>
        <w:ind w:left="5040" w:hanging="360"/>
      </w:pPr>
    </w:lvl>
    <w:lvl w:ilvl="7" w:tplc="C1349966">
      <w:start w:val="1"/>
      <w:numFmt w:val="lowerLetter"/>
      <w:lvlText w:val="%8."/>
      <w:lvlJc w:val="left"/>
      <w:pPr>
        <w:ind w:left="5760" w:hanging="360"/>
      </w:pPr>
    </w:lvl>
    <w:lvl w:ilvl="8" w:tplc="48DA1F48">
      <w:start w:val="1"/>
      <w:numFmt w:val="lowerRoman"/>
      <w:lvlText w:val="%9."/>
      <w:lvlJc w:val="right"/>
      <w:pPr>
        <w:ind w:left="6480" w:hanging="180"/>
      </w:pPr>
    </w:lvl>
  </w:abstractNum>
  <w:abstractNum w:abstractNumId="4" w15:restartNumberingAfterBreak="0">
    <w:nsid w:val="71BC7B2A"/>
    <w:multiLevelType w:val="hybridMultilevel"/>
    <w:tmpl w:val="29588806"/>
    <w:lvl w:ilvl="0" w:tplc="3D6224AE">
      <w:start w:val="1"/>
      <w:numFmt w:val="hebrew1"/>
      <w:lvlText w:val="%1."/>
      <w:lvlJc w:val="left"/>
      <w:pPr>
        <w:ind w:left="720" w:hanging="360"/>
      </w:pPr>
      <w:rPr>
        <w:b/>
        <w:sz w:val="24"/>
        <w:szCs w:val="24"/>
      </w:rPr>
    </w:lvl>
    <w:lvl w:ilvl="1" w:tplc="AA703602">
      <w:start w:val="1"/>
      <w:numFmt w:val="lowerLetter"/>
      <w:lvlText w:val="%2."/>
      <w:lvlJc w:val="left"/>
      <w:pPr>
        <w:ind w:left="1440" w:hanging="360"/>
      </w:pPr>
    </w:lvl>
    <w:lvl w:ilvl="2" w:tplc="69B82896">
      <w:start w:val="1"/>
      <w:numFmt w:val="lowerRoman"/>
      <w:lvlText w:val="%3."/>
      <w:lvlJc w:val="right"/>
      <w:pPr>
        <w:ind w:left="2160" w:hanging="180"/>
      </w:pPr>
    </w:lvl>
    <w:lvl w:ilvl="3" w:tplc="5F84BDC4">
      <w:start w:val="1"/>
      <w:numFmt w:val="decimal"/>
      <w:lvlText w:val="%4."/>
      <w:lvlJc w:val="left"/>
      <w:pPr>
        <w:ind w:left="2880" w:hanging="360"/>
      </w:pPr>
    </w:lvl>
    <w:lvl w:ilvl="4" w:tplc="7EA022D2">
      <w:start w:val="1"/>
      <w:numFmt w:val="lowerLetter"/>
      <w:lvlText w:val="%5."/>
      <w:lvlJc w:val="left"/>
      <w:pPr>
        <w:ind w:left="3600" w:hanging="360"/>
      </w:pPr>
    </w:lvl>
    <w:lvl w:ilvl="5" w:tplc="412CC962">
      <w:start w:val="1"/>
      <w:numFmt w:val="lowerRoman"/>
      <w:lvlText w:val="%6."/>
      <w:lvlJc w:val="right"/>
      <w:pPr>
        <w:ind w:left="4320" w:hanging="180"/>
      </w:pPr>
    </w:lvl>
    <w:lvl w:ilvl="6" w:tplc="342AA466">
      <w:start w:val="1"/>
      <w:numFmt w:val="decimal"/>
      <w:lvlText w:val="%7."/>
      <w:lvlJc w:val="left"/>
      <w:pPr>
        <w:ind w:left="5040" w:hanging="360"/>
      </w:pPr>
    </w:lvl>
    <w:lvl w:ilvl="7" w:tplc="7F602ED4">
      <w:start w:val="1"/>
      <w:numFmt w:val="lowerLetter"/>
      <w:lvlText w:val="%8."/>
      <w:lvlJc w:val="left"/>
      <w:pPr>
        <w:ind w:left="5760" w:hanging="360"/>
      </w:pPr>
    </w:lvl>
    <w:lvl w:ilvl="8" w:tplc="0110FF38">
      <w:start w:val="1"/>
      <w:numFmt w:val="lowerRoman"/>
      <w:lvlText w:val="%9."/>
      <w:lvlJc w:val="right"/>
      <w:pPr>
        <w:ind w:left="6480" w:hanging="180"/>
      </w:pPr>
    </w:lvl>
  </w:abstractNum>
  <w:num w:numId="1" w16cid:durableId="942420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7573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1903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79299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000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4A87"/>
    <w:rsid w:val="001646B8"/>
    <w:rsid w:val="00322869"/>
    <w:rsid w:val="00530F2E"/>
    <w:rsid w:val="007572CA"/>
    <w:rsid w:val="009D673E"/>
    <w:rsid w:val="00AD5A99"/>
    <w:rsid w:val="00B34A87"/>
    <w:rsid w:val="00C97659"/>
    <w:rsid w:val="00EC5FC3"/>
    <w:rsid w:val="00F878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B57880"/>
  <w15:chartTrackingRefBased/>
  <w15:docId w15:val="{BDC4828D-585F-41E8-8E2F-32149E4D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4A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4A87"/>
    <w:pPr>
      <w:tabs>
        <w:tab w:val="center" w:pos="4153"/>
        <w:tab w:val="right" w:pos="8306"/>
      </w:tabs>
    </w:pPr>
  </w:style>
  <w:style w:type="character" w:customStyle="1" w:styleId="a4">
    <w:name w:val="כותרת עליונה תו"/>
    <w:link w:val="a3"/>
    <w:rsid w:val="00B34A87"/>
    <w:rPr>
      <w:rFonts w:ascii="Times New Roman" w:eastAsia="Times New Roman" w:hAnsi="Times New Roman" w:cs="David"/>
      <w:sz w:val="24"/>
      <w:szCs w:val="24"/>
    </w:rPr>
  </w:style>
  <w:style w:type="paragraph" w:styleId="a5">
    <w:name w:val="footer"/>
    <w:basedOn w:val="a"/>
    <w:link w:val="a6"/>
    <w:rsid w:val="00B34A87"/>
    <w:pPr>
      <w:tabs>
        <w:tab w:val="center" w:pos="4153"/>
        <w:tab w:val="right" w:pos="8306"/>
      </w:tabs>
    </w:pPr>
  </w:style>
  <w:style w:type="character" w:customStyle="1" w:styleId="a6">
    <w:name w:val="כותרת תחתונה תו"/>
    <w:link w:val="a5"/>
    <w:rsid w:val="00B34A87"/>
    <w:rPr>
      <w:rFonts w:ascii="Times New Roman" w:eastAsia="Times New Roman" w:hAnsi="Times New Roman" w:cs="David"/>
      <w:sz w:val="24"/>
      <w:szCs w:val="24"/>
    </w:rPr>
  </w:style>
  <w:style w:type="character" w:styleId="a7">
    <w:name w:val="page number"/>
    <w:rsid w:val="00B34A87"/>
  </w:style>
  <w:style w:type="table" w:customStyle="1" w:styleId="2">
    <w:name w:val="רשת טבלה2"/>
    <w:basedOn w:val="a1"/>
    <w:next w:val="a8"/>
    <w:rsid w:val="00B34A87"/>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rsid w:val="00B34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D5A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513828" TargetMode="External"/><Relationship Id="rId21" Type="http://schemas.openxmlformats.org/officeDocument/2006/relationships/hyperlink" Target="http://www.nevo.co.il/case/2690417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3376287"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d"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26913995" TargetMode="External"/><Relationship Id="rId37" Type="http://schemas.openxmlformats.org/officeDocument/2006/relationships/hyperlink" Target="http://www.nevo.co.il/case/22967740" TargetMode="External"/><Relationship Id="rId40" Type="http://schemas.openxmlformats.org/officeDocument/2006/relationships/hyperlink" Target="http://www.nevo.co.il/case/27359147" TargetMode="External"/><Relationship Id="rId45" Type="http://schemas.openxmlformats.org/officeDocument/2006/relationships/hyperlink" Target="http://www.nevo.co.il/case/25522697" TargetMode="External"/><Relationship Id="rId53" Type="http://schemas.openxmlformats.org/officeDocument/2006/relationships/hyperlink" Target="http://www.nevo.co.il/case/26937190"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40ja"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24140860"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h" TargetMode="External"/><Relationship Id="rId22" Type="http://schemas.openxmlformats.org/officeDocument/2006/relationships/hyperlink" Target="http://www.nevo.co.il/case/30551070"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case/25732840" TargetMode="External"/><Relationship Id="rId35" Type="http://schemas.openxmlformats.org/officeDocument/2006/relationships/hyperlink" Target="http://www.nevo.co.il/case/30307093" TargetMode="External"/><Relationship Id="rId43" Type="http://schemas.openxmlformats.org/officeDocument/2006/relationships/hyperlink" Target="http://www.nevo.co.il/case/25551983" TargetMode="External"/><Relationship Id="rId48" Type="http://schemas.openxmlformats.org/officeDocument/2006/relationships/hyperlink" Target="http://www.nevo.co.il/case/22337308" TargetMode="External"/><Relationship Id="rId56" Type="http://schemas.openxmlformats.org/officeDocument/2006/relationships/hyperlink" Target="http://www.nevo.co.il/case/22506778" TargetMode="External"/><Relationship Id="rId64" Type="http://schemas.openxmlformats.org/officeDocument/2006/relationships/hyperlink" Target="http://www.nevo.co.il/law/70301/40c.b" TargetMode="External"/><Relationship Id="rId69" Type="http://schemas.openxmlformats.org/officeDocument/2006/relationships/hyperlink" Target="http://www.nevo.co.il/law/70301/40e" TargetMode="External"/><Relationship Id="rId77" Type="http://schemas.openxmlformats.org/officeDocument/2006/relationships/footer" Target="footer1.xml"/><Relationship Id="rId8" Type="http://schemas.openxmlformats.org/officeDocument/2006/relationships/hyperlink" Target="http://www.nevo.co.il/law/70301/40c.a" TargetMode="External"/><Relationship Id="rId51" Type="http://schemas.openxmlformats.org/officeDocument/2006/relationships/hyperlink" Target="http://www.nevo.co.il/case/27992428" TargetMode="External"/><Relationship Id="rId72" Type="http://schemas.openxmlformats.org/officeDocument/2006/relationships/hyperlink" Target="http://www.nevo.co.il/law/70301/40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40ji"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528737" TargetMode="External"/><Relationship Id="rId38" Type="http://schemas.openxmlformats.org/officeDocument/2006/relationships/hyperlink" Target="http://www.nevo.co.il/case/29243283" TargetMode="External"/><Relationship Id="rId46" Type="http://schemas.openxmlformats.org/officeDocument/2006/relationships/hyperlink" Target="http://www.nevo.co.il/case/21831795" TargetMode="External"/><Relationship Id="rId59" Type="http://schemas.openxmlformats.org/officeDocument/2006/relationships/hyperlink" Target="http://www.nevo.co.il/case/28513828" TargetMode="External"/><Relationship Id="rId67" Type="http://schemas.openxmlformats.org/officeDocument/2006/relationships/hyperlink" Target="http://www.nevo.co.il/case/21476447"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case/28413605" TargetMode="External"/><Relationship Id="rId54" Type="http://schemas.openxmlformats.org/officeDocument/2006/relationships/hyperlink" Target="http://www.nevo.co.il/case/22935305" TargetMode="External"/><Relationship Id="rId62" Type="http://schemas.openxmlformats.org/officeDocument/2006/relationships/hyperlink" Target="http://www.nevo.co.il/law/70301/40h" TargetMode="External"/><Relationship Id="rId70" Type="http://schemas.openxmlformats.org/officeDocument/2006/relationships/hyperlink" Target="http://www.nevo.co.il/law/70301"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6908264" TargetMode="External"/><Relationship Id="rId28" Type="http://schemas.openxmlformats.org/officeDocument/2006/relationships/hyperlink" Target="http://www.nevo.co.il/case/29655260" TargetMode="External"/><Relationship Id="rId36" Type="http://schemas.openxmlformats.org/officeDocument/2006/relationships/hyperlink" Target="http://www.nevo.co.il/case/28338166" TargetMode="External"/><Relationship Id="rId49" Type="http://schemas.openxmlformats.org/officeDocument/2006/relationships/hyperlink" Target="http://www.nevo.co.il/case/29805376" TargetMode="External"/><Relationship Id="rId57" Type="http://schemas.openxmlformats.org/officeDocument/2006/relationships/hyperlink" Target="http://www.nevo.co.il/law/70301/40ji" TargetMode="External"/><Relationship Id="rId10" Type="http://schemas.openxmlformats.org/officeDocument/2006/relationships/hyperlink" Target="http://www.nevo.co.il/law/70301/40d" TargetMode="External"/><Relationship Id="rId31" Type="http://schemas.openxmlformats.org/officeDocument/2006/relationships/hyperlink" Target="http://www.nevo.co.il/case/27502726" TargetMode="External"/><Relationship Id="rId44" Type="http://schemas.openxmlformats.org/officeDocument/2006/relationships/hyperlink" Target="http://www.nevo.co.il/case/22981137" TargetMode="External"/><Relationship Id="rId52" Type="http://schemas.openxmlformats.org/officeDocument/2006/relationships/hyperlink" Target="http://www.nevo.co.il/case/2725029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28852952" TargetMode="External"/><Relationship Id="rId34" Type="http://schemas.openxmlformats.org/officeDocument/2006/relationships/hyperlink" Target="http://www.nevo.co.il/case/25637368" TargetMode="External"/><Relationship Id="rId50" Type="http://schemas.openxmlformats.org/officeDocument/2006/relationships/hyperlink" Target="http://www.nevo.co.il/case/30341932" TargetMode="External"/><Relationship Id="rId55" Type="http://schemas.openxmlformats.org/officeDocument/2006/relationships/hyperlink" Target="http://www.nevo.co.il/case/22869398"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70301/40f" TargetMode="External"/><Relationship Id="rId2" Type="http://schemas.openxmlformats.org/officeDocument/2006/relationships/styles" Target="styles.xml"/><Relationship Id="rId29" Type="http://schemas.openxmlformats.org/officeDocument/2006/relationships/hyperlink" Target="http://www.nevo.co.il/case/2864043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6709</Words>
  <Characters>33548</Characters>
  <Application>Microsoft Office Word</Application>
  <DocSecurity>0</DocSecurity>
  <Lines>279</Lines>
  <Paragraphs>80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40177</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6619233</vt:i4>
      </vt:variant>
      <vt:variant>
        <vt:i4>195</vt:i4>
      </vt:variant>
      <vt:variant>
        <vt:i4>0</vt:i4>
      </vt:variant>
      <vt:variant>
        <vt:i4>5</vt:i4>
      </vt:variant>
      <vt:variant>
        <vt:lpwstr>http://www.nevo.co.il/law/70301/40g</vt:lpwstr>
      </vt:variant>
      <vt:variant>
        <vt:lpwstr/>
      </vt:variant>
      <vt:variant>
        <vt:i4>6619233</vt:i4>
      </vt:variant>
      <vt:variant>
        <vt:i4>192</vt:i4>
      </vt:variant>
      <vt:variant>
        <vt:i4>0</vt:i4>
      </vt:variant>
      <vt:variant>
        <vt:i4>5</vt:i4>
      </vt:variant>
      <vt:variant>
        <vt:lpwstr>http://www.nevo.co.il/law/70301/40f</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http://www.nevo.co.il/law/70301/40e</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3407990</vt:i4>
      </vt:variant>
      <vt:variant>
        <vt:i4>180</vt:i4>
      </vt:variant>
      <vt:variant>
        <vt:i4>0</vt:i4>
      </vt:variant>
      <vt:variant>
        <vt:i4>5</vt:i4>
      </vt:variant>
      <vt:variant>
        <vt:lpwstr>http://www.nevo.co.il/case/21476447</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4915202</vt:i4>
      </vt:variant>
      <vt:variant>
        <vt:i4>171</vt:i4>
      </vt:variant>
      <vt:variant>
        <vt:i4>0</vt:i4>
      </vt:variant>
      <vt:variant>
        <vt:i4>5</vt:i4>
      </vt:variant>
      <vt:variant>
        <vt:lpwstr>http://www.nevo.co.il/law/70301/40c.b</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http://www.nevo.co.il/law/70301/40h</vt:lpwstr>
      </vt:variant>
      <vt:variant>
        <vt:lpwstr/>
      </vt:variant>
      <vt:variant>
        <vt:i4>3473532</vt:i4>
      </vt:variant>
      <vt:variant>
        <vt:i4>162</vt:i4>
      </vt:variant>
      <vt:variant>
        <vt:i4>0</vt:i4>
      </vt:variant>
      <vt:variant>
        <vt:i4>5</vt:i4>
      </vt:variant>
      <vt:variant>
        <vt:lpwstr>http://www.nevo.co.il/case/24140860</vt:lpwstr>
      </vt:variant>
      <vt:variant>
        <vt:lpwstr/>
      </vt:variant>
      <vt:variant>
        <vt:i4>7995492</vt:i4>
      </vt:variant>
      <vt:variant>
        <vt:i4>159</vt:i4>
      </vt:variant>
      <vt:variant>
        <vt:i4>0</vt:i4>
      </vt:variant>
      <vt:variant>
        <vt:i4>5</vt:i4>
      </vt:variant>
      <vt:variant>
        <vt:lpwstr>http://www.nevo.co.il/law/70301</vt:lpwstr>
      </vt:variant>
      <vt:variant>
        <vt:lpwstr/>
      </vt:variant>
      <vt:variant>
        <vt:i4>3539061</vt:i4>
      </vt:variant>
      <vt:variant>
        <vt:i4>156</vt:i4>
      </vt:variant>
      <vt:variant>
        <vt:i4>0</vt:i4>
      </vt:variant>
      <vt:variant>
        <vt:i4>5</vt:i4>
      </vt:variant>
      <vt:variant>
        <vt:lpwstr>http://www.nevo.co.il/case/28513828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786443</vt:i4>
      </vt:variant>
      <vt:variant>
        <vt:i4>150</vt:i4>
      </vt:variant>
      <vt:variant>
        <vt:i4>0</vt:i4>
      </vt:variant>
      <vt:variant>
        <vt:i4>5</vt:i4>
      </vt:variant>
      <vt:variant>
        <vt:lpwstr>http://www.nevo.co.il/law/70301/40ji</vt:lpwstr>
      </vt:variant>
      <vt:variant>
        <vt:lpwstr/>
      </vt:variant>
      <vt:variant>
        <vt:i4>3539057</vt:i4>
      </vt:variant>
      <vt:variant>
        <vt:i4>147</vt:i4>
      </vt:variant>
      <vt:variant>
        <vt:i4>0</vt:i4>
      </vt:variant>
      <vt:variant>
        <vt:i4>5</vt:i4>
      </vt:variant>
      <vt:variant>
        <vt:lpwstr>http://www.nevo.co.il/case/22506778</vt:lpwstr>
      </vt:variant>
      <vt:variant>
        <vt:lpwstr/>
      </vt:variant>
      <vt:variant>
        <vt:i4>3801203</vt:i4>
      </vt:variant>
      <vt:variant>
        <vt:i4>144</vt:i4>
      </vt:variant>
      <vt:variant>
        <vt:i4>0</vt:i4>
      </vt:variant>
      <vt:variant>
        <vt:i4>5</vt:i4>
      </vt:variant>
      <vt:variant>
        <vt:lpwstr>http://www.nevo.co.il/case/22869398</vt:lpwstr>
      </vt:variant>
      <vt:variant>
        <vt:lpwstr/>
      </vt:variant>
      <vt:variant>
        <vt:i4>4063350</vt:i4>
      </vt:variant>
      <vt:variant>
        <vt:i4>141</vt:i4>
      </vt:variant>
      <vt:variant>
        <vt:i4>0</vt:i4>
      </vt:variant>
      <vt:variant>
        <vt:i4>5</vt:i4>
      </vt:variant>
      <vt:variant>
        <vt:lpwstr>http://www.nevo.co.il/case/22935305</vt:lpwstr>
      </vt:variant>
      <vt:variant>
        <vt:lpwstr/>
      </vt:variant>
      <vt:variant>
        <vt:i4>3473520</vt:i4>
      </vt:variant>
      <vt:variant>
        <vt:i4>138</vt:i4>
      </vt:variant>
      <vt:variant>
        <vt:i4>0</vt:i4>
      </vt:variant>
      <vt:variant>
        <vt:i4>5</vt:i4>
      </vt:variant>
      <vt:variant>
        <vt:lpwstr>http://www.nevo.co.il/case/26937190</vt:lpwstr>
      </vt:variant>
      <vt:variant>
        <vt:lpwstr/>
      </vt:variant>
      <vt:variant>
        <vt:i4>3735668</vt:i4>
      </vt:variant>
      <vt:variant>
        <vt:i4>135</vt:i4>
      </vt:variant>
      <vt:variant>
        <vt:i4>0</vt:i4>
      </vt:variant>
      <vt:variant>
        <vt:i4>5</vt:i4>
      </vt:variant>
      <vt:variant>
        <vt:lpwstr>http://www.nevo.co.il/case/27250292</vt:lpwstr>
      </vt:variant>
      <vt:variant>
        <vt:lpwstr/>
      </vt:variant>
      <vt:variant>
        <vt:i4>3866750</vt:i4>
      </vt:variant>
      <vt:variant>
        <vt:i4>132</vt:i4>
      </vt:variant>
      <vt:variant>
        <vt:i4>0</vt:i4>
      </vt:variant>
      <vt:variant>
        <vt:i4>5</vt:i4>
      </vt:variant>
      <vt:variant>
        <vt:lpwstr>http://www.nevo.co.il/case/27992428</vt:lpwstr>
      </vt:variant>
      <vt:variant>
        <vt:lpwstr/>
      </vt:variant>
      <vt:variant>
        <vt:i4>3276921</vt:i4>
      </vt:variant>
      <vt:variant>
        <vt:i4>129</vt:i4>
      </vt:variant>
      <vt:variant>
        <vt:i4>0</vt:i4>
      </vt:variant>
      <vt:variant>
        <vt:i4>5</vt:i4>
      </vt:variant>
      <vt:variant>
        <vt:lpwstr>http://www.nevo.co.il/case/30341932</vt:lpwstr>
      </vt:variant>
      <vt:variant>
        <vt:lpwstr/>
      </vt:variant>
      <vt:variant>
        <vt:i4>3670142</vt:i4>
      </vt:variant>
      <vt:variant>
        <vt:i4>126</vt:i4>
      </vt:variant>
      <vt:variant>
        <vt:i4>0</vt:i4>
      </vt:variant>
      <vt:variant>
        <vt:i4>5</vt:i4>
      </vt:variant>
      <vt:variant>
        <vt:lpwstr>http://www.nevo.co.il/case/29805376</vt:lpwstr>
      </vt:variant>
      <vt:variant>
        <vt:lpwstr/>
      </vt:variant>
      <vt:variant>
        <vt:i4>3539062</vt:i4>
      </vt:variant>
      <vt:variant>
        <vt:i4>123</vt:i4>
      </vt:variant>
      <vt:variant>
        <vt:i4>0</vt:i4>
      </vt:variant>
      <vt:variant>
        <vt:i4>5</vt:i4>
      </vt:variant>
      <vt:variant>
        <vt:lpwstr>http://www.nevo.co.il/case/22337308</vt:lpwstr>
      </vt:variant>
      <vt:variant>
        <vt:lpwstr/>
      </vt:variant>
      <vt:variant>
        <vt:i4>4128882</vt:i4>
      </vt:variant>
      <vt:variant>
        <vt:i4>120</vt:i4>
      </vt:variant>
      <vt:variant>
        <vt:i4>0</vt:i4>
      </vt:variant>
      <vt:variant>
        <vt:i4>5</vt:i4>
      </vt:variant>
      <vt:variant>
        <vt:lpwstr>http://www.nevo.co.il/case/23376287</vt:lpwstr>
      </vt:variant>
      <vt:variant>
        <vt:lpwstr/>
      </vt:variant>
      <vt:variant>
        <vt:i4>3276913</vt:i4>
      </vt:variant>
      <vt:variant>
        <vt:i4>117</vt:i4>
      </vt:variant>
      <vt:variant>
        <vt:i4>0</vt:i4>
      </vt:variant>
      <vt:variant>
        <vt:i4>5</vt:i4>
      </vt:variant>
      <vt:variant>
        <vt:lpwstr>http://www.nevo.co.il/case/21831795</vt:lpwstr>
      </vt:variant>
      <vt:variant>
        <vt:lpwstr/>
      </vt:variant>
      <vt:variant>
        <vt:i4>3932277</vt:i4>
      </vt:variant>
      <vt:variant>
        <vt:i4>114</vt:i4>
      </vt:variant>
      <vt:variant>
        <vt:i4>0</vt:i4>
      </vt:variant>
      <vt:variant>
        <vt:i4>5</vt:i4>
      </vt:variant>
      <vt:variant>
        <vt:lpwstr>http://www.nevo.co.il/case/25522697</vt:lpwstr>
      </vt:variant>
      <vt:variant>
        <vt:lpwstr/>
      </vt:variant>
      <vt:variant>
        <vt:i4>3735679</vt:i4>
      </vt:variant>
      <vt:variant>
        <vt:i4>111</vt:i4>
      </vt:variant>
      <vt:variant>
        <vt:i4>0</vt:i4>
      </vt:variant>
      <vt:variant>
        <vt:i4>5</vt:i4>
      </vt:variant>
      <vt:variant>
        <vt:lpwstr>http://www.nevo.co.il/case/22981137</vt:lpwstr>
      </vt:variant>
      <vt:variant>
        <vt:lpwstr/>
      </vt:variant>
      <vt:variant>
        <vt:i4>4063357</vt:i4>
      </vt:variant>
      <vt:variant>
        <vt:i4>108</vt:i4>
      </vt:variant>
      <vt:variant>
        <vt:i4>0</vt:i4>
      </vt:variant>
      <vt:variant>
        <vt:i4>5</vt:i4>
      </vt:variant>
      <vt:variant>
        <vt:lpwstr>http://www.nevo.co.il/case/25551983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3473531</vt:i4>
      </vt:variant>
      <vt:variant>
        <vt:i4>102</vt:i4>
      </vt:variant>
      <vt:variant>
        <vt:i4>0</vt:i4>
      </vt:variant>
      <vt:variant>
        <vt:i4>5</vt:i4>
      </vt:variant>
      <vt:variant>
        <vt:lpwstr>http://www.nevo.co.il/case/28413605</vt:lpwstr>
      </vt:variant>
      <vt:variant>
        <vt:lpwstr/>
      </vt:variant>
      <vt:variant>
        <vt:i4>3932279</vt:i4>
      </vt:variant>
      <vt:variant>
        <vt:i4>99</vt:i4>
      </vt:variant>
      <vt:variant>
        <vt:i4>0</vt:i4>
      </vt:variant>
      <vt:variant>
        <vt:i4>5</vt:i4>
      </vt:variant>
      <vt:variant>
        <vt:lpwstr>http://www.nevo.co.il/case/27359147</vt:lpwstr>
      </vt:variant>
      <vt:variant>
        <vt:lpwstr/>
      </vt:variant>
      <vt:variant>
        <vt:i4>3997808</vt:i4>
      </vt:variant>
      <vt:variant>
        <vt:i4>96</vt:i4>
      </vt:variant>
      <vt:variant>
        <vt:i4>0</vt:i4>
      </vt:variant>
      <vt:variant>
        <vt:i4>5</vt:i4>
      </vt:variant>
      <vt:variant>
        <vt:lpwstr>http://www.nevo.co.il/case/28852952</vt:lpwstr>
      </vt:variant>
      <vt:variant>
        <vt:lpwstr/>
      </vt:variant>
      <vt:variant>
        <vt:i4>3866747</vt:i4>
      </vt:variant>
      <vt:variant>
        <vt:i4>93</vt:i4>
      </vt:variant>
      <vt:variant>
        <vt:i4>0</vt:i4>
      </vt:variant>
      <vt:variant>
        <vt:i4>5</vt:i4>
      </vt:variant>
      <vt:variant>
        <vt:lpwstr>http://www.nevo.co.il/case/29243283</vt:lpwstr>
      </vt:variant>
      <vt:variant>
        <vt:lpwstr/>
      </vt:variant>
      <vt:variant>
        <vt:i4>3670135</vt:i4>
      </vt:variant>
      <vt:variant>
        <vt:i4>90</vt:i4>
      </vt:variant>
      <vt:variant>
        <vt:i4>0</vt:i4>
      </vt:variant>
      <vt:variant>
        <vt:i4>5</vt:i4>
      </vt:variant>
      <vt:variant>
        <vt:lpwstr>http://www.nevo.co.il/case/22967740</vt:lpwstr>
      </vt:variant>
      <vt:variant>
        <vt:lpwstr/>
      </vt:variant>
      <vt:variant>
        <vt:i4>4128894</vt:i4>
      </vt:variant>
      <vt:variant>
        <vt:i4>87</vt:i4>
      </vt:variant>
      <vt:variant>
        <vt:i4>0</vt:i4>
      </vt:variant>
      <vt:variant>
        <vt:i4>5</vt:i4>
      </vt:variant>
      <vt:variant>
        <vt:lpwstr>http://www.nevo.co.il/case/28338166</vt:lpwstr>
      </vt:variant>
      <vt:variant>
        <vt:lpwstr/>
      </vt:variant>
      <vt:variant>
        <vt:i4>4063348</vt:i4>
      </vt:variant>
      <vt:variant>
        <vt:i4>84</vt:i4>
      </vt:variant>
      <vt:variant>
        <vt:i4>0</vt:i4>
      </vt:variant>
      <vt:variant>
        <vt:i4>5</vt:i4>
      </vt:variant>
      <vt:variant>
        <vt:lpwstr>http://www.nevo.co.il/case/30307093</vt:lpwstr>
      </vt:variant>
      <vt:variant>
        <vt:lpwstr/>
      </vt:variant>
      <vt:variant>
        <vt:i4>3473521</vt:i4>
      </vt:variant>
      <vt:variant>
        <vt:i4>81</vt:i4>
      </vt:variant>
      <vt:variant>
        <vt:i4>0</vt:i4>
      </vt:variant>
      <vt:variant>
        <vt:i4>5</vt:i4>
      </vt:variant>
      <vt:variant>
        <vt:lpwstr>http://www.nevo.co.il/case/25637368</vt:lpwstr>
      </vt:variant>
      <vt:variant>
        <vt:lpwstr/>
      </vt:variant>
      <vt:variant>
        <vt:i4>3932276</vt:i4>
      </vt:variant>
      <vt:variant>
        <vt:i4>78</vt:i4>
      </vt:variant>
      <vt:variant>
        <vt:i4>0</vt:i4>
      </vt:variant>
      <vt:variant>
        <vt:i4>5</vt:i4>
      </vt:variant>
      <vt:variant>
        <vt:lpwstr>http://www.nevo.co.il/case/25528737</vt:lpwstr>
      </vt:variant>
      <vt:variant>
        <vt:lpwstr/>
      </vt:variant>
      <vt:variant>
        <vt:i4>3211386</vt:i4>
      </vt:variant>
      <vt:variant>
        <vt:i4>75</vt:i4>
      </vt:variant>
      <vt:variant>
        <vt:i4>0</vt:i4>
      </vt:variant>
      <vt:variant>
        <vt:i4>5</vt:i4>
      </vt:variant>
      <vt:variant>
        <vt:lpwstr>http://www.nevo.co.il/case/26913995</vt:lpwstr>
      </vt:variant>
      <vt:variant>
        <vt:lpwstr/>
      </vt:variant>
      <vt:variant>
        <vt:i4>3604596</vt:i4>
      </vt:variant>
      <vt:variant>
        <vt:i4>72</vt:i4>
      </vt:variant>
      <vt:variant>
        <vt:i4>0</vt:i4>
      </vt:variant>
      <vt:variant>
        <vt:i4>5</vt:i4>
      </vt:variant>
      <vt:variant>
        <vt:lpwstr>http://www.nevo.co.il/case/27502726</vt:lpwstr>
      </vt:variant>
      <vt:variant>
        <vt:lpwstr/>
      </vt:variant>
      <vt:variant>
        <vt:i4>3342458</vt:i4>
      </vt:variant>
      <vt:variant>
        <vt:i4>69</vt:i4>
      </vt:variant>
      <vt:variant>
        <vt:i4>0</vt:i4>
      </vt:variant>
      <vt:variant>
        <vt:i4>5</vt:i4>
      </vt:variant>
      <vt:variant>
        <vt:lpwstr>http://www.nevo.co.il/case/25732840</vt:lpwstr>
      </vt:variant>
      <vt:variant>
        <vt:lpwstr/>
      </vt:variant>
      <vt:variant>
        <vt:i4>3604604</vt:i4>
      </vt:variant>
      <vt:variant>
        <vt:i4>66</vt:i4>
      </vt:variant>
      <vt:variant>
        <vt:i4>0</vt:i4>
      </vt:variant>
      <vt:variant>
        <vt:i4>5</vt:i4>
      </vt:variant>
      <vt:variant>
        <vt:lpwstr>http://www.nevo.co.il/case/28640436</vt:lpwstr>
      </vt:variant>
      <vt:variant>
        <vt:lpwstr/>
      </vt:variant>
      <vt:variant>
        <vt:i4>3604602</vt:i4>
      </vt:variant>
      <vt:variant>
        <vt:i4>63</vt:i4>
      </vt:variant>
      <vt:variant>
        <vt:i4>0</vt:i4>
      </vt:variant>
      <vt:variant>
        <vt:i4>5</vt:i4>
      </vt:variant>
      <vt:variant>
        <vt:lpwstr>http://www.nevo.co.il/case/29655260</vt:lpwstr>
      </vt:variant>
      <vt:variant>
        <vt:lpwstr/>
      </vt:variant>
      <vt:variant>
        <vt:i4>4128881</vt:i4>
      </vt:variant>
      <vt:variant>
        <vt:i4>60</vt:i4>
      </vt:variant>
      <vt:variant>
        <vt:i4>0</vt:i4>
      </vt:variant>
      <vt:variant>
        <vt:i4>5</vt:i4>
      </vt:variant>
      <vt:variant>
        <vt:lpwstr>http://www.nevo.co.il/case/27309272</vt:lpwstr>
      </vt:variant>
      <vt:variant>
        <vt:lpwstr/>
      </vt:variant>
      <vt:variant>
        <vt:i4>3539061</vt:i4>
      </vt:variant>
      <vt:variant>
        <vt:i4>57</vt:i4>
      </vt:variant>
      <vt:variant>
        <vt:i4>0</vt:i4>
      </vt:variant>
      <vt:variant>
        <vt:i4>5</vt:i4>
      </vt:variant>
      <vt:variant>
        <vt:lpwstr>http://www.nevo.co.il/case/28513828</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3473520</vt:i4>
      </vt:variant>
      <vt:variant>
        <vt:i4>48</vt:i4>
      </vt:variant>
      <vt:variant>
        <vt:i4>0</vt:i4>
      </vt:variant>
      <vt:variant>
        <vt:i4>5</vt:i4>
      </vt:variant>
      <vt:variant>
        <vt:lpwstr>http://www.nevo.co.il/case/26908264</vt:lpwstr>
      </vt:variant>
      <vt:variant>
        <vt:lpwstr/>
      </vt:variant>
      <vt:variant>
        <vt:i4>3145841</vt:i4>
      </vt:variant>
      <vt:variant>
        <vt:i4>45</vt:i4>
      </vt:variant>
      <vt:variant>
        <vt:i4>0</vt:i4>
      </vt:variant>
      <vt:variant>
        <vt:i4>5</vt:i4>
      </vt:variant>
      <vt:variant>
        <vt:lpwstr>http://www.nevo.co.il/case/30551070</vt:lpwstr>
      </vt:variant>
      <vt:variant>
        <vt:lpwstr/>
      </vt:variant>
      <vt:variant>
        <vt:i4>3670131</vt:i4>
      </vt:variant>
      <vt:variant>
        <vt:i4>42</vt:i4>
      </vt:variant>
      <vt:variant>
        <vt:i4>0</vt:i4>
      </vt:variant>
      <vt:variant>
        <vt:i4>5</vt:i4>
      </vt:variant>
      <vt:variant>
        <vt:lpwstr>http://www.nevo.co.il/case/26904171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786443</vt:i4>
      </vt:variant>
      <vt:variant>
        <vt:i4>30</vt:i4>
      </vt:variant>
      <vt:variant>
        <vt:i4>0</vt:i4>
      </vt:variant>
      <vt:variant>
        <vt:i4>5</vt:i4>
      </vt:variant>
      <vt:variant>
        <vt:lpwstr>http://www.nevo.co.il/law/70301/40ji</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6619233</vt:i4>
      </vt:variant>
      <vt:variant>
        <vt:i4>21</vt:i4>
      </vt:variant>
      <vt:variant>
        <vt:i4>0</vt:i4>
      </vt:variant>
      <vt:variant>
        <vt:i4>5</vt:i4>
      </vt:variant>
      <vt:variant>
        <vt:lpwstr>http://www.nevo.co.il/law/70301/40h</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53043</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סאמיה אבו שהאב</vt:lpwstr>
  </property>
  <property fmtid="{D5CDD505-2E9C-101B-9397-08002B2CF9AE}" pid="10" name="LAWYER">
    <vt:lpwstr>אריאל סטרול;אלין אלקרינאוי;ליל פטישי</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20250210</vt:lpwstr>
  </property>
  <property fmtid="{D5CDD505-2E9C-101B-9397-08002B2CF9AE}" pid="14" name="TYPE_N_DATE">
    <vt:lpwstr>38020250210</vt:lpwstr>
  </property>
  <property fmtid="{D5CDD505-2E9C-101B-9397-08002B2CF9AE}" pid="15" name="CASESLISTTMP1">
    <vt:lpwstr>26904171;30551070;26908264;28513828:2;27309272;29655260;28640436;25732840;27502726;26913995;25528737;25637368;30307093;28338166;22967740;29243283;28852952;27359147;28413605;25551983;22981137;25522697;21831795;23376287;22337308;29805376;30341932;27992428</vt:lpwstr>
  </property>
  <property fmtid="{D5CDD505-2E9C-101B-9397-08002B2CF9AE}" pid="16" name="CASESLISTTMP2">
    <vt:lpwstr>27250292;26937190;22935305;22869398;22506778;24140860;21476447</vt:lpwstr>
  </property>
  <property fmtid="{D5CDD505-2E9C-101B-9397-08002B2CF9AE}" pid="17" name="WORDNUMPAGES">
    <vt:lpwstr>16</vt:lpwstr>
  </property>
  <property fmtid="{D5CDD505-2E9C-101B-9397-08002B2CF9AE}" pid="18" name="TYPE_ABS_DATE">
    <vt:lpwstr>380020250210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70301/144.a:2;040c.a;40ji;040h;040c.b;40ja;040d;040e;040f;040g</vt:lpwstr>
  </property>
  <property fmtid="{D5CDD505-2E9C-101B-9397-08002B2CF9AE}" pid="37" name="ISABSTRACT">
    <vt:lpwstr>Y</vt:lpwstr>
  </property>
</Properties>
</file>