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50248" w:rsidRPr="006478FC" w14:paraId="0756E452" w14:textId="77777777" w:rsidTr="007C60D0">
        <w:trPr>
          <w:trHeight w:hRule="exact" w:val="418"/>
          <w:jc w:val="center"/>
        </w:trPr>
        <w:tc>
          <w:tcPr>
            <w:tcW w:w="8721" w:type="dxa"/>
            <w:gridSpan w:val="2"/>
          </w:tcPr>
          <w:p w14:paraId="36481B95" w14:textId="77777777" w:rsidR="00F50248" w:rsidRPr="006478FC" w:rsidRDefault="00F50248" w:rsidP="004238BD">
            <w:pPr>
              <w:pStyle w:val="a3"/>
              <w:jc w:val="center"/>
              <w:rPr>
                <w:rFonts w:ascii="Tahoma" w:hAnsi="Tahoma" w:cs="Tahoma"/>
                <w:color w:val="000080"/>
                <w:rtl/>
              </w:rPr>
            </w:pPr>
            <w:bookmarkStart w:id="0" w:name="FirstLawyer"/>
            <w:r w:rsidRPr="006478FC">
              <w:rPr>
                <w:rFonts w:ascii="Tahoma" w:hAnsi="Tahoma" w:cs="Tahoma"/>
                <w:b/>
                <w:bCs/>
                <w:color w:val="000080"/>
                <w:rtl/>
              </w:rPr>
              <w:t>בית משפט השלום בבאר שבע</w:t>
            </w:r>
          </w:p>
        </w:tc>
      </w:tr>
      <w:tr w:rsidR="00F50248" w:rsidRPr="006478FC" w14:paraId="746BD4C4" w14:textId="77777777" w:rsidTr="007C60D0">
        <w:trPr>
          <w:trHeight w:val="337"/>
          <w:jc w:val="center"/>
        </w:trPr>
        <w:tc>
          <w:tcPr>
            <w:tcW w:w="5054" w:type="dxa"/>
          </w:tcPr>
          <w:p w14:paraId="2B81D251" w14:textId="77777777" w:rsidR="00F50248" w:rsidRPr="006478FC" w:rsidRDefault="00F50248" w:rsidP="004238BD">
            <w:pPr>
              <w:rPr>
                <w:rFonts w:cs="FrankRuehl"/>
                <w:sz w:val="28"/>
                <w:szCs w:val="28"/>
                <w:rtl/>
              </w:rPr>
            </w:pPr>
            <w:r w:rsidRPr="006478FC">
              <w:rPr>
                <w:rFonts w:cs="FrankRuehl"/>
                <w:sz w:val="28"/>
                <w:szCs w:val="28"/>
                <w:rtl/>
              </w:rPr>
              <w:t>ת"פ</w:t>
            </w:r>
            <w:r w:rsidRPr="006478FC">
              <w:rPr>
                <w:rFonts w:cs="FrankRuehl" w:hint="cs"/>
                <w:sz w:val="28"/>
                <w:szCs w:val="28"/>
                <w:rtl/>
              </w:rPr>
              <w:t xml:space="preserve"> </w:t>
            </w:r>
            <w:r w:rsidRPr="006478FC">
              <w:rPr>
                <w:rFonts w:cs="FrankRuehl"/>
                <w:sz w:val="28"/>
                <w:szCs w:val="28"/>
                <w:rtl/>
              </w:rPr>
              <w:t>40983-10-20</w:t>
            </w:r>
            <w:r w:rsidRPr="006478FC">
              <w:rPr>
                <w:rFonts w:cs="FrankRuehl" w:hint="cs"/>
                <w:sz w:val="28"/>
                <w:szCs w:val="28"/>
                <w:rtl/>
              </w:rPr>
              <w:t xml:space="preserve"> </w:t>
            </w:r>
            <w:r w:rsidRPr="006478FC">
              <w:rPr>
                <w:rFonts w:cs="FrankRuehl"/>
                <w:sz w:val="28"/>
                <w:szCs w:val="28"/>
                <w:rtl/>
              </w:rPr>
              <w:t>מדינת ישראל נ' אבו עמרה</w:t>
            </w:r>
          </w:p>
          <w:p w14:paraId="2E6E2D91" w14:textId="77777777" w:rsidR="00F50248" w:rsidRPr="006478FC" w:rsidRDefault="00F50248" w:rsidP="004238BD">
            <w:pPr>
              <w:pStyle w:val="a3"/>
              <w:rPr>
                <w:rFonts w:cs="FrankRuehl"/>
                <w:sz w:val="28"/>
                <w:szCs w:val="28"/>
                <w:rtl/>
              </w:rPr>
            </w:pPr>
          </w:p>
        </w:tc>
        <w:tc>
          <w:tcPr>
            <w:tcW w:w="3667" w:type="dxa"/>
          </w:tcPr>
          <w:p w14:paraId="53D6D9BC" w14:textId="77777777" w:rsidR="00F50248" w:rsidRPr="006478FC" w:rsidRDefault="00F50248" w:rsidP="004238BD">
            <w:pPr>
              <w:pStyle w:val="a3"/>
              <w:jc w:val="right"/>
              <w:rPr>
                <w:rFonts w:cs="FrankRuehl"/>
                <w:sz w:val="28"/>
                <w:szCs w:val="28"/>
                <w:rtl/>
              </w:rPr>
            </w:pPr>
          </w:p>
        </w:tc>
      </w:tr>
    </w:tbl>
    <w:p w14:paraId="67CE4A61" w14:textId="77777777" w:rsidR="00F50248" w:rsidRPr="006478FC" w:rsidRDefault="00F50248" w:rsidP="007C60D0">
      <w:pPr>
        <w:pStyle w:val="a3"/>
        <w:rPr>
          <w:rtl/>
        </w:rPr>
      </w:pPr>
      <w:r w:rsidRPr="006478F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50248" w:rsidRPr="006478FC" w14:paraId="1253E8E8" w14:textId="77777777" w:rsidTr="00F50248">
        <w:trPr>
          <w:trHeight w:val="295"/>
          <w:jc w:val="center"/>
        </w:trPr>
        <w:tc>
          <w:tcPr>
            <w:tcW w:w="923" w:type="dxa"/>
            <w:tcBorders>
              <w:top w:val="nil"/>
              <w:left w:val="nil"/>
              <w:bottom w:val="nil"/>
              <w:right w:val="nil"/>
            </w:tcBorders>
            <w:shd w:val="clear" w:color="auto" w:fill="auto"/>
          </w:tcPr>
          <w:p w14:paraId="700849B8" w14:textId="77777777" w:rsidR="00F50248" w:rsidRPr="006478FC" w:rsidRDefault="00F50248" w:rsidP="00F50248">
            <w:pPr>
              <w:jc w:val="both"/>
              <w:rPr>
                <w:rFonts w:ascii="David" w:hAnsi="David"/>
                <w:sz w:val="26"/>
                <w:szCs w:val="26"/>
              </w:rPr>
            </w:pPr>
            <w:r w:rsidRPr="006478F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90119EC" w14:textId="77777777" w:rsidR="00F50248" w:rsidRPr="006478FC" w:rsidRDefault="00F50248" w:rsidP="004238BD">
            <w:pPr>
              <w:rPr>
                <w:rFonts w:ascii="David" w:hAnsi="David"/>
                <w:b/>
                <w:bCs/>
                <w:sz w:val="26"/>
                <w:szCs w:val="26"/>
                <w:rtl/>
              </w:rPr>
            </w:pPr>
            <w:r w:rsidRPr="006478FC">
              <w:rPr>
                <w:rFonts w:ascii="David" w:hAnsi="David"/>
                <w:b/>
                <w:bCs/>
                <w:sz w:val="26"/>
                <w:szCs w:val="26"/>
                <w:rtl/>
              </w:rPr>
              <w:t>כבוד השופטת, סגנית הנשיא  ענת חולתא</w:t>
            </w:r>
          </w:p>
          <w:p w14:paraId="0A4C32CD" w14:textId="77777777" w:rsidR="00F50248" w:rsidRPr="006478FC" w:rsidRDefault="00F50248" w:rsidP="004238BD">
            <w:pPr>
              <w:rPr>
                <w:rFonts w:ascii="David" w:hAnsi="David"/>
                <w:sz w:val="26"/>
                <w:szCs w:val="26"/>
                <w:rtl/>
              </w:rPr>
            </w:pPr>
          </w:p>
          <w:p w14:paraId="2845A190" w14:textId="77777777" w:rsidR="00F50248" w:rsidRPr="006478FC" w:rsidRDefault="00F50248" w:rsidP="00F50248">
            <w:pPr>
              <w:jc w:val="both"/>
              <w:rPr>
                <w:rFonts w:ascii="David" w:hAnsi="David"/>
                <w:sz w:val="26"/>
                <w:szCs w:val="26"/>
              </w:rPr>
            </w:pPr>
          </w:p>
        </w:tc>
      </w:tr>
      <w:tr w:rsidR="00F50248" w:rsidRPr="006478FC" w14:paraId="5475FE33" w14:textId="77777777" w:rsidTr="00F50248">
        <w:trPr>
          <w:trHeight w:val="355"/>
          <w:jc w:val="center"/>
        </w:trPr>
        <w:tc>
          <w:tcPr>
            <w:tcW w:w="923" w:type="dxa"/>
            <w:tcBorders>
              <w:top w:val="nil"/>
              <w:left w:val="nil"/>
              <w:bottom w:val="nil"/>
              <w:right w:val="nil"/>
            </w:tcBorders>
            <w:shd w:val="clear" w:color="auto" w:fill="auto"/>
          </w:tcPr>
          <w:p w14:paraId="381ACCB8" w14:textId="77777777" w:rsidR="00F50248" w:rsidRPr="006478FC" w:rsidRDefault="00F50248" w:rsidP="00F50248">
            <w:pPr>
              <w:jc w:val="both"/>
              <w:rPr>
                <w:rFonts w:ascii="David" w:hAnsi="David"/>
                <w:sz w:val="26"/>
                <w:szCs w:val="26"/>
              </w:rPr>
            </w:pPr>
            <w:bookmarkStart w:id="1" w:name="FirstAppellant"/>
            <w:bookmarkStart w:id="2" w:name="LastJudge"/>
            <w:bookmarkEnd w:id="2"/>
            <w:r w:rsidRPr="006478FC">
              <w:rPr>
                <w:rFonts w:ascii="David" w:hAnsi="David"/>
                <w:sz w:val="26"/>
                <w:szCs w:val="26"/>
                <w:rtl/>
              </w:rPr>
              <w:t>בעניין:</w:t>
            </w:r>
          </w:p>
        </w:tc>
        <w:tc>
          <w:tcPr>
            <w:tcW w:w="3219" w:type="dxa"/>
            <w:tcBorders>
              <w:top w:val="nil"/>
              <w:left w:val="nil"/>
              <w:bottom w:val="nil"/>
              <w:right w:val="nil"/>
            </w:tcBorders>
            <w:shd w:val="clear" w:color="auto" w:fill="auto"/>
          </w:tcPr>
          <w:p w14:paraId="772C90C6" w14:textId="77777777" w:rsidR="00F50248" w:rsidRPr="006478FC" w:rsidRDefault="00F50248" w:rsidP="00F50248">
            <w:pPr>
              <w:suppressLineNumbers/>
            </w:pPr>
            <w:r w:rsidRPr="006478FC">
              <w:rPr>
                <w:rFonts w:ascii="Arial" w:hAnsi="Arial" w:hint="cs"/>
                <w:b/>
                <w:bCs/>
                <w:sz w:val="26"/>
                <w:szCs w:val="26"/>
                <w:rtl/>
              </w:rPr>
              <w:t>ה</w:t>
            </w:r>
            <w:r w:rsidRPr="006478FC">
              <w:rPr>
                <w:rFonts w:ascii="Arial" w:hAnsi="Arial"/>
                <w:b/>
                <w:bCs/>
                <w:sz w:val="26"/>
                <w:szCs w:val="26"/>
                <w:rtl/>
              </w:rPr>
              <w:t>מאשימה</w:t>
            </w:r>
          </w:p>
          <w:p w14:paraId="03BAE548" w14:textId="77777777" w:rsidR="00F50248" w:rsidRPr="006478FC" w:rsidRDefault="00F50248" w:rsidP="004238BD">
            <w:pPr>
              <w:rPr>
                <w:rFonts w:ascii="David" w:hAnsi="David"/>
                <w:sz w:val="26"/>
                <w:szCs w:val="26"/>
              </w:rPr>
            </w:pPr>
          </w:p>
        </w:tc>
        <w:tc>
          <w:tcPr>
            <w:tcW w:w="4678" w:type="dxa"/>
            <w:tcBorders>
              <w:top w:val="nil"/>
              <w:left w:val="nil"/>
              <w:bottom w:val="nil"/>
              <w:right w:val="nil"/>
            </w:tcBorders>
            <w:shd w:val="clear" w:color="auto" w:fill="auto"/>
            <w:vAlign w:val="center"/>
          </w:tcPr>
          <w:p w14:paraId="33FABD9E" w14:textId="77777777" w:rsidR="00F50248" w:rsidRPr="006478FC" w:rsidRDefault="00F50248" w:rsidP="00F50248">
            <w:pPr>
              <w:suppressLineNumbers/>
            </w:pPr>
            <w:r w:rsidRPr="006478FC">
              <w:rPr>
                <w:rFonts w:ascii="Arial" w:hAnsi="Arial"/>
                <w:b/>
                <w:bCs/>
                <w:sz w:val="26"/>
                <w:szCs w:val="26"/>
                <w:rtl/>
              </w:rPr>
              <w:t>מדינת ישראל</w:t>
            </w:r>
            <w:r w:rsidRPr="006478FC">
              <w:rPr>
                <w:rFonts w:ascii="Arial" w:hAnsi="Arial" w:hint="cs"/>
                <w:b/>
                <w:bCs/>
                <w:sz w:val="26"/>
                <w:szCs w:val="26"/>
                <w:rtl/>
              </w:rPr>
              <w:t xml:space="preserve"> </w:t>
            </w:r>
            <w:r w:rsidRPr="006478FC">
              <w:rPr>
                <w:rFonts w:ascii="Arial" w:hAnsi="Arial"/>
                <w:b/>
                <w:bCs/>
                <w:sz w:val="26"/>
                <w:szCs w:val="26"/>
                <w:rtl/>
              </w:rPr>
              <w:t xml:space="preserve">ע"י </w:t>
            </w:r>
            <w:r w:rsidRPr="006478FC">
              <w:rPr>
                <w:rFonts w:ascii="Arial" w:hAnsi="Arial" w:hint="cs"/>
                <w:b/>
                <w:bCs/>
                <w:sz w:val="26"/>
                <w:szCs w:val="26"/>
                <w:rtl/>
              </w:rPr>
              <w:t>המתמחה עינב אבירם</w:t>
            </w:r>
          </w:p>
          <w:p w14:paraId="354934A9" w14:textId="77777777" w:rsidR="00F50248" w:rsidRPr="006478FC" w:rsidRDefault="00F50248" w:rsidP="004238BD">
            <w:pPr>
              <w:rPr>
                <w:rFonts w:ascii="David" w:hAnsi="David"/>
                <w:sz w:val="26"/>
                <w:szCs w:val="26"/>
              </w:rPr>
            </w:pPr>
          </w:p>
        </w:tc>
      </w:tr>
      <w:bookmarkEnd w:id="1"/>
      <w:tr w:rsidR="00F50248" w:rsidRPr="006478FC" w14:paraId="60A95721" w14:textId="77777777" w:rsidTr="00F50248">
        <w:trPr>
          <w:trHeight w:val="355"/>
          <w:jc w:val="center"/>
        </w:trPr>
        <w:tc>
          <w:tcPr>
            <w:tcW w:w="923" w:type="dxa"/>
            <w:tcBorders>
              <w:top w:val="nil"/>
              <w:left w:val="nil"/>
              <w:bottom w:val="nil"/>
              <w:right w:val="nil"/>
            </w:tcBorders>
            <w:shd w:val="clear" w:color="auto" w:fill="auto"/>
          </w:tcPr>
          <w:p w14:paraId="4DA5DD51" w14:textId="77777777" w:rsidR="00F50248" w:rsidRPr="006478FC" w:rsidRDefault="00F50248" w:rsidP="00F5024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F2850C1" w14:textId="77777777" w:rsidR="00F50248" w:rsidRPr="006478FC" w:rsidRDefault="00F50248" w:rsidP="00F50248">
            <w:pPr>
              <w:jc w:val="center"/>
              <w:rPr>
                <w:rFonts w:ascii="David" w:hAnsi="David"/>
                <w:b/>
                <w:bCs/>
                <w:sz w:val="26"/>
                <w:szCs w:val="26"/>
                <w:rtl/>
              </w:rPr>
            </w:pPr>
          </w:p>
          <w:p w14:paraId="78AEDE44" w14:textId="77777777" w:rsidR="00F50248" w:rsidRPr="006478FC" w:rsidRDefault="00F50248" w:rsidP="00F50248">
            <w:pPr>
              <w:jc w:val="center"/>
              <w:rPr>
                <w:rFonts w:ascii="David" w:hAnsi="David"/>
                <w:b/>
                <w:bCs/>
                <w:sz w:val="26"/>
                <w:szCs w:val="26"/>
                <w:rtl/>
              </w:rPr>
            </w:pPr>
            <w:r w:rsidRPr="006478FC">
              <w:rPr>
                <w:rFonts w:ascii="David" w:hAnsi="David"/>
                <w:b/>
                <w:bCs/>
                <w:sz w:val="26"/>
                <w:szCs w:val="26"/>
                <w:rtl/>
              </w:rPr>
              <w:t>נגד</w:t>
            </w:r>
          </w:p>
          <w:p w14:paraId="6791D51B" w14:textId="77777777" w:rsidR="00F50248" w:rsidRPr="006478FC" w:rsidRDefault="00F50248" w:rsidP="00F50248">
            <w:pPr>
              <w:jc w:val="both"/>
              <w:rPr>
                <w:rFonts w:ascii="David" w:hAnsi="David"/>
                <w:sz w:val="26"/>
                <w:szCs w:val="26"/>
              </w:rPr>
            </w:pPr>
          </w:p>
        </w:tc>
      </w:tr>
      <w:tr w:rsidR="00F50248" w:rsidRPr="006478FC" w14:paraId="0CA9C41B" w14:textId="77777777" w:rsidTr="00F50248">
        <w:trPr>
          <w:trHeight w:val="355"/>
          <w:jc w:val="center"/>
        </w:trPr>
        <w:tc>
          <w:tcPr>
            <w:tcW w:w="923" w:type="dxa"/>
            <w:tcBorders>
              <w:top w:val="nil"/>
              <w:left w:val="nil"/>
              <w:bottom w:val="nil"/>
              <w:right w:val="nil"/>
            </w:tcBorders>
            <w:shd w:val="clear" w:color="auto" w:fill="auto"/>
          </w:tcPr>
          <w:p w14:paraId="5B808386" w14:textId="77777777" w:rsidR="00F50248" w:rsidRPr="006478FC" w:rsidRDefault="00F50248" w:rsidP="004238BD">
            <w:pPr>
              <w:rPr>
                <w:rFonts w:ascii="David" w:hAnsi="David"/>
                <w:sz w:val="26"/>
                <w:szCs w:val="26"/>
                <w:rtl/>
              </w:rPr>
            </w:pPr>
          </w:p>
        </w:tc>
        <w:tc>
          <w:tcPr>
            <w:tcW w:w="3219" w:type="dxa"/>
            <w:tcBorders>
              <w:top w:val="nil"/>
              <w:left w:val="nil"/>
              <w:bottom w:val="nil"/>
              <w:right w:val="nil"/>
            </w:tcBorders>
            <w:shd w:val="clear" w:color="auto" w:fill="auto"/>
          </w:tcPr>
          <w:p w14:paraId="6C429327" w14:textId="77777777" w:rsidR="00F50248" w:rsidRPr="006478FC" w:rsidRDefault="00F50248" w:rsidP="004238BD">
            <w:pPr>
              <w:rPr>
                <w:rFonts w:ascii="Arial" w:hAnsi="Arial"/>
                <w:b/>
                <w:bCs/>
                <w:sz w:val="26"/>
                <w:szCs w:val="26"/>
                <w:rtl/>
              </w:rPr>
            </w:pPr>
            <w:r w:rsidRPr="006478F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1143973" w14:textId="77777777" w:rsidR="00F50248" w:rsidRPr="006478FC" w:rsidRDefault="00F50248" w:rsidP="00F50248">
            <w:pPr>
              <w:suppressLineNumbers/>
            </w:pPr>
            <w:r w:rsidRPr="006478FC">
              <w:rPr>
                <w:rFonts w:ascii="Arial" w:hAnsi="Arial"/>
                <w:b/>
                <w:bCs/>
                <w:sz w:val="26"/>
                <w:szCs w:val="26"/>
                <w:rtl/>
              </w:rPr>
              <w:t>ריזיק אבו עמרה</w:t>
            </w:r>
            <w:r w:rsidRPr="006478FC">
              <w:rPr>
                <w:rFonts w:ascii="Arial" w:hAnsi="Arial" w:hint="cs"/>
                <w:b/>
                <w:bCs/>
                <w:sz w:val="26"/>
                <w:szCs w:val="26"/>
                <w:rtl/>
              </w:rPr>
              <w:t xml:space="preserve"> </w:t>
            </w:r>
            <w:r w:rsidRPr="006478FC">
              <w:rPr>
                <w:rFonts w:ascii="Arial" w:hAnsi="Arial"/>
                <w:b/>
                <w:bCs/>
                <w:sz w:val="26"/>
                <w:szCs w:val="26"/>
                <w:rtl/>
              </w:rPr>
              <w:t>ע"י ב"כ עוה"</w:t>
            </w:r>
            <w:r w:rsidRPr="006478FC">
              <w:rPr>
                <w:rFonts w:ascii="Arial" w:hAnsi="Arial" w:hint="cs"/>
                <w:b/>
                <w:bCs/>
                <w:sz w:val="26"/>
                <w:szCs w:val="26"/>
                <w:rtl/>
              </w:rPr>
              <w:t>ד ויקטור אוזן</w:t>
            </w:r>
          </w:p>
          <w:p w14:paraId="0FECDB67" w14:textId="77777777" w:rsidR="00F50248" w:rsidRPr="006478FC" w:rsidRDefault="00F50248" w:rsidP="004238BD">
            <w:pPr>
              <w:rPr>
                <w:rFonts w:ascii="David" w:hAnsi="David"/>
                <w:sz w:val="26"/>
                <w:szCs w:val="26"/>
              </w:rPr>
            </w:pPr>
          </w:p>
        </w:tc>
      </w:tr>
    </w:tbl>
    <w:p w14:paraId="67D4F06F" w14:textId="77777777" w:rsidR="007C60D0" w:rsidRDefault="007C60D0" w:rsidP="006478FC">
      <w:pPr>
        <w:rPr>
          <w:sz w:val="26"/>
          <w:szCs w:val="26"/>
          <w:rtl/>
        </w:rPr>
      </w:pPr>
    </w:p>
    <w:p w14:paraId="6F18CE1A" w14:textId="77777777" w:rsidR="007C60D0" w:rsidRPr="007C60D0" w:rsidRDefault="007C60D0" w:rsidP="007C60D0">
      <w:pPr>
        <w:spacing w:after="120" w:line="240" w:lineRule="exact"/>
        <w:ind w:left="283" w:hanging="283"/>
        <w:jc w:val="both"/>
        <w:rPr>
          <w:rFonts w:ascii="FrankRuehl" w:hAnsi="FrankRuehl" w:cs="FrankRuehl"/>
          <w:rtl/>
        </w:rPr>
      </w:pPr>
    </w:p>
    <w:p w14:paraId="25A7BE59" w14:textId="77777777" w:rsidR="008432FE" w:rsidRPr="008432FE" w:rsidRDefault="008432FE" w:rsidP="008432FE">
      <w:pPr>
        <w:spacing w:before="120" w:after="120" w:line="240" w:lineRule="exact"/>
        <w:ind w:left="283" w:hanging="283"/>
        <w:jc w:val="both"/>
        <w:rPr>
          <w:rFonts w:ascii="FrankRuehl" w:hAnsi="FrankRuehl" w:cs="FrankRuehl"/>
          <w:rtl/>
        </w:rPr>
      </w:pPr>
    </w:p>
    <w:p w14:paraId="2F3E1C66" w14:textId="77777777" w:rsidR="0006601D" w:rsidRDefault="0006601D" w:rsidP="0006601D">
      <w:pPr>
        <w:rPr>
          <w:sz w:val="26"/>
          <w:szCs w:val="26"/>
          <w:rtl/>
        </w:rPr>
      </w:pPr>
      <w:bookmarkStart w:id="3" w:name="LawTable"/>
      <w:bookmarkEnd w:id="3"/>
    </w:p>
    <w:p w14:paraId="7CD43424" w14:textId="77777777" w:rsidR="0006601D" w:rsidRPr="0006601D" w:rsidRDefault="0006601D" w:rsidP="0006601D">
      <w:pPr>
        <w:spacing w:before="120" w:after="120" w:line="240" w:lineRule="exact"/>
        <w:ind w:left="283" w:hanging="283"/>
        <w:jc w:val="both"/>
        <w:rPr>
          <w:rFonts w:ascii="FrankRuehl" w:hAnsi="FrankRuehl" w:cs="FrankRuehl"/>
          <w:rtl/>
        </w:rPr>
      </w:pPr>
    </w:p>
    <w:p w14:paraId="73E14708" w14:textId="77777777" w:rsidR="0006601D" w:rsidRPr="0006601D" w:rsidRDefault="0006601D" w:rsidP="0006601D">
      <w:pPr>
        <w:spacing w:before="120" w:after="120" w:line="240" w:lineRule="exact"/>
        <w:ind w:left="283" w:hanging="283"/>
        <w:jc w:val="both"/>
        <w:rPr>
          <w:rFonts w:ascii="FrankRuehl" w:hAnsi="FrankRuehl" w:cs="FrankRuehl"/>
          <w:rtl/>
        </w:rPr>
      </w:pPr>
    </w:p>
    <w:p w14:paraId="246EE4C9" w14:textId="77777777" w:rsidR="0006601D" w:rsidRPr="0006601D" w:rsidRDefault="0006601D" w:rsidP="0006601D">
      <w:pPr>
        <w:spacing w:before="120" w:after="120" w:line="240" w:lineRule="exact"/>
        <w:ind w:left="283" w:hanging="283"/>
        <w:jc w:val="both"/>
        <w:rPr>
          <w:rFonts w:ascii="FrankRuehl" w:hAnsi="FrankRuehl" w:cs="FrankRuehl"/>
          <w:rtl/>
        </w:rPr>
      </w:pPr>
      <w:r w:rsidRPr="0006601D">
        <w:rPr>
          <w:rFonts w:ascii="FrankRuehl" w:hAnsi="FrankRuehl" w:cs="FrankRuehl"/>
          <w:rtl/>
        </w:rPr>
        <w:t xml:space="preserve">חקיקה שאוזכרה: </w:t>
      </w:r>
    </w:p>
    <w:p w14:paraId="4D4BB5A1" w14:textId="77777777" w:rsidR="0006601D" w:rsidRPr="0006601D" w:rsidRDefault="0006601D" w:rsidP="0006601D">
      <w:pPr>
        <w:spacing w:before="120" w:after="120" w:line="240" w:lineRule="exact"/>
        <w:ind w:left="283" w:hanging="283"/>
        <w:jc w:val="both"/>
        <w:rPr>
          <w:rFonts w:ascii="FrankRuehl" w:hAnsi="FrankRuehl" w:cs="FrankRuehl"/>
          <w:rtl/>
        </w:rPr>
      </w:pPr>
      <w:hyperlink r:id="rId7" w:history="1">
        <w:r w:rsidRPr="0006601D">
          <w:rPr>
            <w:rFonts w:ascii="FrankRuehl" w:hAnsi="FrankRuehl" w:cs="FrankRuehl"/>
            <w:color w:val="0000FF"/>
            <w:rtl/>
          </w:rPr>
          <w:t>חוק העונשין, תשל"ז-1977</w:t>
        </w:r>
      </w:hyperlink>
      <w:r w:rsidRPr="0006601D">
        <w:rPr>
          <w:rFonts w:ascii="FrankRuehl" w:hAnsi="FrankRuehl" w:cs="FrankRuehl"/>
          <w:rtl/>
        </w:rPr>
        <w:t xml:space="preserve">: סע'  </w:t>
      </w:r>
      <w:hyperlink r:id="rId8" w:history="1">
        <w:r w:rsidRPr="0006601D">
          <w:rPr>
            <w:rFonts w:ascii="FrankRuehl" w:hAnsi="FrankRuehl" w:cs="FrankRuehl"/>
            <w:color w:val="0000FF"/>
            <w:rtl/>
          </w:rPr>
          <w:t>144(א)</w:t>
        </w:r>
      </w:hyperlink>
    </w:p>
    <w:p w14:paraId="6C83CDAF" w14:textId="77777777" w:rsidR="0006601D" w:rsidRPr="0006601D" w:rsidRDefault="0006601D" w:rsidP="0006601D">
      <w:pPr>
        <w:rPr>
          <w:sz w:val="26"/>
          <w:szCs w:val="26"/>
          <w:rtl/>
        </w:rPr>
      </w:pPr>
      <w:bookmarkStart w:id="4" w:name="LawTable_End"/>
      <w:bookmarkEnd w:id="4"/>
    </w:p>
    <w:p w14:paraId="17769781" w14:textId="77777777" w:rsidR="00F50248" w:rsidRPr="008432FE" w:rsidRDefault="00F50248" w:rsidP="008432F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0248" w14:paraId="72F39191" w14:textId="77777777" w:rsidTr="00F50248">
        <w:trPr>
          <w:trHeight w:val="355"/>
          <w:jc w:val="center"/>
        </w:trPr>
        <w:tc>
          <w:tcPr>
            <w:tcW w:w="8820" w:type="dxa"/>
            <w:tcBorders>
              <w:top w:val="nil"/>
              <w:left w:val="nil"/>
              <w:bottom w:val="nil"/>
              <w:right w:val="nil"/>
            </w:tcBorders>
            <w:shd w:val="clear" w:color="auto" w:fill="auto"/>
          </w:tcPr>
          <w:p w14:paraId="3B9EFD1D" w14:textId="77777777" w:rsidR="006478FC" w:rsidRPr="006478FC" w:rsidRDefault="006478FC" w:rsidP="006478FC">
            <w:pPr>
              <w:jc w:val="center"/>
              <w:rPr>
                <w:rFonts w:ascii="David" w:hAnsi="David"/>
                <w:b/>
                <w:bCs/>
                <w:sz w:val="32"/>
                <w:szCs w:val="32"/>
                <w:u w:val="single"/>
                <w:rtl/>
              </w:rPr>
            </w:pPr>
            <w:bookmarkStart w:id="5" w:name="PsakDin" w:colFirst="0" w:colLast="0"/>
            <w:bookmarkEnd w:id="0"/>
            <w:r w:rsidRPr="006478FC">
              <w:rPr>
                <w:rFonts w:ascii="David" w:hAnsi="David"/>
                <w:b/>
                <w:bCs/>
                <w:sz w:val="32"/>
                <w:szCs w:val="32"/>
                <w:u w:val="single"/>
                <w:rtl/>
              </w:rPr>
              <w:t>גזר דין</w:t>
            </w:r>
          </w:p>
          <w:p w14:paraId="5D6125CA" w14:textId="77777777" w:rsidR="00F50248" w:rsidRPr="006478FC" w:rsidRDefault="00F50248" w:rsidP="006478FC">
            <w:pPr>
              <w:jc w:val="center"/>
              <w:rPr>
                <w:rFonts w:ascii="David" w:hAnsi="David"/>
                <w:bCs/>
                <w:sz w:val="32"/>
                <w:szCs w:val="32"/>
                <w:u w:val="single"/>
                <w:rtl/>
              </w:rPr>
            </w:pPr>
          </w:p>
        </w:tc>
      </w:tr>
      <w:bookmarkEnd w:id="5"/>
    </w:tbl>
    <w:p w14:paraId="05246A0E" w14:textId="77777777" w:rsidR="00F50248" w:rsidRPr="000F2247" w:rsidRDefault="00F50248" w:rsidP="00F50248">
      <w:pPr>
        <w:rPr>
          <w:rFonts w:ascii="Arial" w:hAnsi="Arial"/>
          <w:b/>
          <w:bCs/>
          <w:sz w:val="26"/>
          <w:szCs w:val="26"/>
          <w:rtl/>
        </w:rPr>
      </w:pPr>
    </w:p>
    <w:p w14:paraId="610550A8" w14:textId="77777777" w:rsidR="00F50248" w:rsidRDefault="00F50248" w:rsidP="00F50248">
      <w:pPr>
        <w:rPr>
          <w:rFonts w:ascii="David" w:hAnsi="David"/>
          <w:b/>
          <w:bCs/>
          <w:u w:val="single"/>
          <w:rtl/>
        </w:rPr>
      </w:pPr>
    </w:p>
    <w:p w14:paraId="23F4385E" w14:textId="77777777" w:rsidR="00F50248" w:rsidRDefault="00F50248" w:rsidP="00F50248">
      <w:pPr>
        <w:rPr>
          <w:rFonts w:ascii="David" w:hAnsi="David"/>
          <w:b/>
          <w:bCs/>
          <w:u w:val="single"/>
          <w:rtl/>
        </w:rPr>
      </w:pPr>
      <w:r>
        <w:rPr>
          <w:rFonts w:ascii="David" w:hAnsi="David"/>
          <w:b/>
          <w:bCs/>
          <w:u w:val="single"/>
          <w:rtl/>
        </w:rPr>
        <w:t>רקע</w:t>
      </w:r>
    </w:p>
    <w:p w14:paraId="6B2320DF" w14:textId="77777777" w:rsidR="00F50248" w:rsidRDefault="00F50248" w:rsidP="00F50248">
      <w:pPr>
        <w:rPr>
          <w:rFonts w:ascii="David" w:hAnsi="David"/>
          <w:b/>
          <w:bCs/>
          <w:u w:val="single"/>
          <w:rtl/>
        </w:rPr>
      </w:pPr>
    </w:p>
    <w:p w14:paraId="3DB10A17" w14:textId="77777777" w:rsidR="00F50248" w:rsidRDefault="00F50248" w:rsidP="00F50248">
      <w:pPr>
        <w:pStyle w:val="aa"/>
        <w:numPr>
          <w:ilvl w:val="0"/>
          <w:numId w:val="1"/>
        </w:numPr>
        <w:spacing w:after="0"/>
        <w:rPr>
          <w:rFonts w:ascii="David" w:hAnsi="David" w:cs="David"/>
          <w:sz w:val="24"/>
          <w:rtl/>
        </w:rPr>
      </w:pPr>
      <w:bookmarkStart w:id="6" w:name="ABSTRACT_START"/>
      <w:bookmarkEnd w:id="6"/>
      <w:r>
        <w:rPr>
          <w:rFonts w:ascii="David" w:hAnsi="David" w:cs="David"/>
          <w:sz w:val="24"/>
          <w:rtl/>
        </w:rPr>
        <w:t xml:space="preserve">ביום 04/01/2022 הורשע הנאשם, בהתאם להודאתו בעובדות כתב האישום המתוקן בשנית (המסומן </w:t>
      </w:r>
      <w:r>
        <w:rPr>
          <w:rFonts w:ascii="David" w:hAnsi="David" w:cs="David"/>
          <w:b/>
          <w:bCs/>
          <w:sz w:val="24"/>
          <w:rtl/>
        </w:rPr>
        <w:t>כא/1</w:t>
      </w:r>
      <w:r>
        <w:rPr>
          <w:rFonts w:ascii="David" w:hAnsi="David" w:cs="David"/>
          <w:sz w:val="24"/>
          <w:rtl/>
        </w:rPr>
        <w:t xml:space="preserve">), במסגרת הסדר טיעון (מסומן </w:t>
      </w:r>
      <w:r>
        <w:rPr>
          <w:rFonts w:ascii="David" w:hAnsi="David" w:cs="David"/>
          <w:b/>
          <w:bCs/>
          <w:sz w:val="24"/>
          <w:rtl/>
        </w:rPr>
        <w:t>ת/1</w:t>
      </w:r>
      <w:r>
        <w:rPr>
          <w:rFonts w:ascii="David" w:hAnsi="David" w:cs="David"/>
          <w:sz w:val="24"/>
          <w:rtl/>
        </w:rPr>
        <w:t xml:space="preserve">), </w:t>
      </w:r>
      <w:r>
        <w:rPr>
          <w:rFonts w:ascii="David" w:hAnsi="David" w:cs="David"/>
          <w:b/>
          <w:bCs/>
          <w:sz w:val="24"/>
          <w:rtl/>
        </w:rPr>
        <w:t>בעבירת נשק (החזקה),</w:t>
      </w:r>
      <w:r>
        <w:rPr>
          <w:rFonts w:ascii="David" w:hAnsi="David" w:cs="David"/>
          <w:sz w:val="24"/>
          <w:rtl/>
        </w:rPr>
        <w:t xml:space="preserve"> לפי </w:t>
      </w:r>
      <w:hyperlink r:id="rId9" w:history="1">
        <w:r w:rsidR="007C60D0" w:rsidRPr="007C60D0">
          <w:rPr>
            <w:rStyle w:val="Hyperlink"/>
            <w:rFonts w:ascii="David" w:hAnsi="David" w:cs="David"/>
            <w:sz w:val="24"/>
            <w:rtl/>
          </w:rPr>
          <w:t>סעיף 144(א)</w:t>
        </w:r>
      </w:hyperlink>
      <w:r>
        <w:rPr>
          <w:rFonts w:ascii="David" w:hAnsi="David" w:cs="David"/>
          <w:sz w:val="24"/>
          <w:rtl/>
        </w:rPr>
        <w:t xml:space="preserve"> רישא ל</w:t>
      </w:r>
      <w:hyperlink r:id="rId10" w:history="1">
        <w:r w:rsidR="006478FC" w:rsidRPr="006478FC">
          <w:rPr>
            <w:rFonts w:ascii="David" w:hAnsi="David" w:cs="David"/>
            <w:color w:val="0000FF"/>
            <w:sz w:val="24"/>
            <w:u w:val="single"/>
            <w:rtl/>
          </w:rPr>
          <w:t>חוק העונשין</w:t>
        </w:r>
      </w:hyperlink>
      <w:r>
        <w:rPr>
          <w:rFonts w:ascii="David" w:hAnsi="David" w:cs="David"/>
          <w:sz w:val="24"/>
          <w:rtl/>
        </w:rPr>
        <w:t>, התשל"ז-1977. יצוין, כי הנאשם (הכרעת הדין ניתנה במסגרת תיק ג"פ 19951-11-21).</w:t>
      </w:r>
    </w:p>
    <w:p w14:paraId="4BDCF098" w14:textId="77777777" w:rsidR="00F50248" w:rsidRDefault="00F50248" w:rsidP="00F50248">
      <w:pPr>
        <w:pStyle w:val="aa"/>
        <w:spacing w:after="0"/>
        <w:ind w:left="360"/>
        <w:rPr>
          <w:rFonts w:ascii="David" w:hAnsi="David" w:cs="David"/>
          <w:sz w:val="24"/>
        </w:rPr>
      </w:pPr>
      <w:bookmarkStart w:id="7" w:name="ABSTRACT_END"/>
      <w:bookmarkEnd w:id="7"/>
    </w:p>
    <w:p w14:paraId="7606C1B2" w14:textId="77777777" w:rsidR="00F50248" w:rsidRDefault="00F50248" w:rsidP="00F50248">
      <w:pPr>
        <w:pStyle w:val="aa"/>
        <w:numPr>
          <w:ilvl w:val="0"/>
          <w:numId w:val="1"/>
        </w:numPr>
        <w:spacing w:after="0"/>
        <w:rPr>
          <w:rFonts w:ascii="David" w:hAnsi="David" w:cs="David"/>
          <w:sz w:val="24"/>
        </w:rPr>
      </w:pPr>
      <w:r>
        <w:rPr>
          <w:rFonts w:ascii="David" w:hAnsi="David" w:cs="David"/>
          <w:sz w:val="24"/>
          <w:rtl/>
        </w:rPr>
        <w:t xml:space="preserve">על פי עובדות כתב האישום המתוקן בשנית, ביום 11.10.20 בשעה 7:30, הנאשם החזיק ברשותו חפץ דמוי רובה סער </w:t>
      </w:r>
      <w:r>
        <w:rPr>
          <w:rFonts w:ascii="David" w:hAnsi="David" w:cs="David"/>
          <w:sz w:val="24"/>
        </w:rPr>
        <w:t>M-16</w:t>
      </w:r>
      <w:r>
        <w:rPr>
          <w:rFonts w:ascii="David" w:hAnsi="David" w:cs="David"/>
          <w:sz w:val="24"/>
          <w:rtl/>
        </w:rPr>
        <w:t xml:space="preserve"> שהוסב לירי תחמושת בקליבר 5.56*45 ומכיל חלקים של כלי נשק תיקניים והוא יורה כשבכוחו להמית אדם.</w:t>
      </w:r>
    </w:p>
    <w:p w14:paraId="7C41B8A1" w14:textId="77777777" w:rsidR="00F50248" w:rsidRDefault="00F50248" w:rsidP="00F50248">
      <w:pPr>
        <w:pStyle w:val="aa"/>
        <w:spacing w:after="0"/>
        <w:ind w:left="360"/>
        <w:rPr>
          <w:rFonts w:ascii="David" w:hAnsi="David" w:cs="David"/>
          <w:sz w:val="24"/>
          <w:rtl/>
        </w:rPr>
      </w:pPr>
      <w:r>
        <w:rPr>
          <w:rFonts w:ascii="David" w:hAnsi="David" w:cs="David"/>
          <w:sz w:val="24"/>
          <w:rtl/>
        </w:rPr>
        <w:t xml:space="preserve">הנאשם החזיק בנשק באותו מועד, כשהוא עטוף בניילון נצמד, בתוך מחסן נעול בחצר בית הוריו בתל שבע. הנשק נתפס על ידי משטרת ישראל במהלך חיפוש שנערך במקום. </w:t>
      </w:r>
    </w:p>
    <w:p w14:paraId="0054F925" w14:textId="77777777" w:rsidR="00F50248" w:rsidRDefault="00F50248" w:rsidP="00F50248">
      <w:pPr>
        <w:pStyle w:val="aa"/>
        <w:spacing w:after="0"/>
        <w:ind w:left="360"/>
        <w:rPr>
          <w:rFonts w:ascii="David" w:hAnsi="David" w:cs="David"/>
          <w:sz w:val="24"/>
          <w:rtl/>
        </w:rPr>
      </w:pPr>
    </w:p>
    <w:p w14:paraId="56E6AF45" w14:textId="77777777" w:rsidR="00F50248" w:rsidRDefault="00F50248" w:rsidP="00F50248">
      <w:pPr>
        <w:pStyle w:val="aa"/>
        <w:numPr>
          <w:ilvl w:val="0"/>
          <w:numId w:val="1"/>
        </w:numPr>
        <w:spacing w:after="0"/>
        <w:rPr>
          <w:rFonts w:ascii="David" w:hAnsi="David" w:cs="David"/>
          <w:sz w:val="24"/>
          <w:rtl/>
        </w:rPr>
      </w:pPr>
      <w:r>
        <w:rPr>
          <w:rFonts w:ascii="David" w:hAnsi="David" w:cs="David"/>
          <w:sz w:val="24"/>
          <w:rtl/>
        </w:rPr>
        <w:lastRenderedPageBreak/>
        <w:t>בהתאם להסכמה הדיונית ומחמת גילו של הנאשם, יליד ספטמבר 2001, הנאשם הופנה לקבלת תסקיר שירות המבחן.</w:t>
      </w:r>
    </w:p>
    <w:p w14:paraId="6ADED80F" w14:textId="77777777" w:rsidR="00F50248" w:rsidRDefault="00F50248" w:rsidP="00F50248">
      <w:pPr>
        <w:pStyle w:val="aa"/>
        <w:spacing w:after="0"/>
        <w:ind w:left="360"/>
        <w:rPr>
          <w:rFonts w:ascii="David" w:hAnsi="David" w:cs="David"/>
          <w:sz w:val="24"/>
        </w:rPr>
      </w:pPr>
    </w:p>
    <w:p w14:paraId="0213B88E" w14:textId="77777777" w:rsidR="00F50248" w:rsidRDefault="00F50248" w:rsidP="00F50248">
      <w:pPr>
        <w:pStyle w:val="aa"/>
        <w:spacing w:after="0"/>
        <w:ind w:left="360"/>
        <w:rPr>
          <w:rFonts w:ascii="David" w:hAnsi="David" w:cs="David"/>
          <w:sz w:val="24"/>
          <w:rtl/>
        </w:rPr>
      </w:pPr>
      <w:r>
        <w:rPr>
          <w:rFonts w:ascii="David" w:hAnsi="David" w:cs="David"/>
          <w:sz w:val="24"/>
          <w:rtl/>
        </w:rPr>
        <w:t xml:space="preserve">בתסקיר מיום </w:t>
      </w:r>
      <w:r>
        <w:rPr>
          <w:rFonts w:ascii="David" w:hAnsi="David" w:cs="David"/>
          <w:b/>
          <w:bCs/>
          <w:sz w:val="24"/>
          <w:rtl/>
        </w:rPr>
        <w:t xml:space="preserve">28.06.2022 </w:t>
      </w:r>
      <w:r>
        <w:rPr>
          <w:rFonts w:ascii="David" w:hAnsi="David" w:cs="David"/>
          <w:sz w:val="24"/>
          <w:rtl/>
        </w:rPr>
        <w:t xml:space="preserve">פורטו קורותיו של הנאשם, בן 20, רווק ומתגורר בבית הוריו בתל שבע, עובד בחברה לתשתיות עפר מאז שונו התנאים המגבילים בהם שוהה ומזה כשלושה חודשים. מדיווח מעסיקו עולה, כי הנאשם עובד חרוץ ואחראי. כמו כן, הנאשם סטודנט שנה שנייה ללימודי מנהל מערכות בריאות במרכז האקדמי "פרס". הנאשם תיאר כי היה תלמיד חרוץ ומקובל וכי תפקודו במסגרת בית הספר היה תקין והישגיו היו גבוהים מאוד. הנאשם מסר, כי רואה משמעות רבה ללמידה והתפתחות אקדמית וכי לאחר שיסיים את התואר, הוא מעוניין  להמשיך את לימודיו בתחום הרוקחות. </w:t>
      </w:r>
    </w:p>
    <w:p w14:paraId="499BD1DD" w14:textId="77777777" w:rsidR="00F50248" w:rsidRDefault="00F50248" w:rsidP="00F50248">
      <w:pPr>
        <w:pStyle w:val="aa"/>
        <w:spacing w:after="0"/>
        <w:ind w:left="360"/>
        <w:rPr>
          <w:rFonts w:ascii="David" w:hAnsi="David" w:cs="David"/>
          <w:sz w:val="24"/>
          <w:rtl/>
        </w:rPr>
      </w:pPr>
      <w:r>
        <w:rPr>
          <w:rFonts w:ascii="David" w:hAnsi="David" w:cs="David"/>
          <w:sz w:val="24"/>
          <w:rtl/>
        </w:rPr>
        <w:t>הנאשם הוא הרביעי בסדר הלידה, מתוך שבעה ילדים להוריו. הנאשם מסר כי אביו, כבן 54 שנים, אינו עובד בשל בעיה רפואית. אביו נשוי לשתי נשים. הנאשם מתאר קשר טוב עם אביו ומערכת יחסים חיובית במשפחה. אמו, כבת 45 עובדת כמלווה בהסעות. הנאשם תיאר קשר קרוב ומשמעותי עמה וכי חינכה אותו ואת אחיו לנהל אורח חיים מתפקד ושומר חוק.  הנאשם ציין, כי שניים מאחיו חירשים וכי הוא מסייע להם בהתנהלות היומיומית.</w:t>
      </w:r>
    </w:p>
    <w:p w14:paraId="79CEE08D" w14:textId="77777777" w:rsidR="00F50248" w:rsidRDefault="00F50248" w:rsidP="00F50248">
      <w:pPr>
        <w:pStyle w:val="aa"/>
        <w:spacing w:after="0"/>
        <w:ind w:left="360"/>
        <w:rPr>
          <w:rFonts w:ascii="David" w:hAnsi="David" w:cs="David"/>
          <w:sz w:val="24"/>
          <w:rtl/>
        </w:rPr>
      </w:pPr>
      <w:r>
        <w:rPr>
          <w:rFonts w:ascii="David" w:hAnsi="David" w:cs="David"/>
          <w:sz w:val="24"/>
          <w:rtl/>
        </w:rPr>
        <w:t>הנאשם נעדר הרשעות קודמות.</w:t>
      </w:r>
    </w:p>
    <w:p w14:paraId="10898D31" w14:textId="77777777" w:rsidR="00F50248" w:rsidRDefault="00F50248" w:rsidP="00F50248">
      <w:pPr>
        <w:pStyle w:val="aa"/>
        <w:spacing w:after="0"/>
        <w:ind w:left="360"/>
        <w:rPr>
          <w:rFonts w:ascii="David" w:hAnsi="David" w:cs="David"/>
          <w:sz w:val="24"/>
          <w:rtl/>
        </w:rPr>
      </w:pPr>
      <w:r>
        <w:rPr>
          <w:rFonts w:ascii="David" w:hAnsi="David" w:cs="David"/>
          <w:sz w:val="24"/>
          <w:rtl/>
        </w:rPr>
        <w:t xml:space="preserve">הנאשם מודה בביצוע העבירה וציין שבן משפחה, אשר ידוע כמעורב בפלילים, יצר עמו קשר וביקש שישמור על הנשק עבורו. מסר, כי על רקע תחושת מחויבות לבן המשפחה הסכים לכך ובחר להסתיר את הנשק בחצר הוריו. לדבריו, לא היה מודע למשמעות החמורה של מעשיו ולהשלכות מבחינה פלילית. </w:t>
      </w:r>
    </w:p>
    <w:p w14:paraId="07FA4FF8" w14:textId="77777777" w:rsidR="00F50248" w:rsidRDefault="00F50248" w:rsidP="00F50248">
      <w:pPr>
        <w:pStyle w:val="aa"/>
        <w:spacing w:after="0"/>
        <w:ind w:left="360"/>
        <w:rPr>
          <w:rFonts w:ascii="David" w:hAnsi="David" w:cs="David"/>
          <w:sz w:val="24"/>
          <w:rtl/>
        </w:rPr>
      </w:pPr>
      <w:r>
        <w:rPr>
          <w:rFonts w:ascii="David" w:hAnsi="David" w:cs="David"/>
          <w:sz w:val="24"/>
          <w:rtl/>
        </w:rPr>
        <w:t xml:space="preserve">הנאשם ציין כי משפחתו הופתעה מאוד ממעורבותו בפלילים, דבר אשר אינו מאפיין את הלך הרוח במשפחה. </w:t>
      </w:r>
    </w:p>
    <w:p w14:paraId="28DA954B" w14:textId="77777777" w:rsidR="00F50248" w:rsidRDefault="00F50248" w:rsidP="00F50248">
      <w:pPr>
        <w:pStyle w:val="aa"/>
        <w:spacing w:after="0"/>
        <w:ind w:left="360"/>
        <w:rPr>
          <w:rFonts w:ascii="David" w:hAnsi="David" w:cs="David"/>
          <w:sz w:val="24"/>
          <w:rtl/>
        </w:rPr>
      </w:pPr>
      <w:r>
        <w:rPr>
          <w:rFonts w:ascii="David" w:hAnsi="David" w:cs="David"/>
          <w:sz w:val="24"/>
          <w:rtl/>
        </w:rPr>
        <w:t xml:space="preserve">הנאשם תיאר, כי בעקבות ההליך המשפטי, חש תחושות אשמה ובושה מול בני משפחתו וכמו כן שיתף בקשיים, שאותם חווה במעצר ובמעצר הבית ובחשש של ההשפעה של התיק הפלילי על עתידו הלימודי והתעסוקתי. </w:t>
      </w:r>
    </w:p>
    <w:p w14:paraId="649E1A90" w14:textId="77777777" w:rsidR="00F50248" w:rsidRDefault="00F50248" w:rsidP="00F50248">
      <w:pPr>
        <w:pStyle w:val="aa"/>
        <w:spacing w:after="0"/>
        <w:ind w:left="360"/>
        <w:rPr>
          <w:rFonts w:ascii="David" w:hAnsi="David" w:cs="David"/>
          <w:sz w:val="24"/>
          <w:rtl/>
        </w:rPr>
      </w:pPr>
      <w:r>
        <w:rPr>
          <w:rFonts w:ascii="David" w:hAnsi="David" w:cs="David"/>
          <w:sz w:val="24"/>
          <w:rtl/>
        </w:rPr>
        <w:t>כמו כן הנאשם תיאר מצב נפשי מורכב על רקע ההליך הפלילי.</w:t>
      </w:r>
    </w:p>
    <w:p w14:paraId="206DE89F" w14:textId="77777777" w:rsidR="00F50248" w:rsidRDefault="00F50248" w:rsidP="00F50248">
      <w:pPr>
        <w:pStyle w:val="aa"/>
        <w:spacing w:after="0"/>
        <w:ind w:left="360"/>
        <w:rPr>
          <w:rFonts w:ascii="David" w:hAnsi="David" w:cs="David"/>
          <w:sz w:val="24"/>
          <w:rtl/>
        </w:rPr>
      </w:pPr>
      <w:r>
        <w:rPr>
          <w:rFonts w:ascii="David" w:hAnsi="David" w:cs="David"/>
          <w:sz w:val="24"/>
          <w:rtl/>
        </w:rPr>
        <w:t>נמסר, כי במסגרת צו פיקוח מעצרים בתיק הנוכחי, הנאשם השתתף בקבוצה טיפולית בשירות המבחן בחודשים ינואר- ספטמבר 2021. נמסר, כי הנאשם הגיע לקבוצה באופן עקבי ונראה כי היה קשוב לחברי הקבוצה. בצד זאת, הנאשם מיעט לשתף מעולמו והיה שקט ומופנם. ההתרשמות היא, כי הנאשם התקשה לערוך בחינה ביקורתית ביחס להתנהגותו בעבירה הנוכחית ולבחון את מאפייניו תוך העמקת ההתבוננות בחלקים מכשילים בהתנהגותו.</w:t>
      </w:r>
    </w:p>
    <w:p w14:paraId="3381DB3A" w14:textId="77777777" w:rsidR="00F50248" w:rsidRDefault="00F50248" w:rsidP="00F50248">
      <w:pPr>
        <w:pStyle w:val="aa"/>
        <w:spacing w:after="0"/>
        <w:ind w:left="360"/>
        <w:rPr>
          <w:rFonts w:ascii="David" w:hAnsi="David" w:cs="David"/>
          <w:sz w:val="24"/>
          <w:rtl/>
        </w:rPr>
      </w:pPr>
    </w:p>
    <w:p w14:paraId="17C41425" w14:textId="77777777" w:rsidR="00F50248" w:rsidRDefault="00F50248" w:rsidP="00F50248">
      <w:pPr>
        <w:pStyle w:val="aa"/>
        <w:spacing w:after="0"/>
        <w:ind w:left="360"/>
        <w:rPr>
          <w:rFonts w:ascii="David" w:hAnsi="David" w:cs="David"/>
          <w:sz w:val="24"/>
          <w:rtl/>
        </w:rPr>
      </w:pPr>
      <w:r>
        <w:rPr>
          <w:rFonts w:ascii="David" w:hAnsi="David" w:cs="David"/>
          <w:sz w:val="24"/>
          <w:rtl/>
        </w:rPr>
        <w:t xml:space="preserve">בצד ההתרשמות מכוחות הנאשם מכישוריו מבחינה לימודית וחברתית, קיים פער בין האופן בו הנאשם תיאר את עצמו ותפקודו החיובי בדרך כלל ובין מעורבותו הנוכחית בפלילים. שירות </w:t>
      </w:r>
      <w:r>
        <w:rPr>
          <w:rFonts w:ascii="David" w:hAnsi="David" w:cs="David"/>
          <w:sz w:val="24"/>
          <w:rtl/>
        </w:rPr>
        <w:lastRenderedPageBreak/>
        <w:t>המבחן מעריך, כי ברקע קשרים עם חברה שולית ועבריינית ועמדות מקלות ביחס למעשיו. בנוסף, הנאשם מתקשה לבחון פער זה ועמדות אלה מול שירות המבחן באופן פתוח.</w:t>
      </w:r>
    </w:p>
    <w:p w14:paraId="58457B46" w14:textId="77777777" w:rsidR="00F50248" w:rsidRDefault="00F50248" w:rsidP="00F50248">
      <w:pPr>
        <w:pStyle w:val="aa"/>
        <w:spacing w:after="0"/>
        <w:ind w:left="360"/>
        <w:rPr>
          <w:rFonts w:ascii="David" w:hAnsi="David" w:cs="David"/>
          <w:sz w:val="24"/>
          <w:rtl/>
        </w:rPr>
      </w:pPr>
      <w:r>
        <w:rPr>
          <w:rFonts w:ascii="David" w:hAnsi="David" w:cs="David"/>
          <w:sz w:val="24"/>
          <w:rtl/>
        </w:rPr>
        <w:t>ההתרשמות היא, כי במצבים בהם קיים קונפליקט בין מחויבותו של הנאשם לדמויות סמכות ולנורמות תרבותיות, ובין שאיפותיו והערכים על פיהם מתאר את התנהלותו, הנאשם עלול להיכשל בהתנהגותו.</w:t>
      </w:r>
    </w:p>
    <w:p w14:paraId="7C97103B" w14:textId="77777777" w:rsidR="00F50248" w:rsidRDefault="00F50248" w:rsidP="00F50248">
      <w:pPr>
        <w:pStyle w:val="aa"/>
        <w:spacing w:after="0"/>
        <w:ind w:left="360"/>
        <w:rPr>
          <w:rFonts w:ascii="David" w:hAnsi="David" w:cs="David"/>
          <w:sz w:val="24"/>
          <w:rtl/>
        </w:rPr>
      </w:pPr>
      <w:r>
        <w:rPr>
          <w:rFonts w:ascii="David" w:hAnsi="David" w:cs="David"/>
          <w:sz w:val="24"/>
          <w:rtl/>
        </w:rPr>
        <w:t>נוכח מאפייני הנאשם, היעדר התייחסות לבעייתיות כלשהי בחייו, ההתרשמות מקושי לבחון מצבי סיכון או יכולת לבחון את התנהלותו באופן ביקורתי, שירות המבחן אינו סבור כי יש מקום לשלב את הנאשם במערך הטיפולי ונמנע מהמלצה טיפולית. שירות המבחן ממליץ על הטלת ענישה מוחשית ומרתיעה.</w:t>
      </w:r>
    </w:p>
    <w:p w14:paraId="4A56A58A" w14:textId="77777777" w:rsidR="00F50248" w:rsidRDefault="00F50248" w:rsidP="00F50248">
      <w:pPr>
        <w:spacing w:line="360" w:lineRule="auto"/>
        <w:ind w:left="360"/>
        <w:jc w:val="both"/>
        <w:rPr>
          <w:rFonts w:ascii="David" w:hAnsi="David"/>
          <w:rtl/>
        </w:rPr>
      </w:pPr>
      <w:r>
        <w:rPr>
          <w:rFonts w:ascii="David" w:hAnsi="David"/>
          <w:rtl/>
        </w:rPr>
        <w:t>לאור ההרתעה שיש להליך המשפטי, למחיר שבהליך ולבושה מול הוריו וכן לאור גילו הצעיר של הנאשם וגורמי הסיכוי בעיקר בתחום הלימודי, ממליץ שירות המבחן לבחון אפשרות לריצוי העונש בעבודות שירות.</w:t>
      </w:r>
    </w:p>
    <w:p w14:paraId="79196D94" w14:textId="77777777" w:rsidR="00F50248" w:rsidRDefault="00F50248" w:rsidP="00F50248">
      <w:pPr>
        <w:ind w:left="360"/>
        <w:rPr>
          <w:rFonts w:ascii="David" w:hAnsi="David"/>
          <w:b/>
          <w:bCs/>
          <w:rtl/>
        </w:rPr>
      </w:pPr>
    </w:p>
    <w:p w14:paraId="5F8DCDC9" w14:textId="77777777" w:rsidR="00F50248" w:rsidRDefault="00F50248" w:rsidP="00F50248">
      <w:pPr>
        <w:rPr>
          <w:rFonts w:ascii="David" w:hAnsi="David"/>
          <w:b/>
          <w:bCs/>
          <w:u w:val="single"/>
          <w:rtl/>
        </w:rPr>
      </w:pPr>
      <w:r>
        <w:rPr>
          <w:rFonts w:ascii="David" w:hAnsi="David"/>
          <w:b/>
          <w:bCs/>
          <w:u w:val="single"/>
          <w:rtl/>
        </w:rPr>
        <w:t>טענות הצדדים לעונש</w:t>
      </w:r>
    </w:p>
    <w:p w14:paraId="5E1C7E25" w14:textId="77777777" w:rsidR="00F50248" w:rsidRDefault="00F50248" w:rsidP="00F50248">
      <w:pPr>
        <w:rPr>
          <w:rFonts w:ascii="David" w:hAnsi="David"/>
          <w:b/>
          <w:bCs/>
          <w:u w:val="single"/>
          <w:rtl/>
        </w:rPr>
      </w:pPr>
    </w:p>
    <w:p w14:paraId="06204163" w14:textId="77777777" w:rsidR="00F50248" w:rsidRDefault="00F50248" w:rsidP="00F50248">
      <w:pPr>
        <w:pStyle w:val="aa"/>
        <w:numPr>
          <w:ilvl w:val="0"/>
          <w:numId w:val="1"/>
        </w:numPr>
        <w:spacing w:after="0"/>
        <w:rPr>
          <w:rFonts w:ascii="David" w:hAnsi="David" w:cs="David"/>
          <w:sz w:val="24"/>
          <w:rtl/>
        </w:rPr>
      </w:pPr>
      <w:r>
        <w:rPr>
          <w:rFonts w:ascii="David" w:hAnsi="David" w:cs="David"/>
          <w:b/>
          <w:bCs/>
          <w:sz w:val="24"/>
          <w:rtl/>
        </w:rPr>
        <w:t xml:space="preserve">המאשימה </w:t>
      </w:r>
      <w:r>
        <w:rPr>
          <w:rFonts w:ascii="David" w:hAnsi="David" w:cs="David"/>
          <w:sz w:val="24"/>
          <w:rtl/>
        </w:rPr>
        <w:t xml:space="preserve">הגישה טיעוניה בכתב (מסומן </w:t>
      </w:r>
      <w:r>
        <w:rPr>
          <w:rFonts w:ascii="David" w:hAnsi="David" w:cs="David"/>
          <w:b/>
          <w:bCs/>
          <w:sz w:val="24"/>
          <w:rtl/>
        </w:rPr>
        <w:t>במ/2</w:t>
      </w:r>
      <w:r>
        <w:rPr>
          <w:rFonts w:ascii="David" w:hAnsi="David" w:cs="David"/>
          <w:sz w:val="24"/>
          <w:rtl/>
        </w:rPr>
        <w:t xml:space="preserve">) וכן השלימה טיעונה בעל-פה במעמד הדיון. </w:t>
      </w:r>
    </w:p>
    <w:p w14:paraId="1E7934AE" w14:textId="77777777" w:rsidR="00F50248" w:rsidRDefault="00F50248" w:rsidP="00F50248">
      <w:pPr>
        <w:pStyle w:val="aa"/>
        <w:spacing w:after="0"/>
        <w:ind w:left="360"/>
        <w:rPr>
          <w:rFonts w:ascii="David" w:hAnsi="David" w:cs="David"/>
          <w:sz w:val="24"/>
        </w:rPr>
      </w:pPr>
      <w:r>
        <w:rPr>
          <w:rFonts w:ascii="David" w:hAnsi="David" w:cs="David"/>
          <w:sz w:val="24"/>
          <w:rtl/>
        </w:rPr>
        <w:t>המאשימה עמדה על הערכים המוגנים אשר נפגעו כתוצאה ממעשי הנאשם ובהם, שלום הציבור ובטחונו, שמירה על גופו וחייו של אדם, שמירת תחושת בטחון היחיד והרבים וכן השמירה על שלטון החוק והסדר הציבורי.  המאשימה טענה כי מידת הפגיעה בערכים המוגנים במקרה זה היא רבה. המאשימה הפנתה לתוצאות החמורות של שימוש בנשק המומחשות בתקופה זו ברחבי המדינה.</w:t>
      </w:r>
    </w:p>
    <w:p w14:paraId="2AE6B627" w14:textId="77777777" w:rsidR="00F50248" w:rsidRDefault="00F50248" w:rsidP="00F50248">
      <w:pPr>
        <w:pStyle w:val="aa"/>
        <w:spacing w:after="0"/>
        <w:ind w:left="360"/>
        <w:rPr>
          <w:rFonts w:ascii="David" w:hAnsi="David" w:cs="David"/>
          <w:sz w:val="24"/>
        </w:rPr>
      </w:pPr>
      <w:r>
        <w:rPr>
          <w:rFonts w:ascii="David" w:hAnsi="David" w:cs="David"/>
          <w:sz w:val="24"/>
          <w:rtl/>
        </w:rPr>
        <w:t>המאשימה הפנתה לאסמכתאות מן הפסיקה בנוגע לחומרה שיש בעבירות של החזקת נשק וכן הפנתה לאסמכתאות בנוגע לעמדתה העונשית. המאשימה עומדת על כך, כי יש להטיל עונש מאסר בפועל בגין עבירה זו גם על צעירים ללא הרשעות קודמות. כן הפנתה המאשימה להנחיית פרקליט המדינה המנחה את המאשימה בטיעון להחמרת הענישה בעבירות נשק.</w:t>
      </w:r>
    </w:p>
    <w:p w14:paraId="6FE6BFD2" w14:textId="77777777" w:rsidR="00F50248" w:rsidRDefault="00F50248" w:rsidP="00F50248">
      <w:pPr>
        <w:pStyle w:val="aa"/>
        <w:spacing w:after="0"/>
        <w:ind w:left="360"/>
        <w:rPr>
          <w:rFonts w:ascii="David" w:hAnsi="David" w:cs="David"/>
          <w:sz w:val="24"/>
          <w:rtl/>
        </w:rPr>
      </w:pPr>
    </w:p>
    <w:p w14:paraId="0259CA56" w14:textId="77777777" w:rsidR="00F50248" w:rsidRDefault="00F50248" w:rsidP="00F50248">
      <w:pPr>
        <w:pStyle w:val="aa"/>
        <w:spacing w:after="0"/>
        <w:ind w:left="360"/>
        <w:rPr>
          <w:rFonts w:ascii="David" w:hAnsi="David" w:cs="David"/>
          <w:sz w:val="24"/>
          <w:rtl/>
        </w:rPr>
      </w:pPr>
      <w:r>
        <w:rPr>
          <w:rFonts w:ascii="David" w:hAnsi="David" w:cs="David"/>
          <w:sz w:val="24"/>
          <w:rtl/>
        </w:rPr>
        <w:t>המאשימה למדה מנסיבות החזקת הנשק – כשהוא עטוף בניילון נצמד, בתוך מחסן נעול בחצר, כי מדובר בהסתרת נשק בעקבות תכנון מקדים.</w:t>
      </w:r>
    </w:p>
    <w:p w14:paraId="49B40036" w14:textId="77777777" w:rsidR="00F50248" w:rsidRDefault="00F50248" w:rsidP="00F50248">
      <w:pPr>
        <w:pStyle w:val="aa"/>
        <w:spacing w:after="0"/>
        <w:ind w:left="360"/>
        <w:rPr>
          <w:rFonts w:ascii="David" w:hAnsi="David" w:cs="David"/>
          <w:sz w:val="24"/>
          <w:rtl/>
        </w:rPr>
      </w:pPr>
    </w:p>
    <w:p w14:paraId="1978EF97" w14:textId="77777777" w:rsidR="00F50248" w:rsidRDefault="00F50248" w:rsidP="00F50248">
      <w:pPr>
        <w:pStyle w:val="aa"/>
        <w:spacing w:after="0"/>
        <w:ind w:left="360"/>
        <w:rPr>
          <w:rFonts w:ascii="David" w:hAnsi="David" w:cs="David"/>
          <w:sz w:val="24"/>
          <w:rtl/>
        </w:rPr>
      </w:pPr>
      <w:r>
        <w:rPr>
          <w:rFonts w:ascii="David" w:hAnsi="David" w:cs="David"/>
          <w:sz w:val="24"/>
          <w:rtl/>
        </w:rPr>
        <w:t xml:space="preserve">המאשימה מפנה </w:t>
      </w:r>
      <w:hyperlink r:id="rId11" w:history="1">
        <w:r w:rsidR="006478FC" w:rsidRPr="006478FC">
          <w:rPr>
            <w:rFonts w:ascii="David" w:hAnsi="David" w:cs="David"/>
            <w:color w:val="0000FF"/>
            <w:sz w:val="24"/>
            <w:u w:val="single"/>
            <w:rtl/>
          </w:rPr>
          <w:t>ע"פ 4103/22</w:t>
        </w:r>
      </w:hyperlink>
      <w:r>
        <w:rPr>
          <w:rFonts w:ascii="David" w:hAnsi="David" w:cs="David"/>
          <w:sz w:val="24"/>
          <w:rtl/>
        </w:rPr>
        <w:t xml:space="preserve"> </w:t>
      </w:r>
      <w:r>
        <w:rPr>
          <w:rFonts w:ascii="David" w:hAnsi="David" w:cs="David"/>
          <w:b/>
          <w:bCs/>
          <w:sz w:val="24"/>
          <w:rtl/>
        </w:rPr>
        <w:t>מדינת ישראל נ' אמון</w:t>
      </w:r>
      <w:r>
        <w:rPr>
          <w:rFonts w:ascii="David" w:hAnsi="David" w:cs="David"/>
          <w:sz w:val="24"/>
          <w:rtl/>
        </w:rPr>
        <w:t xml:space="preserve"> וערעור שכנגד, שם קבע בית המשפט העליון, כי מתחם העונש ההולם בעבירות נשק אינו יכול להתחיל מתחת לעונש המינימום הקבוע בחוק. כן נקבע שם, שיש לתת משקל משמעותי לעקרונות ההלימה וההרתעה, גם כשמדובר בנאשם ללא הרשעות קודמות והודגש החשש מפני שימוש בנשק לביצוע מעשי טרור או פעילות עבריינית וכן העובדה שמדובר בעבירה שהיא בבחינת "מכת מדינה".</w:t>
      </w:r>
    </w:p>
    <w:p w14:paraId="4F8C2169" w14:textId="77777777" w:rsidR="00F50248" w:rsidRDefault="00F50248" w:rsidP="00F50248">
      <w:pPr>
        <w:pStyle w:val="aa"/>
        <w:spacing w:after="0"/>
        <w:ind w:left="360"/>
        <w:rPr>
          <w:rFonts w:ascii="David" w:hAnsi="David" w:cs="David"/>
          <w:sz w:val="24"/>
          <w:rtl/>
        </w:rPr>
      </w:pPr>
    </w:p>
    <w:p w14:paraId="4DEAA3C4" w14:textId="77777777" w:rsidR="00F50248" w:rsidRDefault="00F50248" w:rsidP="00F50248">
      <w:pPr>
        <w:pStyle w:val="aa"/>
        <w:spacing w:after="0"/>
        <w:ind w:left="360"/>
        <w:rPr>
          <w:rFonts w:ascii="David" w:hAnsi="David" w:cs="David"/>
          <w:sz w:val="24"/>
          <w:rtl/>
        </w:rPr>
      </w:pPr>
      <w:r>
        <w:rPr>
          <w:rFonts w:ascii="David" w:hAnsi="David" w:cs="David"/>
          <w:sz w:val="24"/>
          <w:rtl/>
        </w:rPr>
        <w:t>המאשימה הפנתה לאסמכתאות נוספות, ובין היתר, הרלוונטיות לענייננו:</w:t>
      </w:r>
    </w:p>
    <w:p w14:paraId="3D998240" w14:textId="77777777" w:rsidR="00F50248" w:rsidRDefault="00F50248" w:rsidP="00F50248">
      <w:pPr>
        <w:pStyle w:val="aa"/>
        <w:spacing w:after="0"/>
        <w:ind w:left="360"/>
        <w:rPr>
          <w:rFonts w:ascii="David" w:hAnsi="David" w:cs="David"/>
          <w:sz w:val="24"/>
          <w:rtl/>
        </w:rPr>
      </w:pPr>
    </w:p>
    <w:p w14:paraId="4526A83E" w14:textId="77777777" w:rsidR="00F50248" w:rsidRDefault="00F50248" w:rsidP="00F50248">
      <w:pPr>
        <w:pStyle w:val="aa"/>
        <w:numPr>
          <w:ilvl w:val="0"/>
          <w:numId w:val="2"/>
        </w:numPr>
        <w:spacing w:after="0"/>
        <w:rPr>
          <w:rFonts w:ascii="David" w:hAnsi="David" w:cs="David"/>
          <w:sz w:val="24"/>
          <w:rtl/>
        </w:rPr>
      </w:pPr>
      <w:r>
        <w:rPr>
          <w:rFonts w:ascii="David" w:hAnsi="David" w:cs="David"/>
          <w:sz w:val="24"/>
          <w:rtl/>
        </w:rPr>
        <w:t xml:space="preserve">ת"פ 35396-04-22 </w:t>
      </w:r>
      <w:r>
        <w:rPr>
          <w:rFonts w:ascii="David" w:hAnsi="David" w:cs="David"/>
          <w:b/>
          <w:bCs/>
          <w:sz w:val="24"/>
          <w:rtl/>
        </w:rPr>
        <w:t>מדינת ישראל נ' אלהוזייל</w:t>
      </w:r>
      <w:r>
        <w:rPr>
          <w:rFonts w:ascii="David" w:hAnsi="David" w:cs="David"/>
          <w:sz w:val="24"/>
          <w:rtl/>
        </w:rPr>
        <w:t>: הנאשם, נעדר עבר פלילי, הורשע על פי הודאתו בכתב אישום מתוקן בהחזקת אקדח חצי אוטומטי ומחסנית תואמת טעונה בשישה כדורים וכן בהתנגדות למעצר. הנאשם החזיק את המחסנית בכיסו ואת האקדח הטמין בשיחים. נקבע, כי מתחם העונש ההולם הוא 20-40 חודשי מאסר בפועל ועונשים נלווים. על הנאשם הוטלו 24 חודשי מאסר בפועל בצירוף מאסר מותנה.</w:t>
      </w:r>
    </w:p>
    <w:p w14:paraId="771127F0" w14:textId="77777777" w:rsidR="00F50248" w:rsidRDefault="006478FC" w:rsidP="00F50248">
      <w:pPr>
        <w:pStyle w:val="aa"/>
        <w:numPr>
          <w:ilvl w:val="0"/>
          <w:numId w:val="2"/>
        </w:numPr>
        <w:spacing w:after="0"/>
        <w:rPr>
          <w:rFonts w:ascii="David" w:hAnsi="David" w:cs="David"/>
          <w:sz w:val="24"/>
        </w:rPr>
      </w:pPr>
      <w:hyperlink r:id="rId12" w:history="1">
        <w:r w:rsidRPr="006478FC">
          <w:rPr>
            <w:rFonts w:ascii="David" w:hAnsi="David" w:cs="David"/>
            <w:color w:val="0000FF"/>
            <w:sz w:val="24"/>
            <w:u w:val="single"/>
            <w:rtl/>
          </w:rPr>
          <w:t xml:space="preserve">ע''פ </w:t>
        </w:r>
      </w:hyperlink>
      <w:r w:rsidR="00F50248">
        <w:rPr>
          <w:rFonts w:ascii="David" w:hAnsi="David" w:cs="David"/>
          <w:sz w:val="24"/>
          <w:rtl/>
        </w:rPr>
        <w:t xml:space="preserve"> </w:t>
      </w:r>
      <w:hyperlink r:id="rId13" w:history="1">
        <w:r w:rsidR="008432FE" w:rsidRPr="008432FE">
          <w:rPr>
            <w:rFonts w:ascii="David" w:hAnsi="David" w:cs="David"/>
            <w:color w:val="0000FF"/>
            <w:sz w:val="24"/>
            <w:u w:val="single"/>
            <w:rtl/>
          </w:rPr>
          <w:t xml:space="preserve">2482/22 </w:t>
        </w:r>
      </w:hyperlink>
      <w:r w:rsidR="00F50248">
        <w:rPr>
          <w:rFonts w:ascii="David" w:hAnsi="David" w:cs="David"/>
          <w:sz w:val="24"/>
          <w:rtl/>
        </w:rPr>
        <w:t xml:space="preserve"> </w:t>
      </w:r>
      <w:r w:rsidR="00F50248">
        <w:rPr>
          <w:rFonts w:ascii="David" w:hAnsi="David" w:cs="David"/>
          <w:b/>
          <w:bCs/>
          <w:sz w:val="24"/>
          <w:rtl/>
        </w:rPr>
        <w:t>מדינת ישראל נ' קדורה:</w:t>
      </w:r>
      <w:r w:rsidR="00F50248">
        <w:rPr>
          <w:rFonts w:ascii="David" w:hAnsi="David" w:cs="David"/>
          <w:sz w:val="24"/>
          <w:rtl/>
        </w:rPr>
        <w:t xml:space="preserve"> הנאשם הורשע בהחזקת נשק בצוותא בכך שהחזיק עבור אחר אקדח, כדורים ורימון הלם. בית המשפט המחוזי קבע מתחם של 36-10 חודשי מאסר והטיל עונש בתחתית המתחם. ערעור המדינה לבית המשפט העליון התקבל ועל הנאשם הוטל עונש של 18 חודשי מאסר.</w:t>
      </w:r>
    </w:p>
    <w:p w14:paraId="68362516" w14:textId="77777777" w:rsidR="00F50248" w:rsidRDefault="00F50248" w:rsidP="00F50248">
      <w:pPr>
        <w:pStyle w:val="aa"/>
        <w:numPr>
          <w:ilvl w:val="0"/>
          <w:numId w:val="2"/>
        </w:numPr>
        <w:spacing w:after="0"/>
        <w:rPr>
          <w:rFonts w:ascii="David" w:hAnsi="David" w:cs="David"/>
          <w:sz w:val="24"/>
        </w:rPr>
      </w:pPr>
      <w:r>
        <w:rPr>
          <w:rFonts w:ascii="David" w:hAnsi="David" w:cs="David"/>
          <w:sz w:val="24"/>
          <w:rtl/>
        </w:rPr>
        <w:t xml:space="preserve">ת''פ 16541-01-21 </w:t>
      </w:r>
      <w:r>
        <w:rPr>
          <w:rFonts w:ascii="David" w:hAnsi="David" w:cs="David"/>
          <w:b/>
          <w:bCs/>
          <w:sz w:val="24"/>
          <w:rtl/>
        </w:rPr>
        <w:t>מדינת ישראל נ' אלנעאמי:</w:t>
      </w:r>
      <w:r>
        <w:rPr>
          <w:rFonts w:ascii="David" w:hAnsi="David" w:cs="David"/>
          <w:sz w:val="24"/>
          <w:rtl/>
        </w:rPr>
        <w:t xml:space="preserve"> הנאשם הורשע בהחזקת אקדח, רובה לא תקין, מחסניות, כדורים שונים וקנביס. נקבע מתחם הנע בין 48-22 חודשי מאסר בפועל. הנאשם, צעיר, נעדר עבר פלילי, נידון ל־30 חודשי מאסר בפועל.    </w:t>
      </w:r>
    </w:p>
    <w:p w14:paraId="0039A36C" w14:textId="77777777" w:rsidR="00F50248" w:rsidRDefault="00F50248" w:rsidP="00F50248">
      <w:pPr>
        <w:pStyle w:val="aa"/>
        <w:numPr>
          <w:ilvl w:val="0"/>
          <w:numId w:val="2"/>
        </w:numPr>
        <w:spacing w:after="0"/>
        <w:rPr>
          <w:rFonts w:ascii="David" w:hAnsi="David" w:cs="David"/>
          <w:sz w:val="24"/>
        </w:rPr>
      </w:pPr>
      <w:r>
        <w:rPr>
          <w:rFonts w:ascii="David" w:hAnsi="David" w:cs="David"/>
          <w:sz w:val="24"/>
          <w:rtl/>
        </w:rPr>
        <w:t xml:space="preserve">עפ"ג 2174-06-17 </w:t>
      </w:r>
      <w:r>
        <w:rPr>
          <w:rFonts w:ascii="David" w:hAnsi="David" w:cs="David"/>
          <w:b/>
          <w:bCs/>
          <w:sz w:val="24"/>
          <w:rtl/>
        </w:rPr>
        <w:t>מדינת ישראל נ' אבו תקפה:</w:t>
      </w:r>
      <w:r>
        <w:rPr>
          <w:rFonts w:ascii="David" w:hAnsi="David" w:cs="David"/>
          <w:sz w:val="24"/>
          <w:rtl/>
        </w:rPr>
        <w:t xml:space="preserve"> הנאשם, צעיר נעדר עבר פלילי, הורשע בהחזקת נשק מאולתר, ו- 300 כדורים שאינם תואמים לנשק. ערעור המדינה על קולת העונש התקבל ועונשו של הנאשם הוחמר מ- 10 חודשי מאסר ל- 15 חודשי מאסר תוך הדגשה, כי ערכאת הערעור אינה ממצה את הדין.</w:t>
      </w:r>
    </w:p>
    <w:p w14:paraId="3E3F2553" w14:textId="77777777" w:rsidR="00F50248" w:rsidRDefault="006478FC" w:rsidP="00F50248">
      <w:pPr>
        <w:pStyle w:val="aa"/>
        <w:numPr>
          <w:ilvl w:val="0"/>
          <w:numId w:val="2"/>
        </w:numPr>
        <w:spacing w:after="0"/>
        <w:rPr>
          <w:rFonts w:ascii="David" w:hAnsi="David" w:cs="David"/>
          <w:sz w:val="24"/>
        </w:rPr>
      </w:pPr>
      <w:hyperlink r:id="rId14" w:history="1">
        <w:r w:rsidRPr="006478FC">
          <w:rPr>
            <w:rFonts w:ascii="David" w:hAnsi="David" w:cs="David"/>
            <w:color w:val="0000FF"/>
            <w:sz w:val="24"/>
            <w:u w:val="single"/>
            <w:rtl/>
          </w:rPr>
          <w:t>עפ"ג 50590-12-22</w:t>
        </w:r>
      </w:hyperlink>
      <w:r w:rsidR="00F50248">
        <w:rPr>
          <w:rFonts w:ascii="David" w:hAnsi="David" w:cs="David"/>
          <w:sz w:val="24"/>
          <w:rtl/>
        </w:rPr>
        <w:t xml:space="preserve"> </w:t>
      </w:r>
      <w:r w:rsidR="00F50248">
        <w:rPr>
          <w:rFonts w:ascii="David" w:hAnsi="David" w:cs="David"/>
          <w:b/>
          <w:bCs/>
          <w:sz w:val="24"/>
          <w:rtl/>
        </w:rPr>
        <w:t>אלסייד נ' מדינת ישראל:</w:t>
      </w:r>
      <w:r w:rsidR="00F50248">
        <w:rPr>
          <w:rFonts w:ascii="David" w:hAnsi="David" w:cs="David"/>
          <w:sz w:val="24"/>
          <w:rtl/>
        </w:rPr>
        <w:t xml:space="preserve"> הנאשם, נעדר עבר פלילי, הורשע על פי הודאתו בהחזקת אקדח ומחסנית במחסן סמוך לביתו. נקבע מתחם ענישה של 13-36 חודשי מאסר בפועל. על הנאשם הוטלו 14 חודשי מאסר ועונשים נלווים. בית משפט המחוזי קבע, בדחותו את ערעור הנאשם, כי הנושא של החזקת כלי נשק בלתי חוקיים "</w:t>
      </w:r>
      <w:r w:rsidR="00F50248">
        <w:rPr>
          <w:rFonts w:ascii="David" w:hAnsi="David" w:cs="David"/>
          <w:b/>
          <w:bCs/>
          <w:sz w:val="24"/>
          <w:rtl/>
        </w:rPr>
        <w:t>מהווה את אחת הבעיות החברתיות המשמעותיות שעל סדר היום הציבורי</w:t>
      </w:r>
      <w:r w:rsidR="00F50248">
        <w:rPr>
          <w:rFonts w:ascii="David" w:hAnsi="David" w:cs="David"/>
          <w:sz w:val="24"/>
          <w:rtl/>
        </w:rPr>
        <w:t>" והדגיש את הצורך במתן בכורה לשיקולי הגמול וההרתעה. נקבע, כי "</w:t>
      </w:r>
      <w:r w:rsidR="00F50248">
        <w:rPr>
          <w:rFonts w:ascii="David" w:hAnsi="David" w:cs="David"/>
          <w:b/>
          <w:bCs/>
          <w:sz w:val="24"/>
          <w:rtl/>
        </w:rPr>
        <w:t>יש להטמיע בציבור את התובנה שהחזקת נשק ללא היתר היא מעשה חמור, אסור בתכלית, המסכן את הציבור ומסכן את מבצעו בענישה כואבת</w:t>
      </w:r>
      <w:r w:rsidR="00F50248">
        <w:rPr>
          <w:rFonts w:ascii="David" w:hAnsi="David" w:cs="David"/>
          <w:sz w:val="24"/>
          <w:rtl/>
        </w:rPr>
        <w:t>".</w:t>
      </w:r>
    </w:p>
    <w:p w14:paraId="1787B8BF" w14:textId="77777777" w:rsidR="00F50248" w:rsidRDefault="00F50248" w:rsidP="00F50248">
      <w:pPr>
        <w:pStyle w:val="aa"/>
        <w:spacing w:after="0"/>
        <w:rPr>
          <w:rFonts w:ascii="David" w:hAnsi="David" w:cs="David"/>
          <w:sz w:val="24"/>
        </w:rPr>
      </w:pPr>
    </w:p>
    <w:p w14:paraId="4CC74636" w14:textId="77777777" w:rsidR="00F50248" w:rsidRDefault="00F50248" w:rsidP="00F50248">
      <w:pPr>
        <w:pStyle w:val="aa"/>
        <w:spacing w:after="0"/>
        <w:rPr>
          <w:rFonts w:ascii="David" w:hAnsi="David" w:cs="David"/>
          <w:sz w:val="24"/>
          <w:rtl/>
        </w:rPr>
      </w:pPr>
      <w:r>
        <w:rPr>
          <w:rFonts w:ascii="David" w:hAnsi="David" w:cs="David"/>
          <w:sz w:val="24"/>
          <w:rtl/>
        </w:rPr>
        <w:t>בקביעת עונשו של הנאשם הנאשם בתוך מתחם הענישה המאשימה מבקשת שלא לקבל את המלצת שירות המבחן. המאשימה מפנה לנתונים בתסקיר המלמדים דווקא על צורך בהחמרה ובהרתעה.</w:t>
      </w:r>
    </w:p>
    <w:p w14:paraId="13DD62C2" w14:textId="77777777" w:rsidR="00F50248" w:rsidRDefault="00F50248" w:rsidP="00F50248">
      <w:pPr>
        <w:pStyle w:val="aa"/>
        <w:spacing w:after="0"/>
        <w:rPr>
          <w:rFonts w:ascii="David" w:hAnsi="David" w:cs="David"/>
          <w:sz w:val="24"/>
          <w:rtl/>
        </w:rPr>
      </w:pPr>
    </w:p>
    <w:p w14:paraId="2F22577D" w14:textId="77777777" w:rsidR="00F50248" w:rsidRDefault="00F50248" w:rsidP="00F50248">
      <w:pPr>
        <w:pStyle w:val="aa"/>
        <w:spacing w:after="0"/>
        <w:rPr>
          <w:rFonts w:ascii="David" w:hAnsi="David" w:cs="David"/>
          <w:sz w:val="24"/>
          <w:rtl/>
        </w:rPr>
      </w:pPr>
      <w:r>
        <w:rPr>
          <w:rFonts w:ascii="David" w:hAnsi="David" w:cs="David"/>
          <w:sz w:val="24"/>
          <w:rtl/>
        </w:rPr>
        <w:t>לדעת המאשימה, יש לקבוע במקרה זה מתחם ענישה של 24-48 חודשי מאסר בפועל ולמקם את עונשו של הנאשם בחלקו התחתון של המתחם, בצד ענישה נלווית.</w:t>
      </w:r>
    </w:p>
    <w:p w14:paraId="538313ED" w14:textId="77777777" w:rsidR="00F50248" w:rsidRDefault="00F50248" w:rsidP="00F50248">
      <w:pPr>
        <w:pStyle w:val="aa"/>
        <w:spacing w:after="0"/>
        <w:ind w:left="360"/>
        <w:rPr>
          <w:rFonts w:ascii="David" w:hAnsi="David" w:cs="David"/>
          <w:sz w:val="24"/>
          <w:rtl/>
        </w:rPr>
      </w:pPr>
    </w:p>
    <w:p w14:paraId="66A049CE" w14:textId="77777777" w:rsidR="00F50248" w:rsidRDefault="00F50248" w:rsidP="00F50248">
      <w:pPr>
        <w:pStyle w:val="aa"/>
        <w:spacing w:after="0"/>
        <w:ind w:left="793"/>
        <w:rPr>
          <w:rFonts w:ascii="David" w:hAnsi="David" w:cs="David"/>
          <w:sz w:val="24"/>
          <w:rtl/>
        </w:rPr>
      </w:pPr>
      <w:r>
        <w:rPr>
          <w:rFonts w:ascii="David" w:hAnsi="David" w:cs="David"/>
          <w:sz w:val="24"/>
          <w:rtl/>
        </w:rPr>
        <w:t>יצוין, כי בפתח הדיון הודיעה ב"כ הנאשם, כי טיעון המאשימה לעונש כפי שהוגש חורג מההסכמות שבין הצדדים לפיו המאשימה תעתור לעונש של 22 חודשי מאסר. במהלך הפסקה בדיון ושיח בין הצדדים תיקנה המאשימה את עתירתה העונשית למתחם המתחיל ב 22 חודשי מאסר ועתרה להטיל על הנאשם עונש בתחתית המתחם.</w:t>
      </w:r>
    </w:p>
    <w:p w14:paraId="2E3C5474" w14:textId="77777777" w:rsidR="00F50248" w:rsidRDefault="00F50248" w:rsidP="00F50248">
      <w:pPr>
        <w:pStyle w:val="aa"/>
        <w:spacing w:after="0"/>
        <w:ind w:left="793"/>
        <w:rPr>
          <w:rFonts w:ascii="David" w:hAnsi="David" w:cs="David"/>
          <w:sz w:val="24"/>
          <w:rtl/>
        </w:rPr>
      </w:pPr>
    </w:p>
    <w:p w14:paraId="5B80C034" w14:textId="77777777" w:rsidR="00F50248" w:rsidRDefault="00F50248" w:rsidP="00F50248">
      <w:pPr>
        <w:pStyle w:val="aa"/>
        <w:spacing w:after="0"/>
        <w:ind w:left="793"/>
        <w:rPr>
          <w:rFonts w:ascii="David" w:hAnsi="David" w:cs="David"/>
          <w:sz w:val="24"/>
          <w:rtl/>
        </w:rPr>
      </w:pPr>
      <w:r>
        <w:rPr>
          <w:rFonts w:ascii="David" w:hAnsi="David" w:cs="David"/>
          <w:sz w:val="24"/>
          <w:rtl/>
        </w:rPr>
        <w:t>לסיכום, עומדת בפניי כיום עתירת המאשימה להטיל על הנאשם 22 חודשי מאסר בפועל וענישה נלווית.</w:t>
      </w:r>
    </w:p>
    <w:p w14:paraId="755A7177" w14:textId="77777777" w:rsidR="00F50248" w:rsidRDefault="00F50248" w:rsidP="00F50248">
      <w:pPr>
        <w:rPr>
          <w:rFonts w:ascii="David" w:hAnsi="David"/>
          <w:rtl/>
        </w:rPr>
      </w:pPr>
    </w:p>
    <w:p w14:paraId="29BFD59F" w14:textId="77777777" w:rsidR="00F50248" w:rsidRDefault="00F50248" w:rsidP="00F50248">
      <w:pPr>
        <w:pStyle w:val="aa"/>
        <w:numPr>
          <w:ilvl w:val="0"/>
          <w:numId w:val="1"/>
        </w:numPr>
        <w:spacing w:after="0"/>
        <w:rPr>
          <w:rFonts w:ascii="David" w:hAnsi="David" w:cs="David"/>
          <w:sz w:val="24"/>
          <w:rtl/>
        </w:rPr>
      </w:pPr>
      <w:r>
        <w:rPr>
          <w:rFonts w:ascii="David" w:hAnsi="David" w:cs="David"/>
          <w:b/>
          <w:bCs/>
          <w:sz w:val="24"/>
          <w:rtl/>
        </w:rPr>
        <w:t xml:space="preserve">ההגנה </w:t>
      </w:r>
      <w:r>
        <w:rPr>
          <w:rFonts w:ascii="David" w:hAnsi="David" w:cs="David"/>
          <w:sz w:val="24"/>
          <w:rtl/>
        </w:rPr>
        <w:t xml:space="preserve">ביקשה, בראשית הדברים, לדחות את הדיון לקבלת תסקיר משלים. ההגנה הפנתה לכך, שהתסקיר בתיק ניתן לפני כשנה ועדכנה, כי הנאשם סיים לימודי תואר ראשון בניהול מערכות בריאות והוא בפני לימודי הסבה לסיעוד. עתירת ההגנה נדחתה לאחר שבית המשפט הדגיש כי יש לזקוף במקרה זה את חלוף הזמן להתנהלות הדיונית של הנאשם ולבקשות דחיה רבות. </w:t>
      </w:r>
    </w:p>
    <w:p w14:paraId="3F73041C" w14:textId="77777777" w:rsidR="00F50248" w:rsidRDefault="00F50248" w:rsidP="00F50248">
      <w:pPr>
        <w:pStyle w:val="aa"/>
        <w:spacing w:after="0"/>
        <w:ind w:left="360"/>
        <w:rPr>
          <w:rFonts w:ascii="David" w:hAnsi="David" w:cs="David"/>
          <w:sz w:val="24"/>
        </w:rPr>
      </w:pPr>
    </w:p>
    <w:p w14:paraId="3A718DB9" w14:textId="77777777" w:rsidR="00F50248" w:rsidRDefault="00F50248" w:rsidP="00F50248">
      <w:pPr>
        <w:pStyle w:val="aa"/>
        <w:spacing w:after="0"/>
        <w:ind w:left="360"/>
        <w:rPr>
          <w:rFonts w:ascii="David" w:hAnsi="David" w:cs="David"/>
          <w:sz w:val="24"/>
        </w:rPr>
      </w:pPr>
      <w:r>
        <w:rPr>
          <w:rFonts w:ascii="David" w:hAnsi="David" w:cs="David"/>
          <w:sz w:val="24"/>
          <w:rtl/>
        </w:rPr>
        <w:t xml:space="preserve">ההגנה הפנתה לכך, שהנאשם לא החזיק ברובה </w:t>
      </w:r>
      <w:r>
        <w:rPr>
          <w:rFonts w:ascii="David" w:hAnsi="David" w:cs="David"/>
          <w:sz w:val="24"/>
        </w:rPr>
        <w:t>M16</w:t>
      </w:r>
      <w:r>
        <w:rPr>
          <w:rFonts w:ascii="David" w:hAnsi="David" w:cs="David"/>
          <w:sz w:val="24"/>
          <w:rtl/>
        </w:rPr>
        <w:t xml:space="preserve"> צה"לי מקורי, אלא ברובה שהוסב לנשק דמוי </w:t>
      </w:r>
      <w:r>
        <w:rPr>
          <w:rFonts w:ascii="David" w:hAnsi="David" w:cs="David"/>
          <w:sz w:val="24"/>
        </w:rPr>
        <w:t>M16</w:t>
      </w:r>
      <w:r>
        <w:rPr>
          <w:rFonts w:ascii="David" w:hAnsi="David" w:cs="David"/>
          <w:sz w:val="24"/>
          <w:rtl/>
        </w:rPr>
        <w:t xml:space="preserve">  הכולל גם חלקים תקניים. נטען לגבי נסיבות ההחזקה, ובהתאם לתיקון כתב האישום, כי מדובר בהחזקה נקודתית, חד-פעמית, במחסן נעול מחוץ לבית ובנשק עטוף בניילון. הנשק הוחזק ללא תחמושת, לא במצב טעון. על כן נטען, כי מדובר בהחזקה ברף הנמוך שלה.</w:t>
      </w:r>
    </w:p>
    <w:p w14:paraId="3156CD19" w14:textId="77777777" w:rsidR="00F50248" w:rsidRDefault="00F50248" w:rsidP="00F50248">
      <w:pPr>
        <w:pStyle w:val="aa"/>
        <w:spacing w:after="0"/>
        <w:ind w:left="360"/>
        <w:rPr>
          <w:rFonts w:ascii="David" w:hAnsi="David" w:cs="David"/>
          <w:sz w:val="24"/>
          <w:rtl/>
        </w:rPr>
      </w:pPr>
    </w:p>
    <w:p w14:paraId="6A06F838" w14:textId="77777777" w:rsidR="00F50248" w:rsidRDefault="00F50248" w:rsidP="00F50248">
      <w:pPr>
        <w:pStyle w:val="aa"/>
        <w:spacing w:after="0"/>
        <w:ind w:left="360"/>
        <w:rPr>
          <w:rFonts w:ascii="David" w:hAnsi="David" w:cs="David"/>
          <w:sz w:val="24"/>
          <w:rtl/>
        </w:rPr>
      </w:pPr>
      <w:r>
        <w:rPr>
          <w:rFonts w:ascii="David" w:hAnsi="David" w:cs="David"/>
          <w:sz w:val="24"/>
          <w:rtl/>
        </w:rPr>
        <w:t>נטען, כי הנאשם שיתף פעולה באופן מלא בחיפוש ואף הוביל את השוטרים למחסן ומסר את הרובה לשוטרים. יצוין, כי המאשימה לא חלקה על כך ולא התנגדה לדברים.</w:t>
      </w:r>
    </w:p>
    <w:p w14:paraId="286D68C4" w14:textId="77777777" w:rsidR="00F50248" w:rsidRDefault="00F50248" w:rsidP="00F50248">
      <w:pPr>
        <w:pStyle w:val="aa"/>
        <w:spacing w:after="0"/>
        <w:ind w:left="360"/>
        <w:rPr>
          <w:rFonts w:ascii="David" w:hAnsi="David" w:cs="David"/>
          <w:sz w:val="24"/>
          <w:rtl/>
        </w:rPr>
      </w:pPr>
      <w:r>
        <w:rPr>
          <w:rFonts w:ascii="David" w:hAnsi="David" w:cs="David"/>
          <w:sz w:val="24"/>
          <w:rtl/>
        </w:rPr>
        <w:t>ההגנה הפנתה לגילו הצעיר של הנאשם, מעט מעל גיל 18 בעת ביצוע העבירות. נטען, כי בחלוף הזמן, הנאשם כיום ב 21 ו-7 חודשים, שיקול דעתו שונה והוא מודה בעבירה, מביע חרטה כנה ואמיתית בגינה.</w:t>
      </w:r>
    </w:p>
    <w:p w14:paraId="0858FAAD" w14:textId="77777777" w:rsidR="00F50248" w:rsidRDefault="00F50248" w:rsidP="00F50248">
      <w:pPr>
        <w:pStyle w:val="aa"/>
        <w:spacing w:after="0"/>
        <w:ind w:left="360"/>
        <w:rPr>
          <w:rFonts w:ascii="David" w:hAnsi="David" w:cs="David"/>
          <w:sz w:val="24"/>
          <w:rtl/>
        </w:rPr>
      </w:pPr>
      <w:r>
        <w:rPr>
          <w:rFonts w:ascii="David" w:hAnsi="David" w:cs="David"/>
          <w:sz w:val="24"/>
          <w:rtl/>
        </w:rPr>
        <w:t>ההגנה עתרה לזקוף לזכות הנאשם את הודאתו והחיסכון בזמן השיפוטי.</w:t>
      </w:r>
    </w:p>
    <w:p w14:paraId="58957FA9" w14:textId="77777777" w:rsidR="00F50248" w:rsidRDefault="00F50248" w:rsidP="00F50248">
      <w:pPr>
        <w:pStyle w:val="aa"/>
        <w:spacing w:after="0"/>
        <w:ind w:left="360"/>
        <w:rPr>
          <w:rFonts w:ascii="David" w:hAnsi="David" w:cs="David"/>
          <w:sz w:val="24"/>
          <w:rtl/>
        </w:rPr>
      </w:pPr>
      <w:r>
        <w:rPr>
          <w:rFonts w:ascii="David" w:hAnsi="David" w:cs="David"/>
          <w:sz w:val="24"/>
          <w:rtl/>
        </w:rPr>
        <w:t>ההגנה עתרה לזקוף לזכות הנאשם היעדר הרשעות קודמות, את העובדה שלא נפתחו נגדו תיקים בחלוף הזמן.</w:t>
      </w:r>
    </w:p>
    <w:p w14:paraId="7A4F54CD" w14:textId="77777777" w:rsidR="00F50248" w:rsidRDefault="00F50248" w:rsidP="00F50248">
      <w:pPr>
        <w:pStyle w:val="aa"/>
        <w:spacing w:after="0"/>
        <w:ind w:left="360"/>
        <w:rPr>
          <w:rFonts w:ascii="David" w:hAnsi="David" w:cs="David"/>
          <w:sz w:val="24"/>
          <w:rtl/>
        </w:rPr>
      </w:pPr>
      <w:r>
        <w:rPr>
          <w:rFonts w:ascii="David" w:hAnsi="David" w:cs="David"/>
          <w:sz w:val="24"/>
          <w:rtl/>
        </w:rPr>
        <w:t>ההגנה עתרה לזקוף לזכות הנאשם את תקופת מעצרו, התקופה הארוכה בה היה בהרחקה ובתנאים מגבילים ומעולם לא הפר את התנאים.</w:t>
      </w:r>
    </w:p>
    <w:p w14:paraId="50753794" w14:textId="77777777" w:rsidR="00F50248" w:rsidRDefault="00F50248" w:rsidP="00F50248">
      <w:pPr>
        <w:pStyle w:val="aa"/>
        <w:spacing w:after="0"/>
        <w:ind w:left="360"/>
        <w:rPr>
          <w:rFonts w:ascii="David" w:hAnsi="David" w:cs="David"/>
          <w:sz w:val="24"/>
          <w:rtl/>
        </w:rPr>
      </w:pPr>
      <w:r>
        <w:rPr>
          <w:rFonts w:ascii="David" w:hAnsi="David" w:cs="David"/>
          <w:sz w:val="24"/>
          <w:rtl/>
        </w:rPr>
        <w:t>ההגנה ביקשה לזקוף לזכות הנאשם את התמדתו בלימודים האקדמיים ואת שאיפותיו הנורמטיביות.</w:t>
      </w:r>
    </w:p>
    <w:p w14:paraId="3BE21364" w14:textId="77777777" w:rsidR="00F50248" w:rsidRDefault="00F50248" w:rsidP="00F50248">
      <w:pPr>
        <w:pStyle w:val="aa"/>
        <w:spacing w:after="0"/>
        <w:ind w:left="360"/>
        <w:rPr>
          <w:rFonts w:ascii="David" w:hAnsi="David" w:cs="David"/>
          <w:sz w:val="24"/>
          <w:rtl/>
        </w:rPr>
      </w:pPr>
      <w:r>
        <w:rPr>
          <w:rFonts w:ascii="David" w:hAnsi="David" w:cs="David"/>
          <w:sz w:val="24"/>
          <w:rtl/>
        </w:rPr>
        <w:t>ההגנה הפנתה לתקופה הארוכה בה היה בפיקוח שירות המבחן, את שיתוף הפעולה בהליך ואת ההתרשמות החיובית של שירות המבחן מהנאשם.</w:t>
      </w:r>
    </w:p>
    <w:p w14:paraId="6B0EA902" w14:textId="77777777" w:rsidR="00F50248" w:rsidRDefault="00F50248" w:rsidP="00F50248">
      <w:pPr>
        <w:pStyle w:val="aa"/>
        <w:spacing w:after="0"/>
        <w:ind w:left="360"/>
        <w:rPr>
          <w:rFonts w:ascii="David" w:hAnsi="David" w:cs="David"/>
          <w:sz w:val="24"/>
          <w:rtl/>
        </w:rPr>
      </w:pPr>
      <w:r>
        <w:rPr>
          <w:rFonts w:ascii="David" w:hAnsi="David" w:cs="David"/>
          <w:sz w:val="24"/>
          <w:rtl/>
        </w:rPr>
        <w:t>ההגנה הפנתה לנזק הצפוי להיגרם לנאשם כתוצאה מהרשעתו, כאשר יצטרך להגיש בקשה מיוחדת למשרד הבריאות כדי לעסוק בסיעוד.</w:t>
      </w:r>
    </w:p>
    <w:p w14:paraId="2C76AF15" w14:textId="77777777" w:rsidR="00F50248" w:rsidRDefault="00F50248" w:rsidP="00F50248">
      <w:pPr>
        <w:pStyle w:val="aa"/>
        <w:spacing w:after="0"/>
        <w:ind w:left="360"/>
        <w:rPr>
          <w:rFonts w:ascii="David" w:hAnsi="David" w:cs="David"/>
          <w:sz w:val="24"/>
          <w:rtl/>
        </w:rPr>
      </w:pPr>
      <w:r>
        <w:rPr>
          <w:rFonts w:ascii="David" w:hAnsi="David" w:cs="David"/>
          <w:sz w:val="24"/>
          <w:rtl/>
        </w:rPr>
        <w:t>ההגנה טענה, כי הטלת מאסר מאחורי סורג ובריח עלולה לגרום לנאשם נזק רב ובלתי הפיך, לחשוף אותו לדפוסים עברייניים בכלא ולחברה עבריינית שעלולה לדרדר אותו.</w:t>
      </w:r>
    </w:p>
    <w:p w14:paraId="60278E1F" w14:textId="77777777" w:rsidR="00F50248" w:rsidRDefault="00F50248" w:rsidP="00F50248">
      <w:pPr>
        <w:pStyle w:val="aa"/>
        <w:spacing w:after="0"/>
        <w:ind w:left="360"/>
        <w:rPr>
          <w:rFonts w:ascii="David" w:hAnsi="David" w:cs="David"/>
          <w:sz w:val="24"/>
          <w:rtl/>
        </w:rPr>
      </w:pPr>
      <w:r>
        <w:rPr>
          <w:rFonts w:ascii="David" w:hAnsi="David" w:cs="David"/>
          <w:sz w:val="24"/>
          <w:rtl/>
        </w:rPr>
        <w:t xml:space="preserve">לדעת ההגנה, בית המשפט מוסמך במקרה זה לסטות ממתחם העונש ההולם משיקולי שיקום והפנתה בעניין זה לפרשת </w:t>
      </w:r>
      <w:r>
        <w:rPr>
          <w:rFonts w:ascii="David" w:hAnsi="David" w:cs="David"/>
          <w:b/>
          <w:bCs/>
          <w:sz w:val="24"/>
          <w:rtl/>
        </w:rPr>
        <w:t>קרנדל</w:t>
      </w:r>
      <w:r>
        <w:rPr>
          <w:rFonts w:ascii="David" w:hAnsi="David" w:cs="David"/>
          <w:sz w:val="24"/>
          <w:rtl/>
        </w:rPr>
        <w:t xml:space="preserve"> ולשיקול הדעת המסור לבית המשפט לעניין זה (ככל הנראה הכוונה ל</w:t>
      </w:r>
      <w:hyperlink r:id="rId15" w:history="1">
        <w:r w:rsidR="006478FC" w:rsidRPr="006478FC">
          <w:rPr>
            <w:rFonts w:ascii="David" w:hAnsi="David" w:cs="David"/>
            <w:color w:val="0000FF"/>
            <w:sz w:val="24"/>
            <w:u w:val="single"/>
            <w:rtl/>
          </w:rPr>
          <w:t>ע"פ 6637-17</w:t>
        </w:r>
      </w:hyperlink>
      <w:r>
        <w:rPr>
          <w:rFonts w:ascii="David" w:hAnsi="David" w:cs="David"/>
          <w:b/>
          <w:bCs/>
          <w:sz w:val="24"/>
          <w:rtl/>
        </w:rPr>
        <w:t xml:space="preserve"> קרנדל נ' מדינת ישראל</w:t>
      </w:r>
      <w:r>
        <w:rPr>
          <w:rFonts w:ascii="David" w:hAnsi="David" w:cs="David"/>
          <w:sz w:val="24"/>
          <w:rtl/>
        </w:rPr>
        <w:t>).</w:t>
      </w:r>
    </w:p>
    <w:p w14:paraId="68841EC4" w14:textId="77777777" w:rsidR="00F50248" w:rsidRDefault="00F50248" w:rsidP="00F50248">
      <w:pPr>
        <w:pStyle w:val="aa"/>
        <w:spacing w:after="0"/>
        <w:ind w:left="360"/>
        <w:rPr>
          <w:rFonts w:ascii="David" w:hAnsi="David" w:cs="David"/>
          <w:sz w:val="24"/>
          <w:rtl/>
        </w:rPr>
      </w:pPr>
      <w:r>
        <w:rPr>
          <w:rFonts w:ascii="David" w:hAnsi="David" w:cs="David"/>
          <w:sz w:val="24"/>
          <w:rtl/>
        </w:rPr>
        <w:t>כן הפנתה ההגנה לדו"ח וועדת דורנר בעניין הנזקים העלולים להיגרם כתוצאה משליחתם של אנשים צעירים, חסרי עבר פלילי, לריצוי עונש מאסר מאחורי סורג ובריח.</w:t>
      </w:r>
    </w:p>
    <w:p w14:paraId="2F9D276F" w14:textId="77777777" w:rsidR="00F50248" w:rsidRDefault="00F50248" w:rsidP="00F50248">
      <w:pPr>
        <w:pStyle w:val="aa"/>
        <w:spacing w:after="0"/>
        <w:ind w:left="360"/>
        <w:rPr>
          <w:rFonts w:ascii="David" w:hAnsi="David" w:cs="David"/>
          <w:sz w:val="24"/>
          <w:rtl/>
        </w:rPr>
      </w:pPr>
      <w:r>
        <w:rPr>
          <w:rFonts w:ascii="David" w:hAnsi="David" w:cs="David"/>
          <w:sz w:val="24"/>
          <w:rtl/>
        </w:rPr>
        <w:t>לאור זאת עתרה ההגנה להטיל על הנאשם מאסר לריצוי בעבודות שירות.</w:t>
      </w:r>
    </w:p>
    <w:p w14:paraId="3AFEAC2F" w14:textId="77777777" w:rsidR="00F50248" w:rsidRDefault="00F50248" w:rsidP="00F50248">
      <w:pPr>
        <w:ind w:left="360"/>
        <w:rPr>
          <w:rFonts w:ascii="David" w:hAnsi="David"/>
          <w:rtl/>
        </w:rPr>
      </w:pPr>
    </w:p>
    <w:p w14:paraId="57205F44" w14:textId="77777777" w:rsidR="00F50248" w:rsidRDefault="00F50248" w:rsidP="00F50248">
      <w:pPr>
        <w:ind w:left="360"/>
        <w:rPr>
          <w:rFonts w:ascii="David" w:hAnsi="David"/>
          <w:rtl/>
        </w:rPr>
      </w:pPr>
      <w:r>
        <w:rPr>
          <w:rFonts w:ascii="David" w:hAnsi="David"/>
          <w:rtl/>
        </w:rPr>
        <w:t>ההגנה הפנתה לאסמכתאות:</w:t>
      </w:r>
    </w:p>
    <w:p w14:paraId="0FF38587" w14:textId="77777777" w:rsidR="00F50248" w:rsidRDefault="006478FC" w:rsidP="00F50248">
      <w:pPr>
        <w:pStyle w:val="aa"/>
        <w:numPr>
          <w:ilvl w:val="0"/>
          <w:numId w:val="3"/>
        </w:numPr>
        <w:spacing w:after="0"/>
        <w:rPr>
          <w:rFonts w:ascii="David" w:hAnsi="David" w:cs="David"/>
          <w:sz w:val="24"/>
          <w:rtl/>
        </w:rPr>
      </w:pPr>
      <w:hyperlink r:id="rId16" w:history="1">
        <w:r w:rsidRPr="006478FC">
          <w:rPr>
            <w:rFonts w:ascii="David" w:hAnsi="David" w:cs="David"/>
            <w:color w:val="0000FF"/>
            <w:sz w:val="24"/>
            <w:u w:val="single"/>
            <w:rtl/>
          </w:rPr>
          <w:t>ע"פ 6332/22</w:t>
        </w:r>
      </w:hyperlink>
      <w:r w:rsidR="00F50248">
        <w:rPr>
          <w:rFonts w:ascii="David" w:hAnsi="David" w:cs="David"/>
          <w:sz w:val="24"/>
          <w:rtl/>
        </w:rPr>
        <w:t xml:space="preserve"> </w:t>
      </w:r>
      <w:r w:rsidR="00F50248">
        <w:rPr>
          <w:rFonts w:ascii="David" w:hAnsi="David" w:cs="David"/>
          <w:b/>
          <w:bCs/>
          <w:sz w:val="24"/>
          <w:rtl/>
        </w:rPr>
        <w:t>פדידה נ' מדינת ישראל</w:t>
      </w:r>
      <w:r w:rsidR="00F50248">
        <w:rPr>
          <w:rFonts w:ascii="David" w:hAnsi="David" w:cs="David"/>
          <w:sz w:val="24"/>
          <w:rtl/>
        </w:rPr>
        <w:t>: הנאשם הורשע בהחזקת נשק והוטלו עליו 11 חודשי מאסר בפועל וענישה נלווית. בית המשפט העליון המיר את עונשו למאסר לריצוי בעבודות שירות בשל נסיבות חייו הקשות של הנאשם ושיקולי שיקומו כעולה מתסקיר שירות המבחן.</w:t>
      </w:r>
    </w:p>
    <w:p w14:paraId="0C564D02" w14:textId="77777777" w:rsidR="00F50248" w:rsidRDefault="006478FC" w:rsidP="00F50248">
      <w:pPr>
        <w:pStyle w:val="aa"/>
        <w:numPr>
          <w:ilvl w:val="0"/>
          <w:numId w:val="3"/>
        </w:numPr>
        <w:spacing w:after="0"/>
        <w:rPr>
          <w:rFonts w:ascii="David" w:hAnsi="David" w:cs="David"/>
          <w:sz w:val="24"/>
        </w:rPr>
      </w:pPr>
      <w:hyperlink r:id="rId17" w:history="1">
        <w:r w:rsidRPr="006478FC">
          <w:rPr>
            <w:rFonts w:ascii="David" w:hAnsi="David" w:cs="David"/>
            <w:color w:val="0000FF"/>
            <w:sz w:val="24"/>
            <w:u w:val="single"/>
            <w:rtl/>
          </w:rPr>
          <w:t>ע"פ 1505-14</w:t>
        </w:r>
      </w:hyperlink>
      <w:r w:rsidR="00F50248">
        <w:rPr>
          <w:rFonts w:ascii="David" w:hAnsi="David" w:cs="David"/>
          <w:sz w:val="24"/>
          <w:rtl/>
        </w:rPr>
        <w:t xml:space="preserve"> </w:t>
      </w:r>
      <w:r w:rsidR="00F50248">
        <w:rPr>
          <w:rFonts w:ascii="David" w:hAnsi="David" w:cs="David"/>
          <w:b/>
          <w:bCs/>
          <w:sz w:val="24"/>
          <w:rtl/>
        </w:rPr>
        <w:t>לידאוי נ' מדינת ישראל:</w:t>
      </w:r>
      <w:r w:rsidR="00F50248">
        <w:rPr>
          <w:rFonts w:ascii="David" w:hAnsi="David" w:cs="David"/>
          <w:sz w:val="24"/>
          <w:rtl/>
        </w:rPr>
        <w:t xml:space="preserve"> הנאשם הורשע בהחזקת אקדח החשוד כגנוב בארון בביתו, כשהוא טעון וכן בהפרעה לשוטר במילוי תפקידו. על הנאשם הוטלו שמונה חודשי מאסר בפועל; קנס בסך 5,000 ₪ ומאסר מותנה. זאת, בהתחשב בנתוניו האישיים שהם היחותו בן 60, ללא עבר פלילי מכביד, מצדו הבריאותי, הודאתו ולקיחת אחריות על מעשיו, תקופה ארוכה בה שהה בתנאים מגבילים ועדויות האופי הרבות על אופיו ועל תרומתו לקהילה ולציבור. במסגרת הערעור הוטל עונש המאסר לשישה חודשי מאסר לריצוי בעבודות שירות.</w:t>
      </w:r>
    </w:p>
    <w:p w14:paraId="65D50BB5" w14:textId="77777777" w:rsidR="00F50248" w:rsidRDefault="006478FC" w:rsidP="00F50248">
      <w:pPr>
        <w:pStyle w:val="aa"/>
        <w:numPr>
          <w:ilvl w:val="0"/>
          <w:numId w:val="3"/>
        </w:numPr>
        <w:spacing w:after="0"/>
        <w:rPr>
          <w:rFonts w:ascii="David" w:hAnsi="David" w:cs="David"/>
          <w:sz w:val="24"/>
        </w:rPr>
      </w:pPr>
      <w:hyperlink r:id="rId18" w:history="1">
        <w:r w:rsidRPr="006478FC">
          <w:rPr>
            <w:rFonts w:ascii="David" w:hAnsi="David" w:cs="David"/>
            <w:color w:val="0000FF"/>
            <w:sz w:val="24"/>
            <w:u w:val="single"/>
            <w:rtl/>
          </w:rPr>
          <w:t>ע"פ 5807-20</w:t>
        </w:r>
      </w:hyperlink>
      <w:r w:rsidR="00F50248">
        <w:rPr>
          <w:rFonts w:ascii="David" w:hAnsi="David" w:cs="David"/>
          <w:sz w:val="24"/>
          <w:rtl/>
        </w:rPr>
        <w:t xml:space="preserve"> </w:t>
      </w:r>
      <w:r w:rsidR="00F50248">
        <w:rPr>
          <w:rFonts w:ascii="David" w:hAnsi="David" w:cs="David"/>
          <w:b/>
          <w:bCs/>
          <w:sz w:val="24"/>
          <w:rtl/>
        </w:rPr>
        <w:t>שיבלי נ' מדינת ישראל:</w:t>
      </w:r>
      <w:r w:rsidR="00F50248">
        <w:rPr>
          <w:rFonts w:ascii="David" w:hAnsi="David" w:cs="David"/>
          <w:sz w:val="24"/>
          <w:rtl/>
        </w:rPr>
        <w:t xml:space="preserve"> עונשו של הנאשם הוטל במסגרת הערעור כך שירצה תעשה חודשי מאסר בעבודות שירות חלף שנת מאסר שהוטלה עליו. זאת, לאחר שנקבע כי מדובר במקרה חריג ביותר, נוכח נסיבותיו האישיות המיוחדות של הנאשם, אשר שירת שירות צבאי משמעותי במהלכו נפגע פגיעה שהותירה צלקת עמוקה בנפשו עד היום. נקבע, כי בצבו הבריאותי והנפשי של הנאשם אינם טובים, חרטתו כנה ועמוקה, מדובר במעידה ראשונה ויחידה ונסיבות העבירה אינן מן החמורות.</w:t>
      </w:r>
    </w:p>
    <w:p w14:paraId="392F119F" w14:textId="77777777" w:rsidR="00F50248" w:rsidRDefault="006478FC" w:rsidP="00F50248">
      <w:pPr>
        <w:pStyle w:val="aa"/>
        <w:numPr>
          <w:ilvl w:val="0"/>
          <w:numId w:val="3"/>
        </w:numPr>
        <w:spacing w:after="0"/>
        <w:rPr>
          <w:rFonts w:ascii="David" w:hAnsi="David" w:cs="David"/>
          <w:sz w:val="24"/>
        </w:rPr>
      </w:pPr>
      <w:hyperlink r:id="rId19" w:history="1">
        <w:r w:rsidRPr="006478FC">
          <w:rPr>
            <w:rFonts w:ascii="David" w:hAnsi="David" w:cs="David"/>
            <w:color w:val="0000FF"/>
            <w:sz w:val="24"/>
            <w:u w:val="single"/>
            <w:rtl/>
          </w:rPr>
          <w:t>ע"פ 6699/19</w:t>
        </w:r>
      </w:hyperlink>
      <w:r w:rsidR="00F50248">
        <w:rPr>
          <w:rFonts w:ascii="David" w:hAnsi="David" w:cs="David"/>
          <w:sz w:val="24"/>
          <w:rtl/>
        </w:rPr>
        <w:t xml:space="preserve"> </w:t>
      </w:r>
      <w:r w:rsidR="00F50248">
        <w:rPr>
          <w:rFonts w:ascii="David" w:hAnsi="David" w:cs="David"/>
          <w:b/>
          <w:bCs/>
          <w:sz w:val="24"/>
          <w:rtl/>
        </w:rPr>
        <w:t>אלטורי נ' מדינת ישראל:</w:t>
      </w:r>
      <w:r w:rsidR="00F50248">
        <w:rPr>
          <w:rFonts w:ascii="David" w:hAnsi="David" w:cs="David"/>
          <w:sz w:val="24"/>
          <w:rtl/>
        </w:rPr>
        <w:t xml:space="preserve"> בית המשפט העליון התערב בעונש מאסר לתקופה ממושכת שהוטל על הנאשם בגין עבירה של עסקה אחרת בנשק והחזקת ונשיאת נשק ותחמושת והטיל עליו תשעה חודשי מאסר לריצוי בעבודות שירות. זאת, לאור תקופת מעצר ארוכה והליך שיקומי משמעותי שעבר לאחר המועד בו נגזר דינו.</w:t>
      </w:r>
    </w:p>
    <w:p w14:paraId="5DC3C5B2" w14:textId="77777777" w:rsidR="00F50248" w:rsidRDefault="006478FC" w:rsidP="00F50248">
      <w:pPr>
        <w:pStyle w:val="aa"/>
        <w:numPr>
          <w:ilvl w:val="0"/>
          <w:numId w:val="3"/>
        </w:numPr>
        <w:spacing w:after="0"/>
        <w:rPr>
          <w:rFonts w:ascii="David" w:hAnsi="David" w:cs="David"/>
          <w:sz w:val="24"/>
        </w:rPr>
      </w:pPr>
      <w:hyperlink r:id="rId20" w:history="1">
        <w:r w:rsidRPr="006478FC">
          <w:rPr>
            <w:rFonts w:ascii="David" w:hAnsi="David" w:cs="David"/>
            <w:color w:val="0000FF"/>
            <w:sz w:val="24"/>
            <w:u w:val="single"/>
            <w:rtl/>
          </w:rPr>
          <w:t>ת"פ 21720-03-17</w:t>
        </w:r>
      </w:hyperlink>
      <w:r w:rsidR="00F50248">
        <w:rPr>
          <w:rFonts w:ascii="David" w:hAnsi="David" w:cs="David"/>
          <w:sz w:val="24"/>
          <w:rtl/>
        </w:rPr>
        <w:t xml:space="preserve"> </w:t>
      </w:r>
      <w:r w:rsidR="00F50248">
        <w:rPr>
          <w:rFonts w:ascii="David" w:hAnsi="David" w:cs="David"/>
          <w:b/>
          <w:bCs/>
          <w:sz w:val="24"/>
          <w:rtl/>
        </w:rPr>
        <w:t>מדינת ישראל נ' אבו צעלוק:</w:t>
      </w:r>
      <w:r w:rsidR="00F50248">
        <w:rPr>
          <w:rFonts w:ascii="David" w:hAnsi="David" w:cs="David"/>
          <w:sz w:val="24"/>
          <w:rtl/>
        </w:rPr>
        <w:t xml:space="preserve"> הנאשם הורשע בהחזקת נשק, נקבע מתחם עונש של  9-30 חודשי מאסר ועל הנאשם הוטלו שישה חודשי מאסר בעבודות שירות לאחר שנקבע, כי מדובר במקרה חריג המצדיק סטייה מהמתחם משיקולי שיקומו.</w:t>
      </w:r>
    </w:p>
    <w:p w14:paraId="3A841BB3" w14:textId="77777777" w:rsidR="00F50248" w:rsidRDefault="006478FC" w:rsidP="00F50248">
      <w:pPr>
        <w:pStyle w:val="aa"/>
        <w:numPr>
          <w:ilvl w:val="0"/>
          <w:numId w:val="3"/>
        </w:numPr>
        <w:spacing w:after="0"/>
        <w:rPr>
          <w:rFonts w:ascii="David" w:hAnsi="David" w:cs="David"/>
          <w:sz w:val="24"/>
        </w:rPr>
      </w:pPr>
      <w:hyperlink r:id="rId21" w:history="1">
        <w:r w:rsidRPr="006478FC">
          <w:rPr>
            <w:rFonts w:ascii="David" w:hAnsi="David" w:cs="David"/>
            <w:color w:val="0000FF"/>
            <w:sz w:val="24"/>
            <w:u w:val="single"/>
            <w:rtl/>
          </w:rPr>
          <w:t>ע"פ 4332-21</w:t>
        </w:r>
      </w:hyperlink>
      <w:r w:rsidR="00F50248">
        <w:rPr>
          <w:rFonts w:ascii="David" w:hAnsi="David" w:cs="David"/>
          <w:b/>
          <w:bCs/>
          <w:sz w:val="24"/>
          <w:rtl/>
        </w:rPr>
        <w:t xml:space="preserve"> עאסלה נ' מדינת ישראל:</w:t>
      </w:r>
      <w:r w:rsidR="00F50248">
        <w:rPr>
          <w:rFonts w:ascii="David" w:hAnsi="David" w:cs="David"/>
          <w:sz w:val="24"/>
          <w:rtl/>
        </w:rPr>
        <w:t xml:space="preserve"> הנאשם הורשע בחזקת נשק ונדון ל-15 חודשי מאסר בפועל וענישה נלווית. בית המשפט העליון החליט להמיר את העונש לתשעה חודשי מאסר לריצוי בעבודות שירות משיקולי שיקומו של הנאשם.</w:t>
      </w:r>
    </w:p>
    <w:p w14:paraId="79277A4A" w14:textId="77777777" w:rsidR="00F50248" w:rsidRDefault="00F50248" w:rsidP="00F50248">
      <w:pPr>
        <w:rPr>
          <w:rFonts w:ascii="David" w:hAnsi="David"/>
        </w:rPr>
      </w:pPr>
    </w:p>
    <w:p w14:paraId="7A8B6808" w14:textId="77777777" w:rsidR="00F50248" w:rsidRDefault="00F50248" w:rsidP="00F50248">
      <w:pPr>
        <w:rPr>
          <w:rFonts w:ascii="David" w:hAnsi="David"/>
          <w:rtl/>
        </w:rPr>
      </w:pPr>
      <w:r>
        <w:rPr>
          <w:rFonts w:ascii="David" w:hAnsi="David"/>
          <w:rtl/>
        </w:rPr>
        <w:t>כן הפנתה ההגנה לפסקי דין נוספים בהם החליטו בתי המשפט לסטות ממתחם העונש ההולם משיקולי שיקומם של נאשמים.</w:t>
      </w:r>
    </w:p>
    <w:p w14:paraId="5123048C" w14:textId="77777777" w:rsidR="00F50248" w:rsidRDefault="00F50248" w:rsidP="00F50248">
      <w:pPr>
        <w:pStyle w:val="aa"/>
        <w:spacing w:after="0"/>
        <w:rPr>
          <w:rFonts w:ascii="David" w:hAnsi="David" w:cs="David"/>
          <w:sz w:val="24"/>
          <w:rtl/>
        </w:rPr>
      </w:pPr>
    </w:p>
    <w:p w14:paraId="477262A0" w14:textId="77777777" w:rsidR="00F50248" w:rsidRDefault="00F50248" w:rsidP="00F50248">
      <w:pPr>
        <w:pStyle w:val="aa"/>
        <w:spacing w:after="0"/>
        <w:rPr>
          <w:rFonts w:ascii="David" w:hAnsi="David" w:cs="David"/>
          <w:sz w:val="24"/>
          <w:rtl/>
        </w:rPr>
      </w:pPr>
    </w:p>
    <w:p w14:paraId="0A3E5FF5" w14:textId="77777777" w:rsidR="00F50248" w:rsidRDefault="00F50248" w:rsidP="00F50248">
      <w:pPr>
        <w:pStyle w:val="aa"/>
        <w:spacing w:after="0"/>
        <w:rPr>
          <w:rFonts w:ascii="David" w:hAnsi="David" w:cs="David"/>
          <w:sz w:val="24"/>
          <w:rtl/>
        </w:rPr>
      </w:pPr>
    </w:p>
    <w:p w14:paraId="15F3E697" w14:textId="77777777" w:rsidR="00F50248" w:rsidRDefault="00F50248" w:rsidP="00F50248">
      <w:pPr>
        <w:pStyle w:val="aa"/>
        <w:spacing w:after="0"/>
        <w:rPr>
          <w:rFonts w:ascii="David" w:hAnsi="David" w:cs="David"/>
          <w:sz w:val="24"/>
          <w:rtl/>
        </w:rPr>
      </w:pPr>
    </w:p>
    <w:p w14:paraId="48E1E541" w14:textId="77777777" w:rsidR="00F50248" w:rsidRDefault="00F50248" w:rsidP="00F50248">
      <w:pPr>
        <w:rPr>
          <w:rFonts w:ascii="David" w:hAnsi="David"/>
          <w:b/>
          <w:bCs/>
          <w:u w:val="single"/>
          <w:rtl/>
        </w:rPr>
      </w:pPr>
      <w:r>
        <w:rPr>
          <w:rFonts w:ascii="David" w:hAnsi="David"/>
          <w:b/>
          <w:bCs/>
          <w:u w:val="single"/>
          <w:rtl/>
        </w:rPr>
        <w:t>קביעת מתחם העונש ההולם:</w:t>
      </w:r>
    </w:p>
    <w:p w14:paraId="1D24C382" w14:textId="77777777" w:rsidR="00F50248" w:rsidRDefault="00F50248" w:rsidP="00F50248">
      <w:pPr>
        <w:rPr>
          <w:rFonts w:ascii="David" w:hAnsi="David"/>
          <w:b/>
          <w:bCs/>
          <w:u w:val="single"/>
          <w:rtl/>
        </w:rPr>
      </w:pPr>
    </w:p>
    <w:p w14:paraId="266D245A" w14:textId="77777777" w:rsidR="00F50248" w:rsidRDefault="00F50248" w:rsidP="00F50248">
      <w:pPr>
        <w:pStyle w:val="aa"/>
        <w:numPr>
          <w:ilvl w:val="0"/>
          <w:numId w:val="1"/>
        </w:numPr>
        <w:spacing w:after="0"/>
        <w:rPr>
          <w:rFonts w:ascii="David" w:hAnsi="David" w:cs="David"/>
          <w:sz w:val="24"/>
          <w:rtl/>
        </w:rPr>
      </w:pPr>
      <w:r>
        <w:rPr>
          <w:rFonts w:ascii="David" w:hAnsi="David" w:cs="David"/>
          <w:sz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4418472B" w14:textId="77777777" w:rsidR="00F50248" w:rsidRDefault="00F50248" w:rsidP="00F50248">
      <w:pPr>
        <w:pStyle w:val="aa"/>
        <w:spacing w:after="0"/>
        <w:ind w:left="360"/>
        <w:rPr>
          <w:rFonts w:ascii="David" w:hAnsi="David" w:cs="David"/>
          <w:sz w:val="24"/>
        </w:rPr>
      </w:pPr>
    </w:p>
    <w:p w14:paraId="726F187B" w14:textId="77777777" w:rsidR="00F50248" w:rsidRDefault="00F50248" w:rsidP="00F50248">
      <w:pPr>
        <w:pStyle w:val="aa"/>
        <w:numPr>
          <w:ilvl w:val="0"/>
          <w:numId w:val="1"/>
        </w:numPr>
        <w:spacing w:after="0"/>
        <w:rPr>
          <w:rFonts w:ascii="David" w:hAnsi="David" w:cs="David"/>
          <w:sz w:val="24"/>
        </w:rPr>
      </w:pPr>
      <w:r>
        <w:rPr>
          <w:rFonts w:ascii="David" w:hAnsi="David" w:cs="David"/>
          <w:color w:val="000000"/>
          <w:sz w:val="24"/>
          <w:rtl/>
        </w:rPr>
        <w:t xml:space="preserve">בתי המשפט חוזרים ומדגישים את החומרה המיוחדת שבהחזקה אסורה כלי נשק. המדובר בעבירות המצויות בבסיס מעשי טרור, חבלה, עבריינות מאורגנת, חיסולי חשבונות ואלימות רחוב שארצנו שטופה בהן. בתי המשפט, בכלל הערכאות, חוזרים ומצטטים את ההלכות הקוראות להחמרה בענישה בגין עבירות אלה, בשל הפגיעות הקשות בגוף, ברכוש, בנפש ובמשילות כתוצאה מהן ובגין פוטנציאל הפגיעות הגדול עוד יותר כתוצאה מאלה. </w:t>
      </w:r>
    </w:p>
    <w:p w14:paraId="2B0B1B0D" w14:textId="77777777" w:rsidR="00F50248" w:rsidRDefault="00F50248" w:rsidP="00F50248">
      <w:pPr>
        <w:pStyle w:val="aa"/>
        <w:rPr>
          <w:rFonts w:ascii="David" w:hAnsi="David" w:cs="David"/>
          <w:sz w:val="24"/>
        </w:rPr>
      </w:pPr>
    </w:p>
    <w:p w14:paraId="641978A5" w14:textId="77777777" w:rsidR="00F50248" w:rsidRDefault="00F50248" w:rsidP="00F50248">
      <w:pPr>
        <w:pStyle w:val="aa"/>
        <w:spacing w:after="0"/>
        <w:ind w:left="360"/>
        <w:rPr>
          <w:rFonts w:ascii="David" w:hAnsi="David" w:cs="David"/>
          <w:sz w:val="24"/>
          <w:rtl/>
        </w:rPr>
      </w:pPr>
      <w:r>
        <w:rPr>
          <w:rFonts w:ascii="David" w:hAnsi="David" w:cs="David"/>
          <w:sz w:val="24"/>
          <w:rtl/>
        </w:rPr>
        <w:t xml:space="preserve">אף לאחרונה חזרו הערכאות המנחות וקבעו מדיניות ענישה עקרונית של מאסר מאחורי סורג ובריח בגין עבירות אלה, גם כשמדובר בצעירים ללא הרשעות קודמות, ובכך הנחו את הערכאות הדיוניות להעלות בהדרגה את רף הענישה בפועל. </w:t>
      </w:r>
    </w:p>
    <w:p w14:paraId="40363140" w14:textId="77777777" w:rsidR="00F50248" w:rsidRDefault="00F50248" w:rsidP="00F50248">
      <w:pPr>
        <w:pStyle w:val="aa"/>
        <w:spacing w:after="0"/>
        <w:ind w:left="360"/>
        <w:rPr>
          <w:rFonts w:ascii="David" w:hAnsi="David" w:cs="David"/>
          <w:sz w:val="24"/>
          <w:rtl/>
        </w:rPr>
      </w:pPr>
    </w:p>
    <w:p w14:paraId="7A0C3FE2" w14:textId="77777777" w:rsidR="00F50248" w:rsidRDefault="00F50248" w:rsidP="00F50248">
      <w:pPr>
        <w:pStyle w:val="aa"/>
        <w:spacing w:after="0"/>
        <w:ind w:left="360"/>
        <w:rPr>
          <w:rFonts w:ascii="David" w:hAnsi="David" w:cs="David"/>
          <w:b/>
          <w:bCs/>
          <w:sz w:val="24"/>
          <w:shd w:val="clear" w:color="auto" w:fill="FFFFFF"/>
          <w:rtl/>
        </w:rPr>
      </w:pPr>
      <w:r>
        <w:rPr>
          <w:rFonts w:ascii="David" w:hAnsi="David" w:cs="David"/>
          <w:sz w:val="24"/>
          <w:rtl/>
        </w:rPr>
        <w:t xml:space="preserve">ראו, למשל, </w:t>
      </w:r>
      <w:hyperlink r:id="rId22" w:history="1">
        <w:r w:rsidR="006478FC" w:rsidRPr="006478FC">
          <w:rPr>
            <w:rFonts w:ascii="David" w:hAnsi="David" w:cs="David"/>
            <w:color w:val="0000FF"/>
            <w:sz w:val="24"/>
            <w:u w:val="single"/>
            <w:shd w:val="clear" w:color="auto" w:fill="FFFFFF"/>
            <w:rtl/>
          </w:rPr>
          <w:t>ע"פ 2482-22</w:t>
        </w:r>
      </w:hyperlink>
      <w:r>
        <w:rPr>
          <w:rFonts w:ascii="David" w:hAnsi="David" w:cs="David"/>
          <w:sz w:val="24"/>
          <w:shd w:val="clear" w:color="auto" w:fill="FFFFFF"/>
          <w:rtl/>
        </w:rPr>
        <w:t xml:space="preserve"> </w:t>
      </w:r>
      <w:r>
        <w:rPr>
          <w:rFonts w:ascii="David" w:hAnsi="David" w:cs="David"/>
          <w:b/>
          <w:bCs/>
          <w:sz w:val="24"/>
          <w:shd w:val="clear" w:color="auto" w:fill="FFFFFF"/>
          <w:rtl/>
        </w:rPr>
        <w:t xml:space="preserve">מדינת ישראל נ' אחמד קדורה: </w:t>
      </w:r>
    </w:p>
    <w:p w14:paraId="42FBC6EC" w14:textId="77777777" w:rsidR="00F50248" w:rsidRDefault="00F50248" w:rsidP="00F50248">
      <w:pPr>
        <w:pStyle w:val="aa"/>
        <w:spacing w:after="0"/>
        <w:ind w:left="360"/>
        <w:rPr>
          <w:rFonts w:ascii="David" w:hAnsi="David" w:cs="David"/>
          <w:b/>
          <w:bCs/>
          <w:sz w:val="24"/>
          <w:shd w:val="clear" w:color="auto" w:fill="FFFFFF"/>
          <w:rtl/>
        </w:rPr>
      </w:pPr>
    </w:p>
    <w:p w14:paraId="500B3575" w14:textId="77777777" w:rsidR="00F50248" w:rsidRDefault="00F50248" w:rsidP="00F50248">
      <w:pPr>
        <w:pStyle w:val="aa"/>
        <w:spacing w:after="0"/>
        <w:ind w:left="935" w:right="851"/>
        <w:rPr>
          <w:rFonts w:ascii="David" w:hAnsi="David" w:cs="David"/>
          <w:b/>
          <w:bCs/>
          <w:sz w:val="24"/>
          <w:rtl/>
        </w:rPr>
      </w:pPr>
      <w:r>
        <w:rPr>
          <w:rFonts w:ascii="David" w:hAnsi="David" w:cs="David"/>
          <w:b/>
          <w:bCs/>
          <w:sz w:val="24"/>
          <w:shd w:val="clear" w:color="auto" w:fill="FFFFFF"/>
          <w:rtl/>
        </w:rPr>
        <w:t>"[בית המשפט] כבר עמד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 ידע כל מי שמחזיק בנשק בלתי חוקי כי צפוי הוא להיענש בחומרה, בבחינת "אם מחזיקים – למאסר נשלחים</w:t>
      </w:r>
      <w:r>
        <w:rPr>
          <w:rFonts w:ascii="David" w:hAnsi="David" w:cs="David"/>
          <w:b/>
          <w:bCs/>
          <w:sz w:val="24"/>
          <w:shd w:val="clear" w:color="auto" w:fill="FFFFFF"/>
        </w:rPr>
        <w:t>"</w:t>
      </w:r>
      <w:r>
        <w:rPr>
          <w:rFonts w:ascii="David" w:hAnsi="David" w:cs="David"/>
          <w:b/>
          <w:bCs/>
          <w:sz w:val="24"/>
          <w:rtl/>
        </w:rPr>
        <w:t>".</w:t>
      </w:r>
    </w:p>
    <w:p w14:paraId="590EAEA8" w14:textId="77777777" w:rsidR="00F50248" w:rsidRDefault="00F50248" w:rsidP="00F50248">
      <w:pPr>
        <w:ind w:right="851"/>
        <w:rPr>
          <w:rFonts w:ascii="David" w:hAnsi="David"/>
          <w:b/>
          <w:bCs/>
          <w:rtl/>
        </w:rPr>
      </w:pPr>
    </w:p>
    <w:p w14:paraId="234F451D" w14:textId="77777777" w:rsidR="00F50248" w:rsidRDefault="00F50248" w:rsidP="00F50248">
      <w:pPr>
        <w:ind w:left="368" w:right="851"/>
        <w:rPr>
          <w:rFonts w:ascii="David" w:hAnsi="David"/>
          <w:color w:val="000000"/>
          <w:rtl/>
        </w:rPr>
      </w:pPr>
      <w:r>
        <w:rPr>
          <w:rFonts w:ascii="David" w:hAnsi="David"/>
          <w:rtl/>
        </w:rPr>
        <w:t xml:space="preserve">ראו גם </w:t>
      </w:r>
      <w:hyperlink r:id="rId23" w:history="1">
        <w:r w:rsidR="006478FC" w:rsidRPr="006478FC">
          <w:rPr>
            <w:rFonts w:ascii="David" w:hAnsi="David"/>
            <w:color w:val="0000FF"/>
            <w:u w:val="single"/>
            <w:rtl/>
          </w:rPr>
          <w:t>עפ"ג 2024-04-21</w:t>
        </w:r>
      </w:hyperlink>
      <w:r w:rsidR="006478FC">
        <w:rPr>
          <w:rFonts w:ascii="David" w:hAnsi="David"/>
          <w:color w:val="000000"/>
          <w:rtl/>
        </w:rPr>
        <w:t xml:space="preserve"> </w:t>
      </w:r>
      <w:r>
        <w:rPr>
          <w:rFonts w:ascii="David" w:hAnsi="David"/>
          <w:b/>
          <w:bCs/>
          <w:color w:val="000000"/>
          <w:rtl/>
        </w:rPr>
        <w:t>מדינת ישראל נ' מנדורי</w:t>
      </w:r>
      <w:r>
        <w:rPr>
          <w:rFonts w:ascii="David" w:hAnsi="David"/>
          <w:color w:val="000000"/>
          <w:rtl/>
        </w:rPr>
        <w:t xml:space="preserve">: </w:t>
      </w:r>
    </w:p>
    <w:p w14:paraId="331B3A75" w14:textId="77777777" w:rsidR="00F50248" w:rsidRDefault="00F50248" w:rsidP="00F50248">
      <w:pPr>
        <w:ind w:left="368" w:right="851"/>
        <w:rPr>
          <w:rFonts w:ascii="David" w:hAnsi="David"/>
          <w:color w:val="000000"/>
          <w:rtl/>
        </w:rPr>
      </w:pPr>
    </w:p>
    <w:p w14:paraId="369E7AF0" w14:textId="77777777" w:rsidR="00F50248" w:rsidRDefault="00F50248" w:rsidP="00F50248">
      <w:pPr>
        <w:spacing w:line="360" w:lineRule="auto"/>
        <w:ind w:left="935" w:right="851"/>
        <w:jc w:val="both"/>
        <w:rPr>
          <w:rFonts w:ascii="David" w:hAnsi="David"/>
          <w:b/>
          <w:bCs/>
          <w:rtl/>
        </w:rPr>
      </w:pPr>
      <w:r>
        <w:rPr>
          <w:rFonts w:ascii="David" w:hAnsi="David"/>
          <w:b/>
          <w:bCs/>
          <w:color w:val="000000"/>
          <w:rtl/>
        </w:rPr>
        <w:t>"בית המשפט העליון נקט בשנים האחרונות מגמה מוצהרת של החמרה בענישה בעבירות נשק, ועמד על כך פעמים רבות בשורה ארוכה של פסקי דין. כך גם בתי משפט השלום ובתי המשפט המחוזיים עליהם נמנה בית משפט זה; כל זאת על מנת למגר את התופעה הקשה והחמורה של שימוש בנשק, כאמצעי לפתרון סכסוכים או לשם ביצוע עבירות אלימות קשות. מאבק זה אמור לבוא לידי ביטוי בהטלת ענישה מחמירה הכוללת מאסר של ממש לתקופות ממושכות גם על אלה המחזיקים נשק באופן לא חוקי, ולא רק על מבצעי עבירות בנשק ברף גבוה יותר של חומרה</w:t>
      </w:r>
      <w:r>
        <w:rPr>
          <w:rFonts w:ascii="David" w:hAnsi="David"/>
          <w:b/>
          <w:bCs/>
          <w:color w:val="000000"/>
        </w:rPr>
        <w:t>."</w:t>
      </w:r>
    </w:p>
    <w:p w14:paraId="78DF1A42" w14:textId="77777777" w:rsidR="00F50248" w:rsidRDefault="00F50248" w:rsidP="00F50248">
      <w:pPr>
        <w:ind w:right="851"/>
        <w:rPr>
          <w:rFonts w:ascii="David" w:hAnsi="David"/>
        </w:rPr>
      </w:pPr>
    </w:p>
    <w:p w14:paraId="21FF4459" w14:textId="77777777" w:rsidR="00F50248" w:rsidRDefault="00F50248" w:rsidP="00F50248">
      <w:pPr>
        <w:ind w:left="226" w:right="851"/>
        <w:rPr>
          <w:rFonts w:ascii="David" w:hAnsi="David"/>
          <w:rtl/>
        </w:rPr>
      </w:pPr>
      <w:r>
        <w:rPr>
          <w:rFonts w:ascii="David" w:hAnsi="David"/>
          <w:rtl/>
        </w:rPr>
        <w:t>ראו עוד ב</w:t>
      </w:r>
      <w:hyperlink r:id="rId24" w:history="1">
        <w:r w:rsidR="006478FC" w:rsidRPr="006478FC">
          <w:rPr>
            <w:rFonts w:ascii="David" w:hAnsi="David"/>
            <w:color w:val="0000FF"/>
            <w:u w:val="single"/>
            <w:rtl/>
          </w:rPr>
          <w:t>רע"פ 3619/21</w:t>
        </w:r>
      </w:hyperlink>
      <w:r>
        <w:rPr>
          <w:rFonts w:ascii="David" w:hAnsi="David"/>
          <w:rtl/>
        </w:rPr>
        <w:t xml:space="preserve"> </w:t>
      </w:r>
      <w:r>
        <w:rPr>
          <w:rFonts w:ascii="David" w:hAnsi="David"/>
          <w:b/>
          <w:bCs/>
          <w:rtl/>
        </w:rPr>
        <w:t>אבו הלאל נ' מדינת ישראל:</w:t>
      </w:r>
      <w:r>
        <w:rPr>
          <w:rFonts w:ascii="David" w:hAnsi="David"/>
          <w:rtl/>
        </w:rPr>
        <w:t xml:space="preserve"> </w:t>
      </w:r>
    </w:p>
    <w:p w14:paraId="58EDD33C" w14:textId="77777777" w:rsidR="00F50248" w:rsidRDefault="00F50248" w:rsidP="00F50248">
      <w:pPr>
        <w:ind w:left="226" w:right="851"/>
        <w:rPr>
          <w:rFonts w:ascii="David" w:hAnsi="David"/>
          <w:rtl/>
        </w:rPr>
      </w:pPr>
    </w:p>
    <w:p w14:paraId="36CD9AE2" w14:textId="77777777" w:rsidR="00F50248" w:rsidRDefault="00F50248" w:rsidP="00F50248">
      <w:pPr>
        <w:spacing w:line="360" w:lineRule="auto"/>
        <w:ind w:left="935" w:right="851"/>
        <w:jc w:val="both"/>
        <w:rPr>
          <w:rFonts w:ascii="David" w:hAnsi="David"/>
          <w:b/>
          <w:bCs/>
          <w:rtl/>
        </w:rPr>
      </w:pPr>
      <w:r>
        <w:rPr>
          <w:rFonts w:ascii="David" w:hAnsi="David"/>
          <w:b/>
          <w:bCs/>
          <w:rtl/>
        </w:rPr>
        <w:t>"אנו עדים פעם אחר פעם לשכיחותן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25" w:history="1">
        <w:r w:rsidR="006478FC" w:rsidRPr="006478FC">
          <w:rPr>
            <w:rFonts w:ascii="David" w:hAnsi="David"/>
            <w:b/>
            <w:bCs/>
            <w:color w:val="0000FF"/>
            <w:u w:val="single"/>
            <w:rtl/>
          </w:rPr>
          <w:t>רע"פ 5613/20</w:t>
        </w:r>
      </w:hyperlink>
      <w:r>
        <w:rPr>
          <w:rFonts w:ascii="David" w:hAnsi="David"/>
          <w:b/>
          <w:bCs/>
          <w:rtl/>
        </w:rPr>
        <w:t xml:space="preserve"> אלהוזייל נ' מדינת ישראל; </w:t>
      </w:r>
      <w:hyperlink r:id="rId26" w:history="1">
        <w:r w:rsidR="006478FC" w:rsidRPr="006478FC">
          <w:rPr>
            <w:rFonts w:ascii="David" w:hAnsi="David"/>
            <w:b/>
            <w:bCs/>
            <w:color w:val="0000FF"/>
            <w:u w:val="single"/>
            <w:rtl/>
          </w:rPr>
          <w:t>רע"פ 4065/18</w:t>
        </w:r>
      </w:hyperlink>
      <w:r>
        <w:rPr>
          <w:rFonts w:ascii="David" w:hAnsi="David"/>
          <w:b/>
          <w:bCs/>
          <w:rtl/>
        </w:rPr>
        <w:t xml:space="preserve"> איאסו נ' מדינת ישראל)".</w:t>
      </w:r>
    </w:p>
    <w:p w14:paraId="08BBB422" w14:textId="77777777" w:rsidR="00F50248" w:rsidRDefault="00F50248" w:rsidP="00F50248">
      <w:pPr>
        <w:pStyle w:val="aa"/>
        <w:spacing w:after="0"/>
        <w:ind w:left="1218" w:right="851"/>
        <w:rPr>
          <w:rFonts w:ascii="David" w:hAnsi="David" w:cs="David"/>
          <w:sz w:val="24"/>
        </w:rPr>
      </w:pPr>
    </w:p>
    <w:p w14:paraId="23FA42A3" w14:textId="77777777" w:rsidR="00F50248" w:rsidRDefault="00F50248" w:rsidP="00F50248">
      <w:pPr>
        <w:pStyle w:val="aa"/>
        <w:numPr>
          <w:ilvl w:val="0"/>
          <w:numId w:val="1"/>
        </w:numPr>
        <w:tabs>
          <w:tab w:val="left" w:pos="8164"/>
        </w:tabs>
        <w:spacing w:after="0"/>
        <w:ind w:right="142"/>
        <w:rPr>
          <w:rFonts w:ascii="David" w:hAnsi="David" w:cs="David"/>
          <w:sz w:val="24"/>
          <w:shd w:val="clear" w:color="auto" w:fill="FFFFFF"/>
        </w:rPr>
      </w:pPr>
      <w:r>
        <w:rPr>
          <w:rFonts w:ascii="David" w:hAnsi="David" w:cs="David"/>
          <w:sz w:val="24"/>
          <w:shd w:val="clear" w:color="auto" w:fill="FFFFFF"/>
          <w:rtl/>
        </w:rPr>
        <w:t>המחוקק הורה, כי העיקרון המנחה בענישה הינו "הלימה". "הלימה" זו שתי משמעויות לה: האחת, שיקול הגמול ולפיו העבריין ייענש בהתאמה למידת הרוע במעשיו.  השנייה, מתן ביטוי מוחשי לחשיבות הערכים המוגנים שנפגעו, כשיקוף לעמדתה הערכית של החברה הישראלית הנורמטיבית, המתבטאת בקולו של המחוקק.</w:t>
      </w:r>
    </w:p>
    <w:p w14:paraId="52DB293A" w14:textId="77777777" w:rsidR="00F50248" w:rsidRDefault="00F50248" w:rsidP="00F50248">
      <w:pPr>
        <w:pStyle w:val="aa"/>
        <w:tabs>
          <w:tab w:val="left" w:pos="8164"/>
        </w:tabs>
        <w:spacing w:after="0"/>
        <w:ind w:left="360" w:right="142"/>
        <w:rPr>
          <w:rFonts w:ascii="David" w:hAnsi="David" w:cs="David"/>
          <w:sz w:val="24"/>
          <w:shd w:val="clear" w:color="auto" w:fill="FFFFFF"/>
        </w:rPr>
      </w:pPr>
    </w:p>
    <w:p w14:paraId="3CC970E2" w14:textId="77777777" w:rsidR="00F50248" w:rsidRDefault="00F50248" w:rsidP="00F50248">
      <w:pPr>
        <w:pStyle w:val="aa"/>
        <w:numPr>
          <w:ilvl w:val="0"/>
          <w:numId w:val="1"/>
        </w:numPr>
        <w:spacing w:after="0"/>
        <w:ind w:right="142"/>
        <w:rPr>
          <w:rFonts w:ascii="David" w:hAnsi="David" w:cs="David"/>
          <w:sz w:val="24"/>
          <w:rtl/>
        </w:rPr>
      </w:pPr>
      <w:r>
        <w:rPr>
          <w:rFonts w:ascii="David" w:hAnsi="David" w:cs="David"/>
          <w:sz w:val="24"/>
          <w:shd w:val="clear" w:color="auto" w:fill="FFFFFF"/>
          <w:rtl/>
        </w:rPr>
        <w:t xml:space="preserve">כאמור, העבירה של החזקת נשק הוגדרה זה מכבר כ"מכת מדינה" וכן כ"מכת אזור" שפגיעתה בשלום הציבור ובטחונו היא קשה. </w:t>
      </w:r>
    </w:p>
    <w:p w14:paraId="16FC6DA3" w14:textId="77777777" w:rsidR="00F50248" w:rsidRDefault="00F50248" w:rsidP="00F50248">
      <w:pPr>
        <w:pStyle w:val="aa"/>
        <w:spacing w:after="0"/>
        <w:ind w:left="360" w:right="142"/>
        <w:rPr>
          <w:rFonts w:ascii="David" w:hAnsi="David" w:cs="David"/>
          <w:sz w:val="24"/>
          <w:shd w:val="clear" w:color="auto" w:fill="FFFFFF"/>
        </w:rPr>
      </w:pPr>
      <w:r>
        <w:rPr>
          <w:rFonts w:ascii="David" w:hAnsi="David" w:cs="David"/>
          <w:sz w:val="24"/>
          <w:shd w:val="clear" w:color="auto" w:fill="FFFFFF"/>
          <w:rtl/>
        </w:rPr>
        <w:t xml:space="preserve">התופעה הנרחבת הנפרסת בפני בתי המשפט מדי יום ביומו, כוללת  גם מקרים רבים של צעירים, נורמטיביים בדרך כלל באורחות חייהם, ללא הרשעות קודמות, המחזיקים ומסתירים כלי נשק בלתי חוקיים לבקשת בני משפחה, חברים או קרובים אחרים. למרבה הצער, נסיבותיו של הנאשם שבפניי אינן חריגות כלל. </w:t>
      </w:r>
    </w:p>
    <w:p w14:paraId="6D06D064" w14:textId="77777777" w:rsidR="00F50248" w:rsidRDefault="00F50248" w:rsidP="00F50248">
      <w:pPr>
        <w:pStyle w:val="aa"/>
        <w:spacing w:after="0"/>
        <w:ind w:left="360" w:right="142"/>
        <w:rPr>
          <w:rFonts w:ascii="David" w:hAnsi="David" w:cs="David"/>
          <w:sz w:val="24"/>
          <w:shd w:val="clear" w:color="auto" w:fill="FFFFFF"/>
          <w:rtl/>
        </w:rPr>
      </w:pPr>
    </w:p>
    <w:p w14:paraId="397585CA" w14:textId="77777777" w:rsidR="00F50248" w:rsidRDefault="00F50248" w:rsidP="00F50248">
      <w:pPr>
        <w:pStyle w:val="aa"/>
        <w:spacing w:after="0"/>
        <w:ind w:left="360" w:right="142"/>
        <w:rPr>
          <w:rFonts w:ascii="David" w:hAnsi="David" w:cs="David"/>
          <w:sz w:val="24"/>
          <w:shd w:val="clear" w:color="auto" w:fill="FFFFFF"/>
          <w:rtl/>
        </w:rPr>
      </w:pPr>
      <w:r>
        <w:rPr>
          <w:rFonts w:ascii="David" w:hAnsi="David" w:cs="David"/>
          <w:sz w:val="24"/>
          <w:shd w:val="clear" w:color="auto" w:fill="FFFFFF"/>
          <w:rtl/>
        </w:rPr>
        <w:t>משכך, ההפניה אל נסיבות ההחזקה והרקע להחזקה במקרה זה, כאל נתונים מקלים בבחינת "הנסיבות הקשורות בביצוע העבירה" המשפיעות על מתחם הענישה, לא יכולה לשמש עוד, בתקופה בה אנו חיים, בסיס לקביעת מתחת ענישה מקל.</w:t>
      </w:r>
    </w:p>
    <w:p w14:paraId="6C9A5ACA" w14:textId="77777777" w:rsidR="00F50248" w:rsidRDefault="00F50248" w:rsidP="00F50248">
      <w:pPr>
        <w:pStyle w:val="aa"/>
        <w:spacing w:after="0"/>
        <w:ind w:left="360" w:right="142"/>
        <w:rPr>
          <w:rFonts w:ascii="David" w:hAnsi="David" w:cs="David"/>
          <w:sz w:val="24"/>
          <w:shd w:val="clear" w:color="auto" w:fill="FFFFFF"/>
          <w:rtl/>
        </w:rPr>
      </w:pPr>
    </w:p>
    <w:p w14:paraId="7899F15D" w14:textId="77777777" w:rsidR="00F50248" w:rsidRDefault="00F50248" w:rsidP="00F50248">
      <w:pPr>
        <w:pStyle w:val="aa"/>
        <w:spacing w:after="0"/>
        <w:ind w:left="360" w:right="142"/>
        <w:rPr>
          <w:rFonts w:ascii="David" w:hAnsi="David" w:cs="David"/>
          <w:sz w:val="24"/>
          <w:shd w:val="clear" w:color="auto" w:fill="FFFFFF"/>
          <w:rtl/>
        </w:rPr>
      </w:pPr>
      <w:r>
        <w:rPr>
          <w:rFonts w:ascii="David" w:hAnsi="David" w:cs="David"/>
          <w:sz w:val="24"/>
          <w:shd w:val="clear" w:color="auto" w:fill="FFFFFF"/>
          <w:rtl/>
        </w:rPr>
        <w:t>ודוקו: בית המשפט מבחין, כמצוות המחוקק, בין שיקולים אותם יש לשקול בקביעת מתחם הענישה ובין שיקולים הנשקלים על פי החוק בקביעת העונש המתאים בתוך המתחם.</w:t>
      </w:r>
    </w:p>
    <w:p w14:paraId="44CD71E6" w14:textId="77777777" w:rsidR="00F50248" w:rsidRDefault="00F50248" w:rsidP="00F50248">
      <w:pPr>
        <w:pStyle w:val="aa"/>
        <w:spacing w:after="0"/>
        <w:ind w:left="360" w:right="142"/>
        <w:rPr>
          <w:rFonts w:ascii="David" w:hAnsi="David" w:cs="David"/>
          <w:sz w:val="24"/>
          <w:shd w:val="clear" w:color="auto" w:fill="FFFFFF"/>
          <w:rtl/>
        </w:rPr>
      </w:pPr>
    </w:p>
    <w:p w14:paraId="18975ACD" w14:textId="77777777" w:rsidR="00F50248" w:rsidRDefault="00F50248" w:rsidP="00F50248">
      <w:pPr>
        <w:pStyle w:val="aa"/>
        <w:spacing w:after="0"/>
        <w:ind w:left="360" w:right="142"/>
        <w:rPr>
          <w:rFonts w:ascii="David" w:hAnsi="David" w:cs="David"/>
          <w:sz w:val="24"/>
          <w:shd w:val="clear" w:color="auto" w:fill="FFFFFF"/>
          <w:rtl/>
        </w:rPr>
      </w:pPr>
      <w:r>
        <w:rPr>
          <w:rFonts w:ascii="David" w:hAnsi="David" w:cs="David"/>
          <w:sz w:val="24"/>
          <w:shd w:val="clear" w:color="auto" w:fill="FFFFFF"/>
          <w:rtl/>
        </w:rPr>
        <w:t xml:space="preserve">בבחינת מידת הפגיעה בערכים המוגנים, מידת הנזק שנגרם כתוצאה ממעשה העבירה, ומידת פוטנציאל הנזק – שיקולים אותם שוקל בית המשפט בקביעת המתחם הענישה – נבחנים מעשים פליליים גם בהקשר הסביבתי והתקופתי שלהם. תפקידה של הערכאה הדיונית לתרגם את ההנחיות הנורמטיביות של המחוקק ושל הערכאות ערכאות הערעור, תרגום מעשי המתבטא בסעדים הניתנים בהחלטות ובפסקי הדין בפועל. </w:t>
      </w:r>
    </w:p>
    <w:p w14:paraId="01832093" w14:textId="77777777" w:rsidR="00F50248" w:rsidRDefault="00F50248" w:rsidP="00F50248">
      <w:pPr>
        <w:pStyle w:val="aa"/>
        <w:spacing w:after="0"/>
        <w:ind w:left="360" w:right="142"/>
        <w:rPr>
          <w:rFonts w:ascii="David" w:hAnsi="David" w:cs="David"/>
          <w:sz w:val="24"/>
          <w:shd w:val="clear" w:color="auto" w:fill="FFFFFF"/>
          <w:rtl/>
        </w:rPr>
      </w:pPr>
    </w:p>
    <w:p w14:paraId="1E85606D" w14:textId="77777777" w:rsidR="00F50248" w:rsidRDefault="00F50248" w:rsidP="00F50248">
      <w:pPr>
        <w:pStyle w:val="aa"/>
        <w:spacing w:after="0"/>
        <w:ind w:left="360" w:right="142"/>
        <w:rPr>
          <w:rFonts w:ascii="David" w:hAnsi="David" w:cs="David"/>
          <w:sz w:val="24"/>
          <w:shd w:val="clear" w:color="auto" w:fill="FFFFFF"/>
          <w:rtl/>
        </w:rPr>
      </w:pPr>
      <w:r>
        <w:rPr>
          <w:rFonts w:ascii="David" w:hAnsi="David" w:cs="David"/>
          <w:sz w:val="24"/>
          <w:shd w:val="clear" w:color="auto" w:fill="FFFFFF"/>
          <w:rtl/>
        </w:rPr>
        <w:t>המשמעות המעשית של הגדרת תופעת החזקת הנשק הלא חוקית, על כל שרשרת ההחזקה וחוליותיה, כ"מכת מדינה" היא, שבתקופת דמים זו שמדינת ישראל שרויה בה, ואזרחים חפים מפשע נפגעים ממנה, החזקת נשק גם בנסיבות שבעבר היו יכולות לה</w:t>
      </w:r>
      <w:r>
        <w:rPr>
          <w:rFonts w:ascii="David" w:hAnsi="David" w:cs="David" w:hint="cs"/>
          <w:sz w:val="24"/>
          <w:shd w:val="clear" w:color="auto" w:fill="FFFFFF"/>
          <w:rtl/>
        </w:rPr>
        <w:t>י</w:t>
      </w:r>
      <w:r>
        <w:rPr>
          <w:rFonts w:ascii="David" w:hAnsi="David" w:cs="David"/>
          <w:sz w:val="24"/>
          <w:shd w:val="clear" w:color="auto" w:fill="FFFFFF"/>
          <w:rtl/>
        </w:rPr>
        <w:t>חשב כ'מקלות', מהווה פגיעה חמורה ביותר בערכים המוגנים, ופוטנציאל הנזק גם בגין החזקה שכזו גדול מאד.</w:t>
      </w:r>
    </w:p>
    <w:p w14:paraId="7DD0F1D6" w14:textId="77777777" w:rsidR="00F50248" w:rsidRDefault="00F50248" w:rsidP="00F50248">
      <w:pPr>
        <w:pStyle w:val="aa"/>
        <w:spacing w:after="0"/>
        <w:ind w:left="360" w:right="142"/>
        <w:rPr>
          <w:rFonts w:ascii="David" w:hAnsi="David" w:cs="David"/>
          <w:sz w:val="24"/>
          <w:shd w:val="clear" w:color="auto" w:fill="FFFFFF"/>
          <w:rtl/>
        </w:rPr>
      </w:pPr>
      <w:r>
        <w:rPr>
          <w:rFonts w:ascii="David" w:hAnsi="David" w:cs="David"/>
          <w:sz w:val="24"/>
          <w:shd w:val="clear" w:color="auto" w:fill="FFFFFF"/>
          <w:rtl/>
        </w:rPr>
        <w:t>עובדות אלה, שכל אזרח בישראל נחשף אליהן מדי יום, חייבות לקבל ביטוי בקביעת מתחם העונש ההולם.</w:t>
      </w:r>
    </w:p>
    <w:p w14:paraId="53DAABF2" w14:textId="77777777" w:rsidR="00F50248" w:rsidRDefault="00F50248" w:rsidP="00F50248">
      <w:pPr>
        <w:pStyle w:val="aa"/>
        <w:spacing w:after="0"/>
        <w:ind w:left="360"/>
        <w:rPr>
          <w:rFonts w:ascii="David" w:hAnsi="David" w:cs="David"/>
          <w:sz w:val="24"/>
          <w:rtl/>
        </w:rPr>
      </w:pPr>
    </w:p>
    <w:p w14:paraId="07033544" w14:textId="77777777" w:rsidR="00F50248" w:rsidRDefault="00F50248" w:rsidP="00F50248">
      <w:pPr>
        <w:pStyle w:val="aa"/>
        <w:numPr>
          <w:ilvl w:val="0"/>
          <w:numId w:val="1"/>
        </w:numPr>
        <w:spacing w:after="0"/>
        <w:rPr>
          <w:rFonts w:ascii="David" w:hAnsi="David" w:cs="David"/>
          <w:sz w:val="24"/>
          <w:rtl/>
        </w:rPr>
      </w:pPr>
      <w:r>
        <w:rPr>
          <w:rFonts w:ascii="David" w:hAnsi="David" w:cs="David"/>
          <w:sz w:val="24"/>
          <w:rtl/>
        </w:rPr>
        <w:t>בצד האמור לעיל, מוסכם עליי, כי קיימות נסיבות חמורות הרבה יותר של החזקת נשק. במקרה זה מדובר ברובה בודד, שהוחזק ללא תחמושת, שלא במצב 'מוכן לירי', החזקה שעל פי העובדות המוסכמות איננה ארוכה בזמן, והנשק לא הוחזק בתנאי הפקרה מסוכנים.</w:t>
      </w:r>
    </w:p>
    <w:p w14:paraId="211F16B8" w14:textId="77777777" w:rsidR="00F50248" w:rsidRDefault="00F50248" w:rsidP="00F50248">
      <w:pPr>
        <w:pStyle w:val="aa"/>
        <w:spacing w:after="0"/>
        <w:ind w:left="360"/>
        <w:rPr>
          <w:rFonts w:ascii="David" w:hAnsi="David" w:cs="David"/>
          <w:sz w:val="24"/>
          <w:rtl/>
        </w:rPr>
      </w:pPr>
    </w:p>
    <w:p w14:paraId="40B76058" w14:textId="77777777" w:rsidR="00F50248" w:rsidRDefault="00F50248" w:rsidP="00F50248">
      <w:pPr>
        <w:pStyle w:val="aa"/>
        <w:spacing w:after="0"/>
        <w:ind w:left="360"/>
        <w:rPr>
          <w:rFonts w:ascii="David" w:hAnsi="David" w:cs="David"/>
          <w:sz w:val="24"/>
          <w:rtl/>
        </w:rPr>
      </w:pPr>
      <w:r>
        <w:rPr>
          <w:rFonts w:ascii="David" w:hAnsi="David" w:cs="David"/>
          <w:sz w:val="24"/>
          <w:rtl/>
        </w:rPr>
        <w:t>עם זאת, גם לא מדובר בנסיבות החזקה שהן ברף הנמוך ביותר:  המדובר בנשק מוסב, דבר הטומן בחובו גם מרכיב בטיחותי, הרובה הוא דמוי 16</w:t>
      </w:r>
      <w:r>
        <w:rPr>
          <w:rFonts w:ascii="David" w:hAnsi="David" w:cs="David"/>
          <w:sz w:val="24"/>
        </w:rPr>
        <w:t>M</w:t>
      </w:r>
      <w:r>
        <w:rPr>
          <w:rFonts w:ascii="David" w:hAnsi="David" w:cs="David"/>
          <w:sz w:val="24"/>
          <w:rtl/>
        </w:rPr>
        <w:t xml:space="preserve"> הכולל גם חלקים תקניים, על כל המשתמע מכך לעניין מקורם.  הנשק לא הוחזק בתנאי בטיחות הולמים ומוקפדים אלא בתוך מחסן נעול בחצר בית הוריו של הנאשם, מקום בו מתגוררים בני משפחה רבים.</w:t>
      </w:r>
    </w:p>
    <w:p w14:paraId="55F7DF18" w14:textId="77777777" w:rsidR="00F50248" w:rsidRDefault="00F50248" w:rsidP="00F50248">
      <w:pPr>
        <w:pStyle w:val="aa"/>
        <w:spacing w:after="0"/>
        <w:ind w:left="360"/>
        <w:rPr>
          <w:rFonts w:ascii="David" w:hAnsi="David" w:cs="David"/>
          <w:sz w:val="24"/>
          <w:rtl/>
        </w:rPr>
      </w:pPr>
    </w:p>
    <w:p w14:paraId="21366E5E" w14:textId="77777777" w:rsidR="00F50248" w:rsidRDefault="00F50248" w:rsidP="00F50248">
      <w:pPr>
        <w:pStyle w:val="aa"/>
        <w:numPr>
          <w:ilvl w:val="0"/>
          <w:numId w:val="1"/>
        </w:numPr>
        <w:spacing w:after="0"/>
        <w:rPr>
          <w:rFonts w:ascii="David" w:hAnsi="David" w:cs="David"/>
          <w:sz w:val="24"/>
          <w:rtl/>
        </w:rPr>
      </w:pPr>
      <w:r>
        <w:rPr>
          <w:rFonts w:ascii="David" w:hAnsi="David" w:cs="David"/>
          <w:sz w:val="24"/>
          <w:rtl/>
        </w:rPr>
        <w:t xml:space="preserve">בבחינת </w:t>
      </w:r>
      <w:r>
        <w:rPr>
          <w:rFonts w:ascii="David" w:hAnsi="David" w:cs="David"/>
          <w:b/>
          <w:bCs/>
          <w:sz w:val="24"/>
          <w:rtl/>
        </w:rPr>
        <w:t>מדיניות הענישה</w:t>
      </w:r>
      <w:r w:rsidR="006478FC">
        <w:rPr>
          <w:rFonts w:ascii="David" w:hAnsi="David" w:cs="David"/>
          <w:b/>
          <w:bCs/>
          <w:sz w:val="24"/>
          <w:rtl/>
        </w:rPr>
        <w:t xml:space="preserve"> </w:t>
      </w:r>
      <w:r>
        <w:rPr>
          <w:rFonts w:ascii="David" w:hAnsi="David" w:cs="David"/>
          <w:b/>
          <w:bCs/>
          <w:sz w:val="24"/>
          <w:rtl/>
        </w:rPr>
        <w:t xml:space="preserve">הנוהגת </w:t>
      </w:r>
      <w:r>
        <w:rPr>
          <w:rFonts w:ascii="David" w:hAnsi="David" w:cs="David"/>
          <w:sz w:val="24"/>
          <w:rtl/>
        </w:rPr>
        <w:t>דומה, כי המאשימה מודעת לכך, שהאסמכתאות אליהן הפנתה אינן תומכות במתחם העונש לו טענה.  כאמור, מקובלת עליי עמדתה העקרונית של המאשימה, כי נחוצה החמרה בענישה בגין עבירות הנשק. החמרה זו, ככל מגמת שינוי בפסיקה, צריכה להיעשות באופן מדורג ואחראי ומבלי להתעלם מנסיבות הרלוונטיות לקביעת מתחם הענישה ולרבות נסיבות ההחזקה, משך ההחזקה, סוג הנשק, כמות הנשק.</w:t>
      </w:r>
    </w:p>
    <w:p w14:paraId="4034CD09" w14:textId="77777777" w:rsidR="00F50248" w:rsidRDefault="00F50248" w:rsidP="00F50248">
      <w:pPr>
        <w:pStyle w:val="aa"/>
        <w:spacing w:after="0"/>
        <w:ind w:left="360"/>
        <w:rPr>
          <w:rFonts w:ascii="David" w:hAnsi="David" w:cs="David"/>
          <w:sz w:val="24"/>
        </w:rPr>
      </w:pPr>
    </w:p>
    <w:p w14:paraId="44AAB7A6" w14:textId="77777777" w:rsidR="00F50248" w:rsidRDefault="00F50248" w:rsidP="00F50248">
      <w:pPr>
        <w:pStyle w:val="aa"/>
        <w:spacing w:after="0"/>
        <w:ind w:left="360"/>
        <w:rPr>
          <w:rFonts w:ascii="David" w:hAnsi="David" w:cs="David"/>
          <w:sz w:val="24"/>
        </w:rPr>
      </w:pPr>
      <w:r>
        <w:rPr>
          <w:rFonts w:ascii="David" w:hAnsi="David" w:cs="David"/>
          <w:sz w:val="24"/>
          <w:rtl/>
        </w:rPr>
        <w:t>ראו, בנוסף לאסמכתאות שהובאו על ידי הצדדים, גם דוגמאות נוספות מן הפסיקה מהן ניתן לבצע היקש ביחס לרמת הענישה הנוהגת:</w:t>
      </w:r>
    </w:p>
    <w:p w14:paraId="64542BED" w14:textId="77777777" w:rsidR="00F50248" w:rsidRDefault="00F50248" w:rsidP="00F50248">
      <w:pPr>
        <w:pStyle w:val="aa"/>
        <w:spacing w:after="0"/>
        <w:ind w:left="360"/>
        <w:rPr>
          <w:rFonts w:ascii="David" w:hAnsi="David" w:cs="David"/>
          <w:sz w:val="24"/>
        </w:rPr>
      </w:pPr>
    </w:p>
    <w:p w14:paraId="0C260E06" w14:textId="77777777" w:rsidR="00F50248" w:rsidRDefault="00F50248" w:rsidP="00F50248">
      <w:pPr>
        <w:pStyle w:val="aa"/>
        <w:numPr>
          <w:ilvl w:val="0"/>
          <w:numId w:val="4"/>
        </w:numPr>
        <w:spacing w:after="0"/>
        <w:rPr>
          <w:rFonts w:ascii="David" w:hAnsi="David" w:cs="David"/>
          <w:sz w:val="24"/>
          <w:rtl/>
        </w:rPr>
      </w:pPr>
      <w:r>
        <w:rPr>
          <w:rFonts w:ascii="David" w:hAnsi="David" w:cs="David"/>
          <w:sz w:val="24"/>
          <w:rtl/>
        </w:rPr>
        <w:t xml:space="preserve">עפ''ג </w:t>
      </w:r>
      <w:hyperlink r:id="rId27" w:history="1">
        <w:r w:rsidR="008432FE" w:rsidRPr="008432FE">
          <w:rPr>
            <w:rFonts w:ascii="David" w:hAnsi="David" w:cs="David"/>
            <w:color w:val="0000FF"/>
            <w:sz w:val="24"/>
            <w:u w:val="single"/>
            <w:rtl/>
          </w:rPr>
          <w:t xml:space="preserve">24796-06-20 </w:t>
        </w:r>
      </w:hyperlink>
      <w:r>
        <w:rPr>
          <w:rFonts w:ascii="David" w:hAnsi="David" w:cs="David"/>
          <w:b/>
          <w:bCs/>
          <w:sz w:val="24"/>
          <w:rtl/>
        </w:rPr>
        <w:t xml:space="preserve"> חג'אזי נ' מדינת </w:t>
      </w:r>
      <w:r>
        <w:rPr>
          <w:rFonts w:ascii="David" w:hAnsi="David" w:cs="David"/>
          <w:sz w:val="24"/>
          <w:rtl/>
        </w:rPr>
        <w:t>ישראל – החזקת אקדח חצי אוטומטי ובו מחסנית טעונה ב־15 כדורים, במצב ''הכנס'' - נקבע מתחם הנע בין 24-10 חודשי מאסר בפועל. הנאשם, צעיר, נעדר עבר פלילי, נדון ל־15 חודשי מאסר בפועל. בית המשפט המחוזי דחה את ערעור הנאשם וציין, כי המתחם שנקבע מקל באופן בלתי מבוטל בהתחשב בנסיבות העבירה.</w:t>
      </w:r>
    </w:p>
    <w:p w14:paraId="2AF4B760" w14:textId="77777777" w:rsidR="00F50248" w:rsidRDefault="00F50248" w:rsidP="00F50248">
      <w:pPr>
        <w:pStyle w:val="aa"/>
        <w:spacing w:after="0"/>
        <w:ind w:left="360"/>
        <w:rPr>
          <w:rFonts w:ascii="David" w:hAnsi="David" w:cs="David"/>
          <w:sz w:val="24"/>
          <w:rtl/>
        </w:rPr>
      </w:pPr>
    </w:p>
    <w:p w14:paraId="092BA463" w14:textId="77777777" w:rsidR="00F50248" w:rsidRDefault="006478FC" w:rsidP="00F50248">
      <w:pPr>
        <w:pStyle w:val="aa"/>
        <w:numPr>
          <w:ilvl w:val="0"/>
          <w:numId w:val="4"/>
        </w:numPr>
        <w:spacing w:after="0"/>
        <w:rPr>
          <w:rFonts w:ascii="David" w:hAnsi="David" w:cs="David"/>
          <w:sz w:val="24"/>
        </w:rPr>
      </w:pPr>
      <w:hyperlink r:id="rId28" w:history="1">
        <w:r w:rsidRPr="006478FC">
          <w:rPr>
            <w:rFonts w:ascii="David" w:hAnsi="David" w:cs="David"/>
            <w:color w:val="0000FF"/>
            <w:sz w:val="24"/>
            <w:u w:val="single"/>
            <w:rtl/>
          </w:rPr>
          <w:t>עפ"ג 22885-05-17</w:t>
        </w:r>
      </w:hyperlink>
      <w:r>
        <w:rPr>
          <w:rFonts w:ascii="David" w:hAnsi="David" w:cs="David"/>
          <w:b/>
          <w:bCs/>
          <w:sz w:val="24"/>
        </w:rPr>
        <w:t xml:space="preserve"> </w:t>
      </w:r>
      <w:r w:rsidR="00F50248">
        <w:rPr>
          <w:rFonts w:ascii="David" w:hAnsi="David" w:cs="David"/>
          <w:b/>
          <w:bCs/>
          <w:sz w:val="24"/>
          <w:rtl/>
        </w:rPr>
        <w:t>אלאסד נ' מדינת ישראל</w:t>
      </w:r>
      <w:r w:rsidR="00F50248">
        <w:rPr>
          <w:rFonts w:ascii="David" w:hAnsi="David" w:cs="David"/>
          <w:color w:val="000000"/>
          <w:sz w:val="24"/>
          <w:shd w:val="clear" w:color="auto" w:fill="FFFFFF"/>
          <w:rtl/>
        </w:rPr>
        <w:t>: בית המשפט המחוזי אישר מתחם ענישה של 13-36 חודשי מאסר בפועל בגין החזקת תת מקלע מאולתר, בצירוף מחסנית ובה 10 כדורים. על הנאשם, בעל עבר פלילי שאינו מכביד, הוטלו 21 חדשי מאסר בפועל.</w:t>
      </w:r>
    </w:p>
    <w:p w14:paraId="6A4E1A84" w14:textId="77777777" w:rsidR="00F50248" w:rsidRDefault="006478FC" w:rsidP="00F50248">
      <w:pPr>
        <w:pStyle w:val="aa"/>
        <w:numPr>
          <w:ilvl w:val="0"/>
          <w:numId w:val="4"/>
        </w:numPr>
        <w:spacing w:after="0"/>
        <w:rPr>
          <w:rFonts w:ascii="David" w:hAnsi="David" w:cs="David"/>
          <w:sz w:val="24"/>
        </w:rPr>
      </w:pPr>
      <w:hyperlink r:id="rId29" w:history="1">
        <w:r w:rsidRPr="006478FC">
          <w:rPr>
            <w:rFonts w:ascii="David" w:hAnsi="David" w:cs="David"/>
            <w:color w:val="0000FF"/>
            <w:sz w:val="24"/>
            <w:u w:val="single"/>
            <w:rtl/>
          </w:rPr>
          <w:t>ת"פ 46234-02-21</w:t>
        </w:r>
      </w:hyperlink>
      <w:r w:rsidR="00F50248">
        <w:rPr>
          <w:rFonts w:ascii="David" w:hAnsi="David" w:cs="David"/>
          <w:sz w:val="24"/>
          <w:rtl/>
        </w:rPr>
        <w:t xml:space="preserve"> </w:t>
      </w:r>
      <w:r w:rsidR="00F50248">
        <w:rPr>
          <w:rFonts w:ascii="David" w:hAnsi="David" w:cs="David"/>
          <w:b/>
          <w:bCs/>
          <w:sz w:val="24"/>
          <w:rtl/>
        </w:rPr>
        <w:t>מדינת ישראל נ' נג'ם:</w:t>
      </w:r>
      <w:r w:rsidR="00F50248">
        <w:rPr>
          <w:rFonts w:ascii="David" w:hAnsi="David" w:cs="David"/>
          <w:sz w:val="24"/>
          <w:rtl/>
        </w:rPr>
        <w:t xml:space="preserve"> הנאשם הורשע בהחזקת רובה שהוסב לרובה דמוי 16</w:t>
      </w:r>
      <w:r w:rsidR="00F50248">
        <w:rPr>
          <w:rFonts w:ascii="David" w:hAnsi="David" w:cs="David"/>
          <w:sz w:val="24"/>
        </w:rPr>
        <w:t>M</w:t>
      </w:r>
      <w:r w:rsidR="00F50248">
        <w:rPr>
          <w:rFonts w:ascii="David" w:hAnsi="David" w:cs="David"/>
          <w:sz w:val="24"/>
          <w:rtl/>
        </w:rPr>
        <w:t xml:space="preserve">. נקבע מתחם של 9-24 חודשי מאסר ועל הנאשם, בנסיבותיו האישיות, הוטלו 9 חודשי מאסר. </w:t>
      </w:r>
    </w:p>
    <w:p w14:paraId="515C2EC4" w14:textId="77777777" w:rsidR="00F50248" w:rsidRDefault="006478FC" w:rsidP="00F50248">
      <w:pPr>
        <w:pStyle w:val="aa"/>
        <w:numPr>
          <w:ilvl w:val="0"/>
          <w:numId w:val="4"/>
        </w:numPr>
        <w:spacing w:after="0"/>
        <w:rPr>
          <w:rFonts w:ascii="David" w:hAnsi="David" w:cs="David"/>
          <w:sz w:val="24"/>
        </w:rPr>
      </w:pPr>
      <w:hyperlink r:id="rId30" w:history="1">
        <w:r w:rsidRPr="006478FC">
          <w:rPr>
            <w:rFonts w:ascii="David" w:hAnsi="David" w:cs="David"/>
            <w:color w:val="0000FF"/>
            <w:sz w:val="24"/>
            <w:u w:val="single"/>
            <w:rtl/>
          </w:rPr>
          <w:t>עפ"ג 2024-04-21</w:t>
        </w:r>
      </w:hyperlink>
      <w:r w:rsidR="00F50248">
        <w:rPr>
          <w:rFonts w:ascii="David" w:hAnsi="David" w:cs="David"/>
          <w:sz w:val="24"/>
          <w:rtl/>
        </w:rPr>
        <w:t xml:space="preserve"> </w:t>
      </w:r>
      <w:r w:rsidR="00F50248">
        <w:rPr>
          <w:rFonts w:ascii="David" w:hAnsi="David" w:cs="David"/>
          <w:b/>
          <w:bCs/>
          <w:sz w:val="24"/>
          <w:rtl/>
        </w:rPr>
        <w:t>מדינת ישראל נ' מנדורי:</w:t>
      </w:r>
      <w:r w:rsidR="00F50248">
        <w:rPr>
          <w:rFonts w:ascii="David" w:hAnsi="David" w:cs="David"/>
          <w:sz w:val="24"/>
          <w:rtl/>
        </w:rPr>
        <w:t xml:space="preserve"> נאשם 1 הורשע בהחזקת אקדח בקוטר 9 מ"מ ביחד עם מחסנית ובה 17 כדורים, וכן רובה סער מאולתר דמוי </w:t>
      </w:r>
      <w:r w:rsidR="00F50248">
        <w:rPr>
          <w:rFonts w:ascii="David" w:hAnsi="David" w:cs="David"/>
          <w:sz w:val="24"/>
        </w:rPr>
        <w:t>M16</w:t>
      </w:r>
      <w:r w:rsidR="00F50248">
        <w:rPr>
          <w:rFonts w:ascii="David" w:hAnsi="David" w:cs="David"/>
          <w:sz w:val="24"/>
          <w:rtl/>
        </w:rPr>
        <w:t xml:space="preserve"> עם מחסנית ובה 28 כדורים. נאשם 2 החזיק בשני אקדחים ותחמושת. בית משפט השלום קבע מתחם של 16-36 לנאשם 1 ומתחם של 13-30 לנאשם 2. ערעור המדינה התקבל בהסכמת הצדדים ועונשיהם של הנאשמים הוחמר, </w:t>
      </w:r>
      <w:r w:rsidR="00F50248">
        <w:rPr>
          <w:rFonts w:ascii="David" w:hAnsi="David" w:cs="David"/>
          <w:b/>
          <w:bCs/>
          <w:sz w:val="24"/>
          <w:rtl/>
        </w:rPr>
        <w:t>בהסכמה</w:t>
      </w:r>
      <w:r w:rsidR="00F50248">
        <w:rPr>
          <w:rFonts w:ascii="David" w:hAnsi="David" w:cs="David"/>
          <w:sz w:val="24"/>
          <w:rtl/>
        </w:rPr>
        <w:t>, ל- 26 ו- 31 חדשי מאסר בפועל בהתאמה, תוך ציון כי מתחמי הענישה שנקבעו מקלים וכי העונש במסגרת הערעור איננו ממצה את הדין.</w:t>
      </w:r>
    </w:p>
    <w:p w14:paraId="587AF5DC" w14:textId="77777777" w:rsidR="00F50248" w:rsidRDefault="00F50248" w:rsidP="00F50248">
      <w:pPr>
        <w:pStyle w:val="aa"/>
        <w:numPr>
          <w:ilvl w:val="0"/>
          <w:numId w:val="4"/>
        </w:numPr>
        <w:spacing w:after="0"/>
        <w:rPr>
          <w:rFonts w:ascii="David" w:hAnsi="David" w:cs="David"/>
          <w:sz w:val="24"/>
          <w:rtl/>
        </w:rPr>
      </w:pPr>
      <w:r>
        <w:rPr>
          <w:rFonts w:ascii="David" w:hAnsi="David" w:cs="David"/>
          <w:sz w:val="24"/>
          <w:rtl/>
        </w:rPr>
        <w:t xml:space="preserve">ת"פ 18254-03-16 </w:t>
      </w:r>
      <w:r>
        <w:rPr>
          <w:rFonts w:ascii="David" w:hAnsi="David" w:cs="David"/>
          <w:b/>
          <w:bCs/>
          <w:sz w:val="24"/>
          <w:rtl/>
        </w:rPr>
        <w:t xml:space="preserve">מדינת ישראל נ' מנצור </w:t>
      </w:r>
      <w:r>
        <w:rPr>
          <w:rFonts w:ascii="David" w:hAnsi="David" w:cs="David"/>
          <w:sz w:val="24"/>
          <w:rtl/>
        </w:rPr>
        <w:t>שם נקבע מתחם עונש הולם של 13-36 בגין החזקת תת מקלע 'קרל גוסטב', עם מחסנית ב'הכנס' בעת שהנאשם, אז צעיר בן 18.5 רכב עם קטין על אופנוע והחזיק את הנשק. ראו גם רשימת האסמכתאות באותו מקרה.</w:t>
      </w:r>
    </w:p>
    <w:p w14:paraId="0036DEE7" w14:textId="77777777" w:rsidR="00F50248" w:rsidRDefault="00F50248" w:rsidP="00F50248">
      <w:pPr>
        <w:pStyle w:val="aa"/>
        <w:spacing w:after="0"/>
        <w:ind w:left="360"/>
        <w:rPr>
          <w:rFonts w:ascii="David" w:hAnsi="David" w:cs="David"/>
          <w:sz w:val="24"/>
        </w:rPr>
      </w:pPr>
    </w:p>
    <w:p w14:paraId="5411FF8F" w14:textId="77777777" w:rsidR="00F50248" w:rsidRDefault="00F50248" w:rsidP="00F50248">
      <w:pPr>
        <w:pStyle w:val="aa"/>
        <w:spacing w:after="0"/>
        <w:ind w:left="360"/>
        <w:rPr>
          <w:rFonts w:ascii="David" w:hAnsi="David" w:cs="David"/>
          <w:b/>
          <w:bCs/>
          <w:sz w:val="24"/>
        </w:rPr>
      </w:pPr>
      <w:r>
        <w:rPr>
          <w:rFonts w:ascii="David" w:hAnsi="David" w:cs="David"/>
          <w:sz w:val="24"/>
          <w:rtl/>
        </w:rPr>
        <w:t>בחנתי היטב את האסמכתאות אליהן הפנתה ההגנה בהם הוטלו על נאשמים עונשי מאסר לריצוי בעבודות שירות. בכל  המקרים הללו, מדובר בחריגה ממתחמי הענישה משיקולי שיקום מובהקים ומיוחדים. כפי שכבר ציינתי לעיל, דומה כי גם בעניין זה צריך לחול שינוי בנקודת האיזון בגזירת הדין בעבירות נשק בין המשקל הניתן לשיקולי השיקום ובין המשקל הניתן לשיקולים האחרים. מכל מקום, במקרה שבפניי לא קיימים שיקולי שיקום מובהקים או מיוחדים, ולכן לטעמי, לא מתעוררת במקרה זה דילמה של ממש בשאלת עצם הטלת מאסר לריצוי בפועל בעניינו של הנאשם, אלא השאלה היא משך המאסר.</w:t>
      </w:r>
    </w:p>
    <w:p w14:paraId="51860144" w14:textId="77777777" w:rsidR="00F50248" w:rsidRDefault="00F50248" w:rsidP="00F50248">
      <w:pPr>
        <w:pStyle w:val="aa"/>
        <w:spacing w:after="0"/>
        <w:ind w:left="360"/>
        <w:rPr>
          <w:rFonts w:ascii="David" w:hAnsi="David" w:cs="David"/>
          <w:sz w:val="24"/>
        </w:rPr>
      </w:pPr>
    </w:p>
    <w:p w14:paraId="1CEB80A5" w14:textId="77777777" w:rsidR="00F50248" w:rsidRDefault="00F50248" w:rsidP="00F50248">
      <w:pPr>
        <w:spacing w:line="360" w:lineRule="auto"/>
        <w:jc w:val="both"/>
        <w:rPr>
          <w:rFonts w:ascii="David" w:hAnsi="David"/>
          <w:b/>
          <w:bCs/>
          <w:rtl/>
        </w:rPr>
      </w:pPr>
      <w:r>
        <w:rPr>
          <w:rFonts w:ascii="David" w:hAnsi="David"/>
          <w:b/>
          <w:bCs/>
          <w:rtl/>
        </w:rPr>
        <w:t>בהינתן כל המפורט לעיל, לאחר בחינת כלל השיקולים הרלוונטיים לקביעת המתחם מצאתי כי יש לקבוע בנסיבות מקרה זה, של החזקת הנשק מתחם ענישה של 18-36 חודשי מאסר בפועל</w:t>
      </w:r>
      <w:r>
        <w:rPr>
          <w:rFonts w:ascii="David" w:hAnsi="David" w:hint="cs"/>
          <w:b/>
          <w:bCs/>
          <w:rtl/>
        </w:rPr>
        <w:t xml:space="preserve"> וענישה נלווית</w:t>
      </w:r>
      <w:r>
        <w:rPr>
          <w:rFonts w:ascii="David" w:hAnsi="David"/>
          <w:b/>
          <w:bCs/>
          <w:rtl/>
        </w:rPr>
        <w:t>.</w:t>
      </w:r>
    </w:p>
    <w:p w14:paraId="11B305D9" w14:textId="77777777" w:rsidR="00F50248" w:rsidRDefault="00F50248" w:rsidP="00F50248">
      <w:pPr>
        <w:rPr>
          <w:rFonts w:ascii="David" w:hAnsi="David"/>
          <w:rtl/>
        </w:rPr>
      </w:pPr>
    </w:p>
    <w:p w14:paraId="1BF40963" w14:textId="77777777" w:rsidR="00F50248" w:rsidRDefault="00F50248" w:rsidP="00F50248">
      <w:pPr>
        <w:rPr>
          <w:rFonts w:ascii="David" w:hAnsi="David"/>
          <w:b/>
          <w:bCs/>
          <w:u w:val="single"/>
          <w:rtl/>
        </w:rPr>
      </w:pPr>
      <w:r>
        <w:rPr>
          <w:rFonts w:ascii="David" w:hAnsi="David"/>
          <w:b/>
          <w:bCs/>
          <w:u w:val="single"/>
          <w:rtl/>
        </w:rPr>
        <w:t>סטייה ממתחם העונש ההולם משיקולי שיקום</w:t>
      </w:r>
      <w:r>
        <w:rPr>
          <w:rFonts w:ascii="David" w:hAnsi="David"/>
          <w:b/>
          <w:bCs/>
          <w:u w:val="single"/>
        </w:rPr>
        <w:t>:</w:t>
      </w:r>
    </w:p>
    <w:p w14:paraId="7C18CD3D" w14:textId="77777777" w:rsidR="00F50248" w:rsidRDefault="00F50248" w:rsidP="00F50248">
      <w:pPr>
        <w:rPr>
          <w:rFonts w:ascii="David" w:hAnsi="David"/>
          <w:b/>
          <w:bCs/>
          <w:u w:val="single"/>
          <w:rtl/>
        </w:rPr>
      </w:pPr>
    </w:p>
    <w:p w14:paraId="5E8698CA" w14:textId="77777777" w:rsidR="00F50248" w:rsidRDefault="00F50248" w:rsidP="00F50248">
      <w:pPr>
        <w:pStyle w:val="aa"/>
        <w:numPr>
          <w:ilvl w:val="0"/>
          <w:numId w:val="1"/>
        </w:numPr>
        <w:spacing w:after="0"/>
        <w:rPr>
          <w:rFonts w:ascii="David" w:hAnsi="David" w:cs="David"/>
          <w:b/>
          <w:bCs/>
          <w:sz w:val="24"/>
        </w:rPr>
      </w:pPr>
      <w:r>
        <w:rPr>
          <w:rFonts w:ascii="David" w:hAnsi="David" w:cs="David"/>
          <w:sz w:val="24"/>
          <w:rtl/>
        </w:rPr>
        <w:t xml:space="preserve">עיינתי בטענות ההגנה ביחס לאפשרות סטייה ממתחם העונש ההולם משיקולי שיקום. מקרה זה אינו מתאים לכך. </w:t>
      </w:r>
    </w:p>
    <w:p w14:paraId="6CA0727E" w14:textId="77777777" w:rsidR="00F50248" w:rsidRDefault="00F50248" w:rsidP="00F50248">
      <w:pPr>
        <w:pStyle w:val="aa"/>
        <w:spacing w:after="0"/>
        <w:ind w:left="360"/>
        <w:rPr>
          <w:rFonts w:ascii="David" w:hAnsi="David" w:cs="David"/>
          <w:b/>
          <w:bCs/>
          <w:sz w:val="24"/>
        </w:rPr>
      </w:pPr>
      <w:r>
        <w:rPr>
          <w:rFonts w:ascii="David" w:hAnsi="David" w:cs="David"/>
          <w:sz w:val="24"/>
          <w:rtl/>
        </w:rPr>
        <w:t>עצם ההשתתפות בקבוצות במסגרת צו פיקוח מעצרים אינה מהווה נסיבה המצדיקה התחשבות בשיקולי שיקום. חרטתו של הנאשם הבושה שחש כלפי משפחתו והדאגה שמביע ביחס לעתידו – כל אלה נתונים מובנים וצפויים ואין בהם חריג.</w:t>
      </w:r>
    </w:p>
    <w:p w14:paraId="6255484D" w14:textId="77777777" w:rsidR="00F50248" w:rsidRDefault="00F50248" w:rsidP="00F50248">
      <w:pPr>
        <w:pStyle w:val="aa"/>
        <w:spacing w:after="0"/>
        <w:ind w:left="360"/>
        <w:rPr>
          <w:rFonts w:ascii="David" w:hAnsi="David" w:cs="David"/>
          <w:sz w:val="24"/>
        </w:rPr>
      </w:pPr>
      <w:r>
        <w:rPr>
          <w:rFonts w:ascii="David" w:hAnsi="David" w:cs="David"/>
          <w:sz w:val="24"/>
          <w:rtl/>
        </w:rPr>
        <w:t>שירות המבחן עצמו לא בא בהמלצה טיפולית נוכח טיב השתתפות הנאשם בקבוצה הטיפולית שהיתה מינורית, התאפיינה בהתנהגות מופנמת ומיעוט שיתוף. שירות המבחן התרשם מפער בלתי מוסבר, ללא נכונות להתבונן בו לעומק ולהתמודד איתו, בין דימויו העצמי של הנאשם והתנהלותו בדרך כלל ובין העבירה שביצע. שירות המבחן התרשם מקשר עם גורמים שוליים, מעמדות נורמטיביות מכשילות, ומקיומה של מסוכנות.</w:t>
      </w:r>
    </w:p>
    <w:p w14:paraId="7CC3ADFA" w14:textId="77777777" w:rsidR="00F50248" w:rsidRDefault="00F50248" w:rsidP="00F50248">
      <w:pPr>
        <w:rPr>
          <w:rFonts w:ascii="David" w:hAnsi="David"/>
          <w:rtl/>
        </w:rPr>
      </w:pPr>
    </w:p>
    <w:p w14:paraId="79F64142" w14:textId="77777777" w:rsidR="00F50248" w:rsidRDefault="00F50248" w:rsidP="00F50248">
      <w:pPr>
        <w:rPr>
          <w:rFonts w:ascii="David" w:hAnsi="David"/>
          <w:u w:val="single"/>
          <w:rtl/>
        </w:rPr>
      </w:pPr>
      <w:r>
        <w:rPr>
          <w:rFonts w:ascii="David" w:hAnsi="David"/>
          <w:b/>
          <w:bCs/>
          <w:u w:val="single"/>
          <w:rtl/>
        </w:rPr>
        <w:t>קביעת העונש המתאים בגדרי המתחם</w:t>
      </w:r>
      <w:r>
        <w:rPr>
          <w:rFonts w:ascii="David" w:hAnsi="David" w:hint="cs"/>
          <w:u w:val="single"/>
          <w:rtl/>
        </w:rPr>
        <w:t>:</w:t>
      </w:r>
    </w:p>
    <w:p w14:paraId="7732817A" w14:textId="77777777" w:rsidR="00F50248" w:rsidRDefault="00F50248" w:rsidP="00F50248">
      <w:pPr>
        <w:rPr>
          <w:rFonts w:ascii="David" w:hAnsi="David"/>
          <w:u w:val="single"/>
          <w:rtl/>
        </w:rPr>
      </w:pPr>
    </w:p>
    <w:p w14:paraId="679E12F0" w14:textId="77777777" w:rsidR="00F50248" w:rsidRDefault="00F50248" w:rsidP="00F50248">
      <w:pPr>
        <w:pStyle w:val="aa"/>
        <w:numPr>
          <w:ilvl w:val="0"/>
          <w:numId w:val="1"/>
        </w:numPr>
        <w:spacing w:after="0"/>
        <w:rPr>
          <w:rFonts w:ascii="David" w:hAnsi="David" w:cs="David"/>
          <w:sz w:val="24"/>
        </w:rPr>
      </w:pPr>
      <w:r>
        <w:rPr>
          <w:rFonts w:ascii="David" w:hAnsi="David" w:cs="David"/>
          <w:sz w:val="24"/>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36497780" w14:textId="77777777" w:rsidR="00F50248" w:rsidRDefault="00F50248" w:rsidP="00F50248">
      <w:pPr>
        <w:pStyle w:val="aa"/>
        <w:spacing w:after="0"/>
        <w:ind w:left="360"/>
        <w:rPr>
          <w:rFonts w:ascii="David" w:hAnsi="David" w:cs="David"/>
          <w:sz w:val="24"/>
          <w:rtl/>
        </w:rPr>
      </w:pPr>
    </w:p>
    <w:p w14:paraId="3B7A3C12" w14:textId="77777777" w:rsidR="00F50248" w:rsidRDefault="00F50248" w:rsidP="00F50248">
      <w:pPr>
        <w:pStyle w:val="aa"/>
        <w:spacing w:after="0"/>
        <w:ind w:left="360"/>
        <w:rPr>
          <w:rFonts w:ascii="David" w:hAnsi="David" w:cs="David"/>
          <w:sz w:val="24"/>
        </w:rPr>
      </w:pPr>
      <w:r>
        <w:rPr>
          <w:rFonts w:ascii="David" w:hAnsi="David" w:cs="David"/>
          <w:sz w:val="24"/>
          <w:rtl/>
        </w:rPr>
        <w:t>לנאשם אין הרשעות קודמות.</w:t>
      </w:r>
    </w:p>
    <w:p w14:paraId="5B5F5ED2" w14:textId="77777777" w:rsidR="00F50248" w:rsidRDefault="00F50248" w:rsidP="00F50248">
      <w:pPr>
        <w:pStyle w:val="aa"/>
        <w:spacing w:after="0"/>
        <w:ind w:left="360"/>
        <w:rPr>
          <w:rFonts w:ascii="David" w:hAnsi="David" w:cs="David"/>
          <w:sz w:val="24"/>
          <w:rtl/>
        </w:rPr>
      </w:pPr>
      <w:r>
        <w:rPr>
          <w:rFonts w:ascii="David" w:hAnsi="David" w:cs="David"/>
          <w:sz w:val="24"/>
          <w:rtl/>
        </w:rPr>
        <w:t>בעת ביצוע העבירה היה הנאשם צעיר מאד. בחלוף הזמן, גם אם רובו נטוע בהתנהלותו הדיונית, לא נמסר כי נפתחו לנאשם תיקים חדשים או כי כשל בהפרת תנאים.</w:t>
      </w:r>
    </w:p>
    <w:p w14:paraId="74C587C9" w14:textId="77777777" w:rsidR="00F50248" w:rsidRDefault="00F50248" w:rsidP="00F50248">
      <w:pPr>
        <w:pStyle w:val="aa"/>
        <w:spacing w:after="0"/>
        <w:ind w:left="360"/>
        <w:rPr>
          <w:rFonts w:ascii="David" w:hAnsi="David" w:cs="David"/>
          <w:sz w:val="24"/>
          <w:rtl/>
        </w:rPr>
      </w:pPr>
      <w:r>
        <w:rPr>
          <w:rFonts w:ascii="David" w:hAnsi="David" w:cs="David"/>
          <w:sz w:val="24"/>
          <w:rtl/>
        </w:rPr>
        <w:t xml:space="preserve">לקחתי בחשבון את שאיפותיו הנורמטיביות של הנאשם בתחומי הלימודים והתעסוקה, את המסמכים שצירף לתמיכה ברבדים אלה של חייו, שאין מחלוקת כי הם, כשלעצמם, תקינים ונורמטיביים. </w:t>
      </w:r>
    </w:p>
    <w:p w14:paraId="58F720A1" w14:textId="77777777" w:rsidR="00F50248" w:rsidRDefault="00F50248" w:rsidP="00F50248">
      <w:pPr>
        <w:pStyle w:val="aa"/>
        <w:spacing w:after="0"/>
        <w:ind w:left="360"/>
        <w:rPr>
          <w:rFonts w:ascii="David" w:hAnsi="David" w:cs="David"/>
          <w:sz w:val="24"/>
          <w:rtl/>
        </w:rPr>
      </w:pPr>
      <w:r>
        <w:rPr>
          <w:rFonts w:ascii="David" w:hAnsi="David" w:cs="David"/>
          <w:sz w:val="24"/>
          <w:rtl/>
        </w:rPr>
        <w:t>לקחתי בחשבון את תקופת מעצרו של הנאשם וכן את פרק הזמן בו היה נתון בתנאים מגבילים ובפיקוח שירות המבחן.</w:t>
      </w:r>
    </w:p>
    <w:p w14:paraId="1BABAF03" w14:textId="77777777" w:rsidR="00F50248" w:rsidRDefault="00F50248" w:rsidP="00F50248">
      <w:pPr>
        <w:pStyle w:val="aa"/>
        <w:spacing w:after="0"/>
        <w:ind w:left="360"/>
        <w:rPr>
          <w:rFonts w:ascii="David" w:hAnsi="David" w:cs="David"/>
          <w:sz w:val="24"/>
          <w:rtl/>
        </w:rPr>
      </w:pPr>
      <w:r>
        <w:rPr>
          <w:rFonts w:ascii="David" w:hAnsi="David" w:cs="David"/>
          <w:sz w:val="24"/>
          <w:rtl/>
        </w:rPr>
        <w:t>לקחתי בחשבון, כי גם אם הנאשם הודה לאחר שמסר מענה, נטל אחריות על המיוחס לו וחסך זמן שיפוטי יקר.</w:t>
      </w:r>
    </w:p>
    <w:p w14:paraId="2465B67F" w14:textId="77777777" w:rsidR="00F50248" w:rsidRDefault="00F50248" w:rsidP="00F50248">
      <w:pPr>
        <w:pStyle w:val="aa"/>
        <w:spacing w:after="0"/>
        <w:ind w:left="360"/>
        <w:rPr>
          <w:rFonts w:ascii="David" w:hAnsi="David" w:cs="David"/>
          <w:b/>
          <w:bCs/>
          <w:sz w:val="24"/>
          <w:rtl/>
        </w:rPr>
      </w:pPr>
      <w:r>
        <w:rPr>
          <w:rFonts w:ascii="David" w:hAnsi="David" w:cs="David"/>
          <w:sz w:val="24"/>
          <w:rtl/>
        </w:rPr>
        <w:t xml:space="preserve">לקחתי בחשבון את התרשמות שירות המבחן מבושה וחרטה אצל הנאשם וממידת הרתעה של ההליך הפלילי עליו. זאת, בצד האמור לעיל לעניין </w:t>
      </w:r>
      <w:r>
        <w:rPr>
          <w:rFonts w:ascii="David" w:hAnsi="David" w:cs="David"/>
          <w:b/>
          <w:bCs/>
          <w:sz w:val="24"/>
          <w:rtl/>
        </w:rPr>
        <w:t>קיומה של מסוכנות וצורך בהרתעה אישית.</w:t>
      </w:r>
    </w:p>
    <w:p w14:paraId="6D16E6A6" w14:textId="77777777" w:rsidR="00F50248" w:rsidRDefault="00F50248" w:rsidP="00F50248">
      <w:pPr>
        <w:pStyle w:val="aa"/>
        <w:spacing w:after="0"/>
        <w:ind w:left="360" w:right="142"/>
        <w:rPr>
          <w:rFonts w:ascii="David" w:hAnsi="David" w:cs="David"/>
          <w:sz w:val="24"/>
          <w:shd w:val="clear" w:color="auto" w:fill="FFFFFF"/>
          <w:rtl/>
        </w:rPr>
      </w:pPr>
    </w:p>
    <w:p w14:paraId="229B5735" w14:textId="77777777" w:rsidR="00F50248" w:rsidRDefault="00F50248" w:rsidP="00F50248">
      <w:pPr>
        <w:pStyle w:val="aa"/>
        <w:numPr>
          <w:ilvl w:val="0"/>
          <w:numId w:val="1"/>
        </w:numPr>
        <w:tabs>
          <w:tab w:val="left" w:pos="8164"/>
        </w:tabs>
        <w:spacing w:after="0"/>
        <w:ind w:right="142"/>
        <w:rPr>
          <w:rFonts w:ascii="David" w:hAnsi="David" w:cs="David"/>
          <w:sz w:val="24"/>
          <w:rtl/>
        </w:rPr>
      </w:pPr>
      <w:r>
        <w:rPr>
          <w:rFonts w:ascii="David" w:hAnsi="David" w:cs="David"/>
          <w:sz w:val="24"/>
          <w:rtl/>
        </w:rPr>
        <w:t xml:space="preserve">בתסקיר, עמד שירות המבחן על אורחותיהם התקינים ככלל של הנאשם ומשפחתו, על שאיפותיו הנורמטיביות של הנאשם ועל הסכמתו, לדבריו, לבצע עבירה חמורה </w:t>
      </w:r>
      <w:r>
        <w:rPr>
          <w:rFonts w:ascii="David" w:hAnsi="David" w:cs="David"/>
          <w:b/>
          <w:bCs/>
          <w:sz w:val="24"/>
          <w:rtl/>
        </w:rPr>
        <w:t>מבלי שהיה מודע למידת החומרה של המעשים</w:t>
      </w:r>
      <w:r>
        <w:rPr>
          <w:rFonts w:ascii="David" w:hAnsi="David" w:cs="David"/>
          <w:sz w:val="24"/>
          <w:rtl/>
        </w:rPr>
        <w:t xml:space="preserve">. הנה כי כן, אם הנאשם אשר גדל והתחנך בסביבה שטופת דמים וקורבנות דמים חפים מפשע, אינו מודע למידת החומרה של מעשיו ולמלוא המשמעות הפלילית שלהם, משמע, כי המסר המחמיר של בתי המשפט לא נשמע, והוא נותר בתווך שבין המקלדת למדפסת, וכי נטייתם של בתי המשפט לרחם על צעירים שעתידם התעסוקתי והאקדמי בפניהם, וההתייחסות אל התופעה הרווחת כאל "חריג" מחטיאה ופוגמת בעיקרון המנחה הבסיסי בענישה כפי שנקבע על ידי המחוקק. </w:t>
      </w:r>
    </w:p>
    <w:p w14:paraId="3C6D4B1F" w14:textId="77777777" w:rsidR="00F50248" w:rsidRDefault="00F50248" w:rsidP="00F50248">
      <w:pPr>
        <w:pStyle w:val="aa"/>
        <w:tabs>
          <w:tab w:val="left" w:pos="8164"/>
        </w:tabs>
        <w:spacing w:after="0"/>
        <w:ind w:left="360" w:right="142"/>
        <w:rPr>
          <w:rFonts w:ascii="David" w:hAnsi="David" w:cs="David"/>
          <w:sz w:val="24"/>
        </w:rPr>
      </w:pPr>
    </w:p>
    <w:p w14:paraId="47E7A6F3" w14:textId="77777777" w:rsidR="00F50248" w:rsidRDefault="00F50248" w:rsidP="00F50248">
      <w:pPr>
        <w:pStyle w:val="aa"/>
        <w:spacing w:after="0"/>
        <w:ind w:left="360" w:right="142"/>
        <w:rPr>
          <w:rFonts w:ascii="David" w:hAnsi="David" w:cs="David"/>
          <w:sz w:val="24"/>
          <w:rtl/>
        </w:rPr>
      </w:pPr>
      <w:r>
        <w:rPr>
          <w:rFonts w:ascii="David" w:hAnsi="David" w:cs="David"/>
          <w:sz w:val="24"/>
          <w:rtl/>
        </w:rPr>
        <w:t xml:space="preserve">המסקנה המתחייבת מכך היא, שעל בתי המשפט לתרום את תרומתם בהחמרה בענישה בפועל, הן בהעדפת שיקולי הגמול וההרתעה על פני נתוניו של היחיד והן באמירה צלולה, ברורה ואף רועמת – כי </w:t>
      </w:r>
      <w:r>
        <w:rPr>
          <w:rFonts w:ascii="David" w:hAnsi="David" w:cs="David"/>
          <w:b/>
          <w:bCs/>
          <w:sz w:val="24"/>
          <w:rtl/>
        </w:rPr>
        <w:t>החזקת נשק היא מעשה שלא יעשה ידי אדם מן היישוב</w:t>
      </w:r>
      <w:r>
        <w:rPr>
          <w:rFonts w:ascii="David" w:hAnsi="David" w:cs="David"/>
          <w:sz w:val="24"/>
          <w:rtl/>
        </w:rPr>
        <w:t xml:space="preserve">. רק כך, יוכל בית המשפט להגן באופן ממשי על אזרחים תמימים וחפים מפשע שהם קורבנות פוטנציאליים לשימוש שנעשה תדיר באמצעי לחימה המוחזקים שלא כדין בבתים ומחוצה להם. </w:t>
      </w:r>
      <w:r w:rsidR="006478FC">
        <w:rPr>
          <w:rFonts w:ascii="David" w:hAnsi="David" w:cs="David"/>
          <w:sz w:val="24"/>
          <w:rtl/>
        </w:rPr>
        <w:t xml:space="preserve"> </w:t>
      </w:r>
      <w:r>
        <w:rPr>
          <w:rFonts w:ascii="David" w:hAnsi="David" w:cs="David"/>
          <w:sz w:val="24"/>
          <w:rtl/>
        </w:rPr>
        <w:t xml:space="preserve"> </w:t>
      </w:r>
    </w:p>
    <w:p w14:paraId="1CFC8515" w14:textId="77777777" w:rsidR="00F50248" w:rsidRDefault="00F50248" w:rsidP="00F50248">
      <w:pPr>
        <w:pStyle w:val="aa"/>
        <w:spacing w:after="0"/>
        <w:ind w:left="360" w:right="142"/>
        <w:rPr>
          <w:rFonts w:ascii="David" w:hAnsi="David" w:cs="David"/>
          <w:sz w:val="24"/>
          <w:rtl/>
        </w:rPr>
      </w:pPr>
    </w:p>
    <w:p w14:paraId="1E8A3113" w14:textId="77777777" w:rsidR="00F50248" w:rsidRDefault="00F50248" w:rsidP="00F50248">
      <w:pPr>
        <w:pStyle w:val="aa"/>
        <w:spacing w:after="0"/>
        <w:ind w:left="360" w:right="142"/>
        <w:rPr>
          <w:rFonts w:ascii="David" w:hAnsi="David" w:cs="David"/>
          <w:sz w:val="24"/>
          <w:rtl/>
        </w:rPr>
      </w:pPr>
      <w:r>
        <w:rPr>
          <w:rFonts w:ascii="David" w:hAnsi="David" w:cs="David"/>
          <w:sz w:val="24"/>
          <w:rtl/>
        </w:rPr>
        <w:t xml:space="preserve">לעניין זה, וכמצוות המחוקק, בית המשפט מחויב בתקופה קשה זו, לשקול כשיקול בתוך המתחם הן את הרתעת היחיד והן את הצורך האקוטי </w:t>
      </w:r>
      <w:r>
        <w:rPr>
          <w:rFonts w:ascii="David" w:hAnsi="David" w:cs="David"/>
          <w:b/>
          <w:bCs/>
          <w:sz w:val="24"/>
          <w:rtl/>
        </w:rPr>
        <w:t>בהרתעת הרבים</w:t>
      </w:r>
      <w:r>
        <w:rPr>
          <w:rFonts w:ascii="David" w:hAnsi="David" w:cs="David"/>
          <w:sz w:val="24"/>
          <w:rtl/>
        </w:rPr>
        <w:t xml:space="preserve">. כפי שמדגים היטב מקרה זה, קיים צורך מיוחד בהרתעת הרבים, דווקא בעניינם של צעירים כדוגמת הנאשם, המדרדרים לביצוע עבירות נשק כחלק משגרת החיים בקהילתם, מבלי לשקול את משמעות ותוצאות מעשיהם ומבלי שיש בענישה הצפויה כדי להרתיעם די הצורך ולהציב גבול ברור וחד משמעי אל מול הלחצים והנורמות בסביבתם. </w:t>
      </w:r>
    </w:p>
    <w:p w14:paraId="36897374" w14:textId="77777777" w:rsidR="00F50248" w:rsidRDefault="00F50248" w:rsidP="00F50248">
      <w:pPr>
        <w:pStyle w:val="aa"/>
        <w:spacing w:after="0"/>
        <w:ind w:left="360"/>
        <w:rPr>
          <w:rFonts w:ascii="David" w:hAnsi="David" w:cs="David"/>
          <w:sz w:val="24"/>
          <w:rtl/>
        </w:rPr>
      </w:pPr>
    </w:p>
    <w:p w14:paraId="521F02E7" w14:textId="77777777" w:rsidR="00F50248" w:rsidRDefault="00F50248" w:rsidP="00F50248">
      <w:pPr>
        <w:tabs>
          <w:tab w:val="left" w:pos="8164"/>
        </w:tabs>
        <w:spacing w:line="360" w:lineRule="auto"/>
        <w:ind w:left="360" w:right="142"/>
        <w:contextualSpacing/>
        <w:jc w:val="both"/>
        <w:rPr>
          <w:rFonts w:ascii="David" w:hAnsi="David"/>
          <w:rtl/>
        </w:rPr>
      </w:pPr>
      <w:r>
        <w:rPr>
          <w:rFonts w:ascii="David" w:hAnsi="David"/>
          <w:shd w:val="clear" w:color="auto" w:fill="FFFFFF"/>
          <w:rtl/>
        </w:rPr>
        <w:t xml:space="preserve">בין אם מדובר בניצול מכוון של בני המשפחה או בני הקהילה הנורמטיביים בהחזקת כלי הנשק הבלתי חוקיים – מתוך תקווה להקטנת הסיכון לתפיסת כלי הנשק או מתוך ציפייה כי לא ייענשו בחומרה ובין אם מדובר בליקוי ערכי המוביל גם אנשים 'נורמטיביים' באורחות חייהם להזדהות עם מציאות חברתית-תרבותית המקדמת פתרון סכסוכים באלימות –המסקנה המתחייבת היא שקיים אינטרס ציבורי מוגבר ומיוחד בהחמרה בענישה משיקולי הרתעת הרבים שישפיע השפעה מעשית על נכונותם של צעירים 'נורמטיביים' לבצע עבירות נשק. </w:t>
      </w:r>
    </w:p>
    <w:p w14:paraId="0ABF48FD" w14:textId="77777777" w:rsidR="00F50248" w:rsidRDefault="00F50248" w:rsidP="00F50248">
      <w:pPr>
        <w:pStyle w:val="aa"/>
        <w:spacing w:after="0"/>
        <w:ind w:left="360"/>
        <w:rPr>
          <w:rFonts w:ascii="David" w:hAnsi="David" w:cs="David"/>
          <w:sz w:val="24"/>
        </w:rPr>
      </w:pPr>
    </w:p>
    <w:p w14:paraId="675FC90E" w14:textId="77777777" w:rsidR="00F50248" w:rsidRDefault="00F50248" w:rsidP="00F50248">
      <w:pPr>
        <w:pStyle w:val="aa"/>
        <w:numPr>
          <w:ilvl w:val="0"/>
          <w:numId w:val="1"/>
        </w:numPr>
        <w:spacing w:after="0"/>
        <w:rPr>
          <w:rFonts w:ascii="David" w:hAnsi="David"/>
          <w:b/>
          <w:bCs/>
          <w:sz w:val="24"/>
          <w:u w:val="single"/>
          <w:rtl/>
        </w:rPr>
      </w:pPr>
      <w:r>
        <w:rPr>
          <w:rFonts w:ascii="David" w:hAnsi="David" w:cs="David"/>
          <w:sz w:val="24"/>
          <w:rtl/>
        </w:rPr>
        <w:t xml:space="preserve">כל הנתונים שלעיל, צריכים היו להוביל לטעמו של בית המשפט להטלת עונש במרכז מתחם הענישה. בשים לב להסכמות הדיוניות של הצדדים לעניין הטיעון לעונש, בית המשפט לא יחרוג מן העתירה להטיל על הנאשם עונש בחלקו התחתון של המתחם, אך לא בתחתיתו ממש. </w:t>
      </w:r>
    </w:p>
    <w:p w14:paraId="60B1124C" w14:textId="77777777" w:rsidR="00F50248" w:rsidRDefault="00F50248" w:rsidP="00F50248">
      <w:pPr>
        <w:pStyle w:val="aa"/>
        <w:spacing w:after="0"/>
        <w:ind w:left="360"/>
        <w:rPr>
          <w:rFonts w:ascii="David" w:hAnsi="David"/>
          <w:b/>
          <w:bCs/>
          <w:sz w:val="24"/>
          <w:u w:val="single"/>
        </w:rPr>
      </w:pPr>
    </w:p>
    <w:p w14:paraId="0417E340" w14:textId="77777777" w:rsidR="00F50248" w:rsidRDefault="00F50248" w:rsidP="00F50248">
      <w:pPr>
        <w:rPr>
          <w:rFonts w:ascii="David" w:hAnsi="David"/>
          <w:b/>
          <w:bCs/>
          <w:u w:val="single"/>
          <w:rtl/>
        </w:rPr>
      </w:pPr>
      <w:r>
        <w:rPr>
          <w:rFonts w:ascii="David" w:hAnsi="David"/>
          <w:b/>
          <w:bCs/>
          <w:u w:val="single"/>
          <w:rtl/>
        </w:rPr>
        <w:t>סוף דבר:</w:t>
      </w:r>
    </w:p>
    <w:p w14:paraId="2375C879" w14:textId="77777777" w:rsidR="00F50248" w:rsidRDefault="00F50248" w:rsidP="00F50248">
      <w:pPr>
        <w:rPr>
          <w:rFonts w:ascii="David" w:hAnsi="David"/>
          <w:b/>
          <w:bCs/>
          <w:u w:val="single"/>
          <w:rtl/>
        </w:rPr>
      </w:pPr>
    </w:p>
    <w:p w14:paraId="7898829A" w14:textId="77777777" w:rsidR="00F50248" w:rsidRDefault="00F50248" w:rsidP="00F50248">
      <w:pPr>
        <w:pStyle w:val="aa"/>
        <w:numPr>
          <w:ilvl w:val="0"/>
          <w:numId w:val="1"/>
        </w:numPr>
        <w:rPr>
          <w:rFonts w:ascii="David" w:hAnsi="David" w:cs="David"/>
          <w:sz w:val="24"/>
          <w:rtl/>
        </w:rPr>
      </w:pPr>
      <w:r>
        <w:rPr>
          <w:rFonts w:ascii="David" w:hAnsi="David" w:cs="David"/>
          <w:sz w:val="24"/>
          <w:rtl/>
        </w:rPr>
        <w:t>לאחר ששקלתי את מכלול השיקולים כמפורט לעיל אני מטילה על הנאשם את העונשים הבאים:</w:t>
      </w:r>
    </w:p>
    <w:p w14:paraId="0DD73413" w14:textId="77777777" w:rsidR="00F50248" w:rsidRDefault="00F50248" w:rsidP="00F50248">
      <w:pPr>
        <w:pStyle w:val="aa"/>
        <w:ind w:left="360"/>
        <w:rPr>
          <w:rFonts w:ascii="David" w:hAnsi="David" w:cs="David"/>
          <w:sz w:val="24"/>
        </w:rPr>
      </w:pPr>
    </w:p>
    <w:p w14:paraId="13F5868F" w14:textId="77777777" w:rsidR="00F50248" w:rsidRDefault="00F50248" w:rsidP="00F50248">
      <w:pPr>
        <w:pStyle w:val="aa"/>
        <w:numPr>
          <w:ilvl w:val="0"/>
          <w:numId w:val="5"/>
        </w:numPr>
        <w:rPr>
          <w:rFonts w:ascii="David" w:hAnsi="David" w:cs="David"/>
          <w:sz w:val="24"/>
          <w:rtl/>
        </w:rPr>
      </w:pPr>
      <w:r>
        <w:rPr>
          <w:rFonts w:ascii="David" w:hAnsi="David" w:cs="David"/>
          <w:b/>
          <w:bCs/>
          <w:sz w:val="24"/>
          <w:rtl/>
        </w:rPr>
        <w:t>22 חודשי מאסר בפועל</w:t>
      </w:r>
      <w:r>
        <w:rPr>
          <w:rFonts w:ascii="David" w:hAnsi="David" w:cs="David"/>
          <w:sz w:val="24"/>
          <w:rtl/>
        </w:rPr>
        <w:t>, בניכוי ימי מעצרו בתיק זה</w:t>
      </w:r>
      <w:r>
        <w:rPr>
          <w:rFonts w:ascii="David" w:hAnsi="David" w:cs="David" w:hint="cs"/>
          <w:sz w:val="24"/>
          <w:rtl/>
        </w:rPr>
        <w:t>,</w:t>
      </w:r>
      <w:r>
        <w:rPr>
          <w:rFonts w:ascii="David" w:hAnsi="David" w:cs="David"/>
          <w:sz w:val="24"/>
          <w:rtl/>
        </w:rPr>
        <w:t xml:space="preserve"> על פי רישומי שב"ס. </w:t>
      </w:r>
    </w:p>
    <w:p w14:paraId="4D37E4A1" w14:textId="77777777" w:rsidR="00F50248" w:rsidRDefault="00F50248" w:rsidP="00F50248">
      <w:pPr>
        <w:pStyle w:val="aa"/>
        <w:spacing w:after="0"/>
        <w:rPr>
          <w:rFonts w:ascii="David" w:hAnsi="David" w:cs="David"/>
          <w:sz w:val="24"/>
        </w:rPr>
      </w:pPr>
    </w:p>
    <w:p w14:paraId="744AD5AB" w14:textId="77777777" w:rsidR="00F50248" w:rsidRDefault="00F50248" w:rsidP="00F50248">
      <w:pPr>
        <w:pStyle w:val="aa"/>
        <w:numPr>
          <w:ilvl w:val="0"/>
          <w:numId w:val="5"/>
        </w:numPr>
        <w:spacing w:after="0"/>
        <w:rPr>
          <w:rFonts w:ascii="David" w:hAnsi="David" w:cs="David"/>
          <w:b/>
          <w:bCs/>
          <w:sz w:val="24"/>
          <w:rtl/>
        </w:rPr>
      </w:pPr>
      <w:r>
        <w:rPr>
          <w:rFonts w:ascii="David" w:hAnsi="David" w:cs="David"/>
          <w:b/>
          <w:bCs/>
          <w:sz w:val="24"/>
          <w:rtl/>
        </w:rPr>
        <w:t>מאסר על תנאי לתקופה של 12 חודשים.</w:t>
      </w:r>
    </w:p>
    <w:p w14:paraId="75F3F183" w14:textId="77777777" w:rsidR="00F50248" w:rsidRDefault="00F50248" w:rsidP="00F50248">
      <w:pPr>
        <w:pStyle w:val="aa"/>
        <w:spacing w:after="0"/>
        <w:ind w:left="502"/>
        <w:rPr>
          <w:rFonts w:ascii="David" w:hAnsi="David" w:cs="David"/>
          <w:color w:val="000000"/>
          <w:sz w:val="24"/>
          <w:shd w:val="clear" w:color="auto" w:fill="FFFFFF"/>
        </w:rPr>
      </w:pPr>
      <w:r>
        <w:rPr>
          <w:rFonts w:ascii="David" w:hAnsi="David" w:cs="David"/>
          <w:sz w:val="24"/>
          <w:rtl/>
        </w:rPr>
        <w:t xml:space="preserve">המאסר המותנה יופעל אם תוך תקופה של שלוש שנים מיום שחרורו, יעבור הנאשם </w:t>
      </w:r>
      <w:r>
        <w:rPr>
          <w:rFonts w:ascii="David" w:hAnsi="David" w:cs="David"/>
          <w:color w:val="000000"/>
          <w:sz w:val="24"/>
          <w:shd w:val="clear" w:color="auto" w:fill="FFFFFF"/>
          <w:rtl/>
        </w:rPr>
        <w:t xml:space="preserve">עבירת נשק. </w:t>
      </w:r>
    </w:p>
    <w:p w14:paraId="2A851A1D" w14:textId="77777777" w:rsidR="00F50248" w:rsidRDefault="00F50248" w:rsidP="00F50248">
      <w:pPr>
        <w:pStyle w:val="aa"/>
        <w:spacing w:after="0"/>
        <w:ind w:left="502"/>
        <w:rPr>
          <w:rFonts w:ascii="David" w:hAnsi="David" w:cs="David"/>
          <w:color w:val="000000"/>
          <w:sz w:val="24"/>
          <w:shd w:val="clear" w:color="auto" w:fill="FFFFFF"/>
          <w:rtl/>
        </w:rPr>
      </w:pPr>
    </w:p>
    <w:p w14:paraId="4F479730" w14:textId="77777777" w:rsidR="00F50248" w:rsidRDefault="00F50248" w:rsidP="00F50248">
      <w:pPr>
        <w:pStyle w:val="aa"/>
        <w:numPr>
          <w:ilvl w:val="0"/>
          <w:numId w:val="5"/>
        </w:numPr>
        <w:spacing w:after="0"/>
        <w:rPr>
          <w:rFonts w:ascii="David" w:hAnsi="David" w:cs="David"/>
          <w:b/>
          <w:bCs/>
          <w:sz w:val="24"/>
          <w:rtl/>
        </w:rPr>
      </w:pPr>
      <w:r>
        <w:rPr>
          <w:rFonts w:ascii="David" w:hAnsi="David" w:cs="David"/>
          <w:b/>
          <w:bCs/>
          <w:sz w:val="24"/>
          <w:rtl/>
        </w:rPr>
        <w:t>קנס בסך 5,000 ₪ או 25 ימי מאסר תמורתו.</w:t>
      </w:r>
    </w:p>
    <w:p w14:paraId="087FDF50" w14:textId="77777777" w:rsidR="00F50248" w:rsidRDefault="00F50248" w:rsidP="00F50248">
      <w:pPr>
        <w:pStyle w:val="aa"/>
        <w:spacing w:after="0"/>
        <w:ind w:left="502"/>
        <w:rPr>
          <w:rFonts w:ascii="David" w:hAnsi="David" w:cs="David"/>
          <w:sz w:val="24"/>
        </w:rPr>
      </w:pPr>
      <w:r>
        <w:rPr>
          <w:rFonts w:ascii="David" w:hAnsi="David" w:cs="David"/>
          <w:sz w:val="24"/>
          <w:rtl/>
        </w:rPr>
        <w:t>הקנס ישולם בתוך 90 ימים.</w:t>
      </w:r>
    </w:p>
    <w:p w14:paraId="2CA6AF7E" w14:textId="77777777" w:rsidR="00F50248" w:rsidRDefault="00F50248" w:rsidP="00F50248">
      <w:pPr>
        <w:rPr>
          <w:rFonts w:ascii="David" w:hAnsi="David"/>
          <w:b/>
          <w:bCs/>
          <w:u w:val="single"/>
          <w:rtl/>
        </w:rPr>
      </w:pPr>
    </w:p>
    <w:p w14:paraId="11A74DCB" w14:textId="77777777" w:rsidR="00F50248" w:rsidRDefault="00F50248" w:rsidP="00F50248">
      <w:pPr>
        <w:rPr>
          <w:rFonts w:ascii="David" w:hAnsi="David"/>
          <w:b/>
          <w:bCs/>
          <w:u w:val="single"/>
          <w:rtl/>
        </w:rPr>
      </w:pPr>
      <w:r>
        <w:rPr>
          <w:rFonts w:ascii="David" w:hAnsi="David"/>
          <w:b/>
          <w:bCs/>
          <w:u w:val="single"/>
          <w:rtl/>
        </w:rPr>
        <w:t>המזכירות תעביר עותק מגזר הדין לשירות המבחן.</w:t>
      </w:r>
    </w:p>
    <w:p w14:paraId="5A601021" w14:textId="77777777" w:rsidR="00F50248" w:rsidRDefault="00F50248" w:rsidP="00F50248">
      <w:pPr>
        <w:rPr>
          <w:rFonts w:ascii="David" w:hAnsi="David"/>
          <w:rtl/>
        </w:rPr>
      </w:pPr>
    </w:p>
    <w:p w14:paraId="3257A259" w14:textId="77777777" w:rsidR="00F50248" w:rsidRDefault="006478FC" w:rsidP="00F50248">
      <w:pPr>
        <w:rPr>
          <w:rFonts w:ascii="David" w:hAnsi="David"/>
          <w:rtl/>
        </w:rPr>
      </w:pPr>
      <w:r w:rsidRPr="006478FC">
        <w:rPr>
          <w:rFonts w:ascii="David" w:hAnsi="David"/>
          <w:color w:val="FFFFFF"/>
          <w:sz w:val="2"/>
          <w:szCs w:val="2"/>
          <w:rtl/>
        </w:rPr>
        <w:t>5129371</w:t>
      </w:r>
      <w:r w:rsidR="00F50248">
        <w:rPr>
          <w:rFonts w:ascii="David" w:hAnsi="David"/>
          <w:rtl/>
        </w:rPr>
        <w:t xml:space="preserve">זכות ערעור כחוק. </w:t>
      </w:r>
    </w:p>
    <w:p w14:paraId="66FBFA6F" w14:textId="77777777" w:rsidR="00F50248" w:rsidRPr="006478FC" w:rsidRDefault="006478FC" w:rsidP="00F50248">
      <w:pPr>
        <w:rPr>
          <w:rFonts w:ascii="David" w:hAnsi="David"/>
          <w:color w:val="FFFFFF"/>
          <w:sz w:val="2"/>
          <w:szCs w:val="2"/>
          <w:rtl/>
        </w:rPr>
      </w:pPr>
      <w:r w:rsidRPr="006478FC">
        <w:rPr>
          <w:rFonts w:ascii="David" w:hAnsi="David"/>
          <w:color w:val="FFFFFF"/>
          <w:sz w:val="2"/>
          <w:szCs w:val="2"/>
          <w:rtl/>
        </w:rPr>
        <w:t>54678313</w:t>
      </w:r>
    </w:p>
    <w:p w14:paraId="6BC366D0" w14:textId="77777777" w:rsidR="00F50248" w:rsidRPr="000F2247" w:rsidRDefault="00F50248" w:rsidP="00F50248">
      <w:pPr>
        <w:rPr>
          <w:rFonts w:ascii="Arial" w:hAnsi="Arial"/>
          <w:b/>
          <w:bCs/>
          <w:sz w:val="26"/>
          <w:szCs w:val="26"/>
          <w:rtl/>
        </w:rPr>
      </w:pPr>
    </w:p>
    <w:p w14:paraId="424C2862" w14:textId="77777777" w:rsidR="00F50248" w:rsidRPr="000F2247" w:rsidRDefault="006478FC" w:rsidP="00F5024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סיוון תשפ"ג, 18 יוני 2023, בהעדר הצדדים. </w:t>
      </w:r>
      <w:bookmarkEnd w:id="8"/>
      <w:r w:rsidR="00F50248">
        <w:rPr>
          <w:rFonts w:ascii="Arial" w:hAnsi="Arial"/>
          <w:b/>
          <w:bCs/>
          <w:sz w:val="26"/>
          <w:szCs w:val="26"/>
          <w:rtl/>
        </w:rPr>
        <w:tab/>
      </w:r>
      <w:r w:rsidR="00F50248">
        <w:rPr>
          <w:rFonts w:ascii="Arial" w:hAnsi="Arial"/>
          <w:b/>
          <w:bCs/>
          <w:sz w:val="26"/>
          <w:szCs w:val="26"/>
          <w:rtl/>
        </w:rPr>
        <w:tab/>
      </w:r>
      <w:r w:rsidR="00F50248">
        <w:rPr>
          <w:rFonts w:ascii="Arial" w:hAnsi="Arial"/>
          <w:b/>
          <w:bCs/>
          <w:sz w:val="26"/>
          <w:szCs w:val="26"/>
          <w:rtl/>
        </w:rPr>
        <w:tab/>
      </w:r>
      <w:r w:rsidR="00F50248">
        <w:rPr>
          <w:rFonts w:ascii="Arial" w:hAnsi="Arial"/>
          <w:b/>
          <w:bCs/>
          <w:sz w:val="26"/>
          <w:szCs w:val="26"/>
          <w:rtl/>
        </w:rPr>
        <w:tab/>
      </w:r>
      <w:r w:rsidR="00F50248">
        <w:rPr>
          <w:rFonts w:ascii="Arial" w:hAnsi="Arial"/>
          <w:b/>
          <w:bCs/>
          <w:sz w:val="26"/>
          <w:szCs w:val="26"/>
          <w:rtl/>
        </w:rPr>
        <w:tab/>
      </w:r>
      <w:r w:rsidR="00F50248">
        <w:rPr>
          <w:rFonts w:ascii="Arial" w:hAnsi="Arial"/>
          <w:b/>
          <w:bCs/>
          <w:sz w:val="26"/>
          <w:szCs w:val="26"/>
          <w:rtl/>
        </w:rPr>
        <w:tab/>
      </w:r>
      <w:r w:rsidR="00F50248">
        <w:rPr>
          <w:rFonts w:ascii="Arial" w:hAnsi="Arial"/>
          <w:b/>
          <w:bCs/>
          <w:sz w:val="26"/>
          <w:szCs w:val="26"/>
          <w:rtl/>
        </w:rPr>
        <w:tab/>
      </w:r>
      <w:r w:rsidR="00F50248">
        <w:rPr>
          <w:rFonts w:ascii="Arial" w:hAnsi="Arial" w:hint="cs"/>
          <w:b/>
          <w:bCs/>
          <w:sz w:val="26"/>
          <w:szCs w:val="26"/>
          <w:rtl/>
        </w:rPr>
        <w:t xml:space="preserve">         </w:t>
      </w:r>
    </w:p>
    <w:p w14:paraId="7EB603F3" w14:textId="77777777" w:rsidR="006478FC" w:rsidRDefault="006478FC" w:rsidP="006478FC">
      <w:pPr>
        <w:rPr>
          <w:rtl/>
        </w:rPr>
      </w:pPr>
    </w:p>
    <w:p w14:paraId="27C28501" w14:textId="77777777" w:rsidR="006478FC" w:rsidRDefault="006478FC" w:rsidP="006478FC">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6C75376D" w14:textId="77777777" w:rsidR="007C60D0" w:rsidRPr="007C60D0" w:rsidRDefault="007C60D0" w:rsidP="007C60D0">
      <w:pPr>
        <w:keepNext/>
        <w:rPr>
          <w:rFonts w:ascii="David" w:hAnsi="David"/>
          <w:color w:val="000000"/>
          <w:sz w:val="22"/>
          <w:szCs w:val="22"/>
          <w:rtl/>
        </w:rPr>
      </w:pPr>
    </w:p>
    <w:p w14:paraId="67DC360C" w14:textId="77777777" w:rsidR="007C60D0" w:rsidRPr="007C60D0" w:rsidRDefault="007C60D0" w:rsidP="007C60D0">
      <w:pPr>
        <w:keepNext/>
        <w:rPr>
          <w:rFonts w:ascii="David" w:hAnsi="David"/>
          <w:color w:val="000000"/>
          <w:sz w:val="22"/>
          <w:szCs w:val="22"/>
          <w:rtl/>
        </w:rPr>
      </w:pPr>
      <w:r w:rsidRPr="007C60D0">
        <w:rPr>
          <w:rFonts w:ascii="David" w:hAnsi="David"/>
          <w:color w:val="000000"/>
          <w:sz w:val="22"/>
          <w:szCs w:val="22"/>
          <w:rtl/>
        </w:rPr>
        <w:t>ענת חולתא 54678313-/</w:t>
      </w:r>
    </w:p>
    <w:p w14:paraId="06126878" w14:textId="77777777" w:rsidR="006478FC" w:rsidRPr="006478FC" w:rsidRDefault="007C60D0" w:rsidP="007C60D0">
      <w:pPr>
        <w:rPr>
          <w:color w:val="0000FF"/>
          <w:u w:val="single"/>
        </w:rPr>
      </w:pPr>
      <w:r w:rsidRPr="007C60D0">
        <w:rPr>
          <w:color w:val="000000"/>
          <w:u w:val="single"/>
          <w:rtl/>
        </w:rPr>
        <w:t>נוסח מסמך זה כפוף לשינויי ניסוח ועריכה</w:t>
      </w:r>
    </w:p>
    <w:sectPr w:rsidR="006478FC" w:rsidRPr="006478FC" w:rsidSect="007C60D0">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F6BFB" w14:textId="77777777" w:rsidR="007A6897" w:rsidRDefault="007A6897" w:rsidP="00311BFE">
      <w:r>
        <w:separator/>
      </w:r>
    </w:p>
  </w:endnote>
  <w:endnote w:type="continuationSeparator" w:id="0">
    <w:p w14:paraId="1B7026A6" w14:textId="77777777" w:rsidR="007A6897" w:rsidRDefault="007A6897" w:rsidP="00311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2A2D5" w14:textId="77777777" w:rsidR="007C60D0" w:rsidRDefault="007C60D0" w:rsidP="007C60D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BD927B" w14:textId="77777777" w:rsidR="004238BD" w:rsidRPr="007C60D0" w:rsidRDefault="007C60D0" w:rsidP="007C60D0">
    <w:pPr>
      <w:pStyle w:val="a5"/>
      <w:pBdr>
        <w:top w:val="single" w:sz="4" w:space="1" w:color="auto"/>
        <w:between w:val="single" w:sz="4" w:space="0" w:color="auto"/>
      </w:pBdr>
      <w:spacing w:after="60"/>
      <w:jc w:val="center"/>
      <w:rPr>
        <w:rFonts w:ascii="FrankRuehl" w:hAnsi="FrankRuehl" w:cs="FrankRuehl"/>
        <w:color w:val="000000"/>
      </w:rPr>
    </w:pPr>
    <w:r w:rsidRPr="007C60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8966E" w14:textId="77777777" w:rsidR="007C60D0" w:rsidRDefault="007C60D0" w:rsidP="007C60D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44EC6">
      <w:rPr>
        <w:rFonts w:ascii="FrankRuehl" w:hAnsi="FrankRuehl" w:cs="FrankRuehl"/>
        <w:noProof/>
        <w:rtl/>
      </w:rPr>
      <w:t>1</w:t>
    </w:r>
    <w:r>
      <w:rPr>
        <w:rFonts w:ascii="FrankRuehl" w:hAnsi="FrankRuehl" w:cs="FrankRuehl"/>
        <w:rtl/>
      </w:rPr>
      <w:fldChar w:fldCharType="end"/>
    </w:r>
  </w:p>
  <w:p w14:paraId="22BFD53A" w14:textId="77777777" w:rsidR="004238BD" w:rsidRPr="007C60D0" w:rsidRDefault="007C60D0" w:rsidP="007C60D0">
    <w:pPr>
      <w:pStyle w:val="a5"/>
      <w:pBdr>
        <w:top w:val="single" w:sz="4" w:space="1" w:color="auto"/>
        <w:between w:val="single" w:sz="4" w:space="0" w:color="auto"/>
      </w:pBdr>
      <w:spacing w:after="60"/>
      <w:jc w:val="center"/>
      <w:rPr>
        <w:rFonts w:ascii="FrankRuehl" w:hAnsi="FrankRuehl" w:cs="FrankRuehl"/>
        <w:color w:val="000000"/>
      </w:rPr>
    </w:pPr>
    <w:r w:rsidRPr="007C60D0">
      <w:rPr>
        <w:rFonts w:ascii="FrankRuehl" w:hAnsi="FrankRuehl" w:cs="FrankRuehl"/>
        <w:color w:val="000000"/>
      </w:rPr>
      <w:pict w14:anchorId="4E057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2F2FF" w14:textId="77777777" w:rsidR="007A6897" w:rsidRDefault="007A6897" w:rsidP="00311BFE">
      <w:r>
        <w:separator/>
      </w:r>
    </w:p>
  </w:footnote>
  <w:footnote w:type="continuationSeparator" w:id="0">
    <w:p w14:paraId="5EA5AFED" w14:textId="77777777" w:rsidR="007A6897" w:rsidRDefault="007A6897" w:rsidP="00311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9F3BA" w14:textId="77777777" w:rsidR="006478FC" w:rsidRPr="007C60D0" w:rsidRDefault="007C60D0" w:rsidP="007C60D0">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(ב"ש) 40983-10-20</w:t>
    </w:r>
    <w:r>
      <w:rPr>
        <w:rFonts w:ascii="David" w:hAnsi="David"/>
        <w:color w:val="000000"/>
        <w:sz w:val="22"/>
        <w:szCs w:val="22"/>
        <w:rtl/>
      </w:rPr>
      <w:tab/>
      <w:t xml:space="preserve"> מדינת ישראל נ' ריזיק אבו עמרה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F6569" w14:textId="77777777" w:rsidR="006478FC" w:rsidRPr="007C60D0" w:rsidRDefault="007C60D0" w:rsidP="007C60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40983-10-20</w:t>
    </w:r>
    <w:r>
      <w:rPr>
        <w:rFonts w:ascii="David" w:hAnsi="David"/>
        <w:color w:val="000000"/>
        <w:sz w:val="22"/>
        <w:szCs w:val="22"/>
        <w:rtl/>
      </w:rPr>
      <w:tab/>
      <w:t xml:space="preserve"> מדינת ישראל נ' ריזיק אבו עמרה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32BB"/>
    <w:multiLevelType w:val="hybridMultilevel"/>
    <w:tmpl w:val="FD809E9E"/>
    <w:lvl w:ilvl="0" w:tplc="A39C18CA">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37D81929"/>
    <w:multiLevelType w:val="hybridMultilevel"/>
    <w:tmpl w:val="972257F4"/>
    <w:lvl w:ilvl="0" w:tplc="989AF576">
      <w:start w:val="1"/>
      <w:numFmt w:val="hebrew1"/>
      <w:lvlText w:val="%1."/>
      <w:lvlJc w:val="left"/>
      <w:pPr>
        <w:ind w:left="502" w:hanging="360"/>
      </w:pPr>
      <w:rPr>
        <w:rFonts w:ascii="David" w:hAnsi="David" w:cs="David" w:hint="default"/>
        <w:b/>
        <w:bCs/>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2" w15:restartNumberingAfterBreak="0">
    <w:nsid w:val="3B1674BA"/>
    <w:multiLevelType w:val="hybridMultilevel"/>
    <w:tmpl w:val="F9DAAFEA"/>
    <w:lvl w:ilvl="0" w:tplc="163A04C0">
      <w:start w:val="1"/>
      <w:numFmt w:val="decimal"/>
      <w:lvlText w:val="%1."/>
      <w:lvlJc w:val="left"/>
      <w:pPr>
        <w:ind w:left="360" w:hanging="360"/>
      </w:pPr>
      <w:rPr>
        <w:rFonts w:eastAsia="Calibri"/>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D9430DF"/>
    <w:multiLevelType w:val="hybridMultilevel"/>
    <w:tmpl w:val="4DE47DE6"/>
    <w:lvl w:ilvl="0" w:tplc="A39C18C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7A167FB"/>
    <w:multiLevelType w:val="hybridMultilevel"/>
    <w:tmpl w:val="6592FCA2"/>
    <w:lvl w:ilvl="0" w:tplc="6DEA06C8">
      <w:start w:val="1"/>
      <w:numFmt w:val="hebrew1"/>
      <w:lvlText w:val="%1."/>
      <w:lvlJc w:val="left"/>
      <w:pPr>
        <w:ind w:left="720" w:hanging="360"/>
      </w:pPr>
      <w:rPr>
        <w:rFonts w:ascii="David" w:eastAsia="Calibri" w:hAnsi="David" w:cs="David"/>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469364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677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6832986">
    <w:abstractNumId w:val="4"/>
    <w:lvlOverride w:ilvl="0">
      <w:startOverride w:val="1"/>
    </w:lvlOverride>
    <w:lvlOverride w:ilvl="1"/>
    <w:lvlOverride w:ilvl="2"/>
    <w:lvlOverride w:ilvl="3"/>
    <w:lvlOverride w:ilvl="4"/>
    <w:lvlOverride w:ilvl="5"/>
    <w:lvlOverride w:ilvl="6"/>
    <w:lvlOverride w:ilvl="7"/>
    <w:lvlOverride w:ilvl="8"/>
  </w:num>
  <w:num w:numId="4" w16cid:durableId="913178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2695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0248"/>
    <w:rsid w:val="0006601D"/>
    <w:rsid w:val="001B5A3B"/>
    <w:rsid w:val="002711E0"/>
    <w:rsid w:val="00311BFE"/>
    <w:rsid w:val="004238BD"/>
    <w:rsid w:val="004404BE"/>
    <w:rsid w:val="006478FC"/>
    <w:rsid w:val="006D58CB"/>
    <w:rsid w:val="007A6897"/>
    <w:rsid w:val="007C60D0"/>
    <w:rsid w:val="008432FE"/>
    <w:rsid w:val="00C44EC6"/>
    <w:rsid w:val="00CD7590"/>
    <w:rsid w:val="00D05FB4"/>
    <w:rsid w:val="00EF56D2"/>
    <w:rsid w:val="00F502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6D6CE2"/>
  <w15:chartTrackingRefBased/>
  <w15:docId w15:val="{9134A241-5DE9-49EC-A778-DA5B973D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02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0248"/>
    <w:pPr>
      <w:tabs>
        <w:tab w:val="center" w:pos="4153"/>
        <w:tab w:val="right" w:pos="8306"/>
      </w:tabs>
    </w:pPr>
  </w:style>
  <w:style w:type="character" w:customStyle="1" w:styleId="a4">
    <w:name w:val="כותרת עליונה תו"/>
    <w:link w:val="a3"/>
    <w:rsid w:val="00F50248"/>
    <w:rPr>
      <w:rFonts w:ascii="Times New Roman" w:eastAsia="Times New Roman" w:hAnsi="Times New Roman" w:cs="David"/>
      <w:sz w:val="24"/>
      <w:szCs w:val="24"/>
    </w:rPr>
  </w:style>
  <w:style w:type="paragraph" w:styleId="a5">
    <w:name w:val="footer"/>
    <w:basedOn w:val="a"/>
    <w:link w:val="a6"/>
    <w:rsid w:val="00F50248"/>
    <w:pPr>
      <w:tabs>
        <w:tab w:val="center" w:pos="4153"/>
        <w:tab w:val="right" w:pos="8306"/>
      </w:tabs>
    </w:pPr>
  </w:style>
  <w:style w:type="character" w:customStyle="1" w:styleId="a6">
    <w:name w:val="כותרת תחתונה תו"/>
    <w:link w:val="a5"/>
    <w:rsid w:val="00F50248"/>
    <w:rPr>
      <w:rFonts w:ascii="Times New Roman" w:eastAsia="Times New Roman" w:hAnsi="Times New Roman" w:cs="David"/>
      <w:sz w:val="24"/>
      <w:szCs w:val="24"/>
    </w:rPr>
  </w:style>
  <w:style w:type="table" w:styleId="a7">
    <w:name w:val="Table Grid"/>
    <w:basedOn w:val="a1"/>
    <w:rsid w:val="00F502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0248"/>
  </w:style>
  <w:style w:type="character" w:customStyle="1" w:styleId="a9">
    <w:name w:val="פיסקת רשימה תו"/>
    <w:link w:val="aa"/>
    <w:locked/>
    <w:rsid w:val="00F50248"/>
    <w:rPr>
      <w:rFonts w:cs="Arial"/>
      <w:szCs w:val="24"/>
    </w:rPr>
  </w:style>
  <w:style w:type="paragraph" w:styleId="aa">
    <w:name w:val="List Paragraph"/>
    <w:basedOn w:val="a"/>
    <w:link w:val="a9"/>
    <w:qFormat/>
    <w:rsid w:val="00F50248"/>
    <w:pPr>
      <w:spacing w:after="160" w:line="360" w:lineRule="auto"/>
      <w:ind w:left="720"/>
      <w:contextualSpacing/>
      <w:jc w:val="both"/>
    </w:pPr>
    <w:rPr>
      <w:rFonts w:ascii="Calibri" w:eastAsia="Calibri" w:hAnsi="Calibri" w:cs="Arial"/>
      <w:sz w:val="22"/>
    </w:rPr>
  </w:style>
  <w:style w:type="character" w:styleId="Hyperlink">
    <w:name w:val="Hyperlink"/>
    <w:rsid w:val="00647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513828" TargetMode="External"/><Relationship Id="rId18" Type="http://schemas.openxmlformats.org/officeDocument/2006/relationships/hyperlink" Target="http://www.nevo.co.il/case/26934681" TargetMode="External"/><Relationship Id="rId26" Type="http://schemas.openxmlformats.org/officeDocument/2006/relationships/hyperlink" Target="http://www.nevo.co.il/case/24263426" TargetMode="External"/><Relationship Id="rId21" Type="http://schemas.openxmlformats.org/officeDocument/2006/relationships/hyperlink" Target="http://www.nevo.co.il/case/27721185"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case/28513828" TargetMode="External"/><Relationship Id="rId17" Type="http://schemas.openxmlformats.org/officeDocument/2006/relationships/hyperlink" Target="http://www.nevo.co.il/case/13015506" TargetMode="External"/><Relationship Id="rId25" Type="http://schemas.openxmlformats.org/officeDocument/2006/relationships/hyperlink" Target="http://www.nevo.co.il/case/2691399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8963593" TargetMode="External"/><Relationship Id="rId20" Type="http://schemas.openxmlformats.org/officeDocument/2006/relationships/hyperlink" Target="http://www.nevo.co.il/case/22315418" TargetMode="External"/><Relationship Id="rId29" Type="http://schemas.openxmlformats.org/officeDocument/2006/relationships/hyperlink" Target="http://www.nevo.co.il/case/274198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8697218" TargetMode="External"/><Relationship Id="rId24" Type="http://schemas.openxmlformats.org/officeDocument/2006/relationships/hyperlink" Target="http://www.nevo.co.il/case/27648787"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2938500" TargetMode="External"/><Relationship Id="rId23" Type="http://schemas.openxmlformats.org/officeDocument/2006/relationships/hyperlink" Target="http://www.nevo.co.il/case/27510949" TargetMode="External"/><Relationship Id="rId28" Type="http://schemas.openxmlformats.org/officeDocument/2006/relationships/hyperlink" Target="http://www.nevo.co.il/case/22607175"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6101449"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9243283"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case/26745252" TargetMode="External"/><Relationship Id="rId30" Type="http://schemas.openxmlformats.org/officeDocument/2006/relationships/hyperlink" Target="http://www.nevo.co.il/case/27510949"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4051</Words>
  <Characters>20257</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24260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3342459</vt:i4>
      </vt:variant>
      <vt:variant>
        <vt:i4>69</vt:i4>
      </vt:variant>
      <vt:variant>
        <vt:i4>0</vt:i4>
      </vt:variant>
      <vt:variant>
        <vt:i4>5</vt:i4>
      </vt:variant>
      <vt:variant>
        <vt:lpwstr>http://www.nevo.co.il/case/27510949</vt:lpwstr>
      </vt:variant>
      <vt:variant>
        <vt:lpwstr/>
      </vt:variant>
      <vt:variant>
        <vt:i4>3866746</vt:i4>
      </vt:variant>
      <vt:variant>
        <vt:i4>66</vt:i4>
      </vt:variant>
      <vt:variant>
        <vt:i4>0</vt:i4>
      </vt:variant>
      <vt:variant>
        <vt:i4>5</vt:i4>
      </vt:variant>
      <vt:variant>
        <vt:lpwstr>http://www.nevo.co.il/case/27419840</vt:lpwstr>
      </vt:variant>
      <vt:variant>
        <vt:lpwstr/>
      </vt:variant>
      <vt:variant>
        <vt:i4>3407991</vt:i4>
      </vt:variant>
      <vt:variant>
        <vt:i4>63</vt:i4>
      </vt:variant>
      <vt:variant>
        <vt:i4>0</vt:i4>
      </vt:variant>
      <vt:variant>
        <vt:i4>5</vt:i4>
      </vt:variant>
      <vt:variant>
        <vt:lpwstr>http://www.nevo.co.il/case/22607175</vt:lpwstr>
      </vt:variant>
      <vt:variant>
        <vt:lpwstr/>
      </vt:variant>
      <vt:variant>
        <vt:i4>3473524</vt:i4>
      </vt:variant>
      <vt:variant>
        <vt:i4>60</vt:i4>
      </vt:variant>
      <vt:variant>
        <vt:i4>0</vt:i4>
      </vt:variant>
      <vt:variant>
        <vt:i4>5</vt:i4>
      </vt:variant>
      <vt:variant>
        <vt:lpwstr>http://www.nevo.co.il/case/26745252</vt:lpwstr>
      </vt:variant>
      <vt:variant>
        <vt:lpwstr/>
      </vt:variant>
      <vt:variant>
        <vt:i4>3211378</vt:i4>
      </vt:variant>
      <vt:variant>
        <vt:i4>57</vt:i4>
      </vt:variant>
      <vt:variant>
        <vt:i4>0</vt:i4>
      </vt:variant>
      <vt:variant>
        <vt:i4>5</vt:i4>
      </vt:variant>
      <vt:variant>
        <vt:lpwstr>http://www.nevo.co.il/case/24263426</vt:lpwstr>
      </vt:variant>
      <vt:variant>
        <vt:lpwstr/>
      </vt:variant>
      <vt:variant>
        <vt:i4>3211386</vt:i4>
      </vt:variant>
      <vt:variant>
        <vt:i4>54</vt:i4>
      </vt:variant>
      <vt:variant>
        <vt:i4>0</vt:i4>
      </vt:variant>
      <vt:variant>
        <vt:i4>5</vt:i4>
      </vt:variant>
      <vt:variant>
        <vt:lpwstr>http://www.nevo.co.il/case/26913995</vt:lpwstr>
      </vt:variant>
      <vt:variant>
        <vt:lpwstr/>
      </vt:variant>
      <vt:variant>
        <vt:i4>3407984</vt:i4>
      </vt:variant>
      <vt:variant>
        <vt:i4>51</vt:i4>
      </vt:variant>
      <vt:variant>
        <vt:i4>0</vt:i4>
      </vt:variant>
      <vt:variant>
        <vt:i4>5</vt:i4>
      </vt:variant>
      <vt:variant>
        <vt:lpwstr>http://www.nevo.co.il/case/27648787</vt:lpwstr>
      </vt:variant>
      <vt:variant>
        <vt:lpwstr/>
      </vt:variant>
      <vt:variant>
        <vt:i4>3342459</vt:i4>
      </vt:variant>
      <vt:variant>
        <vt:i4>48</vt:i4>
      </vt:variant>
      <vt:variant>
        <vt:i4>0</vt:i4>
      </vt:variant>
      <vt:variant>
        <vt:i4>5</vt:i4>
      </vt:variant>
      <vt:variant>
        <vt:lpwstr>http://www.nevo.co.il/case/27510949</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3932272</vt:i4>
      </vt:variant>
      <vt:variant>
        <vt:i4>42</vt:i4>
      </vt:variant>
      <vt:variant>
        <vt:i4>0</vt:i4>
      </vt:variant>
      <vt:variant>
        <vt:i4>5</vt:i4>
      </vt:variant>
      <vt:variant>
        <vt:lpwstr>http://www.nevo.co.il/case/27721185</vt:lpwstr>
      </vt:variant>
      <vt:variant>
        <vt:lpwstr/>
      </vt:variant>
      <vt:variant>
        <vt:i4>3473523</vt:i4>
      </vt:variant>
      <vt:variant>
        <vt:i4>39</vt:i4>
      </vt:variant>
      <vt:variant>
        <vt:i4>0</vt:i4>
      </vt:variant>
      <vt:variant>
        <vt:i4>5</vt:i4>
      </vt:variant>
      <vt:variant>
        <vt:lpwstr>http://www.nevo.co.il/case/22315418</vt:lpwstr>
      </vt:variant>
      <vt:variant>
        <vt:lpwstr/>
      </vt:variant>
      <vt:variant>
        <vt:i4>3539062</vt:i4>
      </vt:variant>
      <vt:variant>
        <vt:i4>36</vt:i4>
      </vt:variant>
      <vt:variant>
        <vt:i4>0</vt:i4>
      </vt:variant>
      <vt:variant>
        <vt:i4>5</vt:i4>
      </vt:variant>
      <vt:variant>
        <vt:lpwstr>http://www.nevo.co.il/case/26101449</vt:lpwstr>
      </vt:variant>
      <vt:variant>
        <vt:lpwstr/>
      </vt:variant>
      <vt:variant>
        <vt:i4>3604599</vt:i4>
      </vt:variant>
      <vt:variant>
        <vt:i4>33</vt:i4>
      </vt:variant>
      <vt:variant>
        <vt:i4>0</vt:i4>
      </vt:variant>
      <vt:variant>
        <vt:i4>5</vt:i4>
      </vt:variant>
      <vt:variant>
        <vt:lpwstr>http://www.nevo.co.il/case/26934681</vt:lpwstr>
      </vt:variant>
      <vt:variant>
        <vt:lpwstr/>
      </vt:variant>
      <vt:variant>
        <vt:i4>3407987</vt:i4>
      </vt:variant>
      <vt:variant>
        <vt:i4>30</vt:i4>
      </vt:variant>
      <vt:variant>
        <vt:i4>0</vt:i4>
      </vt:variant>
      <vt:variant>
        <vt:i4>5</vt:i4>
      </vt:variant>
      <vt:variant>
        <vt:lpwstr>http://www.nevo.co.il/case/13015506</vt:lpwstr>
      </vt:variant>
      <vt:variant>
        <vt:lpwstr/>
      </vt:variant>
      <vt:variant>
        <vt:i4>3211391</vt:i4>
      </vt:variant>
      <vt:variant>
        <vt:i4>27</vt:i4>
      </vt:variant>
      <vt:variant>
        <vt:i4>0</vt:i4>
      </vt:variant>
      <vt:variant>
        <vt:i4>5</vt:i4>
      </vt:variant>
      <vt:variant>
        <vt:lpwstr>http://www.nevo.co.il/case/28963593</vt:lpwstr>
      </vt:variant>
      <vt:variant>
        <vt:lpwstr/>
      </vt:variant>
      <vt:variant>
        <vt:i4>3342448</vt:i4>
      </vt:variant>
      <vt:variant>
        <vt:i4>24</vt:i4>
      </vt:variant>
      <vt:variant>
        <vt:i4>0</vt:i4>
      </vt:variant>
      <vt:variant>
        <vt:i4>5</vt:i4>
      </vt:variant>
      <vt:variant>
        <vt:lpwstr>http://www.nevo.co.il/case/22938500</vt:lpwstr>
      </vt:variant>
      <vt:variant>
        <vt:lpwstr/>
      </vt:variant>
      <vt:variant>
        <vt:i4>3866747</vt:i4>
      </vt:variant>
      <vt:variant>
        <vt:i4>21</vt:i4>
      </vt:variant>
      <vt:variant>
        <vt:i4>0</vt:i4>
      </vt:variant>
      <vt:variant>
        <vt:i4>5</vt:i4>
      </vt:variant>
      <vt:variant>
        <vt:lpwstr>http://www.nevo.co.il/case/29243283</vt:lpwstr>
      </vt:variant>
      <vt:variant>
        <vt:lpwstr/>
      </vt:variant>
      <vt:variant>
        <vt:i4>3539061</vt:i4>
      </vt:variant>
      <vt:variant>
        <vt:i4>18</vt:i4>
      </vt:variant>
      <vt:variant>
        <vt:i4>0</vt:i4>
      </vt:variant>
      <vt:variant>
        <vt:i4>5</vt:i4>
      </vt:variant>
      <vt:variant>
        <vt:lpwstr>http://www.nevo.co.il/case/28513828</vt:lpwstr>
      </vt:variant>
      <vt:variant>
        <vt:lpwstr/>
      </vt:variant>
      <vt:variant>
        <vt:i4>3539061</vt:i4>
      </vt:variant>
      <vt:variant>
        <vt:i4>15</vt:i4>
      </vt:variant>
      <vt:variant>
        <vt:i4>0</vt:i4>
      </vt:variant>
      <vt:variant>
        <vt:i4>5</vt:i4>
      </vt:variant>
      <vt:variant>
        <vt:lpwstr>http://www.nevo.co.il/case/28513828</vt:lpwstr>
      </vt:variant>
      <vt:variant>
        <vt:lpwstr/>
      </vt:variant>
      <vt:variant>
        <vt:i4>3276919</vt:i4>
      </vt:variant>
      <vt:variant>
        <vt:i4>12</vt:i4>
      </vt:variant>
      <vt:variant>
        <vt:i4>0</vt:i4>
      </vt:variant>
      <vt:variant>
        <vt:i4>5</vt:i4>
      </vt:variant>
      <vt:variant>
        <vt:lpwstr>http://www.nevo.co.il/case/28697218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2025-01-19T17:45:00Z</dcterms:created>
  <dcterms:modified xsi:type="dcterms:W3CDTF">2025-01-19T17:45:00Z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40983</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ריזיק אבו עמרה</vt:lpwstr>
  </property>
  <property fmtid="{D5CDD505-2E9C-101B-9397-08002B2CF9AE}" pid="10" name="LAWYER">
    <vt:lpwstr>ויקטור אוזן</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20230618</vt:lpwstr>
  </property>
  <property fmtid="{D5CDD505-2E9C-101B-9397-08002B2CF9AE}" pid="14" name="TYPE_N_DATE">
    <vt:lpwstr>38020230618</vt:lpwstr>
  </property>
  <property fmtid="{D5CDD505-2E9C-101B-9397-08002B2CF9AE}" pid="15" name="WORDNUMPAGES">
    <vt:lpwstr>13</vt:lpwstr>
  </property>
  <property fmtid="{D5CDD505-2E9C-101B-9397-08002B2CF9AE}" pid="16" name="TYPE_ABS_DATE">
    <vt:lpwstr>380020230618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28697218;28513828:3;29243283;22938500;28963593;13015506;26934681;26101449;22315418;27721185;27510949:2;27648787;26913995;24263426;26745252;22607175;27419840</vt:lpwstr>
  </property>
  <property fmtid="{D5CDD505-2E9C-101B-9397-08002B2CF9AE}" pid="36" name="LAWLISTTMP1">
    <vt:lpwstr>70301/144.a</vt:lpwstr>
  </property>
</Properties>
</file>