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F7387B" w:rsidRPr="007D62B5" w14:paraId="626C956E" w14:textId="77777777" w:rsidTr="00511444">
        <w:trPr>
          <w:gridAfter w:val="1"/>
          <w:wAfter w:w="99" w:type="dxa"/>
          <w:trHeight w:hRule="exact" w:val="418"/>
          <w:jc w:val="center"/>
        </w:trPr>
        <w:tc>
          <w:tcPr>
            <w:tcW w:w="8721" w:type="dxa"/>
            <w:gridSpan w:val="4"/>
          </w:tcPr>
          <w:p w14:paraId="39B7FCDE" w14:textId="77777777" w:rsidR="00F7387B" w:rsidRPr="007D62B5" w:rsidRDefault="00F7387B" w:rsidP="007F1965">
            <w:pPr>
              <w:pStyle w:val="a3"/>
              <w:jc w:val="center"/>
              <w:rPr>
                <w:rFonts w:ascii="Tahoma" w:hAnsi="Tahoma" w:cs="Tahoma"/>
                <w:color w:val="000080"/>
                <w:rtl/>
              </w:rPr>
            </w:pPr>
            <w:bookmarkStart w:id="0" w:name="LastJudge"/>
            <w:r w:rsidRPr="007D62B5">
              <w:rPr>
                <w:rFonts w:ascii="Tahoma" w:hAnsi="Tahoma" w:cs="Tahoma"/>
                <w:b/>
                <w:bCs/>
                <w:color w:val="000080"/>
                <w:rtl/>
              </w:rPr>
              <w:t>בית משפט השלום בירושלים</w:t>
            </w:r>
          </w:p>
        </w:tc>
      </w:tr>
      <w:tr w:rsidR="00F7387B" w:rsidRPr="007D62B5" w14:paraId="33376323" w14:textId="77777777" w:rsidTr="00511444">
        <w:trPr>
          <w:gridAfter w:val="1"/>
          <w:wAfter w:w="99" w:type="dxa"/>
          <w:trHeight w:val="337"/>
          <w:jc w:val="center"/>
        </w:trPr>
        <w:tc>
          <w:tcPr>
            <w:tcW w:w="5054" w:type="dxa"/>
            <w:gridSpan w:val="3"/>
          </w:tcPr>
          <w:p w14:paraId="7AAD936B" w14:textId="77777777" w:rsidR="00F7387B" w:rsidRPr="007D62B5" w:rsidRDefault="00F7387B" w:rsidP="007F1965">
            <w:pPr>
              <w:rPr>
                <w:rFonts w:cs="FrankRuehl"/>
                <w:sz w:val="28"/>
                <w:szCs w:val="28"/>
                <w:rtl/>
              </w:rPr>
            </w:pPr>
            <w:r w:rsidRPr="007D62B5">
              <w:rPr>
                <w:rFonts w:cs="FrankRuehl"/>
                <w:sz w:val="28"/>
                <w:szCs w:val="28"/>
                <w:rtl/>
              </w:rPr>
              <w:t>ת"פ</w:t>
            </w:r>
            <w:r w:rsidRPr="007D62B5">
              <w:rPr>
                <w:rFonts w:cs="FrankRuehl" w:hint="cs"/>
                <w:sz w:val="28"/>
                <w:szCs w:val="28"/>
                <w:rtl/>
              </w:rPr>
              <w:t xml:space="preserve"> </w:t>
            </w:r>
            <w:r w:rsidRPr="007D62B5">
              <w:rPr>
                <w:rFonts w:cs="FrankRuehl"/>
                <w:sz w:val="28"/>
                <w:szCs w:val="28"/>
                <w:rtl/>
              </w:rPr>
              <w:t>18957-11-20</w:t>
            </w:r>
            <w:r w:rsidRPr="007D62B5">
              <w:rPr>
                <w:rFonts w:cs="FrankRuehl" w:hint="cs"/>
                <w:sz w:val="28"/>
                <w:szCs w:val="28"/>
                <w:rtl/>
              </w:rPr>
              <w:t xml:space="preserve"> </w:t>
            </w:r>
            <w:r w:rsidRPr="007D62B5">
              <w:rPr>
                <w:rFonts w:cs="FrankRuehl"/>
                <w:sz w:val="28"/>
                <w:szCs w:val="28"/>
                <w:rtl/>
              </w:rPr>
              <w:t>מדינת ישראל נ' ג'וליס</w:t>
            </w:r>
          </w:p>
          <w:p w14:paraId="6FFD76BD" w14:textId="77777777" w:rsidR="00F7387B" w:rsidRPr="007D62B5" w:rsidRDefault="00F7387B" w:rsidP="007F1965">
            <w:pPr>
              <w:pStyle w:val="a3"/>
              <w:rPr>
                <w:rFonts w:cs="FrankRuehl"/>
                <w:sz w:val="28"/>
                <w:szCs w:val="28"/>
                <w:rtl/>
              </w:rPr>
            </w:pPr>
          </w:p>
        </w:tc>
        <w:tc>
          <w:tcPr>
            <w:tcW w:w="3667" w:type="dxa"/>
          </w:tcPr>
          <w:p w14:paraId="69C12F10" w14:textId="77777777" w:rsidR="00F7387B" w:rsidRPr="007D62B5" w:rsidRDefault="00F7387B" w:rsidP="007F1965">
            <w:pPr>
              <w:pStyle w:val="a3"/>
              <w:jc w:val="right"/>
              <w:rPr>
                <w:rFonts w:cs="FrankRuehl"/>
                <w:sz w:val="28"/>
                <w:szCs w:val="28"/>
                <w:rtl/>
              </w:rPr>
            </w:pPr>
          </w:p>
        </w:tc>
      </w:tr>
      <w:tr w:rsidR="00F7387B" w:rsidRPr="007D62B5" w14:paraId="22F006EB" w14:textId="77777777" w:rsidTr="005114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EE305E3" w14:textId="77777777" w:rsidR="00F7387B" w:rsidRPr="007D62B5" w:rsidRDefault="00F7387B" w:rsidP="00F7387B">
            <w:pPr>
              <w:jc w:val="both"/>
              <w:rPr>
                <w:rFonts w:ascii="David" w:hAnsi="David"/>
                <w:sz w:val="26"/>
                <w:szCs w:val="26"/>
              </w:rPr>
            </w:pPr>
            <w:r w:rsidRPr="007D62B5">
              <w:rPr>
                <w:rFonts w:hint="cs"/>
                <w:rtl/>
              </w:rPr>
              <w:t xml:space="preserve"> </w:t>
            </w:r>
            <w:r w:rsidRPr="007D62B5">
              <w:rPr>
                <w:rFonts w:ascii="David" w:hAnsi="David" w:hint="cs"/>
                <w:sz w:val="26"/>
                <w:szCs w:val="26"/>
                <w:rtl/>
              </w:rPr>
              <w:t>ל</w:t>
            </w:r>
            <w:r w:rsidRPr="007D62B5">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665BCF2" w14:textId="77777777" w:rsidR="00F7387B" w:rsidRPr="007D62B5" w:rsidRDefault="00F7387B" w:rsidP="007F1965">
            <w:pPr>
              <w:rPr>
                <w:rFonts w:ascii="David" w:hAnsi="David"/>
                <w:b/>
                <w:bCs/>
                <w:sz w:val="26"/>
                <w:szCs w:val="26"/>
                <w:rtl/>
              </w:rPr>
            </w:pPr>
            <w:r w:rsidRPr="007D62B5">
              <w:rPr>
                <w:rFonts w:ascii="David" w:hAnsi="David"/>
                <w:b/>
                <w:bCs/>
                <w:sz w:val="26"/>
                <w:szCs w:val="26"/>
                <w:rtl/>
              </w:rPr>
              <w:t>כבוד השופט מוחמד חאג' יחיא</w:t>
            </w:r>
          </w:p>
          <w:p w14:paraId="580E3D8B" w14:textId="77777777" w:rsidR="00F7387B" w:rsidRPr="007D62B5" w:rsidRDefault="00F7387B" w:rsidP="007F1965">
            <w:pPr>
              <w:rPr>
                <w:rFonts w:ascii="David" w:hAnsi="David"/>
                <w:sz w:val="26"/>
                <w:szCs w:val="26"/>
                <w:rtl/>
              </w:rPr>
            </w:pPr>
          </w:p>
          <w:p w14:paraId="355BEF17" w14:textId="77777777" w:rsidR="00F7387B" w:rsidRPr="007D62B5" w:rsidRDefault="00F7387B" w:rsidP="00F7387B">
            <w:pPr>
              <w:jc w:val="both"/>
              <w:rPr>
                <w:rFonts w:ascii="David" w:hAnsi="David"/>
                <w:sz w:val="26"/>
                <w:szCs w:val="26"/>
              </w:rPr>
            </w:pPr>
          </w:p>
        </w:tc>
      </w:tr>
      <w:tr w:rsidR="00F7387B" w:rsidRPr="007D62B5" w14:paraId="730D26CA" w14:textId="77777777" w:rsidTr="005114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463CBC" w14:textId="77777777" w:rsidR="00F7387B" w:rsidRPr="007D62B5" w:rsidRDefault="00F7387B" w:rsidP="00F7387B">
            <w:pPr>
              <w:jc w:val="both"/>
              <w:rPr>
                <w:rFonts w:ascii="David" w:hAnsi="David"/>
                <w:sz w:val="26"/>
                <w:szCs w:val="26"/>
              </w:rPr>
            </w:pPr>
            <w:bookmarkStart w:id="1" w:name="FirstAppellant"/>
            <w:bookmarkStart w:id="2" w:name="FirstLawyer"/>
            <w:r w:rsidRPr="007D62B5">
              <w:rPr>
                <w:rFonts w:ascii="David" w:hAnsi="David"/>
                <w:sz w:val="26"/>
                <w:szCs w:val="26"/>
                <w:rtl/>
              </w:rPr>
              <w:t>בעניין:</w:t>
            </w:r>
          </w:p>
        </w:tc>
        <w:tc>
          <w:tcPr>
            <w:tcW w:w="3219" w:type="dxa"/>
            <w:tcBorders>
              <w:top w:val="nil"/>
              <w:left w:val="nil"/>
              <w:bottom w:val="nil"/>
              <w:right w:val="nil"/>
            </w:tcBorders>
            <w:shd w:val="clear" w:color="auto" w:fill="auto"/>
          </w:tcPr>
          <w:p w14:paraId="3A94F08F" w14:textId="77777777" w:rsidR="00F7387B" w:rsidRPr="007D62B5" w:rsidRDefault="00F7387B" w:rsidP="00F7387B">
            <w:pPr>
              <w:suppressLineNumbers/>
            </w:pPr>
            <w:r w:rsidRPr="007D62B5">
              <w:rPr>
                <w:rFonts w:ascii="Arial" w:hAnsi="Arial" w:hint="cs"/>
                <w:b/>
                <w:bCs/>
                <w:sz w:val="26"/>
                <w:szCs w:val="26"/>
                <w:rtl/>
              </w:rPr>
              <w:t>ה</w:t>
            </w:r>
            <w:r w:rsidRPr="007D62B5">
              <w:rPr>
                <w:rFonts w:ascii="Arial" w:hAnsi="Arial"/>
                <w:b/>
                <w:bCs/>
                <w:sz w:val="26"/>
                <w:szCs w:val="26"/>
                <w:rtl/>
              </w:rPr>
              <w:t>מאשימה</w:t>
            </w:r>
          </w:p>
          <w:p w14:paraId="7EDD65F4" w14:textId="77777777" w:rsidR="00F7387B" w:rsidRPr="007D62B5" w:rsidRDefault="00F7387B" w:rsidP="007F196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E9D30D6" w14:textId="77777777" w:rsidR="00F7387B" w:rsidRPr="007D62B5" w:rsidRDefault="00F7387B" w:rsidP="00F7387B">
            <w:pPr>
              <w:suppressLineNumbers/>
              <w:rPr>
                <w:rFonts w:ascii="Arial" w:hAnsi="Arial"/>
                <w:b/>
                <w:bCs/>
                <w:sz w:val="26"/>
                <w:szCs w:val="26"/>
                <w:rtl/>
              </w:rPr>
            </w:pPr>
            <w:r w:rsidRPr="007D62B5">
              <w:rPr>
                <w:rFonts w:ascii="Arial" w:hAnsi="Arial"/>
                <w:b/>
                <w:bCs/>
                <w:sz w:val="26"/>
                <w:szCs w:val="26"/>
                <w:rtl/>
              </w:rPr>
              <w:t>מדינת ישראל</w:t>
            </w:r>
            <w:r w:rsidRPr="007D62B5">
              <w:rPr>
                <w:rFonts w:ascii="Arial" w:hAnsi="Arial" w:hint="cs"/>
                <w:b/>
                <w:bCs/>
                <w:sz w:val="26"/>
                <w:szCs w:val="26"/>
                <w:rtl/>
              </w:rPr>
              <w:t xml:space="preserve"> </w:t>
            </w:r>
          </w:p>
          <w:p w14:paraId="3F674A7F" w14:textId="77777777" w:rsidR="00F7387B" w:rsidRPr="007D62B5" w:rsidRDefault="00F7387B" w:rsidP="00F7387B">
            <w:pPr>
              <w:suppressLineNumbers/>
            </w:pPr>
            <w:r w:rsidRPr="007D62B5">
              <w:rPr>
                <w:rFonts w:ascii="Arial" w:hAnsi="Arial"/>
                <w:sz w:val="26"/>
                <w:szCs w:val="26"/>
                <w:rtl/>
              </w:rPr>
              <w:t>ע"י ב"כ עו"ד</w:t>
            </w:r>
            <w:r w:rsidRPr="007D62B5">
              <w:rPr>
                <w:rFonts w:ascii="Arial" w:hAnsi="Arial" w:hint="cs"/>
                <w:sz w:val="26"/>
                <w:szCs w:val="26"/>
                <w:rtl/>
              </w:rPr>
              <w:t xml:space="preserve"> מפרקליטות מחוז י-ם (פלילי)</w:t>
            </w:r>
          </w:p>
          <w:p w14:paraId="78A1D249" w14:textId="77777777" w:rsidR="00F7387B" w:rsidRPr="007D62B5" w:rsidRDefault="00F7387B" w:rsidP="007F1965">
            <w:pPr>
              <w:rPr>
                <w:rFonts w:ascii="David" w:hAnsi="David"/>
                <w:sz w:val="26"/>
                <w:szCs w:val="26"/>
              </w:rPr>
            </w:pPr>
          </w:p>
        </w:tc>
      </w:tr>
      <w:bookmarkEnd w:id="1"/>
      <w:bookmarkEnd w:id="2"/>
      <w:tr w:rsidR="00F7387B" w:rsidRPr="007D62B5" w14:paraId="016B6574" w14:textId="77777777" w:rsidTr="005114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95FF5A" w14:textId="77777777" w:rsidR="00F7387B" w:rsidRPr="007D62B5" w:rsidRDefault="00F7387B" w:rsidP="00F7387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7721628" w14:textId="77777777" w:rsidR="00F7387B" w:rsidRPr="007D62B5" w:rsidRDefault="00F7387B" w:rsidP="00F7387B">
            <w:pPr>
              <w:jc w:val="center"/>
              <w:rPr>
                <w:rFonts w:ascii="David" w:hAnsi="David"/>
                <w:b/>
                <w:bCs/>
                <w:sz w:val="26"/>
                <w:szCs w:val="26"/>
                <w:rtl/>
              </w:rPr>
            </w:pPr>
          </w:p>
          <w:p w14:paraId="7EC8DD09" w14:textId="77777777" w:rsidR="00F7387B" w:rsidRPr="007D62B5" w:rsidRDefault="00F7387B" w:rsidP="00F7387B">
            <w:pPr>
              <w:jc w:val="center"/>
              <w:rPr>
                <w:rFonts w:ascii="David" w:hAnsi="David"/>
                <w:b/>
                <w:bCs/>
                <w:sz w:val="26"/>
                <w:szCs w:val="26"/>
                <w:rtl/>
              </w:rPr>
            </w:pPr>
            <w:r w:rsidRPr="007D62B5">
              <w:rPr>
                <w:rFonts w:ascii="David" w:hAnsi="David"/>
                <w:b/>
                <w:bCs/>
                <w:sz w:val="26"/>
                <w:szCs w:val="26"/>
                <w:rtl/>
              </w:rPr>
              <w:t>נגד</w:t>
            </w:r>
          </w:p>
          <w:p w14:paraId="7AD4A0AC" w14:textId="77777777" w:rsidR="00F7387B" w:rsidRPr="007D62B5" w:rsidRDefault="00F7387B" w:rsidP="00F7387B">
            <w:pPr>
              <w:jc w:val="both"/>
              <w:rPr>
                <w:rFonts w:ascii="David" w:hAnsi="David"/>
                <w:sz w:val="26"/>
                <w:szCs w:val="26"/>
                <w:rtl/>
              </w:rPr>
            </w:pPr>
          </w:p>
          <w:p w14:paraId="4A24D0CF" w14:textId="77777777" w:rsidR="00F7387B" w:rsidRPr="007D62B5" w:rsidRDefault="00F7387B" w:rsidP="00F7387B">
            <w:pPr>
              <w:jc w:val="both"/>
              <w:rPr>
                <w:rFonts w:ascii="David" w:hAnsi="David"/>
                <w:sz w:val="26"/>
                <w:szCs w:val="26"/>
              </w:rPr>
            </w:pPr>
          </w:p>
        </w:tc>
      </w:tr>
      <w:tr w:rsidR="00F7387B" w:rsidRPr="007D62B5" w14:paraId="719D0393" w14:textId="77777777" w:rsidTr="005114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01FB4DD" w14:textId="77777777" w:rsidR="00F7387B" w:rsidRPr="007D62B5" w:rsidRDefault="00F7387B" w:rsidP="007F1965">
            <w:pPr>
              <w:rPr>
                <w:rFonts w:ascii="David" w:hAnsi="David"/>
                <w:sz w:val="26"/>
                <w:szCs w:val="26"/>
                <w:rtl/>
              </w:rPr>
            </w:pPr>
          </w:p>
        </w:tc>
        <w:tc>
          <w:tcPr>
            <w:tcW w:w="3219" w:type="dxa"/>
            <w:tcBorders>
              <w:top w:val="nil"/>
              <w:left w:val="nil"/>
              <w:bottom w:val="nil"/>
              <w:right w:val="nil"/>
            </w:tcBorders>
            <w:shd w:val="clear" w:color="auto" w:fill="auto"/>
          </w:tcPr>
          <w:p w14:paraId="2B6A2BB9" w14:textId="77777777" w:rsidR="00F7387B" w:rsidRPr="007D62B5" w:rsidRDefault="00F7387B" w:rsidP="007F1965">
            <w:pPr>
              <w:rPr>
                <w:rFonts w:ascii="Arial" w:hAnsi="Arial"/>
                <w:b/>
                <w:bCs/>
                <w:sz w:val="26"/>
                <w:szCs w:val="26"/>
                <w:rtl/>
              </w:rPr>
            </w:pPr>
            <w:r w:rsidRPr="007D62B5">
              <w:rPr>
                <w:rFonts w:ascii="Arial" w:hAnsi="Arial"/>
                <w:b/>
                <w:bCs/>
                <w:sz w:val="26"/>
                <w:szCs w:val="26"/>
                <w:rtl/>
              </w:rPr>
              <w:t>הנאש</w:t>
            </w:r>
            <w:r w:rsidRPr="007D62B5">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231C2858" w14:textId="77777777" w:rsidR="00F7387B" w:rsidRPr="007D62B5" w:rsidRDefault="00F7387B" w:rsidP="00F7387B">
            <w:pPr>
              <w:suppressLineNumbers/>
              <w:rPr>
                <w:rFonts w:ascii="Arial" w:hAnsi="Arial"/>
                <w:b/>
                <w:bCs/>
                <w:sz w:val="26"/>
                <w:szCs w:val="26"/>
                <w:rtl/>
              </w:rPr>
            </w:pPr>
            <w:r w:rsidRPr="007D62B5">
              <w:rPr>
                <w:rFonts w:ascii="Arial" w:hAnsi="Arial"/>
                <w:b/>
                <w:bCs/>
                <w:sz w:val="26"/>
                <w:szCs w:val="26"/>
                <w:rtl/>
              </w:rPr>
              <w:t xml:space="preserve">מוחמד ג'וליס </w:t>
            </w:r>
            <w:r w:rsidRPr="007D62B5">
              <w:rPr>
                <w:rFonts w:ascii="Arial" w:hAnsi="Arial" w:hint="cs"/>
                <w:b/>
                <w:bCs/>
                <w:sz w:val="26"/>
                <w:szCs w:val="26"/>
                <w:rtl/>
              </w:rPr>
              <w:t xml:space="preserve"> </w:t>
            </w:r>
          </w:p>
          <w:p w14:paraId="0A4488C8" w14:textId="77777777" w:rsidR="00F7387B" w:rsidRPr="007D62B5" w:rsidRDefault="00F7387B" w:rsidP="00F7387B">
            <w:pPr>
              <w:suppressLineNumbers/>
            </w:pPr>
            <w:r w:rsidRPr="007D62B5">
              <w:rPr>
                <w:rFonts w:ascii="Arial" w:hAnsi="Arial"/>
                <w:sz w:val="26"/>
                <w:szCs w:val="26"/>
                <w:rtl/>
              </w:rPr>
              <w:t>ע"י ב"כ עו"ד</w:t>
            </w:r>
            <w:r w:rsidRPr="007D62B5">
              <w:rPr>
                <w:rFonts w:ascii="Arial" w:hAnsi="Arial" w:hint="cs"/>
                <w:sz w:val="26"/>
                <w:szCs w:val="26"/>
                <w:rtl/>
              </w:rPr>
              <w:t xml:space="preserve"> יהודה שושן</w:t>
            </w:r>
          </w:p>
          <w:p w14:paraId="02402375" w14:textId="77777777" w:rsidR="00F7387B" w:rsidRPr="007D62B5" w:rsidRDefault="00F7387B" w:rsidP="007F1965">
            <w:pPr>
              <w:rPr>
                <w:rFonts w:ascii="David" w:hAnsi="David"/>
                <w:sz w:val="26"/>
                <w:szCs w:val="26"/>
              </w:rPr>
            </w:pPr>
          </w:p>
        </w:tc>
      </w:tr>
    </w:tbl>
    <w:p w14:paraId="2F9F0C37" w14:textId="77777777" w:rsidR="00511444" w:rsidRDefault="00511444" w:rsidP="007D62B5">
      <w:pPr>
        <w:rPr>
          <w:sz w:val="26"/>
          <w:szCs w:val="26"/>
          <w:rtl/>
        </w:rPr>
      </w:pPr>
    </w:p>
    <w:p w14:paraId="03A458D9" w14:textId="77777777" w:rsidR="00511444" w:rsidRPr="00511444" w:rsidRDefault="00511444" w:rsidP="00511444">
      <w:pPr>
        <w:spacing w:after="120" w:line="240" w:lineRule="exact"/>
        <w:ind w:left="283" w:hanging="283"/>
        <w:jc w:val="both"/>
        <w:rPr>
          <w:rFonts w:ascii="FrankRuehl" w:hAnsi="FrankRuehl" w:cs="FrankRuehl"/>
          <w:rtl/>
        </w:rPr>
      </w:pPr>
    </w:p>
    <w:p w14:paraId="52F13F84" w14:textId="77777777" w:rsidR="00E453D8" w:rsidRPr="00E453D8" w:rsidRDefault="00E453D8" w:rsidP="00E453D8">
      <w:pPr>
        <w:spacing w:before="120" w:after="120" w:line="240" w:lineRule="exact"/>
        <w:ind w:left="283" w:hanging="283"/>
        <w:jc w:val="both"/>
        <w:rPr>
          <w:rFonts w:ascii="FrankRuehl" w:hAnsi="FrankRuehl" w:cs="FrankRuehl"/>
          <w:rtl/>
        </w:rPr>
      </w:pPr>
    </w:p>
    <w:p w14:paraId="0C1E9E1F" w14:textId="77777777" w:rsidR="00157EE9" w:rsidRDefault="00157EE9" w:rsidP="00157EE9">
      <w:pPr>
        <w:rPr>
          <w:sz w:val="26"/>
          <w:szCs w:val="26"/>
          <w:rtl/>
        </w:rPr>
      </w:pPr>
      <w:bookmarkStart w:id="3" w:name="LawTable"/>
      <w:bookmarkEnd w:id="3"/>
    </w:p>
    <w:p w14:paraId="0DA4C5B6" w14:textId="77777777" w:rsidR="00157EE9" w:rsidRPr="00157EE9" w:rsidRDefault="00157EE9" w:rsidP="00157EE9">
      <w:pPr>
        <w:spacing w:before="120" w:after="120" w:line="240" w:lineRule="exact"/>
        <w:ind w:left="283" w:hanging="283"/>
        <w:jc w:val="both"/>
        <w:rPr>
          <w:rFonts w:ascii="FrankRuehl" w:hAnsi="FrankRuehl" w:cs="FrankRuehl"/>
          <w:rtl/>
        </w:rPr>
      </w:pPr>
    </w:p>
    <w:p w14:paraId="05417E4F" w14:textId="77777777" w:rsidR="00157EE9" w:rsidRPr="00157EE9" w:rsidRDefault="00157EE9" w:rsidP="00157EE9">
      <w:pPr>
        <w:spacing w:before="120" w:after="120" w:line="240" w:lineRule="exact"/>
        <w:ind w:left="283" w:hanging="283"/>
        <w:jc w:val="both"/>
        <w:rPr>
          <w:rFonts w:ascii="FrankRuehl" w:hAnsi="FrankRuehl" w:cs="FrankRuehl"/>
          <w:rtl/>
        </w:rPr>
      </w:pPr>
    </w:p>
    <w:p w14:paraId="3C97501A" w14:textId="77777777" w:rsidR="00157EE9" w:rsidRPr="00157EE9" w:rsidRDefault="00157EE9" w:rsidP="00157EE9">
      <w:pPr>
        <w:spacing w:before="120" w:after="120" w:line="240" w:lineRule="exact"/>
        <w:ind w:left="283" w:hanging="283"/>
        <w:jc w:val="both"/>
        <w:rPr>
          <w:rFonts w:ascii="FrankRuehl" w:hAnsi="FrankRuehl" w:cs="FrankRuehl"/>
          <w:rtl/>
        </w:rPr>
      </w:pPr>
      <w:r w:rsidRPr="00157EE9">
        <w:rPr>
          <w:rFonts w:ascii="FrankRuehl" w:hAnsi="FrankRuehl" w:cs="FrankRuehl"/>
          <w:rtl/>
        </w:rPr>
        <w:t xml:space="preserve">חקיקה שאוזכרה: </w:t>
      </w:r>
    </w:p>
    <w:p w14:paraId="13E8C027" w14:textId="77777777" w:rsidR="00157EE9" w:rsidRPr="00157EE9" w:rsidRDefault="00157EE9" w:rsidP="00157EE9">
      <w:pPr>
        <w:spacing w:before="120" w:after="120" w:line="240" w:lineRule="exact"/>
        <w:ind w:left="283" w:hanging="283"/>
        <w:jc w:val="both"/>
        <w:rPr>
          <w:rFonts w:ascii="FrankRuehl" w:hAnsi="FrankRuehl" w:cs="FrankRuehl"/>
          <w:rtl/>
        </w:rPr>
      </w:pPr>
      <w:hyperlink r:id="rId7" w:history="1">
        <w:r w:rsidRPr="00157EE9">
          <w:rPr>
            <w:rFonts w:ascii="FrankRuehl" w:hAnsi="FrankRuehl" w:cs="FrankRuehl"/>
            <w:color w:val="0000FF"/>
            <w:rtl/>
          </w:rPr>
          <w:t>חוק העונשין, תשל"ז-1977</w:t>
        </w:r>
      </w:hyperlink>
      <w:r w:rsidRPr="00157EE9">
        <w:rPr>
          <w:rFonts w:ascii="FrankRuehl" w:hAnsi="FrankRuehl" w:cs="FrankRuehl"/>
          <w:rtl/>
        </w:rPr>
        <w:t xml:space="preserve">: סע'  </w:t>
      </w:r>
      <w:hyperlink r:id="rId8" w:history="1">
        <w:r w:rsidRPr="00157EE9">
          <w:rPr>
            <w:rFonts w:ascii="FrankRuehl" w:hAnsi="FrankRuehl" w:cs="FrankRuehl"/>
            <w:color w:val="0000FF"/>
            <w:rtl/>
          </w:rPr>
          <w:t>25</w:t>
        </w:r>
      </w:hyperlink>
      <w:r w:rsidRPr="00157EE9">
        <w:rPr>
          <w:rFonts w:ascii="FrankRuehl" w:hAnsi="FrankRuehl" w:cs="FrankRuehl"/>
          <w:rtl/>
        </w:rPr>
        <w:t xml:space="preserve">, </w:t>
      </w:r>
      <w:hyperlink r:id="rId9" w:history="1">
        <w:r w:rsidRPr="00157EE9">
          <w:rPr>
            <w:rFonts w:ascii="FrankRuehl" w:hAnsi="FrankRuehl" w:cs="FrankRuehl"/>
            <w:color w:val="0000FF"/>
            <w:rtl/>
          </w:rPr>
          <w:t>40ב</w:t>
        </w:r>
      </w:hyperlink>
      <w:r w:rsidRPr="00157EE9">
        <w:rPr>
          <w:rFonts w:ascii="FrankRuehl" w:hAnsi="FrankRuehl" w:cs="FrankRuehl"/>
          <w:rtl/>
        </w:rPr>
        <w:t xml:space="preserve">, </w:t>
      </w:r>
      <w:hyperlink r:id="rId10" w:history="1">
        <w:r w:rsidRPr="00157EE9">
          <w:rPr>
            <w:rFonts w:ascii="FrankRuehl" w:hAnsi="FrankRuehl" w:cs="FrankRuehl"/>
            <w:color w:val="0000FF"/>
            <w:rtl/>
          </w:rPr>
          <w:t>40ג(א)</w:t>
        </w:r>
      </w:hyperlink>
      <w:r w:rsidRPr="00157EE9">
        <w:rPr>
          <w:rFonts w:ascii="FrankRuehl" w:hAnsi="FrankRuehl" w:cs="FrankRuehl"/>
          <w:rtl/>
        </w:rPr>
        <w:t xml:space="preserve">, </w:t>
      </w:r>
      <w:hyperlink r:id="rId11" w:history="1">
        <w:r w:rsidRPr="00157EE9">
          <w:rPr>
            <w:rFonts w:ascii="FrankRuehl" w:hAnsi="FrankRuehl" w:cs="FrankRuehl"/>
            <w:color w:val="0000FF"/>
            <w:rtl/>
          </w:rPr>
          <w:t>40ג(ב)</w:t>
        </w:r>
      </w:hyperlink>
      <w:r w:rsidRPr="00157EE9">
        <w:rPr>
          <w:rFonts w:ascii="FrankRuehl" w:hAnsi="FrankRuehl" w:cs="FrankRuehl"/>
          <w:rtl/>
        </w:rPr>
        <w:t xml:space="preserve">, </w:t>
      </w:r>
      <w:hyperlink r:id="rId12" w:history="1">
        <w:r w:rsidRPr="00157EE9">
          <w:rPr>
            <w:rFonts w:ascii="FrankRuehl" w:hAnsi="FrankRuehl" w:cs="FrankRuehl"/>
            <w:color w:val="0000FF"/>
            <w:rtl/>
          </w:rPr>
          <w:t>144(א)</w:t>
        </w:r>
      </w:hyperlink>
      <w:r w:rsidRPr="00157EE9">
        <w:rPr>
          <w:rFonts w:ascii="FrankRuehl" w:hAnsi="FrankRuehl" w:cs="FrankRuehl"/>
          <w:rtl/>
        </w:rPr>
        <w:t xml:space="preserve">, </w:t>
      </w:r>
      <w:hyperlink r:id="rId13" w:history="1">
        <w:r w:rsidRPr="00157EE9">
          <w:rPr>
            <w:rFonts w:ascii="FrankRuehl" w:hAnsi="FrankRuehl" w:cs="FrankRuehl"/>
            <w:color w:val="0000FF"/>
            <w:rtl/>
          </w:rPr>
          <w:t>287(א)</w:t>
        </w:r>
      </w:hyperlink>
      <w:r w:rsidRPr="00157EE9">
        <w:rPr>
          <w:rFonts w:ascii="FrankRuehl" w:hAnsi="FrankRuehl" w:cs="FrankRuehl"/>
          <w:rtl/>
        </w:rPr>
        <w:t xml:space="preserve">, </w:t>
      </w:r>
      <w:hyperlink r:id="rId14" w:history="1">
        <w:r w:rsidRPr="00157EE9">
          <w:rPr>
            <w:rFonts w:ascii="FrankRuehl" w:hAnsi="FrankRuehl" w:cs="FrankRuehl"/>
            <w:color w:val="0000FF"/>
            <w:rtl/>
          </w:rPr>
          <w:t>441</w:t>
        </w:r>
      </w:hyperlink>
    </w:p>
    <w:p w14:paraId="63204F50" w14:textId="77777777" w:rsidR="00157EE9" w:rsidRPr="00157EE9" w:rsidRDefault="00157EE9" w:rsidP="00157EE9">
      <w:pPr>
        <w:rPr>
          <w:sz w:val="26"/>
          <w:szCs w:val="26"/>
          <w:rtl/>
        </w:rPr>
      </w:pPr>
      <w:bookmarkStart w:id="4" w:name="LawTable_End"/>
      <w:bookmarkEnd w:id="4"/>
    </w:p>
    <w:p w14:paraId="698FA446" w14:textId="77777777" w:rsidR="00F7387B" w:rsidRPr="00E453D8" w:rsidRDefault="00F7387B" w:rsidP="00E453D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387B" w14:paraId="100AAC7D" w14:textId="77777777" w:rsidTr="00F7387B">
        <w:trPr>
          <w:trHeight w:val="355"/>
          <w:jc w:val="center"/>
        </w:trPr>
        <w:tc>
          <w:tcPr>
            <w:tcW w:w="8820" w:type="dxa"/>
            <w:tcBorders>
              <w:top w:val="nil"/>
              <w:left w:val="nil"/>
              <w:bottom w:val="nil"/>
              <w:right w:val="nil"/>
            </w:tcBorders>
            <w:shd w:val="clear" w:color="auto" w:fill="auto"/>
          </w:tcPr>
          <w:p w14:paraId="469E0711" w14:textId="77777777" w:rsidR="007D62B5" w:rsidRPr="007D62B5" w:rsidRDefault="007D62B5" w:rsidP="007D62B5">
            <w:pPr>
              <w:jc w:val="center"/>
              <w:rPr>
                <w:rFonts w:ascii="David" w:hAnsi="David"/>
                <w:b/>
                <w:bCs/>
                <w:sz w:val="32"/>
                <w:szCs w:val="32"/>
                <w:u w:val="single"/>
                <w:rtl/>
              </w:rPr>
            </w:pPr>
            <w:bookmarkStart w:id="5" w:name="PsakDin" w:colFirst="0" w:colLast="0"/>
            <w:bookmarkEnd w:id="0"/>
            <w:r w:rsidRPr="007D62B5">
              <w:rPr>
                <w:rFonts w:ascii="David" w:hAnsi="David"/>
                <w:b/>
                <w:bCs/>
                <w:sz w:val="32"/>
                <w:szCs w:val="32"/>
                <w:u w:val="single"/>
                <w:rtl/>
              </w:rPr>
              <w:t>גזר דין</w:t>
            </w:r>
          </w:p>
          <w:p w14:paraId="3781F7C2" w14:textId="77777777" w:rsidR="00F7387B" w:rsidRPr="007D62B5" w:rsidRDefault="00F7387B" w:rsidP="007D62B5">
            <w:pPr>
              <w:jc w:val="center"/>
              <w:rPr>
                <w:rFonts w:ascii="David" w:hAnsi="David"/>
                <w:bCs/>
                <w:sz w:val="32"/>
                <w:szCs w:val="32"/>
                <w:u w:val="single"/>
                <w:rtl/>
              </w:rPr>
            </w:pPr>
          </w:p>
        </w:tc>
      </w:tr>
    </w:tbl>
    <w:p w14:paraId="0487F72E" w14:textId="77777777" w:rsidR="00F7387B" w:rsidRPr="000F2247" w:rsidRDefault="00F7387B" w:rsidP="00F7387B">
      <w:pPr>
        <w:rPr>
          <w:rFonts w:ascii="Arial" w:hAnsi="Arial"/>
          <w:b/>
          <w:bCs/>
          <w:sz w:val="26"/>
          <w:szCs w:val="26"/>
          <w:rtl/>
        </w:rPr>
      </w:pPr>
      <w:bookmarkStart w:id="6" w:name="ABSTRACT_START"/>
      <w:bookmarkEnd w:id="5"/>
      <w:bookmarkEnd w:id="6"/>
    </w:p>
    <w:p w14:paraId="6F2242ED" w14:textId="77777777" w:rsidR="00F7387B" w:rsidRDefault="00F7387B" w:rsidP="00F7387B">
      <w:pPr>
        <w:pStyle w:val="a9"/>
        <w:numPr>
          <w:ilvl w:val="0"/>
          <w:numId w:val="1"/>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 xml:space="preserve">ביום 26.12.2021 הורשע הנאשם במסגרת הסדר טיעון ועל-יסוד הודאתו, בביצוע עבירת החזקת נשק, עבירה לפי </w:t>
      </w:r>
      <w:hyperlink r:id="rId15" w:history="1">
        <w:r w:rsidR="00511444" w:rsidRPr="00511444">
          <w:rPr>
            <w:rStyle w:val="Hyperlink"/>
            <w:rFonts w:ascii="FrankRuehl" w:hAnsi="FrankRuehl" w:cs="FrankRuehl"/>
            <w:sz w:val="28"/>
            <w:szCs w:val="28"/>
            <w:rtl/>
          </w:rPr>
          <w:t>סעיף 144(א)</w:t>
        </w:r>
      </w:hyperlink>
      <w:r>
        <w:rPr>
          <w:rFonts w:ascii="FrankRuehl" w:hAnsi="FrankRuehl" w:cs="FrankRuehl"/>
          <w:sz w:val="28"/>
          <w:szCs w:val="28"/>
          <w:rtl/>
        </w:rPr>
        <w:t xml:space="preserve"> רישא </w:t>
      </w:r>
      <w:r>
        <w:rPr>
          <w:rFonts w:ascii="Miriam" w:hAnsi="Miriam" w:cs="Miriam"/>
          <w:sz w:val="24"/>
          <w:szCs w:val="24"/>
          <w:rtl/>
        </w:rPr>
        <w:t>ב</w:t>
      </w:r>
      <w:hyperlink r:id="rId16" w:history="1">
        <w:r w:rsidR="007D62B5" w:rsidRPr="007D62B5">
          <w:rPr>
            <w:rFonts w:ascii="Miriam" w:hAnsi="Miriam" w:cs="Miriam"/>
            <w:color w:val="0000FF"/>
            <w:sz w:val="24"/>
            <w:szCs w:val="24"/>
            <w:u w:val="single"/>
            <w:rtl/>
          </w:rPr>
          <w:t>חוק העונשין</w:t>
        </w:r>
      </w:hyperlink>
      <w:r>
        <w:rPr>
          <w:rFonts w:ascii="Miriam" w:hAnsi="Miriam" w:cs="Miriam"/>
          <w:sz w:val="24"/>
          <w:szCs w:val="24"/>
          <w:rtl/>
        </w:rPr>
        <w:t>, התשל"ז-1977</w:t>
      </w:r>
      <w:r>
        <w:rPr>
          <w:rFonts w:ascii="FrankRuehl" w:hAnsi="FrankRuehl" w:cs="FrankRuehl"/>
          <w:sz w:val="28"/>
          <w:szCs w:val="28"/>
          <w:rtl/>
        </w:rPr>
        <w:t xml:space="preserve"> (להלן: "</w:t>
      </w:r>
      <w:r>
        <w:rPr>
          <w:rFonts w:ascii="Miriam" w:hAnsi="Miriam" w:cs="Miriam"/>
          <w:sz w:val="24"/>
          <w:szCs w:val="24"/>
          <w:rtl/>
        </w:rPr>
        <w:t>חוק העונשין</w:t>
      </w:r>
      <w:r>
        <w:rPr>
          <w:rFonts w:ascii="FrankRuehl" w:hAnsi="FrankRuehl" w:cs="FrankRuehl"/>
          <w:sz w:val="28"/>
          <w:szCs w:val="28"/>
          <w:rtl/>
        </w:rPr>
        <w:t xml:space="preserve">") עם </w:t>
      </w:r>
      <w:hyperlink r:id="rId17" w:history="1">
        <w:r w:rsidR="00511444" w:rsidRPr="00511444">
          <w:rPr>
            <w:rStyle w:val="Hyperlink"/>
            <w:rFonts w:ascii="FrankRuehl" w:hAnsi="FrankRuehl" w:cs="FrankRuehl"/>
            <w:sz w:val="28"/>
            <w:szCs w:val="28"/>
            <w:rtl/>
          </w:rPr>
          <w:t>סעיף 25</w:t>
        </w:r>
      </w:hyperlink>
      <w:r>
        <w:rPr>
          <w:rFonts w:ascii="FrankRuehl" w:hAnsi="FrankRuehl" w:cs="FrankRuehl"/>
          <w:sz w:val="28"/>
          <w:szCs w:val="28"/>
          <w:rtl/>
        </w:rPr>
        <w:t xml:space="preserve"> בחוק המוזכר.</w:t>
      </w:r>
    </w:p>
    <w:p w14:paraId="106E662D" w14:textId="77777777" w:rsidR="00F7387B" w:rsidRDefault="00F7387B" w:rsidP="00F7387B">
      <w:pPr>
        <w:pStyle w:val="a9"/>
        <w:spacing w:after="0" w:line="360" w:lineRule="auto"/>
        <w:ind w:left="651"/>
        <w:jc w:val="both"/>
        <w:rPr>
          <w:rFonts w:ascii="FrankRuehl" w:hAnsi="FrankRuehl" w:cs="FrankRuehl"/>
          <w:sz w:val="28"/>
          <w:szCs w:val="28"/>
        </w:rPr>
      </w:pPr>
    </w:p>
    <w:p w14:paraId="76528B5C" w14:textId="77777777" w:rsidR="00F7387B" w:rsidRDefault="00F7387B" w:rsidP="00F7387B">
      <w:pPr>
        <w:pStyle w:val="a9"/>
        <w:numPr>
          <w:ilvl w:val="0"/>
          <w:numId w:val="1"/>
        </w:numPr>
        <w:spacing w:after="0" w:line="360" w:lineRule="auto"/>
        <w:ind w:left="651" w:hanging="566"/>
        <w:jc w:val="both"/>
        <w:rPr>
          <w:rFonts w:ascii="FrankRuehl" w:hAnsi="FrankRuehl" w:cs="FrankRuehl"/>
          <w:sz w:val="28"/>
          <w:szCs w:val="28"/>
        </w:rPr>
      </w:pPr>
      <w:bookmarkStart w:id="7" w:name="ABSTRACT_END"/>
      <w:bookmarkEnd w:id="7"/>
      <w:r>
        <w:rPr>
          <w:rFonts w:ascii="FrankRuehl" w:hAnsi="FrankRuehl" w:cs="FrankRuehl"/>
          <w:sz w:val="28"/>
          <w:szCs w:val="28"/>
          <w:rtl/>
        </w:rPr>
        <w:t xml:space="preserve">לפי האישום המתוקן שהוגש במסגרת ההסדר, ממועד שאינו ידוע במדויק למאשימה ועד יום 1.11.2020, החזיק הנאשם יחד עם אחר שזהותו אינה ידועה לה במדויק, בשטח ביתו ובחצריו בשכונת אל-זעים, במקום לא ידוע, אקדח מסוג </w:t>
      </w:r>
      <w:r>
        <w:rPr>
          <w:rFonts w:ascii="FrankRuehl" w:hAnsi="FrankRuehl" w:cs="FrankRuehl"/>
        </w:rPr>
        <w:t>FN</w:t>
      </w:r>
      <w:r>
        <w:rPr>
          <w:rFonts w:ascii="FrankRuehl" w:hAnsi="FrankRuehl" w:cs="FrankRuehl"/>
          <w:sz w:val="28"/>
          <w:szCs w:val="28"/>
          <w:rtl/>
        </w:rPr>
        <w:t xml:space="preserve"> שבכוחו להמית אדם (להלן: "</w:t>
      </w:r>
      <w:r>
        <w:rPr>
          <w:rFonts w:ascii="Miriam" w:hAnsi="Miriam" w:cs="Miriam"/>
          <w:sz w:val="24"/>
          <w:szCs w:val="24"/>
          <w:rtl/>
        </w:rPr>
        <w:t>האקדח</w:t>
      </w:r>
      <w:r>
        <w:rPr>
          <w:rFonts w:ascii="FrankRuehl" w:hAnsi="FrankRuehl" w:cs="FrankRuehl"/>
          <w:sz w:val="28"/>
          <w:szCs w:val="28"/>
          <w:rtl/>
        </w:rPr>
        <w:t>" או "</w:t>
      </w:r>
      <w:r>
        <w:rPr>
          <w:rFonts w:ascii="Miriam" w:hAnsi="Miriam" w:cs="Miriam"/>
          <w:sz w:val="24"/>
          <w:szCs w:val="24"/>
          <w:rtl/>
        </w:rPr>
        <w:t>הנשק</w:t>
      </w:r>
      <w:r>
        <w:rPr>
          <w:rFonts w:ascii="FrankRuehl" w:hAnsi="FrankRuehl" w:cs="FrankRuehl"/>
          <w:sz w:val="28"/>
          <w:szCs w:val="28"/>
          <w:rtl/>
        </w:rPr>
        <w:t xml:space="preserve">"), זאת ללא מחסנית או תחמושת. ביום 1.11.2020 או סמוך לכך, בעת שהגיעו שוטרים לבצע חיפוש בביתו של הנאשם, הוא זרק את האקדח וזאת בשל </w:t>
      </w:r>
      <w:r>
        <w:rPr>
          <w:rFonts w:ascii="FrankRuehl" w:hAnsi="FrankRuehl" w:cs="FrankRuehl"/>
          <w:sz w:val="28"/>
          <w:szCs w:val="28"/>
          <w:rtl/>
        </w:rPr>
        <w:lastRenderedPageBreak/>
        <w:t>החשש שיאתרו אותו בחזקתו. בחיפוש שנערך זה נמצא בחצר ביתו. במעשיו אלה, כך לדעת המאשימה, החזיק הנאשם בצוותא חדא בנשק ללא רשות בדין להחזיקו.</w:t>
      </w:r>
    </w:p>
    <w:p w14:paraId="57B93F68" w14:textId="77777777" w:rsidR="00F7387B" w:rsidRDefault="00F7387B" w:rsidP="00F7387B">
      <w:pPr>
        <w:pStyle w:val="a9"/>
        <w:spacing w:after="0" w:line="360" w:lineRule="auto"/>
        <w:rPr>
          <w:rFonts w:ascii="FrankRuehl" w:hAnsi="FrankRuehl" w:cs="FrankRuehl"/>
          <w:sz w:val="28"/>
          <w:szCs w:val="28"/>
        </w:rPr>
      </w:pPr>
    </w:p>
    <w:p w14:paraId="78C263B3" w14:textId="77777777" w:rsidR="00F7387B" w:rsidRDefault="00F7387B" w:rsidP="00F7387B">
      <w:pPr>
        <w:pStyle w:val="a9"/>
        <w:numPr>
          <w:ilvl w:val="0"/>
          <w:numId w:val="1"/>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הצדדים הסכימו כי יטענו לעונש באופן חופשי. במעמד הרשעתו, ביקשו הצדדים תסקיר של שירות המבחן ולבקשת ההגנה – תוך שהובהר כי אין בכך כדי ליצור כל ציפייה – הוריתי על זימון חוות דעת של הממונה על עבודות השירות בשירות בתי הסוהר.</w:t>
      </w:r>
    </w:p>
    <w:p w14:paraId="5477D1F2" w14:textId="77777777" w:rsidR="00F7387B" w:rsidRDefault="00F7387B" w:rsidP="00F7387B">
      <w:pPr>
        <w:pStyle w:val="a9"/>
        <w:spacing w:after="0" w:line="360" w:lineRule="auto"/>
        <w:rPr>
          <w:rFonts w:ascii="FrankRuehl" w:hAnsi="FrankRuehl" w:cs="FrankRuehl"/>
          <w:sz w:val="28"/>
          <w:szCs w:val="28"/>
        </w:rPr>
      </w:pPr>
    </w:p>
    <w:p w14:paraId="13BE1DF0" w14:textId="77777777" w:rsidR="00F7387B" w:rsidRDefault="00F7387B" w:rsidP="00F7387B">
      <w:pPr>
        <w:pStyle w:val="a9"/>
        <w:numPr>
          <w:ilvl w:val="0"/>
          <w:numId w:val="1"/>
        </w:numPr>
        <w:spacing w:after="0" w:line="360" w:lineRule="auto"/>
        <w:ind w:left="651" w:hanging="566"/>
        <w:jc w:val="both"/>
        <w:rPr>
          <w:rFonts w:ascii="FrankRuehl" w:hAnsi="FrankRuehl" w:cs="FrankRuehl"/>
          <w:sz w:val="28"/>
          <w:szCs w:val="28"/>
          <w:rtl/>
        </w:rPr>
      </w:pPr>
      <w:r>
        <w:rPr>
          <w:rFonts w:ascii="FrankRuehl" w:hAnsi="FrankRuehl" w:cs="FrankRuehl"/>
          <w:sz w:val="28"/>
          <w:szCs w:val="28"/>
          <w:rtl/>
        </w:rPr>
        <w:t>חוות דעת התקבלה ביום 27.6.2022 ותסקיר התקבל ביום 30.8.2022. הצדדים טענו לעונש ביום 5.1.2023.</w:t>
      </w:r>
    </w:p>
    <w:p w14:paraId="7F8F3EAD" w14:textId="77777777" w:rsidR="00F7387B" w:rsidRPr="00F7387B" w:rsidRDefault="00F7387B" w:rsidP="00F7387B">
      <w:pPr>
        <w:spacing w:line="360" w:lineRule="auto"/>
        <w:jc w:val="both"/>
        <w:rPr>
          <w:rFonts w:ascii="FrankRuehl" w:eastAsia="Calibri" w:hAnsi="FrankRuehl" w:cs="FrankRuehl"/>
          <w:sz w:val="28"/>
          <w:szCs w:val="28"/>
        </w:rPr>
      </w:pPr>
    </w:p>
    <w:p w14:paraId="35645F6B" w14:textId="77777777" w:rsidR="00F7387B" w:rsidRDefault="00F7387B" w:rsidP="00F7387B">
      <w:pPr>
        <w:spacing w:line="360" w:lineRule="auto"/>
        <w:jc w:val="both"/>
        <w:rPr>
          <w:rFonts w:ascii="Miriam" w:hAnsi="Miriam" w:cs="Miriam"/>
          <w:u w:val="single"/>
          <w:rtl/>
        </w:rPr>
      </w:pPr>
      <w:r w:rsidRPr="00F7387B">
        <w:rPr>
          <w:rFonts w:ascii="Miriam" w:eastAsia="Calibri" w:hAnsi="Miriam" w:cs="Miriam"/>
          <w:u w:val="single"/>
          <w:rtl/>
        </w:rPr>
        <w:t>חוות הדעת והתסקיר</w:t>
      </w:r>
      <w:r>
        <w:rPr>
          <w:rFonts w:ascii="Miriam" w:hAnsi="Miriam" w:cs="Miriam"/>
          <w:u w:val="single"/>
          <w:rtl/>
        </w:rPr>
        <w:t xml:space="preserve"> </w:t>
      </w:r>
    </w:p>
    <w:p w14:paraId="66AD6D5A" w14:textId="77777777" w:rsidR="00F7387B" w:rsidRDefault="00F7387B" w:rsidP="00F7387B">
      <w:pPr>
        <w:spacing w:line="360" w:lineRule="auto"/>
        <w:rPr>
          <w:rFonts w:ascii="FrankRuehl" w:hAnsi="FrankRuehl" w:cs="FrankRuehl"/>
          <w:sz w:val="28"/>
          <w:szCs w:val="28"/>
          <w:rtl/>
        </w:rPr>
      </w:pPr>
    </w:p>
    <w:p w14:paraId="2648FB9A" w14:textId="77777777" w:rsidR="00F7387B" w:rsidRDefault="00F7387B" w:rsidP="00F7387B">
      <w:pPr>
        <w:pStyle w:val="a9"/>
        <w:numPr>
          <w:ilvl w:val="0"/>
          <w:numId w:val="1"/>
        </w:numPr>
        <w:spacing w:after="0" w:line="360" w:lineRule="auto"/>
        <w:ind w:left="651" w:hanging="566"/>
        <w:jc w:val="both"/>
        <w:rPr>
          <w:rFonts w:ascii="FrankRuehl" w:hAnsi="FrankRuehl" w:cs="FrankRuehl"/>
          <w:sz w:val="28"/>
          <w:szCs w:val="28"/>
          <w:rtl/>
        </w:rPr>
      </w:pPr>
      <w:r>
        <w:rPr>
          <w:rFonts w:ascii="FrankRuehl" w:hAnsi="FrankRuehl" w:cs="FrankRuehl"/>
          <w:sz w:val="28"/>
          <w:szCs w:val="28"/>
          <w:rtl/>
        </w:rPr>
        <w:t>לפי חוות הדעת של הממונה, הנאשם נמצא מתאים לעבודות שירות.</w:t>
      </w:r>
    </w:p>
    <w:p w14:paraId="58E8F79E" w14:textId="77777777" w:rsidR="00F7387B" w:rsidRDefault="00F7387B" w:rsidP="00F7387B">
      <w:pPr>
        <w:pStyle w:val="a9"/>
        <w:spacing w:after="0" w:line="360" w:lineRule="auto"/>
        <w:ind w:left="651"/>
        <w:jc w:val="both"/>
        <w:rPr>
          <w:rFonts w:ascii="FrankRuehl" w:hAnsi="FrankRuehl" w:cs="FrankRuehl"/>
          <w:sz w:val="28"/>
          <w:szCs w:val="28"/>
        </w:rPr>
      </w:pPr>
    </w:p>
    <w:p w14:paraId="7C705CD5" w14:textId="77777777" w:rsidR="00F7387B" w:rsidRDefault="00F7387B" w:rsidP="00F7387B">
      <w:pPr>
        <w:pStyle w:val="a9"/>
        <w:numPr>
          <w:ilvl w:val="0"/>
          <w:numId w:val="1"/>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אשר לתסקיר, כעולה ממנו (בתמצית ותוך שמירה על צנעת הפרט), הנאשם בן 36, נשוי, אב לילדים ועובד במקום קבוע. משפחתו מנהלת אורח חיים נורמטיבי. הוא השלים לימודים תיכונים וכעת משלים לימודים להכשרה מקצועית. עד ביצוע העבירה מושא האישום, לא היה לו עבר פלילי. לאחר שהוגש נגדו כתב האישום והושתו עליו תנאים מגבילים, הוא נמצא מפר תנאים אלה ואף הורשע בהתחזות לאחר.</w:t>
      </w:r>
    </w:p>
    <w:p w14:paraId="7DA661EB" w14:textId="77777777" w:rsidR="00F7387B" w:rsidRDefault="00F7387B" w:rsidP="00F7387B">
      <w:pPr>
        <w:pStyle w:val="a9"/>
        <w:spacing w:after="0" w:line="360" w:lineRule="auto"/>
        <w:rPr>
          <w:rFonts w:ascii="FrankRuehl" w:hAnsi="FrankRuehl" w:cs="FrankRuehl"/>
          <w:sz w:val="28"/>
          <w:szCs w:val="28"/>
        </w:rPr>
      </w:pPr>
    </w:p>
    <w:p w14:paraId="73076F07" w14:textId="77777777" w:rsidR="00F7387B" w:rsidRDefault="00F7387B" w:rsidP="00F7387B">
      <w:pPr>
        <w:pStyle w:val="a9"/>
        <w:numPr>
          <w:ilvl w:val="0"/>
          <w:numId w:val="1"/>
        </w:numPr>
        <w:spacing w:after="0" w:line="360" w:lineRule="auto"/>
        <w:ind w:left="651" w:hanging="566"/>
        <w:jc w:val="both"/>
        <w:rPr>
          <w:rFonts w:ascii="FrankRuehl" w:hAnsi="FrankRuehl" w:cs="FrankRuehl"/>
          <w:sz w:val="28"/>
          <w:szCs w:val="28"/>
          <w:rtl/>
        </w:rPr>
      </w:pPr>
      <w:r>
        <w:rPr>
          <w:rFonts w:ascii="FrankRuehl" w:hAnsi="FrankRuehl" w:cs="FrankRuehl"/>
          <w:sz w:val="28"/>
          <w:szCs w:val="28"/>
          <w:rtl/>
        </w:rPr>
        <w:t>לפי התרשמות שירות המבחן, הנאשם נוטל אחריות על מעשהו והוא בעל גורמי תמיכה משפחתיים משמעותיים ומיטיבים ולכן הומלץ בשעתו על שחרורו למעצר בית. ביחס לנסיבות העבירה, לדבריו, יום לפני החיפוש והתפיסה, גורם עברייני שלא הכיר קודם לכן, היה בקשר עמו וביקש להטמין את האקדח בחצר ביתו. הנאשם, "</w:t>
      </w:r>
      <w:r>
        <w:rPr>
          <w:rFonts w:ascii="Miriam" w:hAnsi="Miriam" w:cs="Miriam"/>
          <w:sz w:val="24"/>
          <w:szCs w:val="24"/>
          <w:rtl/>
        </w:rPr>
        <w:t>בחוסר שיקול דעת תקין</w:t>
      </w:r>
      <w:r>
        <w:rPr>
          <w:rFonts w:ascii="FrankRuehl" w:hAnsi="FrankRuehl" w:cs="FrankRuehl"/>
          <w:sz w:val="28"/>
          <w:szCs w:val="28"/>
          <w:rtl/>
        </w:rPr>
        <w:t>", פעל לפי הדרישה. הוא מכיר בטעותו, מצר עליה וחש חרטה עמוקה גם לנוכח סלידת משפחתו הנורמטיבית מהתנהגותו. הוא הפיק לקחים בצורה משמעותית והדבר בא לידי ביטוי בשינוי תפיסתי אצלו.</w:t>
      </w:r>
    </w:p>
    <w:p w14:paraId="7F3B46B7" w14:textId="77777777" w:rsidR="00F7387B" w:rsidRDefault="00F7387B" w:rsidP="00F7387B">
      <w:pPr>
        <w:pStyle w:val="a9"/>
        <w:spacing w:after="0" w:line="360" w:lineRule="auto"/>
        <w:ind w:left="651"/>
        <w:jc w:val="both"/>
        <w:rPr>
          <w:rFonts w:ascii="FrankRuehl" w:hAnsi="FrankRuehl" w:cs="FrankRuehl"/>
          <w:sz w:val="28"/>
          <w:szCs w:val="28"/>
          <w:rtl/>
        </w:rPr>
      </w:pPr>
    </w:p>
    <w:p w14:paraId="2014DF55" w14:textId="77777777" w:rsidR="00F7387B" w:rsidRDefault="00F7387B" w:rsidP="00F7387B">
      <w:pPr>
        <w:pStyle w:val="a9"/>
        <w:numPr>
          <w:ilvl w:val="0"/>
          <w:numId w:val="1"/>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 xml:space="preserve">אשר להערכת המסוכנות וגורמי הסיכוי לשיקום, מחד גיסא, שירות המבחן התרשם מנטילת אחריות מצד הנאשם, מסלידת המשפחה מהמעשה, מאורח החיים הנורמטיבי עד </w:t>
      </w:r>
      <w:r>
        <w:rPr>
          <w:rFonts w:ascii="FrankRuehl" w:hAnsi="FrankRuehl" w:cs="FrankRuehl"/>
          <w:sz w:val="28"/>
          <w:szCs w:val="28"/>
          <w:rtl/>
        </w:rPr>
        <w:lastRenderedPageBreak/>
        <w:t xml:space="preserve">מועד ביצוע העבירה, מהשאיפות של הנאשם להתקדם בחיים ובמשפחה, מעובדת ההליך הפלילי כמרתיע אותו. כל אלה מהווים גורמי סיכוי לשיקום. מאידך גיסא, ולעניין גורמי הסיכון להישנות אירוע עברייני בעתיד, שירות המבחן התרשם כי על רקע עברו המשפחתי, קיים קושי אצל הנאשם בהפעלת שיקול דעת ובאי-הבנת השלכות מעשיו לפני ביצוען. בנוסף, נראה כי התמונה העובדתית ביחס לנסיבות ביצוע העבירה אינה ברורה די-הצורך, זאת לצד ההרשעה הנוספת תוך שהוא נתון בתנאים מגבילים. התסקיר ממליץ להימנע מענישה בדמות מאסר בפועל שיש בה לחשוף את הנאשם לחברה עבריינית או להביא להתדרדרות תפקודית אצלו. הוא ממליץ על עבודות שירות לתקופה ממושכת. </w:t>
      </w:r>
    </w:p>
    <w:p w14:paraId="5BC8754D" w14:textId="77777777" w:rsidR="00F7387B" w:rsidRDefault="00F7387B" w:rsidP="00F7387B">
      <w:pPr>
        <w:spacing w:line="360" w:lineRule="auto"/>
        <w:jc w:val="both"/>
        <w:rPr>
          <w:rFonts w:ascii="FrankRuehl" w:hAnsi="FrankRuehl" w:cs="FrankRuehl"/>
          <w:sz w:val="28"/>
          <w:szCs w:val="28"/>
        </w:rPr>
      </w:pPr>
    </w:p>
    <w:p w14:paraId="3448F85E" w14:textId="77777777" w:rsidR="00F7387B" w:rsidRDefault="00F7387B" w:rsidP="00F7387B">
      <w:pPr>
        <w:spacing w:line="360" w:lineRule="auto"/>
        <w:jc w:val="both"/>
        <w:rPr>
          <w:rFonts w:ascii="Miriam" w:hAnsi="Miriam" w:cs="Miriam"/>
          <w:u w:val="single"/>
        </w:rPr>
      </w:pPr>
      <w:r>
        <w:rPr>
          <w:rFonts w:ascii="Miriam" w:hAnsi="Miriam" w:cs="Miriam"/>
          <w:u w:val="single"/>
          <w:rtl/>
        </w:rPr>
        <w:t>תמצית טענות הצדדים לעונש</w:t>
      </w:r>
    </w:p>
    <w:p w14:paraId="6E6D0F7A" w14:textId="77777777" w:rsidR="00F7387B" w:rsidRDefault="00F7387B" w:rsidP="00F7387B">
      <w:pPr>
        <w:spacing w:line="360" w:lineRule="auto"/>
        <w:rPr>
          <w:rFonts w:ascii="FrankRuehl" w:hAnsi="FrankRuehl" w:cs="FrankRuehl"/>
          <w:sz w:val="28"/>
          <w:szCs w:val="28"/>
          <w:rtl/>
        </w:rPr>
      </w:pPr>
    </w:p>
    <w:p w14:paraId="68F7B9A6"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המאשימה טוענת, בין השאר ובעיקר, כי הנאשם הורשע בביצוע עבירה של אחזקת נשק בצוותא חדא. במעשהו זה הוא פגע בשלום הציבור. גלגול כלי נשק ברחוב יוצרת סיכון לפגיעה בחיי אדם, לעבירות פליליות ולטרור. אמנם התיקון האחרון בחקיקה בעבירות נשק אינו חל בעניינו של הנאשם, אך הוא מבטא את עמדת המחוקק והצורך בהחמרת הענישה. הנאשם נעדר עבר פלילי קודם למועד האירוע. הוא הודה וחסך זמן שיפוטי, אך מנגד, במהלך הליך זה הוא הסתבך בפלילים כאשר הפר תנאי מעצר והתחזה לאדם אחר. המאשימה סבורה שיש להעמיד את מתחם הענישה על 18 חודשי מאסר בפועל ברף הנמוך ועד 36 חודשי מאסר בפועל ברף הגבוה, לצד ענישה נלווית. היא עותרת להשית על הנאשם 18 חודשי מאסר בפועל, מאסר מותנה וקנס. במסגרת טיעוניה, הגישה המאשימה את כתב האישום הנוסף שהוגש נגד הנאשם ופרוטוקול הרשעתו (מא/1).</w:t>
      </w:r>
    </w:p>
    <w:p w14:paraId="0299F8BD" w14:textId="77777777" w:rsidR="00F7387B" w:rsidRDefault="00F7387B" w:rsidP="00F7387B">
      <w:pPr>
        <w:pStyle w:val="a9"/>
        <w:spacing w:after="0" w:line="360" w:lineRule="auto"/>
        <w:jc w:val="both"/>
        <w:rPr>
          <w:rFonts w:ascii="FrankRuehl" w:hAnsi="FrankRuehl" w:cs="FrankRuehl"/>
          <w:sz w:val="28"/>
          <w:szCs w:val="28"/>
        </w:rPr>
      </w:pPr>
    </w:p>
    <w:p w14:paraId="67E81F8F"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הנאשם – באמצעות בא-כוחו </w:t>
      </w:r>
      <w:r>
        <w:rPr>
          <w:rFonts w:ascii="Miriam" w:hAnsi="Miriam" w:cs="Miriam"/>
          <w:sz w:val="24"/>
          <w:szCs w:val="24"/>
          <w:rtl/>
        </w:rPr>
        <w:t>עו"ד י' שושן</w:t>
      </w:r>
      <w:r>
        <w:rPr>
          <w:rFonts w:ascii="FrankRuehl" w:hAnsi="FrankRuehl" w:cs="FrankRuehl"/>
          <w:sz w:val="28"/>
          <w:szCs w:val="28"/>
          <w:rtl/>
        </w:rPr>
        <w:t xml:space="preserve"> – טוען מנגד, בין השאר ובעיקר, כי הוא הורשע בעבירה של החזקת נשק ללא מחסנית וללא תחמושת. כבר בחקירתו במשטרה הוא מסר כי אדם אחר הביא לו את האקדח יום קודם לאירוע. הנאשם החזיק את האקדח בביתו בארון גבוה מעל מקרר רחוק מהישג ידם של בני המשפחה. הנאשם בן 36, נשוי ואב לילדים קטנים. הוא עובד במשך שנים בתחום הרכב ומגיע ממשפחה נורמטיבית. ההפרה היחידה שביצע היא יציאה לטיפול רפואי כאשר היה עם איזוק אלקטרוני. למעט אירוע נקודתי זה לא נפתחו נגדו תיקים נוספים. הנאשם לקח אחריות על מעשיו. הוא היה עצור מיום 1.11.2020 עד יום 6.12.2020 (חודש ושבוע). לאחר מכן הוא שוחרר באיזוק אלקטרוני עד יום 26.4.2021. מאז, הותר לו לצאת לעבודה בשעות היום. בהמשך, התנאים המגבילים צומצמו למעצר בית בלבד. כך שהוא היה תחת תנאים מגבילים למעלה משנתיים. הנאשם, בהתבסס על פסיקה רבה שהציג בא-כוחו, גורס שהעונש ההולם בנסיבות העניין הוא שישה חודשים שירוצו בעבודות שירות בניכוי ימי מעצרו. ההגנה הגישה בטיעוניה לעונש טבלה מסכמת של פסיקה בעבירות נשק ( נ/1).</w:t>
      </w:r>
    </w:p>
    <w:p w14:paraId="4F0F93EE" w14:textId="77777777" w:rsidR="00F7387B" w:rsidRDefault="00F7387B" w:rsidP="00F7387B">
      <w:pPr>
        <w:pStyle w:val="a9"/>
        <w:spacing w:after="0" w:line="360" w:lineRule="auto"/>
        <w:rPr>
          <w:rFonts w:ascii="FrankRuehl" w:hAnsi="FrankRuehl" w:cs="FrankRuehl"/>
          <w:sz w:val="28"/>
          <w:szCs w:val="28"/>
        </w:rPr>
      </w:pPr>
    </w:p>
    <w:p w14:paraId="23AB0048"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גם הנאשם עצמו דיבר בדיון לפניי. לדבריו, הוא טעה בהפעלת שיקול הדעת ולמד רבות מטעותו. מזה שנים רבות הוא עובד אצל אותו מעביד ולומד כיום במסגרת הכשרה מקצועית לעבודתו. מאז החקירה הוא נתון תחת תנאים מגבילים. ביחס להרשעה הנוספת, הוא יצא אז בזמן מעצר הבית זאת מסיבה רפואית שקשורה לכליה שלו ויש לו מסמכים שמעידים על כך. בכל אופן, הוא מצר על התנהלותו, נוטל אחריות – וכאמור, למד ממנה.</w:t>
      </w:r>
    </w:p>
    <w:p w14:paraId="7236966E" w14:textId="77777777" w:rsidR="00F7387B" w:rsidRDefault="00F7387B" w:rsidP="00F7387B">
      <w:pPr>
        <w:spacing w:line="360" w:lineRule="auto"/>
        <w:jc w:val="both"/>
        <w:rPr>
          <w:rFonts w:ascii="FrankRuehl" w:hAnsi="FrankRuehl" w:cs="FrankRuehl"/>
          <w:sz w:val="20"/>
          <w:szCs w:val="20"/>
          <w:rtl/>
        </w:rPr>
      </w:pPr>
    </w:p>
    <w:p w14:paraId="3335F6B8" w14:textId="77777777" w:rsidR="00F7387B" w:rsidRDefault="00F7387B" w:rsidP="00F7387B">
      <w:pPr>
        <w:spacing w:line="360" w:lineRule="auto"/>
        <w:jc w:val="both"/>
        <w:rPr>
          <w:rFonts w:ascii="Miriam" w:hAnsi="Miriam" w:cs="Miriam"/>
          <w:u w:val="single"/>
        </w:rPr>
      </w:pPr>
      <w:r>
        <w:rPr>
          <w:rFonts w:ascii="Miriam" w:hAnsi="Miriam" w:cs="Miriam"/>
          <w:u w:val="single"/>
          <w:rtl/>
        </w:rPr>
        <w:t>דיון והכרעה</w:t>
      </w:r>
    </w:p>
    <w:p w14:paraId="3846B4F4" w14:textId="77777777" w:rsidR="00F7387B" w:rsidRDefault="00F7387B" w:rsidP="00F7387B">
      <w:pPr>
        <w:spacing w:line="360" w:lineRule="auto"/>
        <w:rPr>
          <w:rFonts w:ascii="FrankRuehl" w:hAnsi="FrankRuehl" w:cs="FrankRuehl"/>
          <w:sz w:val="20"/>
          <w:szCs w:val="20"/>
          <w:rtl/>
        </w:rPr>
      </w:pPr>
    </w:p>
    <w:p w14:paraId="0B98D2C1" w14:textId="77777777" w:rsidR="00F7387B" w:rsidRDefault="00F7387B" w:rsidP="00F7387B">
      <w:pPr>
        <w:pStyle w:val="a9"/>
        <w:numPr>
          <w:ilvl w:val="0"/>
          <w:numId w:val="1"/>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 xml:space="preserve">לפי </w:t>
      </w:r>
      <w:hyperlink r:id="rId18" w:history="1">
        <w:r w:rsidR="00511444" w:rsidRPr="00511444">
          <w:rPr>
            <w:rStyle w:val="Hyperlink"/>
            <w:rFonts w:ascii="FrankRuehl" w:hAnsi="FrankRuehl" w:cs="FrankRuehl"/>
            <w:sz w:val="28"/>
            <w:szCs w:val="28"/>
            <w:rtl/>
          </w:rPr>
          <w:t>סעיף 40ב</w:t>
        </w:r>
      </w:hyperlink>
      <w:r>
        <w:rPr>
          <w:rFonts w:ascii="FrankRuehl" w:hAnsi="FrankRuehl" w:cs="FrankRuehl"/>
          <w:sz w:val="28"/>
          <w:szCs w:val="28"/>
          <w:rtl/>
        </w:rPr>
        <w:t xml:space="preserve"> </w:t>
      </w:r>
      <w:r>
        <w:rPr>
          <w:rFonts w:ascii="Miriam" w:hAnsi="Miriam" w:cs="Miriam"/>
          <w:sz w:val="24"/>
          <w:szCs w:val="24"/>
          <w:rtl/>
        </w:rPr>
        <w:t>ב</w:t>
      </w:r>
      <w:hyperlink r:id="rId19" w:history="1">
        <w:r w:rsidR="007D62B5" w:rsidRPr="007D62B5">
          <w:rPr>
            <w:rFonts w:ascii="Miriam" w:hAnsi="Miriam" w:cs="Miriam"/>
            <w:color w:val="0000FF"/>
            <w:sz w:val="24"/>
            <w:szCs w:val="24"/>
            <w:u w:val="single"/>
            <w:rtl/>
          </w:rPr>
          <w:t>חוק העונשין</w:t>
        </w:r>
      </w:hyperlink>
      <w:r>
        <w:rPr>
          <w:rFonts w:ascii="FrankRuehl" w:hAnsi="FrankRuehl" w:cs="FrankRuehl"/>
          <w:sz w:val="28"/>
          <w:szCs w:val="28"/>
          <w:rtl/>
        </w:rPr>
        <w:t xml:space="preserve">, העיקרון המנחה בענישה הוא קיומו של יחס הולם בין חומרת מעשה העבירה בנסיבותיו ומידת אשמו של הנאשם ובין סוג ומידת העונש המוטל. לפי </w:t>
      </w:r>
      <w:hyperlink r:id="rId20" w:history="1">
        <w:r w:rsidR="00511444" w:rsidRPr="00511444">
          <w:rPr>
            <w:rStyle w:val="Hyperlink"/>
            <w:rFonts w:ascii="FrankRuehl" w:hAnsi="FrankRuehl" w:cs="FrankRuehl"/>
            <w:sz w:val="28"/>
            <w:szCs w:val="28"/>
            <w:rtl/>
          </w:rPr>
          <w:t>סעיף 40ג(א)</w:t>
        </w:r>
      </w:hyperlink>
      <w:r>
        <w:rPr>
          <w:rFonts w:ascii="FrankRuehl" w:hAnsi="FrankRuehl" w:cs="FrankRuehl"/>
          <w:sz w:val="28"/>
          <w:szCs w:val="28"/>
          <w:rtl/>
        </w:rPr>
        <w:t>, לקביעת מתחם העונש ההולם, בית המשפט "</w:t>
      </w:r>
      <w:r>
        <w:rPr>
          <w:rFonts w:ascii="Miriam" w:hAnsi="Miriam" w:cs="Miriam"/>
          <w:sz w:val="24"/>
          <w:szCs w:val="24"/>
          <w:rtl/>
        </w:rPr>
        <w:t>יתחשב בערך החברתי שנפגע מביצוע העבירה, במידת הפגיעה בו, במדיניות הענישה הנהוגה ובנסיבות הקשורות בביצוע העבירה כאמור בסעיף 40ט</w:t>
      </w:r>
      <w:r>
        <w:rPr>
          <w:rFonts w:ascii="FrankRuehl" w:hAnsi="FrankRuehl" w:cs="FrankRuehl"/>
          <w:sz w:val="28"/>
          <w:szCs w:val="28"/>
          <w:rtl/>
        </w:rPr>
        <w:t xml:space="preserve">", ולפי </w:t>
      </w:r>
      <w:hyperlink r:id="rId21" w:history="1">
        <w:r w:rsidR="00511444" w:rsidRPr="00511444">
          <w:rPr>
            <w:rStyle w:val="Hyperlink"/>
            <w:rFonts w:ascii="FrankRuehl" w:hAnsi="FrankRuehl" w:cs="FrankRuehl"/>
            <w:sz w:val="28"/>
            <w:szCs w:val="28"/>
            <w:rtl/>
          </w:rPr>
          <w:t>סעיף 40ג(ב)</w:t>
        </w:r>
      </w:hyperlink>
      <w:r>
        <w:rPr>
          <w:rFonts w:ascii="FrankRuehl" w:hAnsi="FrankRuehl" w:cs="FrankRuehl"/>
          <w:sz w:val="28"/>
          <w:szCs w:val="28"/>
          <w:rtl/>
        </w:rPr>
        <w:t xml:space="preserve"> "</w:t>
      </w:r>
      <w:r>
        <w:rPr>
          <w:rFonts w:ascii="Miriam" w:hAnsi="Miriam" w:cs="Miriam"/>
          <w:sz w:val="24"/>
          <w:szCs w:val="24"/>
          <w:rtl/>
        </w:rPr>
        <w:t>בתוך מתחם העונש ההולם יגזור בית המשפט את העונש המתאים לנאשם, בהתחשב בנסיבות שאינן קשורות בביצוע העבירה...</w:t>
      </w:r>
      <w:r>
        <w:rPr>
          <w:rFonts w:ascii="FrankRuehl" w:hAnsi="FrankRuehl" w:cs="FrankRuehl"/>
          <w:sz w:val="28"/>
          <w:szCs w:val="28"/>
          <w:rtl/>
        </w:rPr>
        <w:t>".</w:t>
      </w:r>
    </w:p>
    <w:p w14:paraId="00D9EEFD" w14:textId="77777777" w:rsidR="00F7387B" w:rsidRDefault="00F7387B" w:rsidP="00F7387B">
      <w:pPr>
        <w:pStyle w:val="a9"/>
        <w:spacing w:after="0" w:line="360" w:lineRule="auto"/>
        <w:ind w:left="651"/>
        <w:jc w:val="both"/>
        <w:rPr>
          <w:rFonts w:ascii="FrankRuehl" w:hAnsi="FrankRuehl" w:cs="FrankRuehl"/>
          <w:sz w:val="28"/>
          <w:szCs w:val="28"/>
          <w:rtl/>
        </w:rPr>
      </w:pPr>
    </w:p>
    <w:p w14:paraId="43B20E37" w14:textId="77777777" w:rsidR="00F7387B" w:rsidRDefault="00F7387B" w:rsidP="00F7387B">
      <w:pPr>
        <w:pStyle w:val="a9"/>
        <w:numPr>
          <w:ilvl w:val="0"/>
          <w:numId w:val="1"/>
        </w:numPr>
        <w:spacing w:after="0" w:line="360" w:lineRule="auto"/>
        <w:ind w:left="651" w:hanging="566"/>
        <w:jc w:val="both"/>
        <w:rPr>
          <w:rFonts w:ascii="FrankRuehl" w:hAnsi="FrankRuehl" w:cs="FrankRuehl"/>
          <w:sz w:val="28"/>
          <w:szCs w:val="28"/>
        </w:rPr>
      </w:pPr>
      <w:r>
        <w:rPr>
          <w:rFonts w:ascii="Miriam" w:hAnsi="Miriam" w:cs="Miriam"/>
          <w:sz w:val="24"/>
          <w:szCs w:val="24"/>
          <w:rtl/>
        </w:rPr>
        <w:t>הערכים המוגנים</w:t>
      </w:r>
      <w:r>
        <w:rPr>
          <w:rFonts w:ascii="FrankRuehl" w:hAnsi="FrankRuehl" w:cs="FrankRuehl"/>
          <w:sz w:val="28"/>
          <w:szCs w:val="28"/>
          <w:rtl/>
        </w:rPr>
        <w:t>: אין להכביר במילים ביחס לאיסור להחזיק נשק שלא כדין. ברי לכל כי מדובר בכלי מסוכן ועלול להמית. מלבד הסיכון הממשי הטמון בשימוש בו בין לפעילות עבריינית בין למעשי טרור, עצם החזקתו, יכולה להביא לכך שהוא יגיע גם לידיים נוספות זולת המחזיק בו מלכתחילה, דבר שמגביר את עוצמת הסיכונים הנשקפים ממנו כלפי שלום הציבור וביטחונם האישי, שלמות הגוף, הרכוש ועיקרון שלטון החוק והסדר הציבורי. ב</w:t>
      </w:r>
      <w:hyperlink r:id="rId22" w:history="1">
        <w:r w:rsidR="007D62B5" w:rsidRPr="007D62B5">
          <w:rPr>
            <w:rFonts w:ascii="FrankRuehl" w:hAnsi="FrankRuehl" w:cs="FrankRuehl"/>
            <w:color w:val="0000FF"/>
            <w:sz w:val="28"/>
            <w:szCs w:val="28"/>
            <w:u w:val="single"/>
            <w:rtl/>
          </w:rPr>
          <w:t>ע"פ 4945/13</w:t>
        </w:r>
      </w:hyperlink>
      <w:r>
        <w:rPr>
          <w:rFonts w:ascii="FrankRuehl" w:hAnsi="FrankRuehl" w:cs="FrankRuehl"/>
          <w:sz w:val="28"/>
          <w:szCs w:val="28"/>
          <w:rtl/>
        </w:rPr>
        <w:t xml:space="preserve"> </w:t>
      </w:r>
      <w:r>
        <w:rPr>
          <w:rFonts w:ascii="Miriam" w:hAnsi="Miriam" w:cs="Miriam"/>
          <w:sz w:val="24"/>
          <w:szCs w:val="24"/>
          <w:rtl/>
        </w:rPr>
        <w:t>מדינת ישראל נ' סלימאן</w:t>
      </w:r>
      <w:r>
        <w:rPr>
          <w:rFonts w:ascii="FrankRuehl" w:hAnsi="FrankRuehl" w:cs="FrankRuehl"/>
          <w:sz w:val="28"/>
          <w:szCs w:val="28"/>
          <w:rtl/>
        </w:rPr>
        <w:t>, פסקה 4 (19.1.2014), נפסק שם:</w:t>
      </w:r>
    </w:p>
    <w:p w14:paraId="20D83790" w14:textId="77777777" w:rsidR="00F7387B" w:rsidRDefault="00F7387B" w:rsidP="00F7387B">
      <w:pPr>
        <w:pStyle w:val="a9"/>
        <w:spacing w:after="0" w:line="360" w:lineRule="auto"/>
        <w:rPr>
          <w:rFonts w:ascii="FrankRuehl" w:hAnsi="FrankRuehl" w:cs="FrankRuehl"/>
          <w:sz w:val="28"/>
          <w:szCs w:val="28"/>
        </w:rPr>
      </w:pPr>
    </w:p>
    <w:p w14:paraId="21D85D9D" w14:textId="77777777" w:rsidR="00F7387B" w:rsidRDefault="00F7387B" w:rsidP="00F7387B">
      <w:pPr>
        <w:pStyle w:val="a9"/>
        <w:spacing w:after="0" w:line="240" w:lineRule="auto"/>
        <w:ind w:left="1440" w:right="567"/>
        <w:jc w:val="both"/>
        <w:rPr>
          <w:rFonts w:ascii="FrankRuehl" w:hAnsi="FrankRuehl" w:cs="FrankRuehl"/>
          <w:sz w:val="28"/>
          <w:szCs w:val="28"/>
        </w:rPr>
      </w:pPr>
      <w:r>
        <w:rPr>
          <w:rFonts w:ascii="FrankRuehl" w:hAnsi="FrankRuehl" w:cs="FrankRuehl"/>
          <w:sz w:val="28"/>
          <w:szCs w:val="28"/>
          <w:rtl/>
        </w:rPr>
        <w:t>"הסכנה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hyperlink r:id="rId23" w:history="1">
        <w:r w:rsidR="007D62B5" w:rsidRPr="007D62B5">
          <w:rPr>
            <w:rFonts w:ascii="FrankRuehl" w:hAnsi="FrankRuehl" w:cs="FrankRuehl"/>
            <w:color w:val="0000FF"/>
            <w:sz w:val="28"/>
            <w:szCs w:val="28"/>
            <w:u w:val="single"/>
            <w:rtl/>
          </w:rPr>
          <w:t>ע"פ 1323/13</w:t>
        </w:r>
      </w:hyperlink>
      <w:r>
        <w:rPr>
          <w:rFonts w:ascii="FrankRuehl" w:hAnsi="FrankRuehl" w:cs="FrankRuehl"/>
          <w:sz w:val="28"/>
          <w:szCs w:val="28"/>
          <w:rtl/>
        </w:rPr>
        <w:t xml:space="preserve"> </w:t>
      </w:r>
      <w:r>
        <w:rPr>
          <w:rFonts w:ascii="Miriam" w:hAnsi="Miriam" w:cs="Miriam"/>
          <w:sz w:val="24"/>
          <w:szCs w:val="24"/>
          <w:rtl/>
        </w:rPr>
        <w:t>חסן נ' מדינת ישראל</w:t>
      </w:r>
      <w:r>
        <w:rPr>
          <w:rFonts w:ascii="FrankRuehl" w:hAnsi="FrankRuehl" w:cs="FrankRuehl"/>
          <w:sz w:val="28"/>
          <w:szCs w:val="28"/>
          <w:rtl/>
        </w:rPr>
        <w:t>, פסקה 12 (5.6.2013)). 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24" w:history="1">
        <w:r w:rsidR="007D62B5" w:rsidRPr="007D62B5">
          <w:rPr>
            <w:rFonts w:ascii="FrankRuehl" w:hAnsi="FrankRuehl" w:cs="FrankRuehl"/>
            <w:color w:val="0000FF"/>
            <w:sz w:val="28"/>
            <w:szCs w:val="28"/>
            <w:u w:val="single"/>
            <w:rtl/>
          </w:rPr>
          <w:t>ע"פ 2918/13</w:t>
        </w:r>
      </w:hyperlink>
      <w:r>
        <w:rPr>
          <w:rFonts w:ascii="FrankRuehl" w:hAnsi="FrankRuehl" w:cs="FrankRuehl"/>
          <w:sz w:val="28"/>
          <w:szCs w:val="28"/>
          <w:rtl/>
        </w:rPr>
        <w:t xml:space="preserve"> </w:t>
      </w:r>
      <w:r>
        <w:rPr>
          <w:rFonts w:ascii="Miriam" w:hAnsi="Miriam" w:cs="Miriam"/>
          <w:sz w:val="24"/>
          <w:szCs w:val="24"/>
          <w:rtl/>
        </w:rPr>
        <w:t>דבס נ' מדינת ישראל</w:t>
      </w:r>
      <w:r>
        <w:rPr>
          <w:rFonts w:ascii="FrankRuehl" w:hAnsi="FrankRuehl" w:cs="FrankRuehl"/>
          <w:sz w:val="28"/>
          <w:szCs w:val="28"/>
          <w:rtl/>
        </w:rPr>
        <w:t>, פסקה 8 (18.7.2013))"</w:t>
      </w:r>
    </w:p>
    <w:p w14:paraId="048C22C3" w14:textId="77777777" w:rsidR="00F7387B" w:rsidRDefault="00F7387B" w:rsidP="00F7387B">
      <w:pPr>
        <w:spacing w:line="360" w:lineRule="auto"/>
        <w:ind w:right="567"/>
        <w:jc w:val="both"/>
        <w:rPr>
          <w:rFonts w:ascii="FrankRuehl" w:hAnsi="FrankRuehl" w:cs="FrankRuehl"/>
          <w:sz w:val="28"/>
          <w:szCs w:val="28"/>
          <w:rtl/>
        </w:rPr>
      </w:pPr>
    </w:p>
    <w:p w14:paraId="0F1E3456" w14:textId="77777777" w:rsidR="00F7387B" w:rsidRDefault="00F7387B" w:rsidP="00F7387B">
      <w:pPr>
        <w:pStyle w:val="a9"/>
        <w:numPr>
          <w:ilvl w:val="0"/>
          <w:numId w:val="1"/>
        </w:numPr>
        <w:spacing w:after="0" w:line="360" w:lineRule="auto"/>
        <w:ind w:left="651" w:right="567" w:hanging="567"/>
        <w:jc w:val="both"/>
        <w:rPr>
          <w:rFonts w:ascii="FrankRuehl" w:hAnsi="FrankRuehl" w:cs="FrankRuehl"/>
          <w:sz w:val="28"/>
          <w:szCs w:val="28"/>
          <w:rtl/>
        </w:rPr>
      </w:pPr>
      <w:r>
        <w:rPr>
          <w:rFonts w:ascii="FrankRuehl" w:hAnsi="FrankRuehl" w:cs="FrankRuehl"/>
          <w:sz w:val="28"/>
          <w:szCs w:val="28"/>
          <w:rtl/>
        </w:rPr>
        <w:t>ב</w:t>
      </w:r>
      <w:hyperlink r:id="rId25" w:history="1">
        <w:r w:rsidR="007D62B5" w:rsidRPr="007D62B5">
          <w:rPr>
            <w:rFonts w:ascii="FrankRuehl" w:hAnsi="FrankRuehl" w:cs="FrankRuehl"/>
            <w:color w:val="0000FF"/>
            <w:sz w:val="28"/>
            <w:szCs w:val="28"/>
            <w:u w:val="single"/>
            <w:rtl/>
          </w:rPr>
          <w:t>ע"פ 3877/16</w:t>
        </w:r>
      </w:hyperlink>
      <w:r>
        <w:rPr>
          <w:rFonts w:ascii="FrankRuehl" w:hAnsi="FrankRuehl" w:cs="FrankRuehl"/>
          <w:sz w:val="28"/>
          <w:szCs w:val="28"/>
          <w:rtl/>
        </w:rPr>
        <w:t xml:space="preserve"> </w:t>
      </w:r>
      <w:r>
        <w:rPr>
          <w:rFonts w:ascii="Miriam" w:hAnsi="Miriam" w:cs="Miriam"/>
          <w:sz w:val="24"/>
          <w:szCs w:val="24"/>
          <w:rtl/>
        </w:rPr>
        <w:t>ג'באלי נ' מדינת ישראל</w:t>
      </w:r>
      <w:r>
        <w:rPr>
          <w:rFonts w:ascii="FrankRuehl" w:hAnsi="FrankRuehl" w:cs="FrankRuehl"/>
          <w:sz w:val="28"/>
          <w:szCs w:val="28"/>
          <w:rtl/>
        </w:rPr>
        <w:t>, פסקה 6 (17.11.2016) נפסק:</w:t>
      </w:r>
    </w:p>
    <w:p w14:paraId="14CA8224" w14:textId="77777777" w:rsidR="00F7387B" w:rsidRDefault="00F7387B" w:rsidP="00F7387B">
      <w:pPr>
        <w:pStyle w:val="a9"/>
        <w:spacing w:after="0" w:line="360" w:lineRule="auto"/>
        <w:ind w:left="651" w:right="567"/>
        <w:jc w:val="both"/>
        <w:rPr>
          <w:rFonts w:ascii="FrankRuehl" w:hAnsi="FrankRuehl" w:cs="FrankRuehl"/>
          <w:sz w:val="28"/>
          <w:szCs w:val="28"/>
          <w:rtl/>
        </w:rPr>
      </w:pPr>
    </w:p>
    <w:p w14:paraId="37EF49B7" w14:textId="77777777" w:rsidR="00F7387B" w:rsidRDefault="00F7387B" w:rsidP="00F7387B">
      <w:pPr>
        <w:pStyle w:val="a9"/>
        <w:spacing w:after="0" w:line="240" w:lineRule="auto"/>
        <w:ind w:left="1440" w:right="567"/>
        <w:jc w:val="both"/>
        <w:rPr>
          <w:rFonts w:ascii="FrankRuehl" w:hAnsi="FrankRuehl" w:cs="FrankRuehl"/>
          <w:sz w:val="28"/>
          <w:szCs w:val="28"/>
        </w:rPr>
      </w:pPr>
      <w:r>
        <w:rPr>
          <w:rFonts w:ascii="FrankRuehl" w:hAnsi="FrankRuehl" w:cs="FrankRuehl"/>
          <w:sz w:val="28"/>
          <w:szCs w:val="28"/>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w:t>
      </w:r>
      <w:hyperlink r:id="rId26" w:history="1">
        <w:r w:rsidR="007D62B5" w:rsidRPr="007D62B5">
          <w:rPr>
            <w:rFonts w:ascii="FrankRuehl" w:hAnsi="FrankRuehl" w:cs="FrankRuehl"/>
            <w:color w:val="0000FF"/>
            <w:sz w:val="28"/>
            <w:szCs w:val="28"/>
            <w:u w:val="single"/>
            <w:rtl/>
          </w:rPr>
          <w:t>ע"פ 5120/11</w:t>
        </w:r>
      </w:hyperlink>
      <w:r>
        <w:rPr>
          <w:rFonts w:ascii="FrankRuehl" w:hAnsi="FrankRuehl" w:cs="FrankRuehl"/>
          <w:sz w:val="28"/>
          <w:szCs w:val="28"/>
          <w:rtl/>
        </w:rPr>
        <w:t xml:space="preserve"> </w:t>
      </w:r>
      <w:r>
        <w:rPr>
          <w:rFonts w:ascii="Miriam" w:hAnsi="Miriam" w:cs="Miriam"/>
          <w:sz w:val="24"/>
          <w:szCs w:val="24"/>
          <w:rtl/>
        </w:rPr>
        <w:t>שתיווי נ' מדינת ישראל</w:t>
      </w:r>
      <w:r>
        <w:rPr>
          <w:rFonts w:ascii="FrankRuehl" w:hAnsi="FrankRuehl" w:cs="FrankRuehl"/>
          <w:sz w:val="28"/>
          <w:szCs w:val="28"/>
          <w:rtl/>
        </w:rPr>
        <w:t xml:space="preserve">, בפסקה 5 (18.12.2011); </w:t>
      </w:r>
      <w:hyperlink r:id="rId27" w:history="1">
        <w:r w:rsidR="007D62B5" w:rsidRPr="007D62B5">
          <w:rPr>
            <w:rFonts w:ascii="FrankRuehl" w:hAnsi="FrankRuehl" w:cs="FrankRuehl"/>
            <w:color w:val="0000FF"/>
            <w:sz w:val="28"/>
            <w:szCs w:val="28"/>
            <w:u w:val="single"/>
            <w:rtl/>
          </w:rPr>
          <w:t>ע"פ 4329/10</w:t>
        </w:r>
      </w:hyperlink>
      <w:r>
        <w:rPr>
          <w:rFonts w:ascii="FrankRuehl" w:hAnsi="FrankRuehl" w:cs="FrankRuehl"/>
          <w:sz w:val="28"/>
          <w:szCs w:val="28"/>
          <w:rtl/>
        </w:rPr>
        <w:t xml:space="preserve"> </w:t>
      </w:r>
      <w:r>
        <w:rPr>
          <w:rFonts w:ascii="Miriam" w:hAnsi="Miriam" w:cs="Miriam"/>
          <w:sz w:val="24"/>
          <w:szCs w:val="24"/>
          <w:rtl/>
        </w:rPr>
        <w:t>פלוני נ' מדינת ישראל</w:t>
      </w:r>
      <w:r>
        <w:rPr>
          <w:rFonts w:ascii="FrankRuehl" w:hAnsi="FrankRuehl" w:cs="FrankRuehl"/>
          <w:sz w:val="28"/>
          <w:szCs w:val="28"/>
          <w:rtl/>
        </w:rPr>
        <w:t xml:space="preserve"> (25.10.2010)). עוד נפסק כי חומרתן של העבירות בנשק אינה מסתכמת רק בנזק שאירע בפועל, כי אם בפוטנציאל הנזק הנובע מאותן עבירות (</w:t>
      </w:r>
      <w:hyperlink r:id="rId28" w:history="1">
        <w:r w:rsidR="007D62B5" w:rsidRPr="007D62B5">
          <w:rPr>
            <w:rFonts w:ascii="FrankRuehl" w:hAnsi="FrankRuehl" w:cs="FrankRuehl"/>
            <w:color w:val="0000FF"/>
            <w:sz w:val="28"/>
            <w:szCs w:val="28"/>
            <w:u w:val="single"/>
            <w:rtl/>
          </w:rPr>
          <w:t>ע"פ 116/13</w:t>
        </w:r>
      </w:hyperlink>
      <w:r>
        <w:rPr>
          <w:rFonts w:ascii="FrankRuehl" w:hAnsi="FrankRuehl" w:cs="FrankRuehl"/>
          <w:sz w:val="28"/>
          <w:szCs w:val="28"/>
          <w:rtl/>
        </w:rPr>
        <w:t xml:space="preserve"> </w:t>
      </w:r>
      <w:r>
        <w:rPr>
          <w:rFonts w:ascii="Miriam" w:hAnsi="Miriam" w:cs="Miriam"/>
          <w:sz w:val="24"/>
          <w:szCs w:val="24"/>
          <w:rtl/>
        </w:rPr>
        <w:t>וקנין נ' מדינת ישראל</w:t>
      </w:r>
      <w:r>
        <w:rPr>
          <w:rFonts w:ascii="FrankRuehl" w:hAnsi="FrankRuehl" w:cs="FrankRuehl"/>
          <w:sz w:val="28"/>
          <w:szCs w:val="28"/>
          <w:rtl/>
        </w:rPr>
        <w:t>, בפסקה 7 (31.7.2013))"</w:t>
      </w:r>
    </w:p>
    <w:p w14:paraId="71EBB284" w14:textId="77777777" w:rsidR="00F7387B" w:rsidRDefault="00F7387B" w:rsidP="00F7387B">
      <w:pPr>
        <w:spacing w:line="360" w:lineRule="auto"/>
        <w:ind w:right="567"/>
        <w:jc w:val="both"/>
        <w:rPr>
          <w:rFonts w:ascii="FrankRuehl" w:hAnsi="FrankRuehl" w:cs="FrankRuehl"/>
          <w:sz w:val="28"/>
          <w:szCs w:val="28"/>
          <w:rtl/>
        </w:rPr>
      </w:pPr>
    </w:p>
    <w:p w14:paraId="7A2C6544"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וממש בחודשים האחרונים, בית המשפט העליון ב</w:t>
      </w:r>
      <w:hyperlink r:id="rId29" w:history="1">
        <w:r w:rsidR="007D62B5" w:rsidRPr="007D62B5">
          <w:rPr>
            <w:rFonts w:ascii="FrankRuehl" w:hAnsi="FrankRuehl" w:cs="FrankRuehl"/>
            <w:color w:val="0000FF"/>
            <w:sz w:val="28"/>
            <w:szCs w:val="28"/>
            <w:u w:val="single"/>
            <w:rtl/>
          </w:rPr>
          <w:t>ע"פ 5602/22</w:t>
        </w:r>
      </w:hyperlink>
      <w:r>
        <w:rPr>
          <w:rFonts w:ascii="FrankRuehl" w:hAnsi="FrankRuehl" w:cs="FrankRuehl"/>
          <w:sz w:val="28"/>
          <w:szCs w:val="28"/>
          <w:rtl/>
        </w:rPr>
        <w:t xml:space="preserve"> </w:t>
      </w:r>
      <w:r>
        <w:rPr>
          <w:rFonts w:ascii="Miriam" w:hAnsi="Miriam" w:cs="Miriam"/>
          <w:sz w:val="24"/>
          <w:szCs w:val="24"/>
          <w:rtl/>
        </w:rPr>
        <w:t>מדינת ישראל נ' פלוני</w:t>
      </w:r>
      <w:r>
        <w:rPr>
          <w:rFonts w:ascii="FrankRuehl" w:hAnsi="FrankRuehl" w:cs="FrankRuehl"/>
          <w:sz w:val="28"/>
          <w:szCs w:val="28"/>
          <w:rtl/>
        </w:rPr>
        <w:t xml:space="preserve">, פסקה 10 (14.9.2022), העיר – שוב על כך הצורך בהחמרה, בזו הלשון: </w:t>
      </w:r>
    </w:p>
    <w:p w14:paraId="1435D086" w14:textId="77777777" w:rsidR="00F7387B" w:rsidRDefault="00F7387B" w:rsidP="00F7387B">
      <w:pPr>
        <w:pStyle w:val="a9"/>
        <w:spacing w:after="0" w:line="360" w:lineRule="auto"/>
        <w:jc w:val="both"/>
        <w:rPr>
          <w:rFonts w:ascii="FrankRuehl" w:hAnsi="FrankRuehl" w:cs="FrankRuehl"/>
          <w:sz w:val="28"/>
          <w:szCs w:val="28"/>
        </w:rPr>
      </w:pPr>
    </w:p>
    <w:p w14:paraId="6F8D7107" w14:textId="77777777" w:rsidR="00F7387B" w:rsidRDefault="00F7387B" w:rsidP="00F7387B">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 xml:space="preserve">"גזר הדין שניתן בעניינו של המשיב, כמו גם גזרי הדין האחרים אשר צוטטו לפנינו על ידי סניגורו, מעידים על כך שמדיניות הענישה בעבירות נשק שבית משפט זה קבע בשורה ארוכה של פסקי דין הופנמה אך באופן חלקי – וחבל שכך" </w:t>
      </w:r>
    </w:p>
    <w:p w14:paraId="20361D45" w14:textId="77777777" w:rsidR="00F7387B" w:rsidRDefault="00F7387B" w:rsidP="00F7387B">
      <w:pPr>
        <w:pStyle w:val="a9"/>
        <w:spacing w:after="0" w:line="360" w:lineRule="auto"/>
        <w:ind w:left="651"/>
        <w:jc w:val="both"/>
        <w:rPr>
          <w:rFonts w:ascii="FrankRuehl" w:hAnsi="FrankRuehl" w:cs="FrankRuehl"/>
          <w:sz w:val="28"/>
          <w:szCs w:val="28"/>
        </w:rPr>
      </w:pPr>
    </w:p>
    <w:p w14:paraId="570DA021" w14:textId="77777777" w:rsidR="00F7387B" w:rsidRDefault="00F7387B" w:rsidP="00F7387B">
      <w:pPr>
        <w:pStyle w:val="a9"/>
        <w:numPr>
          <w:ilvl w:val="0"/>
          <w:numId w:val="1"/>
        </w:numPr>
        <w:spacing w:after="0" w:line="360" w:lineRule="auto"/>
        <w:ind w:left="651" w:hanging="567"/>
        <w:jc w:val="both"/>
        <w:rPr>
          <w:rFonts w:ascii="FrankRuehl" w:hAnsi="FrankRuehl" w:cs="FrankRuehl"/>
          <w:sz w:val="28"/>
          <w:szCs w:val="28"/>
        </w:rPr>
      </w:pPr>
      <w:r>
        <w:rPr>
          <w:rFonts w:ascii="Miriam" w:hAnsi="Miriam" w:cs="Miriam"/>
          <w:sz w:val="24"/>
          <w:szCs w:val="24"/>
          <w:rtl/>
        </w:rPr>
        <w:t>נסיבות ביצוע העבירה</w:t>
      </w:r>
      <w:r>
        <w:rPr>
          <w:rFonts w:ascii="FrankRuehl" w:hAnsi="FrankRuehl" w:cs="FrankRuehl"/>
          <w:sz w:val="28"/>
          <w:szCs w:val="28"/>
          <w:rtl/>
        </w:rPr>
        <w:t>: הנאשם, כאמור, הודה כי החזיק אקדח במקום מגוריו. הנאשם אינו בעל רישיון להחזיק נשק. אם כן, מעשה זה כשלעצמו הוא חמור. ברי לכל בר דעת שנשק הוא כלי שבכוחו להמית, ואין צורך להרחיב תיאור ביחס לרמת המסוכנות שנשקפת ממעשה כזה. העובדה לפיה לא הייתה כל תחמושת או מחסנית לצדו, אמנם יש בה להקל במעט בחומרת הנסיבות (שכן פוטנציאל השימוש המיידי בכלי זה לא היה מצוי באותה רמה לוּ היה המצב הפוך), אך החומרה עודנה מצויה ברף גבוה שכן אין זה בלתי מופרך שבסופו של יום המחסנית הייתה מגיעה לנשק או שמא הוא היה מגיע אליה. מטרידים כאן דברי הנאשם לפני שירות המבחן לפיהם הוא פעל כפי שפעל, ערב החיפוש והתפיסה, זאת לבקשת גורם עברייני כאשר אין ביניהם היכרות טובה או בכלל. אף במקרה הפחות חמור (בלשון המעטה) לבחינת התנהגות הנאשם, מדובר בהפעלת שיקול דעת בצורה לקויה מאוד. מכל מקום, הנאשם היה ער היטב לחומרת הדברים וראיה לכך, בעת החיפוש על-ידי השוטרים, הוא זרק את האקדח בשל החשש שמא יאתרו אותו בחזקתו. אם כן, הקלות שבה הגיע הנשק לידיו והניסיון (הכושל) שלו להרחיקו ממנו בזמן החיפוש – די באלה כדי ללמדנו על חומרתן של נסיבות הביצוע, אף שלצד הנשק לא הייתה תחמושת.</w:t>
      </w:r>
    </w:p>
    <w:p w14:paraId="40C4F771" w14:textId="77777777" w:rsidR="00F7387B" w:rsidRDefault="00F7387B" w:rsidP="00F7387B">
      <w:pPr>
        <w:spacing w:line="360" w:lineRule="auto"/>
        <w:jc w:val="both"/>
        <w:rPr>
          <w:rFonts w:ascii="FrankRuehl" w:hAnsi="FrankRuehl" w:cs="FrankRuehl"/>
          <w:sz w:val="28"/>
          <w:szCs w:val="28"/>
        </w:rPr>
      </w:pPr>
    </w:p>
    <w:p w14:paraId="5F5581A4" w14:textId="77777777" w:rsidR="00F7387B" w:rsidRDefault="00F7387B" w:rsidP="00F7387B">
      <w:pPr>
        <w:pStyle w:val="a9"/>
        <w:numPr>
          <w:ilvl w:val="0"/>
          <w:numId w:val="1"/>
        </w:numPr>
        <w:spacing w:after="0" w:line="360" w:lineRule="auto"/>
        <w:ind w:left="651" w:hanging="567"/>
        <w:jc w:val="both"/>
        <w:rPr>
          <w:rFonts w:ascii="FrankRuehl" w:hAnsi="FrankRuehl" w:cs="FrankRuehl"/>
          <w:sz w:val="28"/>
          <w:szCs w:val="28"/>
        </w:rPr>
      </w:pPr>
      <w:r>
        <w:rPr>
          <w:rFonts w:ascii="Miriam" w:hAnsi="Miriam" w:cs="Miriam"/>
          <w:sz w:val="24"/>
          <w:szCs w:val="24"/>
          <w:rtl/>
        </w:rPr>
        <w:t>מדיניות הענישה הנהוגה</w:t>
      </w:r>
      <w:r>
        <w:rPr>
          <w:rFonts w:ascii="FrankRuehl" w:hAnsi="FrankRuehl" w:cs="FrankRuehl"/>
          <w:sz w:val="28"/>
          <w:szCs w:val="28"/>
          <w:rtl/>
        </w:rPr>
        <w:t>: בחנתי את הפסיקה אליה הפנו הצדדים, לרבות הפסיקה שהציג בא-כוח הנאשם. לאחר בחינתה ובחינת פסיקה רלבנטית, עולה כי מנעד הענישה הוא רחב אך לצד זאת, בשנים האחרונות ניכרת מגמת החמרה בעבירות נשק, והדבר בא לידי ביטוי בעונשי מאסר ממושכים. בפסיקת בית המשפט העליון מלפני פחות משנה, ב</w:t>
      </w:r>
      <w:hyperlink r:id="rId30" w:history="1">
        <w:r w:rsidR="007D62B5" w:rsidRPr="007D62B5">
          <w:rPr>
            <w:rFonts w:ascii="FrankRuehl" w:hAnsi="FrankRuehl" w:cs="FrankRuehl"/>
            <w:color w:val="0000FF"/>
            <w:sz w:val="28"/>
            <w:szCs w:val="28"/>
            <w:u w:val="single"/>
            <w:rtl/>
          </w:rPr>
          <w:t>ע"פ 309/22</w:t>
        </w:r>
      </w:hyperlink>
      <w:r>
        <w:rPr>
          <w:rFonts w:ascii="FrankRuehl" w:hAnsi="FrankRuehl" w:cs="FrankRuehl"/>
          <w:sz w:val="28"/>
          <w:szCs w:val="28"/>
          <w:rtl/>
        </w:rPr>
        <w:t xml:space="preserve"> </w:t>
      </w:r>
      <w:r>
        <w:rPr>
          <w:rFonts w:ascii="Miriam" w:hAnsi="Miriam" w:cs="Miriam"/>
          <w:sz w:val="24"/>
          <w:szCs w:val="24"/>
          <w:rtl/>
        </w:rPr>
        <w:t>מדינת ישראל נ' ביאדסה</w:t>
      </w:r>
      <w:r>
        <w:rPr>
          <w:rFonts w:ascii="FrankRuehl" w:hAnsi="FrankRuehl" w:cs="FrankRuehl"/>
          <w:sz w:val="28"/>
          <w:szCs w:val="28"/>
          <w:rtl/>
        </w:rPr>
        <w:t>, פסקה 5 (10.5.2022) נפסק כלהלן:</w:t>
      </w:r>
    </w:p>
    <w:p w14:paraId="6E5B5761" w14:textId="77777777" w:rsidR="00F7387B" w:rsidRDefault="00F7387B" w:rsidP="00F7387B">
      <w:pPr>
        <w:pStyle w:val="a9"/>
        <w:spacing w:after="0" w:line="360" w:lineRule="auto"/>
        <w:rPr>
          <w:rFonts w:ascii="FrankRuehl" w:hAnsi="FrankRuehl" w:cs="FrankRuehl"/>
          <w:sz w:val="28"/>
          <w:szCs w:val="28"/>
          <w:rtl/>
        </w:rPr>
      </w:pPr>
    </w:p>
    <w:p w14:paraId="4134062B" w14:textId="77777777" w:rsidR="00F7387B" w:rsidRDefault="00F7387B" w:rsidP="00F7387B">
      <w:pPr>
        <w:pStyle w:val="a9"/>
        <w:spacing w:after="0" w:line="240" w:lineRule="auto"/>
        <w:ind w:left="1440" w:right="567"/>
        <w:jc w:val="both"/>
        <w:rPr>
          <w:rFonts w:ascii="FrankRuehl" w:hAnsi="FrankRuehl" w:cs="FrankRuehl"/>
          <w:sz w:val="28"/>
          <w:szCs w:val="28"/>
        </w:rPr>
      </w:pPr>
      <w:r>
        <w:rPr>
          <w:rFonts w:ascii="FrankRuehl" w:hAnsi="FrankRuehl" w:cs="FrankRuehl"/>
          <w:sz w:val="28"/>
          <w:szCs w:val="28"/>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w:t>
      </w:r>
      <w:hyperlink r:id="rId31" w:history="1">
        <w:r w:rsidR="007D62B5" w:rsidRPr="007D62B5">
          <w:rPr>
            <w:rFonts w:ascii="FrankRuehl" w:hAnsi="FrankRuehl" w:cs="FrankRuehl"/>
            <w:color w:val="0000FF"/>
            <w:sz w:val="28"/>
            <w:szCs w:val="28"/>
            <w:u w:val="single"/>
            <w:rtl/>
          </w:rPr>
          <w:t>ע"פ 1695/22</w:t>
        </w:r>
      </w:hyperlink>
      <w:r>
        <w:rPr>
          <w:rFonts w:ascii="FrankRuehl" w:hAnsi="FrankRuehl" w:cs="FrankRuehl"/>
          <w:sz w:val="28"/>
          <w:szCs w:val="28"/>
          <w:rtl/>
        </w:rPr>
        <w:t xml:space="preserve"> </w:t>
      </w:r>
      <w:r>
        <w:rPr>
          <w:rFonts w:ascii="Miriam" w:hAnsi="Miriam" w:cs="Miriam"/>
          <w:sz w:val="24"/>
          <w:szCs w:val="24"/>
          <w:rtl/>
        </w:rPr>
        <w:t>מדינת ישראל נ' גנאים</w:t>
      </w:r>
      <w:r>
        <w:rPr>
          <w:rFonts w:ascii="FrankRuehl" w:hAnsi="FrankRuehl" w:cs="FrankRuehl"/>
          <w:sz w:val="28"/>
          <w:szCs w:val="28"/>
          <w:rtl/>
        </w:rPr>
        <w:t xml:space="preserve">, פסקה 11 (29.3.2022) (להלן: עניין גנאים); </w:t>
      </w:r>
      <w:hyperlink r:id="rId32" w:history="1">
        <w:r w:rsidR="007D62B5" w:rsidRPr="007D62B5">
          <w:rPr>
            <w:rFonts w:ascii="FrankRuehl" w:hAnsi="FrankRuehl" w:cs="FrankRuehl"/>
            <w:color w:val="0000FF"/>
            <w:sz w:val="28"/>
            <w:szCs w:val="28"/>
            <w:u w:val="single"/>
            <w:rtl/>
          </w:rPr>
          <w:t>ע"פ 5522/20</w:t>
        </w:r>
      </w:hyperlink>
      <w:r>
        <w:rPr>
          <w:rFonts w:ascii="FrankRuehl" w:hAnsi="FrankRuehl" w:cs="FrankRuehl"/>
          <w:sz w:val="28"/>
          <w:szCs w:val="28"/>
          <w:rtl/>
        </w:rPr>
        <w:t xml:space="preserve"> </w:t>
      </w:r>
      <w:r>
        <w:rPr>
          <w:rFonts w:ascii="Miriam" w:hAnsi="Miriam" w:cs="Miriam"/>
          <w:sz w:val="24"/>
          <w:szCs w:val="24"/>
          <w:rtl/>
        </w:rPr>
        <w:t>חלייחל נ' מדינת ישראל</w:t>
      </w:r>
      <w:r>
        <w:rPr>
          <w:rFonts w:ascii="FrankRuehl" w:hAnsi="FrankRuehl" w:cs="FrankRuehl"/>
          <w:sz w:val="28"/>
          <w:szCs w:val="28"/>
          <w:rtl/>
        </w:rPr>
        <w:t xml:space="preserve">, פסקה 7 (24.2.2021) (להלן: עניין חלייחל); </w:t>
      </w:r>
      <w:hyperlink r:id="rId33" w:history="1">
        <w:r w:rsidR="007D62B5" w:rsidRPr="007D62B5">
          <w:rPr>
            <w:rFonts w:ascii="FrankRuehl" w:hAnsi="FrankRuehl" w:cs="FrankRuehl"/>
            <w:color w:val="0000FF"/>
            <w:sz w:val="28"/>
            <w:szCs w:val="28"/>
            <w:u w:val="single"/>
            <w:rtl/>
          </w:rPr>
          <w:t>ע"פ 4406/19</w:t>
        </w:r>
      </w:hyperlink>
      <w:r>
        <w:rPr>
          <w:rFonts w:ascii="FrankRuehl" w:hAnsi="FrankRuehl" w:cs="FrankRuehl"/>
          <w:sz w:val="28"/>
          <w:szCs w:val="28"/>
          <w:rtl/>
        </w:rPr>
        <w:t xml:space="preserve"> </w:t>
      </w:r>
      <w:r>
        <w:rPr>
          <w:rFonts w:ascii="Miriam" w:hAnsi="Miriam" w:cs="Miriam"/>
          <w:sz w:val="24"/>
          <w:szCs w:val="24"/>
          <w:rtl/>
        </w:rPr>
        <w:t>סובח נ' מדינת ישראל</w:t>
      </w:r>
      <w:r>
        <w:rPr>
          <w:rFonts w:ascii="FrankRuehl" w:hAnsi="FrankRuehl" w:cs="FrankRuehl"/>
          <w:sz w:val="28"/>
          <w:szCs w:val="28"/>
          <w:rtl/>
        </w:rPr>
        <w:t>, פסקה 17 (5.11.2019) (להלן: עניין סובח)). עבירות אלו חמורות במיוחד, בין היתר משום שהן עשויות לשמש בסיס לביצוע פעילות עבריינית או פעילות טרור (</w:t>
      </w:r>
      <w:hyperlink r:id="rId34" w:history="1">
        <w:r w:rsidR="007D62B5" w:rsidRPr="007D62B5">
          <w:rPr>
            <w:rFonts w:ascii="FrankRuehl" w:hAnsi="FrankRuehl" w:cs="FrankRuehl"/>
            <w:color w:val="0000FF"/>
            <w:sz w:val="28"/>
            <w:szCs w:val="28"/>
            <w:u w:val="single"/>
            <w:rtl/>
          </w:rPr>
          <w:t>ע"פ 8017/20</w:t>
        </w:r>
      </w:hyperlink>
      <w:r>
        <w:rPr>
          <w:rFonts w:ascii="FrankRuehl" w:hAnsi="FrankRuehl" w:cs="FrankRuehl"/>
          <w:sz w:val="28"/>
          <w:szCs w:val="28"/>
          <w:rtl/>
        </w:rPr>
        <w:t xml:space="preserve"> </w:t>
      </w:r>
      <w:r>
        <w:rPr>
          <w:rFonts w:ascii="Miriam" w:hAnsi="Miriam" w:cs="Miriam"/>
          <w:sz w:val="24"/>
          <w:szCs w:val="24"/>
          <w:rtl/>
        </w:rPr>
        <w:t>מדינת ישראל נ' גריפאת</w:t>
      </w:r>
      <w:r>
        <w:rPr>
          <w:rFonts w:ascii="FrankRuehl" w:hAnsi="FrankRuehl" w:cs="FrankRuehl"/>
          <w:sz w:val="28"/>
          <w:szCs w:val="28"/>
          <w:rtl/>
        </w:rPr>
        <w:t xml:space="preserve">, פסקה 6 (22.12.2020); </w:t>
      </w:r>
      <w:hyperlink r:id="rId35" w:history="1">
        <w:r w:rsidR="007D62B5" w:rsidRPr="007D62B5">
          <w:rPr>
            <w:rFonts w:ascii="FrankRuehl" w:hAnsi="FrankRuehl" w:cs="FrankRuehl"/>
            <w:color w:val="0000FF"/>
            <w:sz w:val="28"/>
            <w:szCs w:val="28"/>
            <w:u w:val="single"/>
            <w:rtl/>
          </w:rPr>
          <w:t>ע"פ 135/17</w:t>
        </w:r>
      </w:hyperlink>
      <w:r>
        <w:rPr>
          <w:rFonts w:ascii="FrankRuehl" w:hAnsi="FrankRuehl" w:cs="FrankRuehl"/>
          <w:sz w:val="28"/>
          <w:szCs w:val="28"/>
          <w:rtl/>
        </w:rPr>
        <w:t xml:space="preserve"> </w:t>
      </w:r>
      <w:r>
        <w:rPr>
          <w:rFonts w:ascii="Miriam" w:hAnsi="Miriam" w:cs="Miriam"/>
          <w:sz w:val="24"/>
          <w:szCs w:val="24"/>
          <w:rtl/>
        </w:rPr>
        <w:t>מדינת ישראל נ' בסל</w:t>
      </w:r>
      <w:r>
        <w:rPr>
          <w:rFonts w:ascii="FrankRuehl" w:hAnsi="FrankRuehl" w:cs="FrankRuehl"/>
          <w:sz w:val="28"/>
          <w:szCs w:val="28"/>
          <w:rtl/>
        </w:rPr>
        <w:t>, פסקה 10 (8.3.2017)). אך באחרונה עמד בית משפט זה על כך שעבירות אלו הן בבחינת "מכת מדינה" ועל הצורך בהחמרת הענישה בעניינן:</w:t>
      </w:r>
    </w:p>
    <w:p w14:paraId="03DD890D" w14:textId="77777777" w:rsidR="00F7387B" w:rsidRDefault="00F7387B" w:rsidP="00F7387B">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 (עניין קדורה, פסקה 6).</w:t>
      </w:r>
    </w:p>
    <w:p w14:paraId="64DF5AA3" w14:textId="77777777" w:rsidR="00F7387B" w:rsidRDefault="00F7387B" w:rsidP="00F7387B">
      <w:pPr>
        <w:pStyle w:val="a9"/>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בהקשר זה אוסיף כי בחודש דצמבר 2021 קבע המחוקק עונשי מינימום בעבירות נשק, כך שהעונש שיושת בגין עבירות אלו יתחיל מרבע העונש המרבי שנקבע לעבירה, אלא אם החליט בית המשפט מטעמים מיוחדים שיירשמו להקל בעונש (סעיף 144(ז) ל</w:t>
      </w:r>
      <w:hyperlink r:id="rId36" w:history="1">
        <w:r w:rsidR="007D62B5" w:rsidRPr="007D62B5">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w:t>
      </w:r>
      <w:r>
        <w:rPr>
          <w:rFonts w:ascii="Miriam" w:hAnsi="Miriam" w:cs="Miriam"/>
          <w:sz w:val="24"/>
          <w:szCs w:val="24"/>
          <w:rtl/>
        </w:rPr>
        <w:t>חוק העונשין (תיקון מס' 140 – הוראת שעה), התשפ"ב-2021</w:t>
      </w:r>
      <w:r>
        <w:rPr>
          <w:rFonts w:ascii="FrankRuehl" w:hAnsi="FrankRuehl" w:cs="FrankRuehl"/>
          <w:sz w:val="28"/>
          <w:szCs w:val="28"/>
          <w:rtl/>
        </w:rPr>
        <w:t xml:space="preserve">; עניין קדורה, פסקה 6; </w:t>
      </w:r>
      <w:hyperlink r:id="rId37" w:history="1">
        <w:r w:rsidR="007D62B5" w:rsidRPr="007D62B5">
          <w:rPr>
            <w:rFonts w:ascii="FrankRuehl" w:hAnsi="FrankRuehl" w:cs="FrankRuehl"/>
            <w:color w:val="0000FF"/>
            <w:sz w:val="28"/>
            <w:szCs w:val="28"/>
            <w:u w:val="single"/>
            <w:rtl/>
          </w:rPr>
          <w:t>ע"פ 4456/21</w:t>
        </w:r>
      </w:hyperlink>
      <w:r>
        <w:rPr>
          <w:rFonts w:ascii="FrankRuehl" w:hAnsi="FrankRuehl" w:cs="FrankRuehl"/>
          <w:sz w:val="28"/>
          <w:szCs w:val="28"/>
          <w:rtl/>
        </w:rPr>
        <w:t xml:space="preserve"> </w:t>
      </w:r>
      <w:r>
        <w:rPr>
          <w:rFonts w:ascii="Miriam" w:hAnsi="Miriam" w:cs="Miriam"/>
          <w:sz w:val="24"/>
          <w:szCs w:val="24"/>
          <w:rtl/>
        </w:rPr>
        <w:t>מדינת ישראל נ' אבו עבסה</w:t>
      </w:r>
      <w:r>
        <w:rPr>
          <w:rFonts w:ascii="FrankRuehl" w:hAnsi="FrankRuehl" w:cs="FrankRuehl"/>
          <w:sz w:val="28"/>
          <w:szCs w:val="28"/>
          <w:rtl/>
        </w:rPr>
        <w:t>, פסקה 15 [פורסם בנבו] (23.1.2022)). הגם שתיקון זה אינו חל בעניינו של המשיב – שהמעשים שבהם הורשע בוצעו עובר לחקיקתו - הוא משקף את רצון המחוקק בהחמרת הענישה בעבירות נשק"</w:t>
      </w:r>
    </w:p>
    <w:p w14:paraId="67A511C7" w14:textId="77777777" w:rsidR="00F7387B" w:rsidRDefault="00F7387B" w:rsidP="00F7387B">
      <w:pPr>
        <w:pStyle w:val="a9"/>
        <w:spacing w:after="0" w:line="360" w:lineRule="auto"/>
        <w:rPr>
          <w:rFonts w:ascii="FrankRuehl" w:hAnsi="FrankRuehl" w:cs="FrankRuehl"/>
          <w:sz w:val="28"/>
          <w:szCs w:val="28"/>
          <w:rtl/>
        </w:rPr>
      </w:pPr>
    </w:p>
    <w:p w14:paraId="42A7F515" w14:textId="77777777" w:rsidR="00F7387B" w:rsidRDefault="00F7387B" w:rsidP="00F7387B">
      <w:pPr>
        <w:pStyle w:val="a9"/>
        <w:numPr>
          <w:ilvl w:val="0"/>
          <w:numId w:val="1"/>
        </w:numPr>
        <w:spacing w:after="0" w:line="360" w:lineRule="auto"/>
        <w:ind w:left="651" w:hanging="567"/>
        <w:jc w:val="both"/>
        <w:rPr>
          <w:rFonts w:ascii="FrankRuehl" w:hAnsi="FrankRuehl" w:cs="FrankRuehl"/>
          <w:sz w:val="28"/>
          <w:szCs w:val="28"/>
          <w:rtl/>
        </w:rPr>
      </w:pPr>
      <w:r>
        <w:rPr>
          <w:rFonts w:ascii="FrankRuehl" w:hAnsi="FrankRuehl" w:cs="FrankRuehl"/>
          <w:sz w:val="28"/>
          <w:szCs w:val="28"/>
          <w:rtl/>
        </w:rPr>
        <w:t>נזכיר, העונש שלצד העבירה בה הורשע הנאשם הוא עד שבע שנות מאסר. המאשימה הפנתה ל"</w:t>
      </w:r>
      <w:r>
        <w:rPr>
          <w:rFonts w:ascii="Miriam" w:hAnsi="Miriam" w:cs="Miriam"/>
          <w:sz w:val="24"/>
          <w:szCs w:val="24"/>
          <w:rtl/>
        </w:rPr>
        <w:t>הוראת השעה</w:t>
      </w:r>
      <w:r>
        <w:rPr>
          <w:rFonts w:ascii="FrankRuehl" w:hAnsi="FrankRuehl" w:cs="FrankRuehl"/>
          <w:sz w:val="28"/>
          <w:szCs w:val="28"/>
          <w:rtl/>
        </w:rPr>
        <w:t xml:space="preserve">" מהעת האחרונה, היא תיקון 140 </w:t>
      </w:r>
      <w:r>
        <w:rPr>
          <w:rFonts w:ascii="Miriam" w:hAnsi="Miriam" w:cs="Miriam"/>
          <w:sz w:val="24"/>
          <w:szCs w:val="24"/>
          <w:rtl/>
        </w:rPr>
        <w:t>ב</w:t>
      </w:r>
      <w:hyperlink r:id="rId38" w:history="1">
        <w:r w:rsidR="007D62B5" w:rsidRPr="007D62B5">
          <w:rPr>
            <w:rFonts w:ascii="Miriam" w:hAnsi="Miriam" w:cs="Miriam"/>
            <w:color w:val="0000FF"/>
            <w:sz w:val="24"/>
            <w:szCs w:val="24"/>
            <w:u w:val="single"/>
            <w:rtl/>
          </w:rPr>
          <w:t>חוק העונשין</w:t>
        </w:r>
      </w:hyperlink>
      <w:r>
        <w:rPr>
          <w:rFonts w:ascii="FrankRuehl" w:hAnsi="FrankRuehl" w:cs="FrankRuehl"/>
          <w:sz w:val="28"/>
          <w:szCs w:val="28"/>
          <w:rtl/>
        </w:rPr>
        <w:t>, אשר קובע רף מזערי של רבע מהעונש שלצד העבירה. אין מחלוקת כי הוראה זו אינה חלה בענייננו. ואולם, תכלית ההוראה עולה בקנה אחד עם מגמת ההחמרה בענישה בעבירות נשק נוכח תופעת האלימות הקשה תוך שימוש בנשק, הגואה בחברה הישראלית בכלל ומכּה קשות בחברה הערבית בפרט. ב</w:t>
      </w:r>
      <w:hyperlink r:id="rId39" w:history="1">
        <w:r w:rsidR="007D62B5" w:rsidRPr="007D62B5">
          <w:rPr>
            <w:rFonts w:ascii="FrankRuehl" w:hAnsi="FrankRuehl" w:cs="FrankRuehl"/>
            <w:color w:val="0000FF"/>
            <w:sz w:val="28"/>
            <w:szCs w:val="28"/>
            <w:u w:val="single"/>
            <w:rtl/>
          </w:rPr>
          <w:t>ע"פ 2733/20</w:t>
        </w:r>
      </w:hyperlink>
      <w:r>
        <w:rPr>
          <w:rFonts w:ascii="FrankRuehl" w:hAnsi="FrankRuehl" w:cs="FrankRuehl"/>
          <w:sz w:val="28"/>
          <w:szCs w:val="28"/>
          <w:rtl/>
        </w:rPr>
        <w:t xml:space="preserve"> </w:t>
      </w:r>
      <w:r>
        <w:rPr>
          <w:rFonts w:ascii="Miriam" w:hAnsi="Miriam" w:cs="Miriam"/>
          <w:sz w:val="24"/>
          <w:szCs w:val="24"/>
          <w:rtl/>
        </w:rPr>
        <w:t>אבו זיאד נ' מדינת ישראל</w:t>
      </w:r>
      <w:r>
        <w:rPr>
          <w:rFonts w:ascii="FrankRuehl" w:hAnsi="FrankRuehl" w:cs="FrankRuehl"/>
          <w:sz w:val="28"/>
          <w:szCs w:val="28"/>
          <w:rtl/>
        </w:rPr>
        <w:t xml:space="preserve">, פסקה 16 (24.10.2021), צוין בזו הלשון: </w:t>
      </w:r>
    </w:p>
    <w:p w14:paraId="4071EEC9" w14:textId="77777777" w:rsidR="00F7387B" w:rsidRDefault="00F7387B" w:rsidP="00F7387B">
      <w:pPr>
        <w:pStyle w:val="a9"/>
        <w:spacing w:after="0" w:line="360" w:lineRule="auto"/>
        <w:rPr>
          <w:rFonts w:ascii="FrankRuehl" w:hAnsi="FrankRuehl" w:cs="FrankRuehl"/>
          <w:sz w:val="28"/>
          <w:szCs w:val="28"/>
          <w:rtl/>
        </w:rPr>
      </w:pPr>
    </w:p>
    <w:p w14:paraId="6DE26BC9" w14:textId="77777777" w:rsidR="00F7387B" w:rsidRDefault="00F7387B" w:rsidP="00F7387B">
      <w:pPr>
        <w:pStyle w:val="a9"/>
        <w:spacing w:after="0" w:line="240" w:lineRule="auto"/>
        <w:ind w:left="1440" w:right="567"/>
        <w:jc w:val="both"/>
        <w:rPr>
          <w:rFonts w:ascii="FrankRuehl" w:hAnsi="FrankRuehl" w:cs="FrankRuehl"/>
          <w:sz w:val="28"/>
          <w:szCs w:val="28"/>
        </w:rPr>
      </w:pPr>
      <w:r>
        <w:rPr>
          <w:rFonts w:ascii="FrankRuehl" w:hAnsi="FrankRuehl" w:cs="FrankRuehl"/>
          <w:sz w:val="28"/>
          <w:szCs w:val="28"/>
          <w:rtl/>
        </w:rPr>
        <w:t>"לא זו אף זו, גל האלימות הגואה בתוככי המגזר הערבי, מצריך אף הוא מאיתנו להיענות לצו השעה, ולנקוט יד קשה כלפי מבצעי עבירות בנשק; לבטח כך, כאשר בעבירות של סחר בנשק עסקינן, כבעניין דנן"</w:t>
      </w:r>
    </w:p>
    <w:p w14:paraId="224DE4E6" w14:textId="77777777" w:rsidR="00F7387B" w:rsidRDefault="00F7387B" w:rsidP="00F7387B">
      <w:pPr>
        <w:pStyle w:val="a9"/>
        <w:spacing w:after="0" w:line="360" w:lineRule="auto"/>
        <w:rPr>
          <w:rFonts w:ascii="FrankRuehl" w:hAnsi="FrankRuehl" w:cs="FrankRuehl"/>
          <w:sz w:val="28"/>
          <w:szCs w:val="28"/>
          <w:rtl/>
        </w:rPr>
      </w:pPr>
    </w:p>
    <w:p w14:paraId="21530E2B"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לקביעת מתחם הענישה ההולם, נתתי את דעתי כאמור לפסיקה אליה הפנו הצדדים ובחנתי פסיקה נוספת. ראו והשוו (כמובן עם השינויים </w:t>
      </w:r>
      <w:r>
        <w:rPr>
          <w:rFonts w:ascii="FrankRuehl" w:hAnsi="FrankRuehl" w:cs="FrankRuehl"/>
          <w:sz w:val="28"/>
          <w:szCs w:val="28"/>
          <w:u w:val="single"/>
          <w:rtl/>
        </w:rPr>
        <w:t>המחוייבים</w:t>
      </w:r>
      <w:r>
        <w:rPr>
          <w:rFonts w:ascii="FrankRuehl" w:hAnsi="FrankRuehl" w:cs="FrankRuehl"/>
          <w:sz w:val="28"/>
          <w:szCs w:val="28"/>
          <w:rtl/>
        </w:rPr>
        <w:t xml:space="preserve">) לפי סדר ערכאה ופרסום: ע"פ 6265/20 </w:t>
      </w:r>
      <w:r>
        <w:rPr>
          <w:rFonts w:ascii="Miriam" w:hAnsi="Miriam" w:cs="Miriam"/>
          <w:sz w:val="24"/>
          <w:szCs w:val="24"/>
          <w:rtl/>
        </w:rPr>
        <w:t>אבו אלקיעאן נ' מדינת ישראל</w:t>
      </w:r>
      <w:r>
        <w:rPr>
          <w:rFonts w:ascii="FrankRuehl" w:hAnsi="FrankRuehl" w:cs="FrankRuehl"/>
          <w:sz w:val="28"/>
          <w:szCs w:val="28"/>
          <w:rtl/>
        </w:rPr>
        <w:t xml:space="preserve"> (15.9.2020); </w:t>
      </w:r>
      <w:hyperlink r:id="rId40" w:history="1">
        <w:r w:rsidR="007D62B5" w:rsidRPr="007D62B5">
          <w:rPr>
            <w:rFonts w:ascii="FrankRuehl" w:hAnsi="FrankRuehl" w:cs="FrankRuehl"/>
            <w:color w:val="0000FF"/>
            <w:sz w:val="28"/>
            <w:szCs w:val="28"/>
            <w:u w:val="single"/>
            <w:rtl/>
          </w:rPr>
          <w:t>רע"פ 5613/20</w:t>
        </w:r>
      </w:hyperlink>
      <w:r>
        <w:rPr>
          <w:rFonts w:ascii="FrankRuehl" w:hAnsi="FrankRuehl" w:cs="FrankRuehl"/>
          <w:sz w:val="28"/>
          <w:szCs w:val="28"/>
          <w:rtl/>
        </w:rPr>
        <w:t xml:space="preserve"> </w:t>
      </w:r>
      <w:r>
        <w:rPr>
          <w:rFonts w:ascii="Miriam" w:hAnsi="Miriam" w:cs="Miriam"/>
          <w:sz w:val="24"/>
          <w:szCs w:val="24"/>
          <w:rtl/>
        </w:rPr>
        <w:t>אלהוזייל נ' מדינת ישראל</w:t>
      </w:r>
      <w:r>
        <w:rPr>
          <w:rFonts w:ascii="FrankRuehl" w:hAnsi="FrankRuehl" w:cs="FrankRuehl"/>
          <w:sz w:val="28"/>
          <w:szCs w:val="28"/>
          <w:rtl/>
        </w:rPr>
        <w:t xml:space="preserve"> (25.8.2020); </w:t>
      </w:r>
      <w:hyperlink r:id="rId41" w:history="1">
        <w:r w:rsidR="007D62B5" w:rsidRPr="007D62B5">
          <w:rPr>
            <w:rFonts w:ascii="FrankRuehl" w:hAnsi="FrankRuehl" w:cs="FrankRuehl"/>
            <w:color w:val="0000FF"/>
            <w:sz w:val="28"/>
            <w:szCs w:val="28"/>
            <w:u w:val="single"/>
            <w:rtl/>
          </w:rPr>
          <w:t>רע"פ 8730/18</w:t>
        </w:r>
      </w:hyperlink>
      <w:r>
        <w:rPr>
          <w:rFonts w:ascii="FrankRuehl" w:hAnsi="FrankRuehl" w:cs="FrankRuehl"/>
          <w:sz w:val="28"/>
          <w:szCs w:val="28"/>
          <w:rtl/>
        </w:rPr>
        <w:t xml:space="preserve"> </w:t>
      </w:r>
      <w:r>
        <w:rPr>
          <w:rFonts w:ascii="Miriam" w:hAnsi="Miriam" w:cs="Miriam"/>
          <w:sz w:val="24"/>
          <w:szCs w:val="24"/>
          <w:rtl/>
        </w:rPr>
        <w:t>מרשה נ' מדינת ישראל</w:t>
      </w:r>
      <w:r>
        <w:rPr>
          <w:rFonts w:ascii="FrankRuehl" w:hAnsi="FrankRuehl" w:cs="FrankRuehl"/>
          <w:sz w:val="28"/>
          <w:szCs w:val="28"/>
          <w:rtl/>
        </w:rPr>
        <w:t xml:space="preserve"> (24.1.2019); </w:t>
      </w:r>
      <w:hyperlink r:id="rId42" w:history="1">
        <w:r w:rsidR="007D62B5" w:rsidRPr="007D62B5">
          <w:rPr>
            <w:rFonts w:ascii="FrankRuehl" w:hAnsi="FrankRuehl" w:cs="FrankRuehl"/>
            <w:color w:val="0000FF"/>
            <w:sz w:val="28"/>
            <w:szCs w:val="28"/>
            <w:u w:val="single"/>
            <w:rtl/>
          </w:rPr>
          <w:t>רע"פ 1246/17</w:t>
        </w:r>
      </w:hyperlink>
      <w:r>
        <w:rPr>
          <w:rFonts w:ascii="FrankRuehl" w:hAnsi="FrankRuehl" w:cs="FrankRuehl"/>
          <w:sz w:val="28"/>
          <w:szCs w:val="28"/>
          <w:rtl/>
        </w:rPr>
        <w:t xml:space="preserve"> </w:t>
      </w:r>
      <w:r>
        <w:rPr>
          <w:rFonts w:ascii="Miriam" w:hAnsi="Miriam" w:cs="Miriam"/>
          <w:sz w:val="24"/>
          <w:szCs w:val="24"/>
          <w:rtl/>
        </w:rPr>
        <w:t>מטר נ' מדינת ישראל</w:t>
      </w:r>
      <w:r>
        <w:rPr>
          <w:rFonts w:ascii="FrankRuehl" w:hAnsi="FrankRuehl" w:cs="FrankRuehl"/>
          <w:sz w:val="28"/>
          <w:szCs w:val="28"/>
          <w:rtl/>
        </w:rPr>
        <w:t xml:space="preserve"> (12.3.2017); </w:t>
      </w:r>
      <w:hyperlink r:id="rId43" w:history="1">
        <w:r w:rsidR="007D62B5" w:rsidRPr="007D62B5">
          <w:rPr>
            <w:rFonts w:ascii="FrankRuehl" w:hAnsi="FrankRuehl" w:cs="FrankRuehl"/>
            <w:color w:val="0000FF"/>
            <w:sz w:val="28"/>
            <w:szCs w:val="28"/>
            <w:u w:val="single"/>
            <w:rtl/>
          </w:rPr>
          <w:t>עפ"ג (מחוזי י-ם) 11305-09-22</w:t>
        </w:r>
      </w:hyperlink>
      <w:r>
        <w:rPr>
          <w:rFonts w:ascii="FrankRuehl" w:hAnsi="FrankRuehl" w:cs="FrankRuehl"/>
          <w:sz w:val="28"/>
          <w:szCs w:val="28"/>
          <w:rtl/>
        </w:rPr>
        <w:t xml:space="preserve"> </w:t>
      </w:r>
      <w:r>
        <w:rPr>
          <w:rFonts w:ascii="Miriam" w:hAnsi="Miriam" w:cs="Miriam"/>
          <w:sz w:val="24"/>
          <w:szCs w:val="24"/>
          <w:rtl/>
        </w:rPr>
        <w:t>סלאמין נ' מדינת ישראל</w:t>
      </w:r>
      <w:r>
        <w:rPr>
          <w:rFonts w:ascii="FrankRuehl" w:hAnsi="FrankRuehl" w:cs="FrankRuehl"/>
          <w:sz w:val="28"/>
          <w:szCs w:val="28"/>
          <w:rtl/>
        </w:rPr>
        <w:t xml:space="preserve"> (22.9.2022); </w:t>
      </w:r>
      <w:hyperlink r:id="rId44" w:history="1">
        <w:r w:rsidR="007D62B5" w:rsidRPr="007D62B5">
          <w:rPr>
            <w:rFonts w:ascii="FrankRuehl" w:hAnsi="FrankRuehl" w:cs="FrankRuehl"/>
            <w:color w:val="0000FF"/>
            <w:sz w:val="28"/>
            <w:szCs w:val="28"/>
            <w:u w:val="single"/>
            <w:rtl/>
          </w:rPr>
          <w:t>ת.פ. (מחוזי י-ם) 52515-03-20</w:t>
        </w:r>
      </w:hyperlink>
      <w:r>
        <w:rPr>
          <w:rFonts w:ascii="FrankRuehl" w:hAnsi="FrankRuehl" w:cs="FrankRuehl"/>
          <w:sz w:val="28"/>
          <w:szCs w:val="28"/>
          <w:rtl/>
        </w:rPr>
        <w:t xml:space="preserve"> </w:t>
      </w:r>
      <w:r>
        <w:rPr>
          <w:rFonts w:ascii="Miriam" w:hAnsi="Miriam" w:cs="Miriam"/>
          <w:sz w:val="24"/>
          <w:szCs w:val="24"/>
          <w:rtl/>
        </w:rPr>
        <w:t>מדינת ישראל נ' סנדוקה</w:t>
      </w:r>
      <w:r>
        <w:rPr>
          <w:rFonts w:ascii="FrankRuehl" w:hAnsi="FrankRuehl" w:cs="FrankRuehl"/>
          <w:sz w:val="28"/>
          <w:szCs w:val="28"/>
          <w:rtl/>
        </w:rPr>
        <w:t xml:space="preserve"> (19.10.2020); עפ"ג (מחוזי מר') 10916-12-21 </w:t>
      </w:r>
      <w:r>
        <w:rPr>
          <w:rFonts w:ascii="Miriam" w:hAnsi="Miriam" w:cs="Miriam"/>
          <w:sz w:val="24"/>
          <w:szCs w:val="24"/>
          <w:rtl/>
        </w:rPr>
        <w:t>מדינת ישראל נ' אבו רלחסאן</w:t>
      </w:r>
      <w:r>
        <w:rPr>
          <w:rFonts w:ascii="FrankRuehl" w:hAnsi="FrankRuehl" w:cs="FrankRuehl"/>
          <w:sz w:val="28"/>
          <w:szCs w:val="28"/>
          <w:rtl/>
        </w:rPr>
        <w:t xml:space="preserve"> (7.2.2022); </w:t>
      </w:r>
      <w:hyperlink r:id="rId45" w:history="1">
        <w:r w:rsidR="007D62B5" w:rsidRPr="007D62B5">
          <w:rPr>
            <w:rFonts w:ascii="FrankRuehl" w:hAnsi="FrankRuehl" w:cs="FrankRuehl"/>
            <w:color w:val="0000FF"/>
            <w:sz w:val="28"/>
            <w:szCs w:val="28"/>
            <w:u w:val="single"/>
            <w:rtl/>
          </w:rPr>
          <w:t>עפ"ג (מחוזי חי') 23517-02-20</w:t>
        </w:r>
      </w:hyperlink>
      <w:r>
        <w:rPr>
          <w:rFonts w:ascii="FrankRuehl" w:hAnsi="FrankRuehl" w:cs="FrankRuehl"/>
          <w:sz w:val="28"/>
          <w:szCs w:val="28"/>
          <w:rtl/>
        </w:rPr>
        <w:t xml:space="preserve"> </w:t>
      </w:r>
      <w:r>
        <w:rPr>
          <w:rFonts w:ascii="Miriam" w:hAnsi="Miriam" w:cs="Miriam"/>
          <w:sz w:val="24"/>
          <w:szCs w:val="24"/>
          <w:rtl/>
        </w:rPr>
        <w:t>מדינת ישראל נ' אלכילאני</w:t>
      </w:r>
      <w:r>
        <w:rPr>
          <w:rFonts w:ascii="FrankRuehl" w:hAnsi="FrankRuehl" w:cs="FrankRuehl"/>
          <w:sz w:val="28"/>
          <w:szCs w:val="28"/>
          <w:rtl/>
        </w:rPr>
        <w:t xml:space="preserve"> (28.7.2020); </w:t>
      </w:r>
      <w:hyperlink r:id="rId46" w:history="1">
        <w:r w:rsidR="007D62B5" w:rsidRPr="007D62B5">
          <w:rPr>
            <w:rFonts w:ascii="FrankRuehl" w:hAnsi="FrankRuehl" w:cs="FrankRuehl"/>
            <w:color w:val="0000FF"/>
            <w:sz w:val="28"/>
            <w:szCs w:val="28"/>
            <w:u w:val="single"/>
            <w:rtl/>
          </w:rPr>
          <w:t>עפ"ג (מחוזי חי') 24637-02-20</w:t>
        </w:r>
      </w:hyperlink>
      <w:r>
        <w:rPr>
          <w:rFonts w:ascii="FrankRuehl" w:hAnsi="FrankRuehl" w:cs="FrankRuehl"/>
          <w:sz w:val="28"/>
          <w:szCs w:val="28"/>
          <w:rtl/>
        </w:rPr>
        <w:t xml:space="preserve"> </w:t>
      </w:r>
      <w:r>
        <w:rPr>
          <w:rFonts w:ascii="Miriam" w:hAnsi="Miriam" w:cs="Miriam"/>
          <w:sz w:val="24"/>
          <w:szCs w:val="24"/>
          <w:rtl/>
        </w:rPr>
        <w:t>מדינת ישראל נ' ג'נחאוי</w:t>
      </w:r>
      <w:r>
        <w:rPr>
          <w:rFonts w:ascii="FrankRuehl" w:hAnsi="FrankRuehl" w:cs="FrankRuehl"/>
          <w:sz w:val="28"/>
          <w:szCs w:val="28"/>
          <w:rtl/>
        </w:rPr>
        <w:t xml:space="preserve"> (18.5.2020); </w:t>
      </w:r>
      <w:hyperlink r:id="rId47" w:history="1">
        <w:r w:rsidR="007D62B5" w:rsidRPr="007D62B5">
          <w:rPr>
            <w:rFonts w:ascii="FrankRuehl" w:hAnsi="FrankRuehl" w:cs="FrankRuehl"/>
            <w:color w:val="0000FF"/>
            <w:sz w:val="28"/>
            <w:szCs w:val="28"/>
            <w:u w:val="single"/>
            <w:rtl/>
          </w:rPr>
          <w:t>עפ"ג (מחוזי חי') 52602-12-19</w:t>
        </w:r>
      </w:hyperlink>
      <w:r>
        <w:rPr>
          <w:rFonts w:ascii="FrankRuehl" w:hAnsi="FrankRuehl" w:cs="FrankRuehl"/>
          <w:sz w:val="28"/>
          <w:szCs w:val="28"/>
          <w:rtl/>
        </w:rPr>
        <w:t xml:space="preserve"> </w:t>
      </w:r>
      <w:r>
        <w:rPr>
          <w:rFonts w:ascii="Miriam" w:hAnsi="Miriam" w:cs="Miriam"/>
          <w:sz w:val="24"/>
          <w:szCs w:val="24"/>
          <w:rtl/>
        </w:rPr>
        <w:t>מדינת ישראל נ' ריזק</w:t>
      </w:r>
      <w:r>
        <w:rPr>
          <w:rFonts w:ascii="FrankRuehl" w:hAnsi="FrankRuehl" w:cs="FrankRuehl"/>
          <w:sz w:val="28"/>
          <w:szCs w:val="28"/>
          <w:rtl/>
        </w:rPr>
        <w:t xml:space="preserve"> (27.1.2020); </w:t>
      </w:r>
      <w:hyperlink r:id="rId48" w:history="1">
        <w:r w:rsidR="007D62B5" w:rsidRPr="007D62B5">
          <w:rPr>
            <w:rFonts w:ascii="FrankRuehl" w:hAnsi="FrankRuehl" w:cs="FrankRuehl"/>
            <w:color w:val="0000FF"/>
            <w:sz w:val="28"/>
            <w:szCs w:val="28"/>
            <w:u w:val="single"/>
            <w:rtl/>
          </w:rPr>
          <w:t>עפ"ג (מחוזי י-ם) 37217-03-19</w:t>
        </w:r>
      </w:hyperlink>
      <w:r>
        <w:rPr>
          <w:rFonts w:ascii="FrankRuehl" w:hAnsi="FrankRuehl" w:cs="FrankRuehl"/>
          <w:sz w:val="28"/>
          <w:szCs w:val="28"/>
          <w:rtl/>
        </w:rPr>
        <w:t xml:space="preserve"> </w:t>
      </w:r>
      <w:r>
        <w:rPr>
          <w:rFonts w:ascii="Miriam" w:hAnsi="Miriam" w:cs="Miriam"/>
          <w:sz w:val="24"/>
          <w:szCs w:val="24"/>
          <w:rtl/>
        </w:rPr>
        <w:t>ג'ואברה נ' מדינת ישראל</w:t>
      </w:r>
      <w:r>
        <w:rPr>
          <w:rFonts w:ascii="FrankRuehl" w:hAnsi="FrankRuehl" w:cs="FrankRuehl"/>
          <w:sz w:val="28"/>
          <w:szCs w:val="28"/>
          <w:rtl/>
        </w:rPr>
        <w:t xml:space="preserve"> (25.11.2019); ת.פ. (שלום י-ם) 45195-06-22 </w:t>
      </w:r>
      <w:r>
        <w:rPr>
          <w:rFonts w:ascii="Miriam" w:hAnsi="Miriam" w:cs="Miriam"/>
          <w:sz w:val="24"/>
          <w:szCs w:val="24"/>
          <w:rtl/>
        </w:rPr>
        <w:t>מדינת ישראל נ' רג'בי</w:t>
      </w:r>
      <w:r>
        <w:rPr>
          <w:rFonts w:ascii="FrankRuehl" w:hAnsi="FrankRuehl" w:cs="FrankRuehl"/>
          <w:sz w:val="28"/>
          <w:szCs w:val="28"/>
          <w:rtl/>
        </w:rPr>
        <w:t xml:space="preserve"> (5.11.2020); </w:t>
      </w:r>
      <w:hyperlink r:id="rId49" w:history="1">
        <w:r w:rsidR="007D62B5" w:rsidRPr="007D62B5">
          <w:rPr>
            <w:rFonts w:ascii="FrankRuehl" w:hAnsi="FrankRuehl" w:cs="FrankRuehl"/>
            <w:color w:val="0000FF"/>
            <w:sz w:val="28"/>
            <w:szCs w:val="28"/>
            <w:u w:val="single"/>
            <w:rtl/>
          </w:rPr>
          <w:t>ת.פ. (שלום י-ם) 24420-01-20</w:t>
        </w:r>
      </w:hyperlink>
      <w:r>
        <w:rPr>
          <w:rFonts w:ascii="FrankRuehl" w:hAnsi="FrankRuehl" w:cs="FrankRuehl"/>
          <w:sz w:val="28"/>
          <w:szCs w:val="28"/>
          <w:rtl/>
        </w:rPr>
        <w:t xml:space="preserve"> </w:t>
      </w:r>
      <w:r>
        <w:rPr>
          <w:rFonts w:ascii="Miriam" w:hAnsi="Miriam" w:cs="Miriam"/>
          <w:sz w:val="24"/>
          <w:szCs w:val="24"/>
          <w:rtl/>
        </w:rPr>
        <w:t>מדינת ישראל נ' אבו סנינה</w:t>
      </w:r>
      <w:r>
        <w:rPr>
          <w:rFonts w:ascii="FrankRuehl" w:hAnsi="FrankRuehl" w:cs="FrankRuehl"/>
          <w:sz w:val="28"/>
          <w:szCs w:val="28"/>
          <w:rtl/>
        </w:rPr>
        <w:t xml:space="preserve"> (20.10.2020); </w:t>
      </w:r>
      <w:hyperlink r:id="rId50" w:history="1">
        <w:r w:rsidR="007D62B5" w:rsidRPr="007D62B5">
          <w:rPr>
            <w:rFonts w:ascii="FrankRuehl" w:hAnsi="FrankRuehl" w:cs="FrankRuehl"/>
            <w:color w:val="0000FF"/>
            <w:sz w:val="28"/>
            <w:szCs w:val="28"/>
            <w:u w:val="single"/>
            <w:rtl/>
          </w:rPr>
          <w:t>ת.פ. (שלום י-ם) 40634-03-20</w:t>
        </w:r>
      </w:hyperlink>
      <w:r>
        <w:rPr>
          <w:rFonts w:ascii="FrankRuehl" w:hAnsi="FrankRuehl" w:cs="FrankRuehl"/>
          <w:sz w:val="28"/>
          <w:szCs w:val="28"/>
          <w:rtl/>
        </w:rPr>
        <w:t xml:space="preserve"> </w:t>
      </w:r>
      <w:r>
        <w:rPr>
          <w:rFonts w:ascii="Miriam" w:hAnsi="Miriam" w:cs="Miriam"/>
          <w:sz w:val="24"/>
          <w:szCs w:val="24"/>
          <w:rtl/>
        </w:rPr>
        <w:t>מדינת ישראל נ' מרעב</w:t>
      </w:r>
      <w:r>
        <w:rPr>
          <w:rFonts w:ascii="FrankRuehl" w:hAnsi="FrankRuehl" w:cs="FrankRuehl"/>
          <w:sz w:val="28"/>
          <w:szCs w:val="28"/>
          <w:rtl/>
        </w:rPr>
        <w:t xml:space="preserve"> (15.9.2020)).</w:t>
      </w:r>
    </w:p>
    <w:p w14:paraId="0A534D75" w14:textId="77777777" w:rsidR="00F7387B" w:rsidRDefault="00F7387B" w:rsidP="00F7387B">
      <w:pPr>
        <w:pStyle w:val="a9"/>
        <w:spacing w:after="0" w:line="360" w:lineRule="auto"/>
        <w:jc w:val="both"/>
        <w:rPr>
          <w:rFonts w:ascii="FrankRuehl" w:hAnsi="FrankRuehl" w:cs="FrankRuehl"/>
          <w:sz w:val="28"/>
          <w:szCs w:val="28"/>
          <w:rtl/>
        </w:rPr>
      </w:pPr>
    </w:p>
    <w:p w14:paraId="38CF4012"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לאחר שנתתי את דעתי לכל האמור לעיל, קובע בזאת כי מתחם הענישה ההולמת ביחס לעבירה מושא האישום </w:t>
      </w:r>
      <w:r>
        <w:rPr>
          <w:rFonts w:ascii="Miriam" w:hAnsi="Miriam" w:cs="Miriam"/>
          <w:sz w:val="24"/>
          <w:szCs w:val="24"/>
          <w:rtl/>
        </w:rPr>
        <w:t>נע בין 12 חודשי מאסר בפועל עד 30 חודשי מאסר בפועל</w:t>
      </w:r>
      <w:r>
        <w:rPr>
          <w:rFonts w:ascii="Miriam" w:hAnsi="Miriam" w:cs="Miriam"/>
          <w:rtl/>
        </w:rPr>
        <w:t>.</w:t>
      </w:r>
    </w:p>
    <w:p w14:paraId="01D9BFB8" w14:textId="77777777" w:rsidR="00F7387B" w:rsidRDefault="00F7387B" w:rsidP="00F7387B">
      <w:pPr>
        <w:pStyle w:val="a9"/>
        <w:spacing w:after="0" w:line="360" w:lineRule="auto"/>
        <w:rPr>
          <w:rFonts w:ascii="FrankRuehl" w:hAnsi="FrankRuehl" w:cs="FrankRuehl"/>
          <w:sz w:val="28"/>
          <w:szCs w:val="28"/>
        </w:rPr>
      </w:pPr>
    </w:p>
    <w:p w14:paraId="199CACC5"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Pr>
      </w:pPr>
      <w:r>
        <w:rPr>
          <w:rFonts w:ascii="Miriam" w:hAnsi="Miriam" w:cs="Miriam"/>
          <w:sz w:val="24"/>
          <w:szCs w:val="24"/>
          <w:rtl/>
        </w:rPr>
        <w:t>נסיבות שאינן קשורות בביצוע העבירה</w:t>
      </w:r>
      <w:r>
        <w:rPr>
          <w:rFonts w:ascii="FrankRuehl" w:hAnsi="FrankRuehl" w:cs="FrankRuehl"/>
          <w:sz w:val="28"/>
          <w:szCs w:val="28"/>
          <w:rtl/>
        </w:rPr>
        <w:t xml:space="preserve">: הנאשם בן 36. נשוי, אב משפחה ועובד לפרנסתו. לדבריו, כיום הוא לומד להרחבת ההכשרה המקצועית שלו. הוא נטל אחריות מלאה על מעשהו והביע חרטה מלאה, כל זאת תוך חיסכון בזמנם של העדים, של הצדדים ושל בית המשפט. הנאשם אף הצביע על כך כי במסגרת הפקת הלקחים לאחר המעשה, הוא סייע לחקירת אירוע פלילי אחר. עוד ניתנה הדעת לכך שעד האירוע מושא האישום, הנאשם היה נעדר עבר פלילי. נתתי את דעתי למשך התקופה שבה הנאשם היה שרוי במעצר ולאחר מכן בתנאים מגבילים ועד היום. כל אלה שיקולים לקולת העונש. </w:t>
      </w:r>
    </w:p>
    <w:p w14:paraId="2A9CBA84" w14:textId="77777777" w:rsidR="00F7387B" w:rsidRDefault="00F7387B" w:rsidP="00F7387B">
      <w:pPr>
        <w:pStyle w:val="a9"/>
        <w:spacing w:after="0" w:line="360" w:lineRule="auto"/>
        <w:rPr>
          <w:rFonts w:ascii="FrankRuehl" w:hAnsi="FrankRuehl" w:cs="FrankRuehl"/>
          <w:sz w:val="28"/>
          <w:szCs w:val="28"/>
        </w:rPr>
      </w:pPr>
    </w:p>
    <w:p w14:paraId="59AC263B"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מן העבר האחר, לחומרת העונש, הסתבר כי בעודו נתון תחת תנאים מגבילים במסגרת הליך זה, הפר הנאשם את תנאי מעצר הבית ביום 20.5.2021 עת יצא ללא היתר, ולא רק. עת נעצר רכבו לבדיקה במחסום, הוא התחזה כאדם אחר כדי להונות את השוטרת הבודקת. הוא הציג את רישיון הנהיגה של אחיו וטען לפניה שהוא אחיו. רק לאחר שהורתה על מעצרו וכי הבין שהשוטרים אינם מאמינים לו, טען הנאשם כי "</w:t>
      </w:r>
      <w:r>
        <w:rPr>
          <w:rFonts w:ascii="Miriam" w:hAnsi="Miriam" w:cs="Miriam"/>
          <w:sz w:val="24"/>
          <w:szCs w:val="24"/>
          <w:rtl/>
        </w:rPr>
        <w:t>הלך לבית חולים שאינו יודע את שמו</w:t>
      </w:r>
      <w:r>
        <w:rPr>
          <w:rFonts w:ascii="FrankRuehl" w:hAnsi="FrankRuehl" w:cs="FrankRuehl"/>
          <w:sz w:val="28"/>
          <w:szCs w:val="28"/>
          <w:rtl/>
        </w:rPr>
        <w:t xml:space="preserve">" (סעיף 6 בכתב האישום בתיק 23005-09-21 – מוצג מא/1). הנאשם הורשע ביום 7.6.2022 על-יסוד הודאתו בהפרת הוראה חוקית, עבירה לפי </w:t>
      </w:r>
      <w:hyperlink r:id="rId51" w:history="1">
        <w:r w:rsidR="00511444" w:rsidRPr="00511444">
          <w:rPr>
            <w:rStyle w:val="Hyperlink"/>
            <w:rFonts w:ascii="FrankRuehl" w:hAnsi="FrankRuehl" w:cs="FrankRuehl"/>
            <w:sz w:val="28"/>
            <w:szCs w:val="28"/>
            <w:rtl/>
          </w:rPr>
          <w:t>סעיף 287(א)</w:t>
        </w:r>
      </w:hyperlink>
      <w:r>
        <w:rPr>
          <w:rFonts w:ascii="FrankRuehl" w:hAnsi="FrankRuehl" w:cs="FrankRuehl"/>
          <w:sz w:val="28"/>
          <w:szCs w:val="28"/>
          <w:rtl/>
        </w:rPr>
        <w:t xml:space="preserve"> </w:t>
      </w:r>
      <w:r>
        <w:rPr>
          <w:rFonts w:ascii="Miriam" w:hAnsi="Miriam" w:cs="Miriam"/>
          <w:sz w:val="24"/>
          <w:szCs w:val="24"/>
          <w:rtl/>
        </w:rPr>
        <w:t>ב</w:t>
      </w:r>
      <w:hyperlink r:id="rId52" w:history="1">
        <w:r w:rsidR="007D62B5" w:rsidRPr="007D62B5">
          <w:rPr>
            <w:rFonts w:ascii="Miriam" w:hAnsi="Miriam" w:cs="Miriam"/>
            <w:color w:val="0000FF"/>
            <w:sz w:val="24"/>
            <w:szCs w:val="24"/>
            <w:u w:val="single"/>
            <w:rtl/>
          </w:rPr>
          <w:t>חוק העונשין</w:t>
        </w:r>
      </w:hyperlink>
      <w:r>
        <w:rPr>
          <w:rFonts w:ascii="FrankRuehl" w:hAnsi="FrankRuehl" w:cs="FrankRuehl"/>
          <w:sz w:val="28"/>
          <w:szCs w:val="28"/>
          <w:rtl/>
        </w:rPr>
        <w:t xml:space="preserve">, וכן בהתחזות כאדם אחר במטרה להונות, עבירה לפי </w:t>
      </w:r>
      <w:hyperlink r:id="rId53" w:history="1">
        <w:r w:rsidR="00511444" w:rsidRPr="00511444">
          <w:rPr>
            <w:rStyle w:val="Hyperlink"/>
            <w:rFonts w:ascii="FrankRuehl" w:hAnsi="FrankRuehl" w:cs="FrankRuehl"/>
            <w:sz w:val="28"/>
            <w:szCs w:val="28"/>
            <w:rtl/>
          </w:rPr>
          <w:t>סעיף 441</w:t>
        </w:r>
      </w:hyperlink>
      <w:r>
        <w:rPr>
          <w:rFonts w:ascii="FrankRuehl" w:hAnsi="FrankRuehl" w:cs="FrankRuehl"/>
          <w:sz w:val="28"/>
          <w:szCs w:val="28"/>
          <w:rtl/>
        </w:rPr>
        <w:t xml:space="preserve"> רישא </w:t>
      </w:r>
      <w:r>
        <w:rPr>
          <w:rFonts w:ascii="Miriam" w:hAnsi="Miriam" w:cs="Miriam"/>
          <w:sz w:val="24"/>
          <w:szCs w:val="24"/>
          <w:rtl/>
        </w:rPr>
        <w:t>בחוק עונשין</w:t>
      </w:r>
      <w:r>
        <w:rPr>
          <w:rFonts w:ascii="FrankRuehl" w:hAnsi="FrankRuehl" w:cs="FrankRuehl"/>
          <w:sz w:val="28"/>
          <w:szCs w:val="28"/>
          <w:rtl/>
        </w:rPr>
        <w:t>. לא הוצג לפניי כי נגזר דינו בהליך האחר.</w:t>
      </w:r>
    </w:p>
    <w:p w14:paraId="3C437BD4" w14:textId="77777777" w:rsidR="00F7387B" w:rsidRDefault="00F7387B" w:rsidP="00F7387B">
      <w:pPr>
        <w:pStyle w:val="a9"/>
        <w:spacing w:after="0" w:line="360" w:lineRule="auto"/>
        <w:rPr>
          <w:rFonts w:ascii="FrankRuehl" w:hAnsi="FrankRuehl" w:cs="FrankRuehl"/>
          <w:sz w:val="28"/>
          <w:szCs w:val="28"/>
        </w:rPr>
      </w:pPr>
    </w:p>
    <w:p w14:paraId="03F2380E"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כמובן ולמען הסר כל ספק, אין מענישים את הנאשם בהליך זה בגין ההליך האחר. לצד זאת, לנוכח התנהגותו שעולה מהאישום שבו הודה וזאת רק חצי שנה לאחר תפיסת האקדח בחזקתו וכחודש בלבד לאחר קביעת התנאים המגבילים, בנסיבות אלו, קשה להלום – זאת, בלשון המעטה – את טענתו לפניי וגם בשירות המבחן לפיה הוא למד לקח מ"הטעות" שלו בגינה הורשע בהליך זה. נראה שהנאשם טרם הפנים בצורה אמתית ומלאה את הפסוּל במעשיו. במה הדברים אמורים. גם אם נניח כי גם במקרה המאוחר הוא טעה בהפעלת שיקול דעת עת הפר את תנאי מעצרו (מכל מקום לא הוצגו לפניי מסמכים רפואיים), הרי באופן דומה למקרה שלפניי שבו הוא ניסה להרחיק את עצמו מהמעשה הפסול (החזקת אקדח) בכך שהוא זרק אותו בעת החיפוש, גם במקרה המאוחר הוא ניסה להרחיק את עצמו מהמעשה הפסול (הפרת הוראה חוקית) בכך שהתחזה לאחר.</w:t>
      </w:r>
    </w:p>
    <w:p w14:paraId="7E5D21DC" w14:textId="77777777" w:rsidR="00F7387B" w:rsidRDefault="00F7387B" w:rsidP="00F7387B">
      <w:pPr>
        <w:pStyle w:val="a9"/>
        <w:spacing w:after="0" w:line="360" w:lineRule="auto"/>
        <w:rPr>
          <w:rFonts w:ascii="FrankRuehl" w:hAnsi="FrankRuehl" w:cs="FrankRuehl"/>
          <w:sz w:val="28"/>
          <w:szCs w:val="28"/>
        </w:rPr>
      </w:pPr>
    </w:p>
    <w:p w14:paraId="55E8FEA4"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בית המשפט ער להמלצת שירות המבחן להימנע מענישה בדמות מאסר של ממש. בחינת שירות המבחן היא שיקומית בעיקרה שעה שבית המשפט רואה את התמונה הרחבה, זכויות הקורבן (ככל שיש), הערכים המוגנים שנפגעו והאינטרס הציבורי. אמנם להמלצת שירות המבחן יש משקל במסגרת כלל השיקולים הרלבנטיים בנושא זה (השוו: </w:t>
      </w:r>
      <w:hyperlink r:id="rId54" w:history="1">
        <w:r w:rsidR="007D62B5" w:rsidRPr="007D62B5">
          <w:rPr>
            <w:rFonts w:ascii="FrankRuehl" w:hAnsi="FrankRuehl" w:cs="FrankRuehl"/>
            <w:color w:val="0000FF"/>
            <w:sz w:val="28"/>
            <w:szCs w:val="28"/>
            <w:u w:val="single"/>
            <w:rtl/>
          </w:rPr>
          <w:t>רע"פ 8215/16</w:t>
        </w:r>
      </w:hyperlink>
      <w:r>
        <w:rPr>
          <w:rFonts w:ascii="FrankRuehl" w:hAnsi="FrankRuehl" w:cs="FrankRuehl"/>
          <w:sz w:val="28"/>
          <w:szCs w:val="28"/>
          <w:rtl/>
        </w:rPr>
        <w:t xml:space="preserve"> </w:t>
      </w:r>
      <w:r>
        <w:rPr>
          <w:rFonts w:ascii="Miriam" w:hAnsi="Miriam" w:cs="Miriam"/>
          <w:sz w:val="24"/>
          <w:szCs w:val="24"/>
          <w:rtl/>
        </w:rPr>
        <w:t>יצחק נ' מדינת ישראל</w:t>
      </w:r>
      <w:r>
        <w:rPr>
          <w:rFonts w:ascii="FrankRuehl" w:hAnsi="FrankRuehl" w:cs="FrankRuehl"/>
          <w:sz w:val="28"/>
          <w:szCs w:val="28"/>
          <w:rtl/>
        </w:rPr>
        <w:t>, פסקה 14 (29.3.2017)), אך כאמור, "</w:t>
      </w:r>
      <w:r>
        <w:rPr>
          <w:rFonts w:ascii="Miriam" w:hAnsi="Miriam" w:cs="Miriam"/>
          <w:sz w:val="24"/>
          <w:szCs w:val="24"/>
          <w:rtl/>
        </w:rPr>
        <w:t>עמדת שירות המבחן, אינה אלא אחד השיקולים העומדים בפני בית-המשפט בבואו לגזור את דינו של נאשם - לעיתים יאמץ בית-המשפט את המלצת שירות המבחן במלואה, לעיתים יאמץ אותה בחלקה ולעיתים ידחה אותה מכל וכל</w:t>
      </w:r>
      <w:r>
        <w:rPr>
          <w:rFonts w:ascii="FrankRuehl" w:hAnsi="FrankRuehl" w:cs="FrankRuehl"/>
          <w:sz w:val="28"/>
          <w:szCs w:val="28"/>
          <w:rtl/>
        </w:rPr>
        <w:t>" (</w:t>
      </w:r>
      <w:hyperlink r:id="rId55" w:history="1">
        <w:r w:rsidR="007D62B5" w:rsidRPr="007D62B5">
          <w:rPr>
            <w:rFonts w:ascii="FrankRuehl" w:hAnsi="FrankRuehl" w:cs="FrankRuehl"/>
            <w:color w:val="0000FF"/>
            <w:sz w:val="28"/>
            <w:szCs w:val="28"/>
            <w:u w:val="single"/>
            <w:rtl/>
          </w:rPr>
          <w:t>רע"פ 7257/12</w:t>
        </w:r>
      </w:hyperlink>
      <w:r>
        <w:rPr>
          <w:rFonts w:ascii="FrankRuehl" w:hAnsi="FrankRuehl" w:cs="FrankRuehl"/>
          <w:sz w:val="28"/>
          <w:szCs w:val="28"/>
          <w:rtl/>
        </w:rPr>
        <w:t xml:space="preserve"> </w:t>
      </w:r>
      <w:r>
        <w:rPr>
          <w:rFonts w:ascii="Miriam" w:hAnsi="Miriam" w:cs="Miriam"/>
          <w:sz w:val="24"/>
          <w:szCs w:val="24"/>
          <w:rtl/>
        </w:rPr>
        <w:t>סנדרוביץ נ' מדינת ישראל</w:t>
      </w:r>
      <w:r>
        <w:rPr>
          <w:rFonts w:ascii="FrankRuehl" w:hAnsi="FrankRuehl" w:cs="FrankRuehl"/>
          <w:sz w:val="28"/>
          <w:szCs w:val="28"/>
          <w:rtl/>
        </w:rPr>
        <w:t xml:space="preserve">, פסקה 14 (18.10.2012)). במקרה לפניי, אינני סבור כי המלצת שירות המבחן עולה בקנה אחד עם חומרת העבירה ונסיבות ביצועה. </w:t>
      </w:r>
    </w:p>
    <w:p w14:paraId="667DAE05" w14:textId="77777777" w:rsidR="00F7387B" w:rsidRDefault="00F7387B" w:rsidP="00F7387B">
      <w:pPr>
        <w:pStyle w:val="a9"/>
        <w:rPr>
          <w:rFonts w:ascii="FrankRuehl" w:hAnsi="FrankRuehl" w:cs="FrankRuehl"/>
          <w:sz w:val="28"/>
          <w:szCs w:val="28"/>
        </w:rPr>
      </w:pPr>
    </w:p>
    <w:p w14:paraId="7E89EADA"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יותר מזה, בנסיבות המקרה דנן ובהעדר טעמים חריגים, גם לא מצאתי לחרוג לקולא ממתחם הענישה ההולמת ולהשית עונש שירוצה בעבודות שירות (ראו והשוו: </w:t>
      </w:r>
      <w:hyperlink r:id="rId56" w:history="1">
        <w:r w:rsidR="007D62B5" w:rsidRPr="007D62B5">
          <w:rPr>
            <w:rFonts w:ascii="FrankRuehl" w:hAnsi="FrankRuehl" w:cs="FrankRuehl"/>
            <w:color w:val="0000FF"/>
            <w:sz w:val="28"/>
            <w:szCs w:val="28"/>
            <w:u w:val="single"/>
            <w:rtl/>
          </w:rPr>
          <w:t>ע"פ 4332/21</w:t>
        </w:r>
      </w:hyperlink>
      <w:r>
        <w:rPr>
          <w:rFonts w:ascii="FrankRuehl" w:hAnsi="FrankRuehl" w:cs="FrankRuehl"/>
          <w:sz w:val="28"/>
          <w:szCs w:val="28"/>
          <w:rtl/>
        </w:rPr>
        <w:t xml:space="preserve"> </w:t>
      </w:r>
      <w:r>
        <w:rPr>
          <w:rFonts w:ascii="Miriam" w:hAnsi="Miriam" w:cs="Miriam"/>
          <w:sz w:val="24"/>
          <w:szCs w:val="24"/>
          <w:rtl/>
        </w:rPr>
        <w:t>עאסלה נ' מדינת ישראל</w:t>
      </w:r>
      <w:r>
        <w:rPr>
          <w:rFonts w:ascii="FrankRuehl" w:hAnsi="FrankRuehl" w:cs="FrankRuehl"/>
          <w:sz w:val="28"/>
          <w:szCs w:val="28"/>
          <w:rtl/>
        </w:rPr>
        <w:t xml:space="preserve"> (20.2.2022); </w:t>
      </w:r>
      <w:hyperlink r:id="rId57" w:history="1">
        <w:r w:rsidR="007D62B5" w:rsidRPr="007D62B5">
          <w:rPr>
            <w:rFonts w:ascii="FrankRuehl" w:hAnsi="FrankRuehl" w:cs="FrankRuehl"/>
            <w:color w:val="0000FF"/>
            <w:sz w:val="28"/>
            <w:szCs w:val="28"/>
            <w:u w:val="single"/>
            <w:rtl/>
          </w:rPr>
          <w:t>ע"פ 2247/21</w:t>
        </w:r>
      </w:hyperlink>
      <w:r>
        <w:rPr>
          <w:rFonts w:ascii="FrankRuehl" w:hAnsi="FrankRuehl" w:cs="FrankRuehl"/>
          <w:sz w:val="28"/>
          <w:szCs w:val="28"/>
          <w:rtl/>
        </w:rPr>
        <w:t xml:space="preserve"> </w:t>
      </w:r>
      <w:r>
        <w:rPr>
          <w:rFonts w:ascii="Miriam" w:hAnsi="Miriam" w:cs="Miriam"/>
          <w:sz w:val="24"/>
          <w:szCs w:val="24"/>
          <w:rtl/>
        </w:rPr>
        <w:t>מג'אהד נ' מדינת ישראל</w:t>
      </w:r>
      <w:r>
        <w:rPr>
          <w:rFonts w:ascii="FrankRuehl" w:hAnsi="FrankRuehl" w:cs="FrankRuehl"/>
          <w:sz w:val="28"/>
          <w:szCs w:val="28"/>
          <w:rtl/>
        </w:rPr>
        <w:t xml:space="preserve"> (10.11.2021); </w:t>
      </w:r>
      <w:hyperlink r:id="rId58" w:history="1">
        <w:r w:rsidR="007D62B5" w:rsidRPr="007D62B5">
          <w:rPr>
            <w:rFonts w:ascii="FrankRuehl" w:hAnsi="FrankRuehl" w:cs="FrankRuehl"/>
            <w:color w:val="0000FF"/>
            <w:sz w:val="28"/>
            <w:szCs w:val="28"/>
            <w:u w:val="single"/>
            <w:rtl/>
          </w:rPr>
          <w:t>עפ"ג (מחוזי י-ם) 35008-07-22</w:t>
        </w:r>
      </w:hyperlink>
      <w:r>
        <w:rPr>
          <w:rFonts w:ascii="FrankRuehl" w:hAnsi="FrankRuehl" w:cs="FrankRuehl"/>
          <w:sz w:val="28"/>
          <w:szCs w:val="28"/>
          <w:rtl/>
        </w:rPr>
        <w:t xml:space="preserve"> </w:t>
      </w:r>
      <w:r>
        <w:rPr>
          <w:rFonts w:ascii="Miriam" w:hAnsi="Miriam" w:cs="Miriam"/>
          <w:sz w:val="24"/>
          <w:szCs w:val="24"/>
          <w:rtl/>
        </w:rPr>
        <w:t>חסן נ' מדינת ישראל</w:t>
      </w:r>
      <w:r>
        <w:rPr>
          <w:rFonts w:ascii="FrankRuehl" w:hAnsi="FrankRuehl" w:cs="FrankRuehl"/>
          <w:sz w:val="28"/>
          <w:szCs w:val="28"/>
          <w:rtl/>
        </w:rPr>
        <w:t xml:space="preserve"> (6.12.2022)).</w:t>
      </w:r>
    </w:p>
    <w:p w14:paraId="0C03A2C3" w14:textId="77777777" w:rsidR="00F7387B" w:rsidRDefault="00F7387B" w:rsidP="00F7387B">
      <w:pPr>
        <w:spacing w:line="360" w:lineRule="auto"/>
        <w:jc w:val="both"/>
        <w:rPr>
          <w:rFonts w:ascii="FrankRuehl" w:hAnsi="FrankRuehl" w:cs="FrankRuehl"/>
          <w:sz w:val="28"/>
          <w:szCs w:val="28"/>
        </w:rPr>
      </w:pPr>
    </w:p>
    <w:p w14:paraId="0287C62B"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בשקלול של כל האמור, סביר בעיניי להעמיד את עונשו של הנאשם </w:t>
      </w:r>
      <w:r>
        <w:rPr>
          <w:rFonts w:ascii="Miriam" w:hAnsi="Miriam" w:cs="Miriam"/>
          <w:sz w:val="24"/>
          <w:szCs w:val="24"/>
          <w:rtl/>
        </w:rPr>
        <w:t>בתוך</w:t>
      </w:r>
      <w:r>
        <w:rPr>
          <w:rFonts w:ascii="FrankRuehl" w:hAnsi="FrankRuehl" w:cs="FrankRuehl"/>
          <w:sz w:val="28"/>
          <w:szCs w:val="28"/>
          <w:rtl/>
        </w:rPr>
        <w:t xml:space="preserve"> השליש התחתון כי אם ברף הנמוך.</w:t>
      </w:r>
    </w:p>
    <w:p w14:paraId="2DCA235C" w14:textId="77777777" w:rsidR="00F7387B" w:rsidRDefault="00F7387B" w:rsidP="00F7387B">
      <w:pPr>
        <w:spacing w:line="360" w:lineRule="auto"/>
        <w:jc w:val="both"/>
        <w:rPr>
          <w:rFonts w:ascii="FrankRuehl" w:hAnsi="FrankRuehl" w:cs="FrankRuehl"/>
          <w:sz w:val="28"/>
          <w:szCs w:val="28"/>
          <w:rtl/>
        </w:rPr>
      </w:pPr>
    </w:p>
    <w:p w14:paraId="3EBB3BB1" w14:textId="77777777" w:rsidR="00F7387B" w:rsidRDefault="00F7387B" w:rsidP="00F7387B">
      <w:pPr>
        <w:spacing w:line="360" w:lineRule="auto"/>
        <w:jc w:val="both"/>
        <w:rPr>
          <w:rFonts w:ascii="Miriam" w:hAnsi="Miriam" w:cs="Miriam"/>
          <w:u w:val="single"/>
          <w:rtl/>
        </w:rPr>
      </w:pPr>
      <w:r>
        <w:rPr>
          <w:rFonts w:ascii="Miriam" w:hAnsi="Miriam" w:cs="Miriam"/>
          <w:u w:val="single"/>
          <w:rtl/>
        </w:rPr>
        <w:t>סיכום</w:t>
      </w:r>
    </w:p>
    <w:p w14:paraId="2FEDD9C8" w14:textId="77777777" w:rsidR="00F7387B" w:rsidRDefault="00F7387B" w:rsidP="00F7387B">
      <w:pPr>
        <w:spacing w:line="360" w:lineRule="auto"/>
        <w:jc w:val="both"/>
        <w:rPr>
          <w:rFonts w:ascii="FrankRuehl" w:hAnsi="FrankRuehl" w:cs="FrankRuehl"/>
          <w:sz w:val="28"/>
          <w:szCs w:val="28"/>
          <w:rtl/>
        </w:rPr>
      </w:pPr>
    </w:p>
    <w:p w14:paraId="52C89763" w14:textId="77777777" w:rsidR="00F7387B" w:rsidRDefault="00F7387B" w:rsidP="00F7387B">
      <w:pPr>
        <w:pStyle w:val="a9"/>
        <w:numPr>
          <w:ilvl w:val="0"/>
          <w:numId w:val="1"/>
        </w:numPr>
        <w:spacing w:after="0" w:line="360" w:lineRule="auto"/>
        <w:ind w:left="509" w:hanging="425"/>
        <w:jc w:val="both"/>
        <w:rPr>
          <w:rFonts w:ascii="FrankRuehl" w:hAnsi="FrankRuehl" w:cs="FrankRuehl"/>
          <w:sz w:val="28"/>
          <w:szCs w:val="28"/>
        </w:rPr>
      </w:pPr>
      <w:r>
        <w:rPr>
          <w:rFonts w:ascii="FrankRuehl" w:hAnsi="FrankRuehl" w:cs="FrankRuehl"/>
          <w:sz w:val="28"/>
          <w:szCs w:val="28"/>
          <w:rtl/>
        </w:rPr>
        <w:t>לאור האמור, משית על הנאשם את העונשים הבאים:</w:t>
      </w:r>
    </w:p>
    <w:p w14:paraId="7464809C" w14:textId="77777777" w:rsidR="00F7387B" w:rsidRDefault="00F7387B" w:rsidP="00F7387B">
      <w:pPr>
        <w:pStyle w:val="a9"/>
        <w:spacing w:after="0" w:line="360" w:lineRule="auto"/>
        <w:jc w:val="both"/>
        <w:rPr>
          <w:rFonts w:ascii="FrankRuehl" w:hAnsi="FrankRuehl" w:cs="FrankRuehl"/>
          <w:sz w:val="28"/>
          <w:szCs w:val="28"/>
          <w:rtl/>
        </w:rPr>
      </w:pPr>
    </w:p>
    <w:p w14:paraId="4EA6E418" w14:textId="77777777" w:rsidR="00F7387B" w:rsidRDefault="00F7387B" w:rsidP="00F7387B">
      <w:pPr>
        <w:pStyle w:val="a9"/>
        <w:numPr>
          <w:ilvl w:val="0"/>
          <w:numId w:val="2"/>
        </w:numPr>
        <w:spacing w:after="0" w:line="360" w:lineRule="auto"/>
        <w:jc w:val="both"/>
        <w:rPr>
          <w:rFonts w:ascii="FrankRuehl" w:hAnsi="FrankRuehl" w:cs="FrankRuehl"/>
          <w:sz w:val="28"/>
          <w:szCs w:val="28"/>
        </w:rPr>
      </w:pPr>
      <w:r>
        <w:rPr>
          <w:rFonts w:ascii="FrankRuehl" w:hAnsi="FrankRuehl" w:cs="FrankRuehl"/>
          <w:sz w:val="28"/>
          <w:szCs w:val="28"/>
          <w:rtl/>
        </w:rPr>
        <w:t xml:space="preserve">שלושה-עשר חודשי מאסר בפועל, לריצוי ממש. מתקופה זו ינוכו ימי מעצרו של הנאשם במסגרת הליך זה, מיום 1.11.2020 ועד יום 6.12.2020 (הכל לפי נתוני שירות בתי הסוהר). </w:t>
      </w:r>
      <w:r>
        <w:rPr>
          <w:rFonts w:ascii="FrankRuehl" w:hAnsi="FrankRuehl" w:cs="FrankRuehl"/>
          <w:sz w:val="28"/>
          <w:szCs w:val="28"/>
          <w:u w:val="single"/>
          <w:rtl/>
        </w:rPr>
        <w:t>תחילת ריצוי העונש 4.4.2023</w:t>
      </w:r>
      <w:r>
        <w:rPr>
          <w:rFonts w:ascii="FrankRuehl" w:hAnsi="FrankRuehl" w:cs="FrankRuehl"/>
          <w:sz w:val="28"/>
          <w:szCs w:val="28"/>
          <w:rtl/>
        </w:rPr>
        <w:t>.</w:t>
      </w:r>
    </w:p>
    <w:p w14:paraId="73895DA2" w14:textId="77777777" w:rsidR="00F7387B" w:rsidRDefault="00F7387B" w:rsidP="00F7387B">
      <w:pPr>
        <w:spacing w:line="360" w:lineRule="auto"/>
        <w:rPr>
          <w:rFonts w:ascii="FrankRuehl" w:hAnsi="FrankRuehl" w:cs="FrankRuehl"/>
          <w:sz w:val="28"/>
          <w:szCs w:val="28"/>
          <w:rtl/>
        </w:rPr>
      </w:pPr>
    </w:p>
    <w:p w14:paraId="77DA05C9" w14:textId="77777777" w:rsidR="00F7387B" w:rsidRDefault="00F7387B" w:rsidP="00F7387B">
      <w:pPr>
        <w:pStyle w:val="a9"/>
        <w:numPr>
          <w:ilvl w:val="0"/>
          <w:numId w:val="2"/>
        </w:numPr>
        <w:spacing w:after="0" w:line="360" w:lineRule="auto"/>
        <w:jc w:val="both"/>
        <w:rPr>
          <w:rFonts w:ascii="FrankRuehl" w:hAnsi="FrankRuehl" w:cs="FrankRuehl"/>
          <w:sz w:val="28"/>
          <w:szCs w:val="28"/>
        </w:rPr>
      </w:pPr>
      <w:r>
        <w:rPr>
          <w:rFonts w:ascii="FrankRuehl" w:hAnsi="FrankRuehl" w:cs="FrankRuehl"/>
          <w:sz w:val="28"/>
          <w:szCs w:val="28"/>
          <w:rtl/>
        </w:rPr>
        <w:t>שישה חודשי מאסר, שירוצו ככל שהנאשם יעבור עבירת נשק, לרבות העבירה בה הורשע, תוך שלוש שנים מיום סיום ריצוי עונש המאסר בפועל.</w:t>
      </w:r>
    </w:p>
    <w:p w14:paraId="021CECA1" w14:textId="77777777" w:rsidR="00F7387B" w:rsidRDefault="00F7387B" w:rsidP="00F7387B">
      <w:pPr>
        <w:spacing w:line="360" w:lineRule="auto"/>
        <w:rPr>
          <w:rFonts w:ascii="FrankRuehl" w:hAnsi="FrankRuehl" w:cs="FrankRuehl"/>
          <w:sz w:val="28"/>
          <w:szCs w:val="28"/>
          <w:rtl/>
        </w:rPr>
      </w:pPr>
    </w:p>
    <w:p w14:paraId="2AAE92AA" w14:textId="77777777" w:rsidR="00F7387B" w:rsidRDefault="00F7387B" w:rsidP="00F7387B">
      <w:pPr>
        <w:pStyle w:val="a9"/>
        <w:numPr>
          <w:ilvl w:val="0"/>
          <w:numId w:val="2"/>
        </w:numPr>
        <w:spacing w:after="0" w:line="360" w:lineRule="auto"/>
        <w:jc w:val="both"/>
        <w:rPr>
          <w:rFonts w:ascii="FrankRuehl" w:hAnsi="FrankRuehl" w:cs="FrankRuehl"/>
          <w:sz w:val="28"/>
          <w:szCs w:val="28"/>
        </w:rPr>
      </w:pPr>
      <w:r>
        <w:rPr>
          <w:rFonts w:ascii="FrankRuehl" w:hAnsi="FrankRuehl" w:cs="FrankRuehl"/>
          <w:sz w:val="28"/>
          <w:szCs w:val="28"/>
          <w:rtl/>
        </w:rPr>
        <w:t>הנאשם יישא בקנס בסך 2,500 ₪ אשר ישולם בחמישה תשלומים חודשיים שווים ועוקבים החל מיום 12.3.2023, ובכל יום ה-12 בחודש העוקב. הנאשם מופנה לאתר האינטרנט של המרכז לגביית קנסות לביצוע תשלום הקנס ואפשרויות התשלום מוסברות שם.</w:t>
      </w:r>
    </w:p>
    <w:p w14:paraId="063D43C1" w14:textId="77777777" w:rsidR="00F7387B" w:rsidRDefault="00F7387B" w:rsidP="00F7387B">
      <w:pPr>
        <w:spacing w:line="360" w:lineRule="auto"/>
        <w:jc w:val="both"/>
        <w:rPr>
          <w:rFonts w:ascii="FrankRuehl" w:hAnsi="FrankRuehl" w:cs="FrankRuehl"/>
          <w:sz w:val="20"/>
          <w:szCs w:val="20"/>
        </w:rPr>
      </w:pPr>
    </w:p>
    <w:p w14:paraId="775CEBDF"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lang w:eastAsia="he-IL"/>
        </w:rPr>
      </w:pPr>
      <w:r>
        <w:rPr>
          <w:rFonts w:ascii="FrankRuehl" w:hAnsi="FrankRuehl" w:cs="FrankRuehl"/>
          <w:sz w:val="28"/>
          <w:szCs w:val="28"/>
          <w:rtl/>
        </w:rPr>
        <w:t xml:space="preserve">הנאשם יתייצב לריצוי עונשו </w:t>
      </w:r>
      <w:r>
        <w:rPr>
          <w:rFonts w:ascii="FrankRuehl" w:hAnsi="FrankRuehl" w:cs="FrankRuehl"/>
          <w:sz w:val="28"/>
          <w:szCs w:val="28"/>
          <w:u w:val="single"/>
          <w:rtl/>
        </w:rPr>
        <w:t>ביום 4.4.2023 בשעה 10:00</w:t>
      </w:r>
      <w:r>
        <w:rPr>
          <w:rFonts w:ascii="FrankRuehl" w:hAnsi="FrankRuehl" w:cs="FrankRuehl"/>
          <w:sz w:val="28"/>
          <w:szCs w:val="28"/>
          <w:rtl/>
        </w:rPr>
        <w:t xml:space="preserve">. </w:t>
      </w:r>
      <w:r>
        <w:rPr>
          <w:rFonts w:ascii="FrankRuehl" w:hAnsi="FrankRuehl" w:cs="FrankRuehl"/>
          <w:sz w:val="28"/>
          <w:szCs w:val="28"/>
          <w:rtl/>
          <w:lang w:eastAsia="he-IL"/>
        </w:rPr>
        <w:t>הנאשם</w:t>
      </w:r>
      <w:r>
        <w:rPr>
          <w:rFonts w:ascii="FrankRuehl" w:hAnsi="FrankRuehl" w:cs="FrankRuehl"/>
          <w:sz w:val="28"/>
          <w:szCs w:val="28"/>
          <w:lang w:eastAsia="he-IL"/>
        </w:rPr>
        <w:t xml:space="preserve"> </w:t>
      </w:r>
      <w:r>
        <w:rPr>
          <w:rFonts w:ascii="FrankRuehl" w:hAnsi="FrankRuehl" w:cs="FrankRuehl"/>
          <w:sz w:val="28"/>
          <w:szCs w:val="28"/>
          <w:rtl/>
          <w:lang w:eastAsia="he-IL"/>
        </w:rPr>
        <w:t>יתאם את כניסתו למאסר עם</w:t>
      </w:r>
      <w:r>
        <w:rPr>
          <w:rFonts w:ascii="FrankRuehl" w:hAnsi="FrankRuehl" w:cs="FrankRuehl"/>
          <w:sz w:val="28"/>
          <w:szCs w:val="28"/>
          <w:lang w:eastAsia="he-IL"/>
        </w:rPr>
        <w:t xml:space="preserve"> </w:t>
      </w:r>
      <w:r>
        <w:rPr>
          <w:rFonts w:ascii="FrankRuehl" w:hAnsi="FrankRuehl" w:cs="FrankRuehl"/>
          <w:sz w:val="28"/>
          <w:szCs w:val="28"/>
          <w:rtl/>
          <w:lang w:eastAsia="he-IL"/>
        </w:rPr>
        <w:t>ענף</w:t>
      </w:r>
      <w:r>
        <w:rPr>
          <w:rFonts w:ascii="FrankRuehl" w:hAnsi="FrankRuehl" w:cs="FrankRuehl"/>
          <w:sz w:val="28"/>
          <w:szCs w:val="28"/>
          <w:lang w:eastAsia="he-IL"/>
        </w:rPr>
        <w:t xml:space="preserve"> </w:t>
      </w:r>
      <w:r>
        <w:rPr>
          <w:rFonts w:ascii="FrankRuehl" w:hAnsi="FrankRuehl" w:cs="FrankRuehl"/>
          <w:sz w:val="28"/>
          <w:szCs w:val="28"/>
          <w:rtl/>
          <w:lang w:eastAsia="he-IL"/>
        </w:rPr>
        <w:t>אבחון</w:t>
      </w:r>
      <w:r>
        <w:rPr>
          <w:rFonts w:ascii="FrankRuehl" w:hAnsi="FrankRuehl" w:cs="FrankRuehl"/>
          <w:sz w:val="28"/>
          <w:szCs w:val="28"/>
          <w:lang w:eastAsia="he-IL"/>
        </w:rPr>
        <w:t xml:space="preserve"> </w:t>
      </w:r>
      <w:r>
        <w:rPr>
          <w:rFonts w:ascii="FrankRuehl" w:hAnsi="FrankRuehl" w:cs="FrankRuehl"/>
          <w:sz w:val="28"/>
          <w:szCs w:val="28"/>
          <w:rtl/>
          <w:lang w:eastAsia="he-IL"/>
        </w:rPr>
        <w:t>ומיון</w:t>
      </w:r>
      <w:r>
        <w:rPr>
          <w:rFonts w:ascii="FrankRuehl" w:hAnsi="FrankRuehl" w:cs="FrankRuehl"/>
          <w:sz w:val="28"/>
          <w:szCs w:val="28"/>
          <w:lang w:eastAsia="he-IL"/>
        </w:rPr>
        <w:t xml:space="preserve"> </w:t>
      </w:r>
      <w:r>
        <w:rPr>
          <w:rFonts w:ascii="FrankRuehl" w:hAnsi="FrankRuehl" w:cs="FrankRuehl"/>
          <w:sz w:val="28"/>
          <w:szCs w:val="28"/>
          <w:rtl/>
          <w:lang w:eastAsia="he-IL"/>
        </w:rPr>
        <w:t>של</w:t>
      </w:r>
      <w:r>
        <w:rPr>
          <w:rFonts w:ascii="FrankRuehl" w:hAnsi="FrankRuehl" w:cs="FrankRuehl"/>
          <w:sz w:val="28"/>
          <w:szCs w:val="28"/>
          <w:lang w:eastAsia="he-IL"/>
        </w:rPr>
        <w:t xml:space="preserve"> </w:t>
      </w:r>
      <w:r>
        <w:rPr>
          <w:rFonts w:ascii="FrankRuehl" w:hAnsi="FrankRuehl" w:cs="FrankRuehl"/>
          <w:sz w:val="28"/>
          <w:szCs w:val="28"/>
          <w:rtl/>
          <w:lang w:eastAsia="he-IL"/>
        </w:rPr>
        <w:t>שירות</w:t>
      </w:r>
      <w:r>
        <w:rPr>
          <w:rFonts w:ascii="FrankRuehl" w:hAnsi="FrankRuehl" w:cs="FrankRuehl"/>
          <w:sz w:val="28"/>
          <w:szCs w:val="28"/>
          <w:lang w:eastAsia="he-IL"/>
        </w:rPr>
        <w:t xml:space="preserve"> </w:t>
      </w:r>
      <w:r>
        <w:rPr>
          <w:rFonts w:ascii="FrankRuehl" w:hAnsi="FrankRuehl" w:cs="FrankRuehl"/>
          <w:sz w:val="28"/>
          <w:szCs w:val="28"/>
          <w:rtl/>
          <w:lang w:eastAsia="he-IL"/>
        </w:rPr>
        <w:t xml:space="preserve">בתי הסוהר: פקס 08-9193314, דואר אלקטרוני </w:t>
      </w:r>
      <w:r>
        <w:rPr>
          <w:rFonts w:ascii="FrankRuehl" w:hAnsi="FrankRuehl" w:cs="FrankRuehl"/>
          <w:sz w:val="24"/>
          <w:szCs w:val="24"/>
          <w:lang w:eastAsia="he-IL"/>
        </w:rPr>
        <w:t>MaasarN@ips.gov.il</w:t>
      </w:r>
      <w:r>
        <w:rPr>
          <w:rFonts w:ascii="FrankRuehl" w:hAnsi="FrankRuehl" w:cs="FrankRuehl"/>
          <w:sz w:val="28"/>
          <w:szCs w:val="28"/>
          <w:rtl/>
          <w:lang w:eastAsia="he-IL"/>
        </w:rPr>
        <w:t>, טלפון: 074-7831077 או 074-7831078. ככל שלא יקבל הנאשם הנחיה אחרת, עליו להתייצב במועד המוזכר במתקן המעצר בכלא ניצן ברמלה עם תעודה מזהה והעתק של גזר הדין.</w:t>
      </w:r>
    </w:p>
    <w:p w14:paraId="42D1C305" w14:textId="77777777" w:rsidR="00F7387B" w:rsidRDefault="00F7387B" w:rsidP="00F7387B">
      <w:pPr>
        <w:spacing w:line="360" w:lineRule="auto"/>
        <w:jc w:val="both"/>
        <w:rPr>
          <w:rFonts w:ascii="FrankRuehl" w:hAnsi="FrankRuehl" w:cs="FrankRuehl"/>
          <w:sz w:val="28"/>
          <w:szCs w:val="28"/>
          <w:rtl/>
        </w:rPr>
      </w:pPr>
    </w:p>
    <w:p w14:paraId="04337E26" w14:textId="77777777" w:rsidR="00F7387B" w:rsidRDefault="00F7387B" w:rsidP="00F7387B">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ניתן בזאת צו חילוט או השמדה של הנשק שנתפס במסגרת החקירה מושא הליך זה, זאת לפי שיקול דעת של הקצין המוסמך לכך לפי דין.</w:t>
      </w:r>
    </w:p>
    <w:p w14:paraId="467B176D" w14:textId="77777777" w:rsidR="00F7387B" w:rsidRDefault="00F7387B" w:rsidP="00F7387B">
      <w:pPr>
        <w:spacing w:line="360" w:lineRule="auto"/>
        <w:jc w:val="both"/>
        <w:rPr>
          <w:rFonts w:ascii="FrankRuehl" w:hAnsi="FrankRuehl" w:cs="FrankRuehl"/>
          <w:sz w:val="28"/>
          <w:szCs w:val="28"/>
          <w:rtl/>
        </w:rPr>
      </w:pPr>
    </w:p>
    <w:p w14:paraId="7B3E7D19" w14:textId="77777777" w:rsidR="00F7387B" w:rsidRDefault="00F7387B" w:rsidP="00F7387B">
      <w:pPr>
        <w:spacing w:line="360" w:lineRule="auto"/>
        <w:rPr>
          <w:rFonts w:ascii="FrankRuehl" w:hAnsi="FrankRuehl" w:cs="FrankRuehl"/>
          <w:sz w:val="28"/>
          <w:szCs w:val="28"/>
        </w:rPr>
      </w:pPr>
      <w:r>
        <w:rPr>
          <w:rFonts w:ascii="FrankRuehl" w:hAnsi="FrankRuehl" w:cs="FrankRuehl"/>
          <w:sz w:val="28"/>
          <w:szCs w:val="28"/>
          <w:rtl/>
        </w:rPr>
        <w:t>זכות ערעור לבית המשפט המחוזי בירושלים תוך 45 יום.</w:t>
      </w:r>
    </w:p>
    <w:p w14:paraId="27521362" w14:textId="77777777" w:rsidR="00F7387B" w:rsidRDefault="00F7387B" w:rsidP="00F7387B">
      <w:pPr>
        <w:spacing w:line="360" w:lineRule="auto"/>
        <w:rPr>
          <w:rFonts w:ascii="FrankRuehl" w:hAnsi="FrankRuehl" w:cs="FrankRuehl"/>
          <w:sz w:val="28"/>
          <w:szCs w:val="28"/>
          <w:rtl/>
        </w:rPr>
      </w:pPr>
    </w:p>
    <w:p w14:paraId="12BE4E47" w14:textId="77777777" w:rsidR="00F7387B" w:rsidRPr="000F2247" w:rsidRDefault="007D62B5" w:rsidP="00F7387B">
      <w:pPr>
        <w:rPr>
          <w:rFonts w:ascii="Arial" w:hAnsi="Arial"/>
          <w:b/>
          <w:bCs/>
          <w:sz w:val="26"/>
          <w:szCs w:val="26"/>
          <w:rtl/>
        </w:rPr>
      </w:pPr>
      <w:r w:rsidRPr="007D62B5">
        <w:rPr>
          <w:rFonts w:ascii="FrankRuehl" w:hAnsi="FrankRuehl" w:cs="FrankRuehl"/>
          <w:color w:val="FFFFFF"/>
          <w:sz w:val="2"/>
          <w:szCs w:val="2"/>
          <w:u w:val="single"/>
          <w:rtl/>
        </w:rPr>
        <w:t>5129371</w:t>
      </w:r>
      <w:r w:rsidR="00F7387B">
        <w:rPr>
          <w:rFonts w:ascii="FrankRuehl" w:hAnsi="FrankRuehl" w:cs="FrankRuehl"/>
          <w:sz w:val="28"/>
          <w:szCs w:val="28"/>
          <w:u w:val="single"/>
          <w:rtl/>
        </w:rPr>
        <w:t>המזכירות – להודיע לשב"ס ולשירות המבחן בהתאם</w:t>
      </w:r>
      <w:r w:rsidR="00F7387B">
        <w:rPr>
          <w:rFonts w:ascii="FrankRuehl" w:hAnsi="FrankRuehl" w:cs="FrankRuehl"/>
          <w:sz w:val="28"/>
          <w:szCs w:val="28"/>
          <w:rtl/>
        </w:rPr>
        <w:t>.</w:t>
      </w:r>
    </w:p>
    <w:p w14:paraId="29CDABB2" w14:textId="77777777" w:rsidR="00F7387B" w:rsidRPr="007D62B5" w:rsidRDefault="007D62B5" w:rsidP="00F7387B">
      <w:pPr>
        <w:rPr>
          <w:rFonts w:ascii="Arial" w:hAnsi="Arial"/>
          <w:b/>
          <w:bCs/>
          <w:color w:val="FFFFFF"/>
          <w:sz w:val="2"/>
          <w:szCs w:val="2"/>
          <w:rtl/>
        </w:rPr>
      </w:pPr>
      <w:r w:rsidRPr="007D62B5">
        <w:rPr>
          <w:rFonts w:ascii="Arial" w:hAnsi="Arial"/>
          <w:b/>
          <w:bCs/>
          <w:color w:val="FFFFFF"/>
          <w:sz w:val="2"/>
          <w:szCs w:val="2"/>
          <w:rtl/>
        </w:rPr>
        <w:t>54678313</w:t>
      </w:r>
    </w:p>
    <w:p w14:paraId="5240A474" w14:textId="77777777" w:rsidR="00F7387B" w:rsidRPr="000F2247" w:rsidRDefault="00F7387B" w:rsidP="00F7387B">
      <w:pPr>
        <w:rPr>
          <w:rFonts w:ascii="Arial" w:hAnsi="Arial"/>
          <w:b/>
          <w:bCs/>
          <w:sz w:val="26"/>
          <w:szCs w:val="26"/>
          <w:rtl/>
        </w:rPr>
      </w:pPr>
    </w:p>
    <w:p w14:paraId="14F1D959" w14:textId="77777777" w:rsidR="00F7387B" w:rsidRPr="000F2247" w:rsidRDefault="007D62B5" w:rsidP="00F7387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שבט תשפ"ג, 12 פברואר 2023, בהעדר הצדדים. </w:t>
      </w:r>
      <w:bookmarkEnd w:id="8"/>
      <w:r w:rsidR="00F7387B">
        <w:rPr>
          <w:rFonts w:ascii="Arial" w:hAnsi="Arial"/>
          <w:b/>
          <w:bCs/>
          <w:sz w:val="26"/>
          <w:szCs w:val="26"/>
          <w:rtl/>
        </w:rPr>
        <w:tab/>
      </w:r>
      <w:r w:rsidR="00F7387B">
        <w:rPr>
          <w:rFonts w:ascii="Arial" w:hAnsi="Arial"/>
          <w:b/>
          <w:bCs/>
          <w:sz w:val="26"/>
          <w:szCs w:val="26"/>
          <w:rtl/>
        </w:rPr>
        <w:tab/>
      </w:r>
      <w:r w:rsidR="00F7387B">
        <w:rPr>
          <w:rFonts w:ascii="Arial" w:hAnsi="Arial"/>
          <w:b/>
          <w:bCs/>
          <w:sz w:val="26"/>
          <w:szCs w:val="26"/>
          <w:rtl/>
        </w:rPr>
        <w:tab/>
      </w:r>
      <w:r w:rsidR="00F7387B">
        <w:rPr>
          <w:rFonts w:ascii="Arial" w:hAnsi="Arial"/>
          <w:b/>
          <w:bCs/>
          <w:sz w:val="26"/>
          <w:szCs w:val="26"/>
          <w:rtl/>
        </w:rPr>
        <w:tab/>
      </w:r>
      <w:r w:rsidR="00F7387B">
        <w:rPr>
          <w:rFonts w:ascii="Arial" w:hAnsi="Arial"/>
          <w:b/>
          <w:bCs/>
          <w:sz w:val="26"/>
          <w:szCs w:val="26"/>
          <w:rtl/>
        </w:rPr>
        <w:tab/>
      </w:r>
      <w:r w:rsidR="00F7387B">
        <w:rPr>
          <w:rFonts w:ascii="Arial" w:hAnsi="Arial"/>
          <w:b/>
          <w:bCs/>
          <w:sz w:val="26"/>
          <w:szCs w:val="26"/>
          <w:rtl/>
        </w:rPr>
        <w:tab/>
      </w:r>
      <w:r w:rsidR="00F7387B">
        <w:rPr>
          <w:rFonts w:ascii="Arial" w:hAnsi="Arial"/>
          <w:b/>
          <w:bCs/>
          <w:sz w:val="26"/>
          <w:szCs w:val="26"/>
          <w:rtl/>
        </w:rPr>
        <w:tab/>
      </w:r>
      <w:r w:rsidR="00F7387B">
        <w:rPr>
          <w:rFonts w:ascii="Arial" w:hAnsi="Arial" w:hint="cs"/>
          <w:b/>
          <w:bCs/>
          <w:sz w:val="26"/>
          <w:szCs w:val="26"/>
          <w:rtl/>
        </w:rPr>
        <w:t xml:space="preserve">         </w:t>
      </w:r>
    </w:p>
    <w:p w14:paraId="1D2BF1B1" w14:textId="77777777" w:rsidR="007D62B5" w:rsidRDefault="007D62B5" w:rsidP="007D62B5">
      <w:pPr>
        <w:rPr>
          <w:rtl/>
        </w:rPr>
      </w:pPr>
    </w:p>
    <w:p w14:paraId="39E3DC48" w14:textId="77777777" w:rsidR="007D62B5" w:rsidRDefault="007D62B5" w:rsidP="007D62B5">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75868CD8" w14:textId="77777777" w:rsidR="00511444" w:rsidRPr="00511444" w:rsidRDefault="00511444" w:rsidP="00511444">
      <w:pPr>
        <w:keepNext/>
        <w:rPr>
          <w:rFonts w:ascii="David" w:hAnsi="David"/>
          <w:color w:val="000000"/>
          <w:sz w:val="22"/>
          <w:szCs w:val="22"/>
          <w:rtl/>
        </w:rPr>
      </w:pPr>
    </w:p>
    <w:p w14:paraId="45D640BD" w14:textId="77777777" w:rsidR="00511444" w:rsidRPr="00511444" w:rsidRDefault="00511444" w:rsidP="00511444">
      <w:pPr>
        <w:keepNext/>
        <w:rPr>
          <w:rFonts w:ascii="David" w:hAnsi="David"/>
          <w:color w:val="000000"/>
          <w:sz w:val="22"/>
          <w:szCs w:val="22"/>
          <w:rtl/>
        </w:rPr>
      </w:pPr>
      <w:r w:rsidRPr="00511444">
        <w:rPr>
          <w:rFonts w:ascii="David" w:hAnsi="David"/>
          <w:color w:val="000000"/>
          <w:sz w:val="22"/>
          <w:szCs w:val="22"/>
          <w:rtl/>
        </w:rPr>
        <w:t>מוחמד חאג' יחיא 54678313-/</w:t>
      </w:r>
    </w:p>
    <w:p w14:paraId="477E7FAE" w14:textId="77777777" w:rsidR="007D62B5" w:rsidRPr="007D62B5" w:rsidRDefault="00511444" w:rsidP="00511444">
      <w:pPr>
        <w:rPr>
          <w:color w:val="0000FF"/>
          <w:u w:val="single"/>
        </w:rPr>
      </w:pPr>
      <w:r w:rsidRPr="00511444">
        <w:rPr>
          <w:color w:val="000000"/>
          <w:u w:val="single"/>
          <w:rtl/>
        </w:rPr>
        <w:t>נוסח מסמך זה כפוף לשינויי ניסוח ועריכה</w:t>
      </w:r>
    </w:p>
    <w:sectPr w:rsidR="007D62B5" w:rsidRPr="007D62B5" w:rsidSect="00511444">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3C849" w14:textId="77777777" w:rsidR="008028D0" w:rsidRDefault="008028D0" w:rsidP="000611DF">
      <w:r>
        <w:separator/>
      </w:r>
    </w:p>
  </w:endnote>
  <w:endnote w:type="continuationSeparator" w:id="0">
    <w:p w14:paraId="257ECD2C" w14:textId="77777777" w:rsidR="008028D0" w:rsidRDefault="008028D0" w:rsidP="0006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AE9BA" w14:textId="77777777" w:rsidR="00511444" w:rsidRDefault="00511444" w:rsidP="0051144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C560E2" w14:textId="77777777" w:rsidR="007F1965" w:rsidRPr="00511444" w:rsidRDefault="00511444" w:rsidP="00511444">
    <w:pPr>
      <w:pStyle w:val="a5"/>
      <w:pBdr>
        <w:top w:val="single" w:sz="4" w:space="1" w:color="auto"/>
        <w:between w:val="single" w:sz="4" w:space="0" w:color="auto"/>
      </w:pBdr>
      <w:spacing w:after="60"/>
      <w:jc w:val="center"/>
      <w:rPr>
        <w:rFonts w:ascii="FrankRuehl" w:hAnsi="FrankRuehl" w:cs="FrankRuehl"/>
        <w:color w:val="000000"/>
      </w:rPr>
    </w:pPr>
    <w:r w:rsidRPr="0051144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9D8B6" w14:textId="77777777" w:rsidR="00511444" w:rsidRDefault="00511444" w:rsidP="0051144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75EB3">
      <w:rPr>
        <w:rFonts w:ascii="FrankRuehl" w:hAnsi="FrankRuehl" w:cs="FrankRuehl"/>
        <w:noProof/>
        <w:rtl/>
      </w:rPr>
      <w:t>1</w:t>
    </w:r>
    <w:r>
      <w:rPr>
        <w:rFonts w:ascii="FrankRuehl" w:hAnsi="FrankRuehl" w:cs="FrankRuehl"/>
        <w:rtl/>
      </w:rPr>
      <w:fldChar w:fldCharType="end"/>
    </w:r>
  </w:p>
  <w:p w14:paraId="312B7258" w14:textId="77777777" w:rsidR="007F1965" w:rsidRPr="00511444" w:rsidRDefault="00511444" w:rsidP="00511444">
    <w:pPr>
      <w:pStyle w:val="a5"/>
      <w:pBdr>
        <w:top w:val="single" w:sz="4" w:space="1" w:color="auto"/>
        <w:between w:val="single" w:sz="4" w:space="0" w:color="auto"/>
      </w:pBdr>
      <w:spacing w:after="60"/>
      <w:jc w:val="center"/>
      <w:rPr>
        <w:rFonts w:ascii="FrankRuehl" w:hAnsi="FrankRuehl" w:cs="FrankRuehl"/>
        <w:color w:val="000000"/>
      </w:rPr>
    </w:pPr>
    <w:r w:rsidRPr="00511444">
      <w:rPr>
        <w:rFonts w:ascii="FrankRuehl" w:hAnsi="FrankRuehl" w:cs="FrankRuehl"/>
        <w:color w:val="000000"/>
      </w:rPr>
      <w:pict w14:anchorId="1E085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C2163" w14:textId="77777777" w:rsidR="008028D0" w:rsidRDefault="008028D0" w:rsidP="000611DF">
      <w:r>
        <w:separator/>
      </w:r>
    </w:p>
  </w:footnote>
  <w:footnote w:type="continuationSeparator" w:id="0">
    <w:p w14:paraId="4D09C1A9" w14:textId="77777777" w:rsidR="008028D0" w:rsidRDefault="008028D0" w:rsidP="00061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44CE8" w14:textId="77777777" w:rsidR="007D62B5" w:rsidRPr="00511444" w:rsidRDefault="00511444" w:rsidP="005114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18957-11-20</w:t>
    </w:r>
    <w:r>
      <w:rPr>
        <w:rFonts w:ascii="David" w:hAnsi="David"/>
        <w:color w:val="000000"/>
        <w:sz w:val="22"/>
        <w:szCs w:val="22"/>
        <w:rtl/>
      </w:rPr>
      <w:tab/>
      <w:t xml:space="preserve"> מדינת ישראל נ' מוחמד ג'וליס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ABDDF" w14:textId="77777777" w:rsidR="007D62B5" w:rsidRPr="00511444" w:rsidRDefault="00511444" w:rsidP="005114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18957-11-20</w:t>
    </w:r>
    <w:r>
      <w:rPr>
        <w:rFonts w:ascii="David" w:hAnsi="David"/>
        <w:color w:val="000000"/>
        <w:sz w:val="22"/>
        <w:szCs w:val="22"/>
        <w:rtl/>
      </w:rPr>
      <w:tab/>
      <w:t xml:space="preserve"> מדינת ישראל נ' מוחמד ג'וליס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42045"/>
    <w:multiLevelType w:val="hybridMultilevel"/>
    <w:tmpl w:val="CD44360A"/>
    <w:lvl w:ilvl="0" w:tplc="AB6CCF6E">
      <w:start w:val="1"/>
      <w:numFmt w:val="decimal"/>
      <w:lvlText w:val="%1)"/>
      <w:lvlJc w:val="left"/>
      <w:pPr>
        <w:ind w:left="720" w:hanging="360"/>
      </w:pPr>
      <w:rPr>
        <w:rFonts w:ascii="Calibri" w:hAnsi="Calibri" w:cs="Calibri" w:hint="default"/>
        <w:b w:val="0"/>
        <w:bCs w:val="0"/>
        <w:sz w:val="20"/>
        <w:szCs w:val="20"/>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502C74"/>
    <w:multiLevelType w:val="hybridMultilevel"/>
    <w:tmpl w:val="A3C68132"/>
    <w:lvl w:ilvl="0" w:tplc="2ED6544E">
      <w:start w:val="1"/>
      <w:numFmt w:val="hebrew1"/>
      <w:lvlText w:val="%1)"/>
      <w:lvlJc w:val="left"/>
      <w:pPr>
        <w:ind w:left="1230" w:hanging="51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80563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07784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387B"/>
    <w:rsid w:val="000611DF"/>
    <w:rsid w:val="000F6C35"/>
    <w:rsid w:val="00157EE9"/>
    <w:rsid w:val="0023463C"/>
    <w:rsid w:val="00375EB3"/>
    <w:rsid w:val="00511444"/>
    <w:rsid w:val="007D62B5"/>
    <w:rsid w:val="007F1965"/>
    <w:rsid w:val="008028D0"/>
    <w:rsid w:val="00890F75"/>
    <w:rsid w:val="009A4E4C"/>
    <w:rsid w:val="00A414E1"/>
    <w:rsid w:val="00B24186"/>
    <w:rsid w:val="00E453D8"/>
    <w:rsid w:val="00F27D6F"/>
    <w:rsid w:val="00F738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94C5AD"/>
  <w15:chartTrackingRefBased/>
  <w15:docId w15:val="{24DD07DD-CEDE-47E6-A2CC-2871F6B5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387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387B"/>
    <w:pPr>
      <w:tabs>
        <w:tab w:val="center" w:pos="4153"/>
        <w:tab w:val="right" w:pos="8306"/>
      </w:tabs>
    </w:pPr>
  </w:style>
  <w:style w:type="character" w:customStyle="1" w:styleId="a4">
    <w:name w:val="כותרת עליונה תו"/>
    <w:link w:val="a3"/>
    <w:rsid w:val="00F7387B"/>
    <w:rPr>
      <w:rFonts w:ascii="Times New Roman" w:eastAsia="Times New Roman" w:hAnsi="Times New Roman" w:cs="David"/>
      <w:sz w:val="24"/>
      <w:szCs w:val="24"/>
    </w:rPr>
  </w:style>
  <w:style w:type="paragraph" w:styleId="a5">
    <w:name w:val="footer"/>
    <w:basedOn w:val="a"/>
    <w:link w:val="a6"/>
    <w:rsid w:val="00F7387B"/>
    <w:pPr>
      <w:tabs>
        <w:tab w:val="center" w:pos="4153"/>
        <w:tab w:val="right" w:pos="8306"/>
      </w:tabs>
    </w:pPr>
  </w:style>
  <w:style w:type="character" w:customStyle="1" w:styleId="a6">
    <w:name w:val="כותרת תחתונה תו"/>
    <w:link w:val="a5"/>
    <w:rsid w:val="00F7387B"/>
    <w:rPr>
      <w:rFonts w:ascii="Times New Roman" w:eastAsia="Times New Roman" w:hAnsi="Times New Roman" w:cs="David"/>
      <w:sz w:val="24"/>
      <w:szCs w:val="24"/>
    </w:rPr>
  </w:style>
  <w:style w:type="table" w:styleId="a7">
    <w:name w:val="Table Grid"/>
    <w:basedOn w:val="a1"/>
    <w:rsid w:val="00F738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7387B"/>
  </w:style>
  <w:style w:type="paragraph" w:styleId="a9">
    <w:name w:val="List Paragraph"/>
    <w:basedOn w:val="a"/>
    <w:qFormat/>
    <w:rsid w:val="00F7387B"/>
    <w:pPr>
      <w:spacing w:after="160" w:line="252" w:lineRule="auto"/>
      <w:ind w:left="720"/>
      <w:contextualSpacing/>
    </w:pPr>
    <w:rPr>
      <w:rFonts w:ascii="Calibri" w:eastAsia="Calibri" w:hAnsi="Calibri" w:cs="Arial"/>
      <w:sz w:val="22"/>
      <w:szCs w:val="22"/>
    </w:rPr>
  </w:style>
  <w:style w:type="character" w:styleId="Hyperlink">
    <w:name w:val="Hyperlink"/>
    <w:rsid w:val="007D6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995135" TargetMode="External"/><Relationship Id="rId21" Type="http://schemas.openxmlformats.org/officeDocument/2006/relationships/hyperlink" Target="http://www.nevo.co.il/law/70301/40c.b" TargetMode="External"/><Relationship Id="rId34" Type="http://schemas.openxmlformats.org/officeDocument/2006/relationships/hyperlink" Target="http://www.nevo.co.il/case/27171364" TargetMode="External"/><Relationship Id="rId42" Type="http://schemas.openxmlformats.org/officeDocument/2006/relationships/hyperlink" Target="http://www.nevo.co.il/case/22228298" TargetMode="External"/><Relationship Id="rId47" Type="http://schemas.openxmlformats.org/officeDocument/2006/relationships/hyperlink" Target="http://www.nevo.co.il/case/26294158" TargetMode="External"/><Relationship Id="rId50" Type="http://schemas.openxmlformats.org/officeDocument/2006/relationships/hyperlink" Target="http://www.nevo.co.il/case/26553228" TargetMode="External"/><Relationship Id="rId55" Type="http://schemas.openxmlformats.org/officeDocument/2006/relationships/hyperlink" Target="http://www.nevo.co.il/case/5599610"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883087" TargetMode="External"/><Relationship Id="rId11" Type="http://schemas.openxmlformats.org/officeDocument/2006/relationships/hyperlink" Target="http://www.nevo.co.il/law/70301/40c.b" TargetMode="External"/><Relationship Id="rId24" Type="http://schemas.openxmlformats.org/officeDocument/2006/relationships/hyperlink" Target="http://www.nevo.co.il/case/6950458" TargetMode="External"/><Relationship Id="rId32" Type="http://schemas.openxmlformats.org/officeDocument/2006/relationships/hyperlink" Target="http://www.nevo.co.il/case/26905927" TargetMode="External"/><Relationship Id="rId37" Type="http://schemas.openxmlformats.org/officeDocument/2006/relationships/hyperlink" Target="http://www.nevo.co.il/case/27734980" TargetMode="External"/><Relationship Id="rId40" Type="http://schemas.openxmlformats.org/officeDocument/2006/relationships/hyperlink" Target="http://www.nevo.co.il/case/26913995" TargetMode="External"/><Relationship Id="rId45" Type="http://schemas.openxmlformats.org/officeDocument/2006/relationships/hyperlink" Target="http://www.nevo.co.il/case/26442335" TargetMode="External"/><Relationship Id="rId53" Type="http://schemas.openxmlformats.org/officeDocument/2006/relationships/hyperlink" Target="http://www.nevo.co.il/law/70301/441" TargetMode="External"/><Relationship Id="rId58" Type="http://schemas.openxmlformats.org/officeDocument/2006/relationships/hyperlink" Target="http://www.nevo.co.il/case/28780900"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0301" TargetMode="External"/><Relationship Id="rId14" Type="http://schemas.openxmlformats.org/officeDocument/2006/relationships/hyperlink" Target="http://www.nevo.co.il/law/70301/44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5950172" TargetMode="External"/><Relationship Id="rId30" Type="http://schemas.openxmlformats.org/officeDocument/2006/relationships/hyperlink" Target="http://www.nevo.co.il/case/28243273" TargetMode="External"/><Relationship Id="rId35" Type="http://schemas.openxmlformats.org/officeDocument/2006/relationships/hyperlink" Target="http://www.nevo.co.il/case/22006503" TargetMode="External"/><Relationship Id="rId43" Type="http://schemas.openxmlformats.org/officeDocument/2006/relationships/hyperlink" Target="http://www.nevo.co.il/case/28919441" TargetMode="External"/><Relationship Id="rId48" Type="http://schemas.openxmlformats.org/officeDocument/2006/relationships/hyperlink" Target="http://www.nevo.co.il/case/25543800" TargetMode="External"/><Relationship Id="rId56" Type="http://schemas.openxmlformats.org/officeDocument/2006/relationships/hyperlink" Target="http://www.nevo.co.il/case/27721185" TargetMode="External"/><Relationship Id="rId64"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law/70301/287.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21474168" TargetMode="External"/><Relationship Id="rId33" Type="http://schemas.openxmlformats.org/officeDocument/2006/relationships/hyperlink" Target="http://www.nevo.co.il/case/25824863"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6443525"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40c.a" TargetMode="External"/><Relationship Id="rId41" Type="http://schemas.openxmlformats.org/officeDocument/2006/relationships/hyperlink" Target="http://www.nevo.co.il/case/25217995" TargetMode="External"/><Relationship Id="rId54" Type="http://schemas.openxmlformats.org/officeDocument/2006/relationships/hyperlink" Target="http://www.nevo.co.il/case/21511777"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5568354"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6351040" TargetMode="External"/><Relationship Id="rId57" Type="http://schemas.openxmlformats.org/officeDocument/2006/relationships/hyperlink" Target="http://www.nevo.co.il/case/27513372"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case/28384637" TargetMode="External"/><Relationship Id="rId44" Type="http://schemas.openxmlformats.org/officeDocument/2006/relationships/hyperlink" Target="http://www.nevo.co.il/case/26568495" TargetMode="External"/><Relationship Id="rId52" Type="http://schemas.openxmlformats.org/officeDocument/2006/relationships/hyperlink" Target="http://www.nevo.co.il/law/70301"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287.a" TargetMode="External"/><Relationship Id="rId18" Type="http://schemas.openxmlformats.org/officeDocument/2006/relationships/hyperlink" Target="http://www.nevo.co.il/law/70301/40b" TargetMode="External"/><Relationship Id="rId39" Type="http://schemas.openxmlformats.org/officeDocument/2006/relationships/hyperlink" Target="http://www.nevo.co.il/case/266301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3287</Words>
  <Characters>16439</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19687</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3473533</vt:i4>
      </vt:variant>
      <vt:variant>
        <vt:i4>153</vt:i4>
      </vt:variant>
      <vt:variant>
        <vt:i4>0</vt:i4>
      </vt:variant>
      <vt:variant>
        <vt:i4>5</vt:i4>
      </vt:variant>
      <vt:variant>
        <vt:lpwstr>http://www.nevo.co.il/case/28780900</vt:lpwstr>
      </vt:variant>
      <vt:variant>
        <vt:lpwstr/>
      </vt:variant>
      <vt:variant>
        <vt:i4>3342449</vt:i4>
      </vt:variant>
      <vt:variant>
        <vt:i4>150</vt:i4>
      </vt:variant>
      <vt:variant>
        <vt:i4>0</vt:i4>
      </vt:variant>
      <vt:variant>
        <vt:i4>5</vt:i4>
      </vt:variant>
      <vt:variant>
        <vt:lpwstr>http://www.nevo.co.il/case/27513372</vt:lpwstr>
      </vt:variant>
      <vt:variant>
        <vt:lpwstr/>
      </vt:variant>
      <vt:variant>
        <vt:i4>3932272</vt:i4>
      </vt:variant>
      <vt:variant>
        <vt:i4>147</vt:i4>
      </vt:variant>
      <vt:variant>
        <vt:i4>0</vt:i4>
      </vt:variant>
      <vt:variant>
        <vt:i4>5</vt:i4>
      </vt:variant>
      <vt:variant>
        <vt:lpwstr>http://www.nevo.co.il/case/27721185</vt:lpwstr>
      </vt:variant>
      <vt:variant>
        <vt:lpwstr/>
      </vt:variant>
      <vt:variant>
        <vt:i4>3801209</vt:i4>
      </vt:variant>
      <vt:variant>
        <vt:i4>144</vt:i4>
      </vt:variant>
      <vt:variant>
        <vt:i4>0</vt:i4>
      </vt:variant>
      <vt:variant>
        <vt:i4>5</vt:i4>
      </vt:variant>
      <vt:variant>
        <vt:lpwstr>http://www.nevo.co.il/case/5599610</vt:lpwstr>
      </vt:variant>
      <vt:variant>
        <vt:lpwstr/>
      </vt:variant>
      <vt:variant>
        <vt:i4>3211379</vt:i4>
      </vt:variant>
      <vt:variant>
        <vt:i4>141</vt:i4>
      </vt:variant>
      <vt:variant>
        <vt:i4>0</vt:i4>
      </vt:variant>
      <vt:variant>
        <vt:i4>5</vt:i4>
      </vt:variant>
      <vt:variant>
        <vt:lpwstr>http://www.nevo.co.il/case/21511777</vt:lpwstr>
      </vt:variant>
      <vt:variant>
        <vt:lpwstr/>
      </vt:variant>
      <vt:variant>
        <vt:i4>6357089</vt:i4>
      </vt:variant>
      <vt:variant>
        <vt:i4>138</vt:i4>
      </vt:variant>
      <vt:variant>
        <vt:i4>0</vt:i4>
      </vt:variant>
      <vt:variant>
        <vt:i4>5</vt:i4>
      </vt:variant>
      <vt:variant>
        <vt:lpwstr>http://www.nevo.co.il/law/70301/441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4390992</vt:i4>
      </vt:variant>
      <vt:variant>
        <vt:i4>132</vt:i4>
      </vt:variant>
      <vt:variant>
        <vt:i4>0</vt:i4>
      </vt:variant>
      <vt:variant>
        <vt:i4>5</vt:i4>
      </vt:variant>
      <vt:variant>
        <vt:lpwstr>http://www.nevo.co.il/law/70301/287.a</vt:lpwstr>
      </vt:variant>
      <vt:variant>
        <vt:lpwstr/>
      </vt:variant>
      <vt:variant>
        <vt:i4>3539061</vt:i4>
      </vt:variant>
      <vt:variant>
        <vt:i4>129</vt:i4>
      </vt:variant>
      <vt:variant>
        <vt:i4>0</vt:i4>
      </vt:variant>
      <vt:variant>
        <vt:i4>5</vt:i4>
      </vt:variant>
      <vt:variant>
        <vt:lpwstr>http://www.nevo.co.il/case/26553228</vt:lpwstr>
      </vt:variant>
      <vt:variant>
        <vt:lpwstr/>
      </vt:variant>
      <vt:variant>
        <vt:i4>3407991</vt:i4>
      </vt:variant>
      <vt:variant>
        <vt:i4>126</vt:i4>
      </vt:variant>
      <vt:variant>
        <vt:i4>0</vt:i4>
      </vt:variant>
      <vt:variant>
        <vt:i4>5</vt:i4>
      </vt:variant>
      <vt:variant>
        <vt:lpwstr>http://www.nevo.co.il/case/26351040</vt:lpwstr>
      </vt:variant>
      <vt:variant>
        <vt:lpwstr/>
      </vt:variant>
      <vt:variant>
        <vt:i4>3407997</vt:i4>
      </vt:variant>
      <vt:variant>
        <vt:i4>123</vt:i4>
      </vt:variant>
      <vt:variant>
        <vt:i4>0</vt:i4>
      </vt:variant>
      <vt:variant>
        <vt:i4>5</vt:i4>
      </vt:variant>
      <vt:variant>
        <vt:lpwstr>http://www.nevo.co.il/case/25543800</vt:lpwstr>
      </vt:variant>
      <vt:variant>
        <vt:lpwstr/>
      </vt:variant>
      <vt:variant>
        <vt:i4>3211386</vt:i4>
      </vt:variant>
      <vt:variant>
        <vt:i4>120</vt:i4>
      </vt:variant>
      <vt:variant>
        <vt:i4>0</vt:i4>
      </vt:variant>
      <vt:variant>
        <vt:i4>5</vt:i4>
      </vt:variant>
      <vt:variant>
        <vt:lpwstr>http://www.nevo.co.il/case/26294158</vt:lpwstr>
      </vt:variant>
      <vt:variant>
        <vt:lpwstr/>
      </vt:variant>
      <vt:variant>
        <vt:i4>3604595</vt:i4>
      </vt:variant>
      <vt:variant>
        <vt:i4>117</vt:i4>
      </vt:variant>
      <vt:variant>
        <vt:i4>0</vt:i4>
      </vt:variant>
      <vt:variant>
        <vt:i4>5</vt:i4>
      </vt:variant>
      <vt:variant>
        <vt:lpwstr>http://www.nevo.co.il/case/26443525</vt:lpwstr>
      </vt:variant>
      <vt:variant>
        <vt:lpwstr/>
      </vt:variant>
      <vt:variant>
        <vt:i4>3604597</vt:i4>
      </vt:variant>
      <vt:variant>
        <vt:i4>114</vt:i4>
      </vt:variant>
      <vt:variant>
        <vt:i4>0</vt:i4>
      </vt:variant>
      <vt:variant>
        <vt:i4>5</vt:i4>
      </vt:variant>
      <vt:variant>
        <vt:lpwstr>http://www.nevo.co.il/case/26442335</vt:lpwstr>
      </vt:variant>
      <vt:variant>
        <vt:lpwstr/>
      </vt:variant>
      <vt:variant>
        <vt:i4>3539056</vt:i4>
      </vt:variant>
      <vt:variant>
        <vt:i4>111</vt:i4>
      </vt:variant>
      <vt:variant>
        <vt:i4>0</vt:i4>
      </vt:variant>
      <vt:variant>
        <vt:i4>5</vt:i4>
      </vt:variant>
      <vt:variant>
        <vt:lpwstr>http://www.nevo.co.il/case/26568495</vt:lpwstr>
      </vt:variant>
      <vt:variant>
        <vt:lpwstr/>
      </vt:variant>
      <vt:variant>
        <vt:i4>3539065</vt:i4>
      </vt:variant>
      <vt:variant>
        <vt:i4>108</vt:i4>
      </vt:variant>
      <vt:variant>
        <vt:i4>0</vt:i4>
      </vt:variant>
      <vt:variant>
        <vt:i4>5</vt:i4>
      </vt:variant>
      <vt:variant>
        <vt:lpwstr>http://www.nevo.co.il/case/28919441</vt:lpwstr>
      </vt:variant>
      <vt:variant>
        <vt:lpwstr/>
      </vt:variant>
      <vt:variant>
        <vt:i4>3211382</vt:i4>
      </vt:variant>
      <vt:variant>
        <vt:i4>105</vt:i4>
      </vt:variant>
      <vt:variant>
        <vt:i4>0</vt:i4>
      </vt:variant>
      <vt:variant>
        <vt:i4>5</vt:i4>
      </vt:variant>
      <vt:variant>
        <vt:lpwstr>http://www.nevo.co.il/case/22228298</vt:lpwstr>
      </vt:variant>
      <vt:variant>
        <vt:lpwstr/>
      </vt:variant>
      <vt:variant>
        <vt:i4>4063353</vt:i4>
      </vt:variant>
      <vt:variant>
        <vt:i4>102</vt:i4>
      </vt:variant>
      <vt:variant>
        <vt:i4>0</vt:i4>
      </vt:variant>
      <vt:variant>
        <vt:i4>5</vt:i4>
      </vt:variant>
      <vt:variant>
        <vt:lpwstr>http://www.nevo.co.il/case/25217995</vt:lpwstr>
      </vt:variant>
      <vt:variant>
        <vt:lpwstr/>
      </vt:variant>
      <vt:variant>
        <vt:i4>3211386</vt:i4>
      </vt:variant>
      <vt:variant>
        <vt:i4>99</vt:i4>
      </vt:variant>
      <vt:variant>
        <vt:i4>0</vt:i4>
      </vt:variant>
      <vt:variant>
        <vt:i4>5</vt:i4>
      </vt:variant>
      <vt:variant>
        <vt:lpwstr>http://www.nevo.co.il/case/26913995</vt:lpwstr>
      </vt:variant>
      <vt:variant>
        <vt:lpwstr/>
      </vt:variant>
      <vt:variant>
        <vt:i4>3276912</vt:i4>
      </vt:variant>
      <vt:variant>
        <vt:i4>96</vt:i4>
      </vt:variant>
      <vt:variant>
        <vt:i4>0</vt:i4>
      </vt:variant>
      <vt:variant>
        <vt:i4>5</vt:i4>
      </vt:variant>
      <vt:variant>
        <vt:lpwstr>http://www.nevo.co.il/case/26630169</vt:lpwstr>
      </vt:variant>
      <vt:variant>
        <vt:lpwstr/>
      </vt:variant>
      <vt:variant>
        <vt:i4>7995492</vt:i4>
      </vt:variant>
      <vt:variant>
        <vt:i4>93</vt:i4>
      </vt:variant>
      <vt:variant>
        <vt:i4>0</vt:i4>
      </vt:variant>
      <vt:variant>
        <vt:i4>5</vt:i4>
      </vt:variant>
      <vt:variant>
        <vt:lpwstr>http://www.nevo.co.il/law/70301</vt:lpwstr>
      </vt:variant>
      <vt:variant>
        <vt:lpwstr/>
      </vt:variant>
      <vt:variant>
        <vt:i4>3735673</vt:i4>
      </vt:variant>
      <vt:variant>
        <vt:i4>90</vt:i4>
      </vt:variant>
      <vt:variant>
        <vt:i4>0</vt:i4>
      </vt:variant>
      <vt:variant>
        <vt:i4>5</vt:i4>
      </vt:variant>
      <vt:variant>
        <vt:lpwstr>http://www.nevo.co.il/case/27734980</vt:lpwstr>
      </vt:variant>
      <vt:variant>
        <vt:lpwstr/>
      </vt:variant>
      <vt:variant>
        <vt:i4>7995492</vt:i4>
      </vt:variant>
      <vt:variant>
        <vt:i4>87</vt:i4>
      </vt:variant>
      <vt:variant>
        <vt:i4>0</vt:i4>
      </vt:variant>
      <vt:variant>
        <vt:i4>5</vt:i4>
      </vt:variant>
      <vt:variant>
        <vt:lpwstr>http://www.nevo.co.il/law/70301</vt:lpwstr>
      </vt:variant>
      <vt:variant>
        <vt:lpwstr/>
      </vt:variant>
      <vt:variant>
        <vt:i4>3407987</vt:i4>
      </vt:variant>
      <vt:variant>
        <vt:i4>84</vt:i4>
      </vt:variant>
      <vt:variant>
        <vt:i4>0</vt:i4>
      </vt:variant>
      <vt:variant>
        <vt:i4>5</vt:i4>
      </vt:variant>
      <vt:variant>
        <vt:lpwstr>http://www.nevo.co.il/case/22006503</vt:lpwstr>
      </vt:variant>
      <vt:variant>
        <vt:lpwstr/>
      </vt:variant>
      <vt:variant>
        <vt:i4>3407991</vt:i4>
      </vt:variant>
      <vt:variant>
        <vt:i4>81</vt:i4>
      </vt:variant>
      <vt:variant>
        <vt:i4>0</vt:i4>
      </vt:variant>
      <vt:variant>
        <vt:i4>5</vt:i4>
      </vt:variant>
      <vt:variant>
        <vt:lpwstr>http://www.nevo.co.il/case/27171364</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3932283</vt:i4>
      </vt:variant>
      <vt:variant>
        <vt:i4>75</vt:i4>
      </vt:variant>
      <vt:variant>
        <vt:i4>0</vt:i4>
      </vt:variant>
      <vt:variant>
        <vt:i4>5</vt:i4>
      </vt:variant>
      <vt:variant>
        <vt:lpwstr>http://www.nevo.co.il/case/26905927</vt:lpwstr>
      </vt:variant>
      <vt:variant>
        <vt:lpwstr/>
      </vt:variant>
      <vt:variant>
        <vt:i4>3539058</vt:i4>
      </vt:variant>
      <vt:variant>
        <vt:i4>72</vt:i4>
      </vt:variant>
      <vt:variant>
        <vt:i4>0</vt:i4>
      </vt:variant>
      <vt:variant>
        <vt:i4>5</vt:i4>
      </vt:variant>
      <vt:variant>
        <vt:lpwstr>http://www.nevo.co.il/case/28384637</vt:lpwstr>
      </vt:variant>
      <vt:variant>
        <vt:lpwstr/>
      </vt:variant>
      <vt:variant>
        <vt:i4>3407994</vt:i4>
      </vt:variant>
      <vt:variant>
        <vt:i4>69</vt:i4>
      </vt:variant>
      <vt:variant>
        <vt:i4>0</vt:i4>
      </vt:variant>
      <vt:variant>
        <vt:i4>5</vt:i4>
      </vt:variant>
      <vt:variant>
        <vt:lpwstr>http://www.nevo.co.il/case/28243273</vt:lpwstr>
      </vt:variant>
      <vt:variant>
        <vt:lpwstr/>
      </vt:variant>
      <vt:variant>
        <vt:i4>3211380</vt:i4>
      </vt:variant>
      <vt:variant>
        <vt:i4>66</vt:i4>
      </vt:variant>
      <vt:variant>
        <vt:i4>0</vt:i4>
      </vt:variant>
      <vt:variant>
        <vt:i4>5</vt:i4>
      </vt:variant>
      <vt:variant>
        <vt:lpwstr>http://www.nevo.co.il/case/28883087</vt:lpwstr>
      </vt:variant>
      <vt:variant>
        <vt:lpwstr/>
      </vt:variant>
      <vt:variant>
        <vt:i4>3407996</vt:i4>
      </vt:variant>
      <vt:variant>
        <vt:i4>63</vt:i4>
      </vt:variant>
      <vt:variant>
        <vt:i4>0</vt:i4>
      </vt:variant>
      <vt:variant>
        <vt:i4>5</vt:i4>
      </vt:variant>
      <vt:variant>
        <vt:lpwstr>http://www.nevo.co.il/case/5568354</vt:lpwstr>
      </vt:variant>
      <vt:variant>
        <vt:lpwstr/>
      </vt:variant>
      <vt:variant>
        <vt:i4>3342458</vt:i4>
      </vt:variant>
      <vt:variant>
        <vt:i4>60</vt:i4>
      </vt:variant>
      <vt:variant>
        <vt:i4>0</vt:i4>
      </vt:variant>
      <vt:variant>
        <vt:i4>5</vt:i4>
      </vt:variant>
      <vt:variant>
        <vt:lpwstr>http://www.nevo.co.il/case/5950172</vt:lpwstr>
      </vt:variant>
      <vt:variant>
        <vt:lpwstr/>
      </vt:variant>
      <vt:variant>
        <vt:i4>3670139</vt:i4>
      </vt:variant>
      <vt:variant>
        <vt:i4>57</vt:i4>
      </vt:variant>
      <vt:variant>
        <vt:i4>0</vt:i4>
      </vt:variant>
      <vt:variant>
        <vt:i4>5</vt:i4>
      </vt:variant>
      <vt:variant>
        <vt:lpwstr>http://www.nevo.co.il/case/5995135</vt:lpwstr>
      </vt:variant>
      <vt:variant>
        <vt:lpwstr/>
      </vt:variant>
      <vt:variant>
        <vt:i4>3407987</vt:i4>
      </vt:variant>
      <vt:variant>
        <vt:i4>54</vt:i4>
      </vt:variant>
      <vt:variant>
        <vt:i4>0</vt:i4>
      </vt:variant>
      <vt:variant>
        <vt:i4>5</vt:i4>
      </vt:variant>
      <vt:variant>
        <vt:lpwstr>http://www.nevo.co.il/case/21474168</vt:lpwstr>
      </vt:variant>
      <vt:variant>
        <vt:lpwstr/>
      </vt:variant>
      <vt:variant>
        <vt:i4>4128888</vt:i4>
      </vt:variant>
      <vt:variant>
        <vt:i4>51</vt:i4>
      </vt:variant>
      <vt:variant>
        <vt:i4>0</vt:i4>
      </vt:variant>
      <vt:variant>
        <vt:i4>5</vt:i4>
      </vt:variant>
      <vt:variant>
        <vt:lpwstr>http://www.nevo.co.il/case/6950458</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4915202</vt:i4>
      </vt:variant>
      <vt:variant>
        <vt:i4>42</vt:i4>
      </vt:variant>
      <vt:variant>
        <vt:i4>0</vt:i4>
      </vt:variant>
      <vt:variant>
        <vt:i4>5</vt:i4>
      </vt:variant>
      <vt:variant>
        <vt:lpwstr>http://www.nevo.co.il/law/70301/40c.b</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6357089</vt:i4>
      </vt:variant>
      <vt:variant>
        <vt:i4>21</vt:i4>
      </vt:variant>
      <vt:variant>
        <vt:i4>0</vt:i4>
      </vt:variant>
      <vt:variant>
        <vt:i4>5</vt:i4>
      </vt:variant>
      <vt:variant>
        <vt:lpwstr>http://www.nevo.co.il/law/70301/441</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2025-01-19T17:45:00Z</dcterms:created>
  <dcterms:modified xsi:type="dcterms:W3CDTF">2025-01-19T17:45:00Z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18957</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ג'וליס</vt:lpwstr>
  </property>
  <property fmtid="{D5CDD505-2E9C-101B-9397-08002B2CF9AE}" pid="10" name="LAWYER">
    <vt:lpwstr>יהודה שושן</vt:lpwstr>
  </property>
  <property fmtid="{D5CDD505-2E9C-101B-9397-08002B2CF9AE}" pid="11" name="JUDGE">
    <vt:lpwstr>מוחמד חאג' יחיא</vt:lpwstr>
  </property>
  <property fmtid="{D5CDD505-2E9C-101B-9397-08002B2CF9AE}" pid="12" name="CITY">
    <vt:lpwstr>י-ם</vt:lpwstr>
  </property>
  <property fmtid="{D5CDD505-2E9C-101B-9397-08002B2CF9AE}" pid="13" name="DATE">
    <vt:lpwstr>20230212</vt:lpwstr>
  </property>
  <property fmtid="{D5CDD505-2E9C-101B-9397-08002B2CF9AE}" pid="14" name="TYPE_N_DATE">
    <vt:lpwstr>38020230212</vt:lpwstr>
  </property>
  <property fmtid="{D5CDD505-2E9C-101B-9397-08002B2CF9AE}" pid="15" name="WORDNUMPAGES">
    <vt:lpwstr>10</vt:lpwstr>
  </property>
  <property fmtid="{D5CDD505-2E9C-101B-9397-08002B2CF9AE}" pid="16" name="TYPE_ABS_DATE">
    <vt:lpwstr>380020230212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7791493;6473037;6950458;21474168;5995135;5950172;5568354;28883087;28243273;28384637;26905927;25824863;27171364;22006503;27734980;26630169;26913995;25217995;22228298;28919441;26568495;26442335;26443525;26294158;25543800;26351040;26553228;21511777;5599610</vt:lpwstr>
  </property>
  <property fmtid="{D5CDD505-2E9C-101B-9397-08002B2CF9AE}" pid="36" name="CASESLISTTMP2">
    <vt:lpwstr>27721185;27513372;28780900</vt:lpwstr>
  </property>
  <property fmtid="{D5CDD505-2E9C-101B-9397-08002B2CF9AE}" pid="37" name="LAWLISTTMP1">
    <vt:lpwstr>70301/144.a;025;040b;040c.a;040c.b;287.a;441</vt:lpwstr>
  </property>
</Properties>
</file>