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CB2B29" w:rsidRPr="00AE3E29" w14:paraId="53A14AF3" w14:textId="77777777" w:rsidTr="00870CCA">
        <w:trPr>
          <w:trHeight w:hRule="exact" w:val="704"/>
          <w:jc w:val="center"/>
        </w:trPr>
        <w:tc>
          <w:tcPr>
            <w:tcW w:w="8721" w:type="dxa"/>
            <w:gridSpan w:val="2"/>
          </w:tcPr>
          <w:p w14:paraId="4A173611" w14:textId="77777777" w:rsidR="00CB2B29" w:rsidRPr="00AE3E29" w:rsidRDefault="00CB2B29" w:rsidP="00870CCA">
            <w:pPr>
              <w:pStyle w:val="a3"/>
              <w:jc w:val="center"/>
              <w:rPr>
                <w:rFonts w:ascii="Tahoma" w:hAnsi="Tahoma" w:cs="Tahoma"/>
                <w:b/>
                <w:bCs/>
                <w:color w:val="000080"/>
                <w:rtl/>
              </w:rPr>
            </w:pPr>
            <w:bookmarkStart w:id="0" w:name="FirstLawyer"/>
            <w:bookmarkStart w:id="1" w:name="LastJudge"/>
            <w:r w:rsidRPr="00AE3E29">
              <w:rPr>
                <w:rFonts w:ascii="Tahoma" w:hAnsi="Tahoma" w:cs="Tahoma"/>
                <w:b/>
                <w:bCs/>
                <w:color w:val="000080"/>
                <w:rtl/>
              </w:rPr>
              <w:t>בית משפט השלום בבאר שבע</w:t>
            </w:r>
          </w:p>
          <w:p w14:paraId="77820FB3" w14:textId="77777777" w:rsidR="00CB2B29" w:rsidRPr="00AE3E29" w:rsidRDefault="00CB2B29" w:rsidP="00870CCA">
            <w:pPr>
              <w:pStyle w:val="a3"/>
              <w:jc w:val="center"/>
              <w:rPr>
                <w:rFonts w:ascii="Tahoma" w:hAnsi="Tahoma" w:cs="Tahoma"/>
                <w:color w:val="000080"/>
                <w:rtl/>
              </w:rPr>
            </w:pPr>
          </w:p>
        </w:tc>
      </w:tr>
      <w:tr w:rsidR="00CB2B29" w:rsidRPr="00AE3E29" w14:paraId="5F53C242" w14:textId="77777777" w:rsidTr="00870CCA">
        <w:trPr>
          <w:trHeight w:val="337"/>
          <w:jc w:val="center"/>
        </w:trPr>
        <w:tc>
          <w:tcPr>
            <w:tcW w:w="4473" w:type="dxa"/>
          </w:tcPr>
          <w:p w14:paraId="6DC52F1B" w14:textId="77777777" w:rsidR="00CB2B29" w:rsidRPr="00AE3E29" w:rsidRDefault="00CB2B29" w:rsidP="00870CCA">
            <w:pPr>
              <w:rPr>
                <w:b/>
                <w:bCs/>
                <w:sz w:val="26"/>
                <w:szCs w:val="26"/>
                <w:rtl/>
              </w:rPr>
            </w:pPr>
          </w:p>
        </w:tc>
        <w:tc>
          <w:tcPr>
            <w:tcW w:w="4248" w:type="dxa"/>
          </w:tcPr>
          <w:p w14:paraId="40AD0F0D" w14:textId="77777777" w:rsidR="00CB2B29" w:rsidRPr="00AE3E29" w:rsidRDefault="00CB2B29" w:rsidP="00870CCA">
            <w:pPr>
              <w:pStyle w:val="a3"/>
              <w:jc w:val="right"/>
              <w:rPr>
                <w:b/>
                <w:bCs/>
                <w:sz w:val="26"/>
                <w:szCs w:val="26"/>
                <w:rtl/>
              </w:rPr>
            </w:pPr>
            <w:r w:rsidRPr="00AE3E29">
              <w:rPr>
                <w:rFonts w:hint="cs"/>
                <w:b/>
                <w:bCs/>
                <w:sz w:val="26"/>
                <w:szCs w:val="26"/>
                <w:rtl/>
              </w:rPr>
              <w:t>ט"ו אייר תשפ"א</w:t>
            </w:r>
          </w:p>
          <w:p w14:paraId="4A274375" w14:textId="77777777" w:rsidR="00CB2B29" w:rsidRPr="00AE3E29" w:rsidRDefault="00CB2B29" w:rsidP="00870CCA">
            <w:pPr>
              <w:pStyle w:val="a3"/>
              <w:jc w:val="right"/>
              <w:rPr>
                <w:b/>
                <w:bCs/>
                <w:sz w:val="26"/>
                <w:szCs w:val="26"/>
                <w:rtl/>
              </w:rPr>
            </w:pPr>
            <w:r w:rsidRPr="00AE3E29">
              <w:rPr>
                <w:b/>
                <w:bCs/>
                <w:sz w:val="26"/>
                <w:szCs w:val="26"/>
                <w:rtl/>
              </w:rPr>
              <w:t>27 אפריל 2021</w:t>
            </w:r>
          </w:p>
        </w:tc>
      </w:tr>
      <w:tr w:rsidR="00CB2B29" w:rsidRPr="00AE3E29" w14:paraId="4F052474" w14:textId="77777777" w:rsidTr="00870CCA">
        <w:trPr>
          <w:trHeight w:val="337"/>
          <w:jc w:val="center"/>
        </w:trPr>
        <w:tc>
          <w:tcPr>
            <w:tcW w:w="8721" w:type="dxa"/>
            <w:gridSpan w:val="2"/>
          </w:tcPr>
          <w:p w14:paraId="2B504741" w14:textId="77777777" w:rsidR="00CB2B29" w:rsidRPr="00AE3E29" w:rsidRDefault="00AE3E29" w:rsidP="00870CCA">
            <w:pPr>
              <w:rPr>
                <w:b/>
                <w:bCs/>
                <w:sz w:val="26"/>
                <w:szCs w:val="26"/>
                <w:rtl/>
              </w:rPr>
            </w:pPr>
            <w:hyperlink r:id="rId7" w:history="1">
              <w:r w:rsidRPr="00AE3E29">
                <w:rPr>
                  <w:b/>
                  <w:bCs/>
                  <w:color w:val="0000FF"/>
                  <w:sz w:val="26"/>
                  <w:szCs w:val="26"/>
                  <w:u w:val="single"/>
                  <w:rtl/>
                </w:rPr>
                <w:t>ת"פ 22297-11-20</w:t>
              </w:r>
            </w:hyperlink>
            <w:r w:rsidR="00CB2B29" w:rsidRPr="00AE3E29">
              <w:rPr>
                <w:b/>
                <w:bCs/>
                <w:sz w:val="26"/>
                <w:szCs w:val="26"/>
                <w:rtl/>
              </w:rPr>
              <w:t xml:space="preserve"> מדינת ישראל נ' עובייד(עציר) ואח'</w:t>
            </w:r>
          </w:p>
          <w:p w14:paraId="41CA43F5" w14:textId="77777777" w:rsidR="00CB2B29" w:rsidRPr="00AE3E29" w:rsidRDefault="00CB2B29" w:rsidP="00870CCA">
            <w:pPr>
              <w:rPr>
                <w:rtl/>
              </w:rPr>
            </w:pPr>
          </w:p>
          <w:p w14:paraId="079DE274" w14:textId="77777777" w:rsidR="00CB2B29" w:rsidRPr="00AE3E29" w:rsidRDefault="00CB2B29" w:rsidP="00870CCA">
            <w:pPr>
              <w:rPr>
                <w:rtl/>
              </w:rPr>
            </w:pPr>
            <w:r w:rsidRPr="00AE3E29">
              <w:rPr>
                <w:rFonts w:hint="cs"/>
                <w:sz w:val="20"/>
                <w:szCs w:val="20"/>
                <w:rtl/>
              </w:rPr>
              <w:t>תיק חיצוני</w:t>
            </w:r>
            <w:r w:rsidRPr="00AE3E29">
              <w:rPr>
                <w:rFonts w:hint="cs"/>
                <w:rtl/>
              </w:rPr>
              <w:t xml:space="preserve">: </w:t>
            </w:r>
            <w:r w:rsidRPr="00AE3E29">
              <w:rPr>
                <w:sz w:val="20"/>
                <w:szCs w:val="20"/>
              </w:rPr>
              <w:t>798202/2020</w:t>
            </w:r>
          </w:p>
        </w:tc>
      </w:tr>
    </w:tbl>
    <w:p w14:paraId="13544558" w14:textId="77777777" w:rsidR="00CB2B29" w:rsidRPr="00AE3E29" w:rsidRDefault="00CB2B29" w:rsidP="00CB2B29">
      <w:pPr>
        <w:pStyle w:val="a3"/>
        <w:rPr>
          <w:rtl/>
        </w:rPr>
      </w:pPr>
      <w:r w:rsidRPr="00AE3E29">
        <w:rPr>
          <w:rtl/>
        </w:rPr>
        <w:t xml:space="preserve"> </w:t>
      </w:r>
    </w:p>
    <w:p w14:paraId="22F4F439" w14:textId="77777777" w:rsidR="00CB2B29" w:rsidRPr="00AE3E29" w:rsidRDefault="00CB2B29" w:rsidP="00CB2B29">
      <w:pPr>
        <w:suppressLineNumbers/>
        <w:rPr>
          <w:rtl/>
        </w:rPr>
      </w:pPr>
    </w:p>
    <w:p w14:paraId="2A49EB7A" w14:textId="77777777" w:rsidR="00CB2B29" w:rsidRPr="00AE3E29" w:rsidRDefault="00CB2B29" w:rsidP="00CB2B29">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CB2B29" w:rsidRPr="00AE3E29" w14:paraId="5BF211B2" w14:textId="77777777" w:rsidTr="00CB2B29">
        <w:trPr>
          <w:jc w:val="center"/>
        </w:trPr>
        <w:tc>
          <w:tcPr>
            <w:tcW w:w="743" w:type="dxa"/>
            <w:shd w:val="clear" w:color="auto" w:fill="auto"/>
          </w:tcPr>
          <w:p w14:paraId="70DB66B5" w14:textId="77777777" w:rsidR="00CB2B29" w:rsidRPr="00AE3E29" w:rsidRDefault="00CB2B29" w:rsidP="00CB2B29">
            <w:pPr>
              <w:jc w:val="both"/>
              <w:rPr>
                <w:rFonts w:ascii="Arial" w:hAnsi="Arial"/>
                <w:b/>
                <w:bCs/>
              </w:rPr>
            </w:pPr>
            <w:r w:rsidRPr="00AE3E29">
              <w:rPr>
                <w:rFonts w:ascii="Arial" w:hAnsi="Arial" w:hint="cs"/>
                <w:b/>
                <w:bCs/>
                <w:rtl/>
              </w:rPr>
              <w:t>לפני</w:t>
            </w:r>
          </w:p>
        </w:tc>
        <w:tc>
          <w:tcPr>
            <w:tcW w:w="8077" w:type="dxa"/>
            <w:gridSpan w:val="2"/>
            <w:shd w:val="clear" w:color="auto" w:fill="auto"/>
          </w:tcPr>
          <w:p w14:paraId="2C002138" w14:textId="77777777" w:rsidR="00CB2B29" w:rsidRPr="00AE3E29" w:rsidRDefault="00CB2B29" w:rsidP="00870CCA">
            <w:pPr>
              <w:rPr>
                <w:rFonts w:ascii="Arial" w:hAnsi="Arial"/>
                <w:b/>
                <w:bCs/>
                <w:rtl/>
              </w:rPr>
            </w:pPr>
            <w:r w:rsidRPr="00AE3E29">
              <w:rPr>
                <w:rFonts w:ascii="Arial" w:hAnsi="Arial" w:hint="cs"/>
                <w:b/>
                <w:bCs/>
                <w:rtl/>
              </w:rPr>
              <w:t>כב' ה</w:t>
            </w:r>
            <w:r w:rsidRPr="00AE3E29">
              <w:rPr>
                <w:rFonts w:ascii="Arial" w:hAnsi="Arial"/>
                <w:b/>
                <w:bCs/>
                <w:rtl/>
              </w:rPr>
              <w:t>שופט</w:t>
            </w:r>
            <w:r w:rsidRPr="00AE3E29">
              <w:rPr>
                <w:rFonts w:ascii="Arial" w:hAnsi="Arial" w:hint="cs"/>
                <w:b/>
                <w:bCs/>
                <w:rtl/>
              </w:rPr>
              <w:t xml:space="preserve">  </w:t>
            </w:r>
            <w:r w:rsidRPr="00AE3E29">
              <w:rPr>
                <w:rFonts w:ascii="Arial" w:hAnsi="Arial"/>
                <w:b/>
                <w:bCs/>
                <w:rtl/>
              </w:rPr>
              <w:t>רון סולקין</w:t>
            </w:r>
          </w:p>
          <w:p w14:paraId="1C0737BD" w14:textId="77777777" w:rsidR="00CB2B29" w:rsidRPr="00AE3E29" w:rsidRDefault="00CB2B29" w:rsidP="00870CCA">
            <w:pPr>
              <w:rPr>
                <w:rFonts w:ascii="Arial" w:hAnsi="Arial" w:cs="FrankRuehl"/>
                <w:sz w:val="28"/>
                <w:szCs w:val="28"/>
                <w:highlight w:val="yellow"/>
              </w:rPr>
            </w:pPr>
          </w:p>
        </w:tc>
      </w:tr>
      <w:tr w:rsidR="00CB2B29" w:rsidRPr="00AE3E29" w14:paraId="1F84D63F" w14:textId="77777777" w:rsidTr="00CB2B29">
        <w:trPr>
          <w:jc w:val="center"/>
        </w:trPr>
        <w:tc>
          <w:tcPr>
            <w:tcW w:w="3249" w:type="dxa"/>
            <w:gridSpan w:val="2"/>
            <w:shd w:val="clear" w:color="auto" w:fill="auto"/>
          </w:tcPr>
          <w:p w14:paraId="709DB0CE" w14:textId="77777777" w:rsidR="00CB2B29" w:rsidRPr="00AE3E29" w:rsidRDefault="00CB2B29" w:rsidP="00CB2B29">
            <w:pPr>
              <w:bidi w:val="0"/>
              <w:jc w:val="right"/>
              <w:rPr>
                <w:rFonts w:ascii="Arial" w:hAnsi="Arial"/>
                <w:b/>
                <w:bCs/>
                <w:sz w:val="26"/>
                <w:szCs w:val="26"/>
                <w:rtl/>
              </w:rPr>
            </w:pPr>
            <w:bookmarkStart w:id="2" w:name="FirstAppellant"/>
            <w:r w:rsidRPr="00AE3E29">
              <w:rPr>
                <w:rFonts w:ascii="Arial" w:hAnsi="Arial" w:hint="cs"/>
                <w:b/>
                <w:bCs/>
                <w:sz w:val="26"/>
                <w:szCs w:val="26"/>
                <w:rtl/>
              </w:rPr>
              <w:t>המאשימה</w:t>
            </w:r>
          </w:p>
        </w:tc>
        <w:tc>
          <w:tcPr>
            <w:tcW w:w="5571" w:type="dxa"/>
            <w:shd w:val="clear" w:color="auto" w:fill="auto"/>
          </w:tcPr>
          <w:p w14:paraId="6C94B230" w14:textId="77777777" w:rsidR="00CB2B29" w:rsidRPr="00AE3E29" w:rsidRDefault="00CB2B29" w:rsidP="00870CCA">
            <w:pPr>
              <w:rPr>
                <w:b/>
                <w:bCs/>
                <w:sz w:val="26"/>
                <w:szCs w:val="26"/>
              </w:rPr>
            </w:pPr>
            <w:r w:rsidRPr="00AE3E29">
              <w:rPr>
                <w:rFonts w:ascii="Arial" w:hAnsi="Arial"/>
                <w:b/>
                <w:bCs/>
                <w:sz w:val="26"/>
                <w:szCs w:val="26"/>
                <w:rtl/>
              </w:rPr>
              <w:t>מדינת ישראל</w:t>
            </w:r>
            <w:r w:rsidRPr="00AE3E29">
              <w:rPr>
                <w:b/>
                <w:bCs/>
                <w:sz w:val="26"/>
                <w:szCs w:val="26"/>
                <w:rtl/>
              </w:rPr>
              <w:t xml:space="preserve"> – פמ"</w:t>
            </w:r>
            <w:r w:rsidRPr="00AE3E29">
              <w:rPr>
                <w:rFonts w:hint="cs"/>
                <w:b/>
                <w:bCs/>
                <w:sz w:val="26"/>
                <w:szCs w:val="26"/>
                <w:rtl/>
              </w:rPr>
              <w:t>ד</w:t>
            </w:r>
            <w:r w:rsidRPr="00AE3E29">
              <w:rPr>
                <w:b/>
                <w:bCs/>
                <w:sz w:val="26"/>
                <w:szCs w:val="26"/>
                <w:rtl/>
              </w:rPr>
              <w:br/>
            </w:r>
            <w:r w:rsidRPr="00AE3E29">
              <w:rPr>
                <w:rFonts w:hint="cs"/>
                <w:b/>
                <w:bCs/>
                <w:sz w:val="26"/>
                <w:szCs w:val="26"/>
                <w:rtl/>
              </w:rPr>
              <w:t>ע"י ב"כ המתמחה דריה רדקין</w:t>
            </w:r>
          </w:p>
        </w:tc>
      </w:tr>
      <w:bookmarkEnd w:id="2"/>
      <w:tr w:rsidR="00CB2B29" w:rsidRPr="00AE3E29" w14:paraId="1CBA593A" w14:textId="77777777" w:rsidTr="00CB2B29">
        <w:trPr>
          <w:jc w:val="center"/>
        </w:trPr>
        <w:tc>
          <w:tcPr>
            <w:tcW w:w="8820" w:type="dxa"/>
            <w:gridSpan w:val="3"/>
            <w:shd w:val="clear" w:color="auto" w:fill="auto"/>
          </w:tcPr>
          <w:p w14:paraId="461BFDA3" w14:textId="77777777" w:rsidR="00CB2B29" w:rsidRPr="00AE3E29" w:rsidRDefault="00CB2B29" w:rsidP="00870CCA">
            <w:pPr>
              <w:rPr>
                <w:rFonts w:ascii="Arial" w:hAnsi="Arial"/>
                <w:b/>
                <w:bCs/>
                <w:sz w:val="26"/>
                <w:szCs w:val="26"/>
                <w:rtl/>
              </w:rPr>
            </w:pPr>
          </w:p>
          <w:p w14:paraId="3ADE2C62" w14:textId="77777777" w:rsidR="00CB2B29" w:rsidRPr="00AE3E29" w:rsidRDefault="00CB2B29" w:rsidP="00CB2B29">
            <w:pPr>
              <w:jc w:val="center"/>
              <w:rPr>
                <w:rFonts w:ascii="Arial" w:hAnsi="Arial"/>
                <w:b/>
                <w:bCs/>
                <w:sz w:val="26"/>
                <w:szCs w:val="26"/>
                <w:rtl/>
              </w:rPr>
            </w:pPr>
            <w:r w:rsidRPr="00AE3E29">
              <w:rPr>
                <w:rFonts w:ascii="Arial" w:hAnsi="Arial"/>
                <w:b/>
                <w:bCs/>
                <w:sz w:val="26"/>
                <w:szCs w:val="26"/>
                <w:rtl/>
              </w:rPr>
              <w:t>נגד</w:t>
            </w:r>
          </w:p>
          <w:p w14:paraId="78598117" w14:textId="77777777" w:rsidR="00CB2B29" w:rsidRPr="00AE3E29" w:rsidRDefault="00CB2B29" w:rsidP="00870CCA">
            <w:pPr>
              <w:rPr>
                <w:rFonts w:ascii="Arial" w:hAnsi="Arial"/>
                <w:b/>
                <w:bCs/>
                <w:sz w:val="26"/>
                <w:szCs w:val="26"/>
              </w:rPr>
            </w:pPr>
          </w:p>
        </w:tc>
      </w:tr>
      <w:tr w:rsidR="00CB2B29" w:rsidRPr="00AE3E29" w14:paraId="02DE520C" w14:textId="77777777" w:rsidTr="00CB2B29">
        <w:trPr>
          <w:jc w:val="center"/>
        </w:trPr>
        <w:tc>
          <w:tcPr>
            <w:tcW w:w="3249" w:type="dxa"/>
            <w:gridSpan w:val="2"/>
            <w:shd w:val="clear" w:color="auto" w:fill="auto"/>
          </w:tcPr>
          <w:p w14:paraId="33FDC1F0" w14:textId="77777777" w:rsidR="00CB2B29" w:rsidRPr="00AE3E29" w:rsidRDefault="00CB2B29" w:rsidP="00870CCA">
            <w:pPr>
              <w:rPr>
                <w:rFonts w:ascii="Arial" w:hAnsi="Arial"/>
                <w:b/>
                <w:bCs/>
                <w:sz w:val="26"/>
                <w:szCs w:val="26"/>
              </w:rPr>
            </w:pPr>
            <w:r w:rsidRPr="00AE3E29">
              <w:rPr>
                <w:rFonts w:ascii="Arial" w:hAnsi="Arial" w:hint="cs"/>
                <w:b/>
                <w:bCs/>
                <w:sz w:val="26"/>
                <w:szCs w:val="26"/>
                <w:rtl/>
              </w:rPr>
              <w:t>הנאשמים</w:t>
            </w:r>
          </w:p>
        </w:tc>
        <w:tc>
          <w:tcPr>
            <w:tcW w:w="5571" w:type="dxa"/>
            <w:shd w:val="clear" w:color="auto" w:fill="auto"/>
          </w:tcPr>
          <w:p w14:paraId="2905F30C" w14:textId="77777777" w:rsidR="00CB2B29" w:rsidRPr="00AE3E29" w:rsidRDefault="00CB2B29" w:rsidP="00870CCA">
            <w:pPr>
              <w:rPr>
                <w:b/>
                <w:bCs/>
                <w:sz w:val="26"/>
                <w:szCs w:val="26"/>
                <w:rtl/>
              </w:rPr>
            </w:pPr>
            <w:r w:rsidRPr="00AE3E29">
              <w:rPr>
                <w:rFonts w:ascii="Arial" w:hAnsi="Arial"/>
                <w:b/>
                <w:bCs/>
                <w:sz w:val="26"/>
                <w:szCs w:val="26"/>
                <w:rtl/>
              </w:rPr>
              <w:t>1.</w:t>
            </w:r>
            <w:r w:rsidRPr="00AE3E29">
              <w:rPr>
                <w:rFonts w:ascii="Arial" w:hAnsi="Arial" w:hint="cs"/>
                <w:b/>
                <w:bCs/>
                <w:sz w:val="26"/>
                <w:szCs w:val="26"/>
                <w:rtl/>
              </w:rPr>
              <w:t xml:space="preserve"> </w:t>
            </w:r>
            <w:r w:rsidRPr="00AE3E29">
              <w:rPr>
                <w:rFonts w:ascii="Arial" w:hAnsi="Arial"/>
                <w:b/>
                <w:bCs/>
                <w:sz w:val="26"/>
                <w:szCs w:val="26"/>
                <w:rtl/>
              </w:rPr>
              <w:t xml:space="preserve">עאהד </w:t>
            </w:r>
            <w:r w:rsidRPr="00AE3E29">
              <w:rPr>
                <w:rFonts w:ascii="Arial" w:hAnsi="Arial" w:hint="cs"/>
                <w:b/>
                <w:bCs/>
                <w:sz w:val="26"/>
                <w:szCs w:val="26"/>
                <w:rtl/>
              </w:rPr>
              <w:t xml:space="preserve">בן נעים </w:t>
            </w:r>
            <w:r w:rsidRPr="00AE3E29">
              <w:rPr>
                <w:rFonts w:ascii="Arial" w:hAnsi="Arial"/>
                <w:b/>
                <w:bCs/>
                <w:sz w:val="26"/>
                <w:szCs w:val="26"/>
                <w:rtl/>
              </w:rPr>
              <w:t>עובייד (עציר)</w:t>
            </w:r>
          </w:p>
          <w:p w14:paraId="6449EB8C" w14:textId="77777777" w:rsidR="00CB2B29" w:rsidRPr="00AE3E29" w:rsidRDefault="00CB2B29" w:rsidP="00870CCA">
            <w:pPr>
              <w:rPr>
                <w:b/>
                <w:bCs/>
                <w:sz w:val="26"/>
                <w:szCs w:val="26"/>
                <w:rtl/>
              </w:rPr>
            </w:pPr>
            <w:r w:rsidRPr="00AE3E29">
              <w:rPr>
                <w:rFonts w:ascii="Arial" w:hAnsi="Arial" w:hint="cs"/>
                <w:b/>
                <w:bCs/>
                <w:sz w:val="26"/>
                <w:szCs w:val="26"/>
                <w:rtl/>
              </w:rPr>
              <w:t>2</w:t>
            </w:r>
            <w:r w:rsidRPr="00AE3E29">
              <w:rPr>
                <w:rFonts w:ascii="Arial" w:hAnsi="Arial"/>
                <w:b/>
                <w:bCs/>
                <w:sz w:val="26"/>
                <w:szCs w:val="26"/>
                <w:rtl/>
              </w:rPr>
              <w:t>.</w:t>
            </w:r>
            <w:r w:rsidRPr="00AE3E29">
              <w:rPr>
                <w:rFonts w:ascii="Arial" w:hAnsi="Arial" w:hint="cs"/>
                <w:b/>
                <w:bCs/>
                <w:sz w:val="26"/>
                <w:szCs w:val="26"/>
                <w:rtl/>
              </w:rPr>
              <w:t xml:space="preserve"> </w:t>
            </w:r>
            <w:r w:rsidRPr="00AE3E29">
              <w:rPr>
                <w:rFonts w:ascii="Arial" w:hAnsi="Arial"/>
                <w:b/>
                <w:bCs/>
                <w:sz w:val="26"/>
                <w:szCs w:val="26"/>
                <w:rtl/>
              </w:rPr>
              <w:t xml:space="preserve">מהין </w:t>
            </w:r>
            <w:r w:rsidRPr="00AE3E29">
              <w:rPr>
                <w:rFonts w:ascii="Arial" w:hAnsi="Arial" w:hint="cs"/>
                <w:b/>
                <w:bCs/>
                <w:sz w:val="26"/>
                <w:szCs w:val="26"/>
                <w:rtl/>
              </w:rPr>
              <w:t xml:space="preserve">בן נעים </w:t>
            </w:r>
            <w:r w:rsidRPr="00AE3E29">
              <w:rPr>
                <w:rFonts w:ascii="Arial" w:hAnsi="Arial"/>
                <w:b/>
                <w:bCs/>
                <w:sz w:val="26"/>
                <w:szCs w:val="26"/>
                <w:rtl/>
              </w:rPr>
              <w:t>עובייד</w:t>
            </w:r>
            <w:r w:rsidRPr="00AE3E29">
              <w:rPr>
                <w:rFonts w:ascii="Arial" w:hAnsi="Arial"/>
                <w:b/>
                <w:bCs/>
                <w:sz w:val="26"/>
                <w:szCs w:val="26"/>
                <w:rtl/>
              </w:rPr>
              <w:br/>
            </w:r>
            <w:r w:rsidRPr="00AE3E29">
              <w:rPr>
                <w:rFonts w:hint="cs"/>
                <w:b/>
                <w:bCs/>
                <w:sz w:val="26"/>
                <w:szCs w:val="26"/>
                <w:rtl/>
              </w:rPr>
              <w:t>ע"י ב"כ עו"ד נתי טרבלסי</w:t>
            </w:r>
          </w:p>
        </w:tc>
      </w:tr>
    </w:tbl>
    <w:p w14:paraId="25FE5753" w14:textId="77777777" w:rsidR="00CB2B29" w:rsidRPr="00AE3E29" w:rsidRDefault="00CB2B29" w:rsidP="00CB2B29">
      <w:pPr>
        <w:suppressLineNumbers/>
      </w:pPr>
    </w:p>
    <w:p w14:paraId="2968D124" w14:textId="77777777" w:rsidR="00734004" w:rsidRPr="00734004" w:rsidRDefault="00734004" w:rsidP="00734004">
      <w:pPr>
        <w:spacing w:before="120" w:after="120" w:line="240" w:lineRule="exact"/>
        <w:ind w:left="283" w:hanging="283"/>
        <w:jc w:val="both"/>
        <w:rPr>
          <w:rFonts w:ascii="FrankRuehl" w:hAnsi="FrankRuehl" w:cs="FrankRuehl"/>
          <w:rtl/>
        </w:rPr>
      </w:pPr>
    </w:p>
    <w:p w14:paraId="352C0F38" w14:textId="77777777" w:rsidR="00E35BBE" w:rsidRDefault="00E35BBE" w:rsidP="00E35BBE">
      <w:pPr>
        <w:spacing w:before="120" w:after="120" w:line="240" w:lineRule="exact"/>
        <w:ind w:left="283" w:hanging="283"/>
        <w:jc w:val="both"/>
        <w:rPr>
          <w:rFonts w:ascii="FrankRuehl" w:hAnsi="FrankRuehl" w:cs="FrankRuehl"/>
          <w:rtl/>
        </w:rPr>
      </w:pPr>
      <w:bookmarkStart w:id="3" w:name="LawTable"/>
      <w:bookmarkEnd w:id="3"/>
    </w:p>
    <w:p w14:paraId="7650B992" w14:textId="77777777" w:rsidR="00E35BBE" w:rsidRPr="00E35BBE" w:rsidRDefault="00E35BBE" w:rsidP="00E35BBE">
      <w:pPr>
        <w:spacing w:before="120" w:after="120" w:line="240" w:lineRule="exact"/>
        <w:ind w:left="283" w:hanging="283"/>
        <w:jc w:val="both"/>
        <w:rPr>
          <w:rFonts w:ascii="FrankRuehl" w:hAnsi="FrankRuehl" w:cs="FrankRuehl"/>
          <w:rtl/>
        </w:rPr>
      </w:pPr>
    </w:p>
    <w:p w14:paraId="11EC1B44" w14:textId="77777777" w:rsidR="00E35BBE" w:rsidRPr="00E35BBE" w:rsidRDefault="00E35BBE" w:rsidP="00E35BBE">
      <w:pPr>
        <w:spacing w:before="120" w:after="120" w:line="240" w:lineRule="exact"/>
        <w:ind w:left="283" w:hanging="283"/>
        <w:jc w:val="both"/>
        <w:rPr>
          <w:rFonts w:ascii="FrankRuehl" w:hAnsi="FrankRuehl" w:cs="FrankRuehl"/>
          <w:rtl/>
        </w:rPr>
      </w:pPr>
    </w:p>
    <w:p w14:paraId="29DEB1AF" w14:textId="77777777" w:rsidR="00E35BBE" w:rsidRPr="00E35BBE" w:rsidRDefault="00E35BBE" w:rsidP="00E35BBE">
      <w:pPr>
        <w:spacing w:before="120" w:after="120" w:line="240" w:lineRule="exact"/>
        <w:ind w:left="283" w:hanging="283"/>
        <w:jc w:val="both"/>
        <w:rPr>
          <w:rFonts w:ascii="FrankRuehl" w:hAnsi="FrankRuehl" w:cs="FrankRuehl"/>
          <w:rtl/>
        </w:rPr>
      </w:pPr>
      <w:r w:rsidRPr="00E35BBE">
        <w:rPr>
          <w:rFonts w:ascii="FrankRuehl" w:hAnsi="FrankRuehl" w:cs="FrankRuehl"/>
          <w:rtl/>
        </w:rPr>
        <w:t xml:space="preserve">חקיקה שאוזכרה: </w:t>
      </w:r>
    </w:p>
    <w:p w14:paraId="5F533FF8" w14:textId="77777777" w:rsidR="00E35BBE" w:rsidRPr="00E35BBE" w:rsidRDefault="00E35BBE" w:rsidP="00E35BBE">
      <w:pPr>
        <w:spacing w:before="120" w:after="120" w:line="240" w:lineRule="exact"/>
        <w:ind w:left="283" w:hanging="283"/>
        <w:jc w:val="both"/>
        <w:rPr>
          <w:rFonts w:ascii="FrankRuehl" w:hAnsi="FrankRuehl" w:cs="FrankRuehl"/>
          <w:rtl/>
        </w:rPr>
      </w:pPr>
      <w:hyperlink r:id="rId8" w:history="1">
        <w:r w:rsidRPr="00E35BBE">
          <w:rPr>
            <w:rFonts w:ascii="FrankRuehl" w:hAnsi="FrankRuehl" w:cs="FrankRuehl"/>
            <w:color w:val="0000FF"/>
            <w:rtl/>
          </w:rPr>
          <w:t>חוק העונשין, תשל"ז-1977</w:t>
        </w:r>
      </w:hyperlink>
      <w:r w:rsidRPr="00E35BBE">
        <w:rPr>
          <w:rFonts w:ascii="FrankRuehl" w:hAnsi="FrankRuehl" w:cs="FrankRuehl"/>
          <w:rtl/>
        </w:rPr>
        <w:t xml:space="preserve">: סע'  </w:t>
      </w:r>
      <w:hyperlink r:id="rId9" w:history="1">
        <w:r w:rsidRPr="00E35BBE">
          <w:rPr>
            <w:rFonts w:ascii="FrankRuehl" w:hAnsi="FrankRuehl" w:cs="FrankRuehl"/>
            <w:color w:val="0000FF"/>
            <w:rtl/>
          </w:rPr>
          <w:t>144</w:t>
        </w:r>
      </w:hyperlink>
      <w:r w:rsidRPr="00E35BBE">
        <w:rPr>
          <w:rFonts w:ascii="FrankRuehl" w:hAnsi="FrankRuehl" w:cs="FrankRuehl"/>
          <w:rtl/>
        </w:rPr>
        <w:t xml:space="preserve">, </w:t>
      </w:r>
      <w:hyperlink r:id="rId10" w:history="1">
        <w:r w:rsidRPr="00E35BBE">
          <w:rPr>
            <w:rFonts w:ascii="FrankRuehl" w:hAnsi="FrankRuehl" w:cs="FrankRuehl"/>
            <w:color w:val="0000FF"/>
            <w:rtl/>
          </w:rPr>
          <w:t>144(א)</w:t>
        </w:r>
      </w:hyperlink>
      <w:r w:rsidRPr="00E35BBE">
        <w:rPr>
          <w:rFonts w:ascii="FrankRuehl" w:hAnsi="FrankRuehl" w:cs="FrankRuehl"/>
          <w:rtl/>
        </w:rPr>
        <w:t xml:space="preserve">, </w:t>
      </w:r>
      <w:hyperlink r:id="rId11" w:history="1">
        <w:r w:rsidRPr="00E35BBE">
          <w:rPr>
            <w:rFonts w:ascii="FrankRuehl" w:hAnsi="FrankRuehl" w:cs="FrankRuehl"/>
            <w:color w:val="0000FF"/>
            <w:rtl/>
          </w:rPr>
          <w:t>186</w:t>
        </w:r>
      </w:hyperlink>
      <w:r w:rsidRPr="00E35BBE">
        <w:rPr>
          <w:rFonts w:ascii="FrankRuehl" w:hAnsi="FrankRuehl" w:cs="FrankRuehl"/>
          <w:rtl/>
        </w:rPr>
        <w:t xml:space="preserve">, </w:t>
      </w:r>
      <w:hyperlink r:id="rId12" w:history="1">
        <w:r w:rsidRPr="00E35BBE">
          <w:rPr>
            <w:rFonts w:ascii="FrankRuehl" w:hAnsi="FrankRuehl" w:cs="FrankRuehl"/>
            <w:color w:val="0000FF"/>
            <w:rtl/>
          </w:rPr>
          <w:t>34כא</w:t>
        </w:r>
      </w:hyperlink>
    </w:p>
    <w:p w14:paraId="17C9EC2E" w14:textId="77777777" w:rsidR="00E35BBE" w:rsidRPr="00E35BBE" w:rsidRDefault="00E35BBE" w:rsidP="00E35BBE">
      <w:pPr>
        <w:spacing w:before="120" w:after="120" w:line="240" w:lineRule="exact"/>
        <w:ind w:left="283" w:hanging="283"/>
        <w:jc w:val="both"/>
        <w:rPr>
          <w:rFonts w:ascii="FrankRuehl" w:hAnsi="FrankRuehl" w:cs="FrankRuehl"/>
          <w:rtl/>
        </w:rPr>
      </w:pPr>
      <w:hyperlink r:id="rId13" w:history="1">
        <w:r w:rsidRPr="00E35BBE">
          <w:rPr>
            <w:rFonts w:ascii="FrankRuehl" w:hAnsi="FrankRuehl" w:cs="FrankRuehl"/>
            <w:color w:val="0000FF"/>
            <w:rtl/>
          </w:rPr>
          <w:t>פקודת הסמים המסוכנים [נוסח חדש], תשל"ג-1973</w:t>
        </w:r>
      </w:hyperlink>
      <w:r w:rsidRPr="00E35BBE">
        <w:rPr>
          <w:rFonts w:ascii="FrankRuehl" w:hAnsi="FrankRuehl" w:cs="FrankRuehl"/>
          <w:rtl/>
        </w:rPr>
        <w:t xml:space="preserve">: סע'  </w:t>
      </w:r>
      <w:hyperlink r:id="rId14" w:history="1">
        <w:r w:rsidRPr="00E35BBE">
          <w:rPr>
            <w:rFonts w:ascii="FrankRuehl" w:hAnsi="FrankRuehl" w:cs="FrankRuehl"/>
            <w:color w:val="0000FF"/>
            <w:rtl/>
          </w:rPr>
          <w:t>7(א)</w:t>
        </w:r>
      </w:hyperlink>
      <w:r w:rsidRPr="00E35BBE">
        <w:rPr>
          <w:rFonts w:ascii="FrankRuehl" w:hAnsi="FrankRuehl" w:cs="FrankRuehl"/>
          <w:rtl/>
        </w:rPr>
        <w:t xml:space="preserve">, </w:t>
      </w:r>
      <w:hyperlink r:id="rId15" w:history="1">
        <w:r w:rsidRPr="00E35BBE">
          <w:rPr>
            <w:rFonts w:ascii="FrankRuehl" w:hAnsi="FrankRuehl" w:cs="FrankRuehl"/>
            <w:color w:val="0000FF"/>
            <w:rtl/>
          </w:rPr>
          <w:t>7(ג)(2)</w:t>
        </w:r>
      </w:hyperlink>
      <w:r w:rsidRPr="00E35BBE">
        <w:rPr>
          <w:rFonts w:ascii="FrankRuehl" w:hAnsi="FrankRuehl" w:cs="FrankRuehl"/>
          <w:rtl/>
        </w:rPr>
        <w:t xml:space="preserve">, </w:t>
      </w:r>
      <w:hyperlink r:id="rId16" w:history="1">
        <w:r w:rsidRPr="00E35BBE">
          <w:rPr>
            <w:rFonts w:ascii="FrankRuehl" w:hAnsi="FrankRuehl" w:cs="FrankRuehl"/>
            <w:color w:val="0000FF"/>
            <w:rtl/>
          </w:rPr>
          <w:t>144</w:t>
        </w:r>
      </w:hyperlink>
    </w:p>
    <w:p w14:paraId="38766772" w14:textId="77777777" w:rsidR="00E35BBE" w:rsidRPr="00E35BBE" w:rsidRDefault="00E35BBE" w:rsidP="00E35BBE">
      <w:pPr>
        <w:spacing w:before="120" w:after="120" w:line="240" w:lineRule="exact"/>
        <w:ind w:left="283" w:hanging="283"/>
        <w:jc w:val="both"/>
        <w:rPr>
          <w:rFonts w:ascii="FrankRuehl" w:hAnsi="FrankRuehl" w:cs="FrankRuehl"/>
          <w:rtl/>
        </w:rPr>
      </w:pPr>
      <w:bookmarkStart w:id="4" w:name="LawTable_End"/>
      <w:bookmarkEnd w:id="4"/>
    </w:p>
    <w:p w14:paraId="316B45E0" w14:textId="77777777" w:rsidR="00304D51" w:rsidRPr="00734004" w:rsidRDefault="00304D51" w:rsidP="00734004">
      <w:pPr>
        <w:spacing w:before="120" w:after="120" w:line="240" w:lineRule="exact"/>
        <w:ind w:left="283" w:hanging="283"/>
        <w:jc w:val="both"/>
        <w:rPr>
          <w:rFonts w:ascii="FrankRuehl" w:hAnsi="FrankRuehl" w:cs="FrankRuehl"/>
          <w:rtl/>
        </w:rPr>
      </w:pPr>
    </w:p>
    <w:p w14:paraId="7B646475" w14:textId="77777777" w:rsidR="00304D51" w:rsidRPr="00304D51" w:rsidRDefault="00304D51" w:rsidP="00304D51">
      <w:pPr>
        <w:jc w:val="center"/>
        <w:rPr>
          <w:rFonts w:ascii="Arial" w:hAnsi="Arial"/>
          <w:b/>
          <w:bCs/>
          <w:sz w:val="28"/>
          <w:szCs w:val="28"/>
          <w:u w:val="single"/>
          <w:rtl/>
        </w:rPr>
      </w:pPr>
      <w:bookmarkStart w:id="5" w:name="PsakDin"/>
      <w:r w:rsidRPr="00304D51">
        <w:rPr>
          <w:rFonts w:ascii="Arial" w:hAnsi="Arial"/>
          <w:b/>
          <w:bCs/>
          <w:sz w:val="28"/>
          <w:szCs w:val="28"/>
          <w:u w:val="single"/>
          <w:rtl/>
        </w:rPr>
        <w:t>גזר דין</w:t>
      </w:r>
    </w:p>
    <w:bookmarkEnd w:id="5"/>
    <w:p w14:paraId="556EE4A6" w14:textId="77777777" w:rsidR="00304D51" w:rsidRPr="00CB2B29" w:rsidRDefault="00304D51" w:rsidP="00CB2B29">
      <w:pPr>
        <w:bidi w:val="0"/>
        <w:jc w:val="both"/>
        <w:rPr>
          <w:rFonts w:ascii="Arial" w:hAnsi="Arial"/>
          <w:sz w:val="28"/>
          <w:szCs w:val="28"/>
        </w:rPr>
      </w:pPr>
    </w:p>
    <w:bookmarkEnd w:id="0"/>
    <w:bookmarkEnd w:id="1"/>
    <w:p w14:paraId="1A468FCB" w14:textId="77777777" w:rsidR="00CB2B29" w:rsidRDefault="00CB2B29" w:rsidP="00CB2B29">
      <w:pPr>
        <w:spacing w:line="360" w:lineRule="auto"/>
        <w:jc w:val="both"/>
        <w:rPr>
          <w:rFonts w:ascii="Arial" w:hAnsi="Arial"/>
          <w:rtl/>
        </w:rPr>
      </w:pPr>
      <w:r>
        <w:rPr>
          <w:rFonts w:ascii="Arial" w:hAnsi="Arial" w:hint="cs"/>
          <w:b/>
          <w:bCs/>
          <w:rtl/>
        </w:rPr>
        <w:t>כתב האישום והסדר הטיעון</w:t>
      </w:r>
    </w:p>
    <w:p w14:paraId="20073045" w14:textId="77777777" w:rsidR="00CB2B29" w:rsidRDefault="00CB2B29" w:rsidP="00CB2B29">
      <w:pPr>
        <w:spacing w:line="360" w:lineRule="auto"/>
        <w:jc w:val="both"/>
        <w:rPr>
          <w:rFonts w:ascii="Arial" w:hAnsi="Arial"/>
          <w:rtl/>
        </w:rPr>
      </w:pPr>
    </w:p>
    <w:p w14:paraId="4ED39285" w14:textId="77777777" w:rsidR="00CB2B29" w:rsidRDefault="00CB2B29" w:rsidP="00CB2B29">
      <w:pPr>
        <w:spacing w:line="360" w:lineRule="auto"/>
        <w:jc w:val="both"/>
        <w:rPr>
          <w:rFonts w:ascii="Arial" w:hAnsi="Arial"/>
          <w:rtl/>
        </w:rPr>
      </w:pPr>
      <w:bookmarkStart w:id="6" w:name="ABSTRACT_START"/>
      <w:bookmarkEnd w:id="6"/>
      <w:r>
        <w:rPr>
          <w:rFonts w:ascii="Arial" w:hAnsi="Arial" w:hint="cs"/>
          <w:rtl/>
        </w:rPr>
        <w:t>הנאשמים שלפני נותנים את הדין בגין העבירות כדלקמן:</w:t>
      </w:r>
    </w:p>
    <w:p w14:paraId="25A8CEC9" w14:textId="77777777" w:rsidR="00CB2B29" w:rsidRDefault="00CB2B29" w:rsidP="00CB2B29">
      <w:pPr>
        <w:spacing w:line="360" w:lineRule="auto"/>
        <w:jc w:val="both"/>
        <w:rPr>
          <w:rFonts w:ascii="Arial" w:hAnsi="Arial"/>
          <w:rtl/>
        </w:rPr>
      </w:pPr>
    </w:p>
    <w:p w14:paraId="5811C006" w14:textId="77777777" w:rsidR="00CB2B29" w:rsidRDefault="00CB2B29" w:rsidP="00CB2B29">
      <w:pPr>
        <w:spacing w:line="360" w:lineRule="auto"/>
        <w:jc w:val="both"/>
        <w:rPr>
          <w:rFonts w:ascii="Arial" w:hAnsi="Arial"/>
          <w:rtl/>
        </w:rPr>
      </w:pPr>
      <w:r>
        <w:rPr>
          <w:rFonts w:ascii="Arial" w:hAnsi="Arial" w:hint="cs"/>
          <w:u w:val="single"/>
          <w:rtl/>
        </w:rPr>
        <w:t>נאשם 1:</w:t>
      </w:r>
    </w:p>
    <w:p w14:paraId="3C007933" w14:textId="77777777" w:rsidR="00CB2B29" w:rsidRDefault="00CB2B29" w:rsidP="00CB2B29">
      <w:pPr>
        <w:pStyle w:val="a9"/>
        <w:numPr>
          <w:ilvl w:val="0"/>
          <w:numId w:val="1"/>
        </w:numPr>
        <w:spacing w:line="360" w:lineRule="auto"/>
        <w:jc w:val="both"/>
        <w:rPr>
          <w:rFonts w:ascii="Arial" w:hAnsi="Arial"/>
        </w:rPr>
      </w:pPr>
      <w:r>
        <w:rPr>
          <w:rFonts w:ascii="Arial" w:hAnsi="Arial" w:hint="cs"/>
          <w:rtl/>
        </w:rPr>
        <w:t>החזקת נשק</w:t>
      </w:r>
      <w:r>
        <w:rPr>
          <w:rFonts w:hint="cs"/>
          <w:rtl/>
        </w:rPr>
        <w:t xml:space="preserve"> חם שלא כדין, בניגוד</w:t>
      </w:r>
      <w:r>
        <w:rPr>
          <w:rtl/>
        </w:rPr>
        <w:t xml:space="preserve"> </w:t>
      </w:r>
      <w:hyperlink r:id="rId17" w:history="1">
        <w:r w:rsidR="00304D51" w:rsidRPr="00304D51">
          <w:rPr>
            <w:rStyle w:val="Hyperlink"/>
            <w:rtl/>
          </w:rPr>
          <w:t>לסעיף 144(א)</w:t>
        </w:r>
      </w:hyperlink>
      <w:r>
        <w:rPr>
          <w:rtl/>
        </w:rPr>
        <w:t xml:space="preserve"> רישא ל</w:t>
      </w:r>
      <w:hyperlink r:id="rId18" w:history="1">
        <w:r w:rsidR="00AE3E29" w:rsidRPr="00AE3E29">
          <w:rPr>
            <w:color w:val="0000FF"/>
            <w:u w:val="single"/>
            <w:rtl/>
          </w:rPr>
          <w:t>חוק העונשין</w:t>
        </w:r>
      </w:hyperlink>
      <w:r>
        <w:rPr>
          <w:rtl/>
        </w:rPr>
        <w:t>, תשל"ז 1977 (להלן: החוק);</w:t>
      </w:r>
    </w:p>
    <w:p w14:paraId="79367D41" w14:textId="77777777" w:rsidR="00CB2B29" w:rsidRDefault="00CB2B29" w:rsidP="00CB2B29">
      <w:pPr>
        <w:pStyle w:val="a9"/>
        <w:numPr>
          <w:ilvl w:val="0"/>
          <w:numId w:val="1"/>
        </w:numPr>
        <w:spacing w:line="360" w:lineRule="auto"/>
        <w:jc w:val="both"/>
        <w:rPr>
          <w:rFonts w:ascii="Arial" w:hAnsi="Arial"/>
        </w:rPr>
      </w:pPr>
      <w:r>
        <w:rPr>
          <w:rtl/>
        </w:rPr>
        <w:t xml:space="preserve">החזקת </w:t>
      </w:r>
      <w:r>
        <w:rPr>
          <w:rFonts w:hint="cs"/>
          <w:rtl/>
        </w:rPr>
        <w:t>חלקי נשק או תחמושת,</w:t>
      </w:r>
      <w:r>
        <w:rPr>
          <w:rtl/>
        </w:rPr>
        <w:t xml:space="preserve"> </w:t>
      </w:r>
      <w:r>
        <w:rPr>
          <w:rFonts w:hint="cs"/>
          <w:rtl/>
        </w:rPr>
        <w:t xml:space="preserve">בניגוד </w:t>
      </w:r>
      <w:hyperlink r:id="rId19" w:history="1">
        <w:r w:rsidR="00304D51" w:rsidRPr="00304D51">
          <w:rPr>
            <w:rStyle w:val="Hyperlink"/>
            <w:rtl/>
          </w:rPr>
          <w:t>לסעיף 144(א)</w:t>
        </w:r>
      </w:hyperlink>
      <w:r>
        <w:rPr>
          <w:rtl/>
        </w:rPr>
        <w:t xml:space="preserve"> סיפא לחוק;</w:t>
      </w:r>
    </w:p>
    <w:p w14:paraId="3A701DC0" w14:textId="77777777" w:rsidR="00CB2B29" w:rsidRDefault="00CB2B29" w:rsidP="00CB2B29">
      <w:pPr>
        <w:pStyle w:val="a9"/>
        <w:numPr>
          <w:ilvl w:val="0"/>
          <w:numId w:val="1"/>
        </w:numPr>
        <w:spacing w:line="360" w:lineRule="auto"/>
        <w:jc w:val="both"/>
        <w:rPr>
          <w:rFonts w:ascii="Arial" w:hAnsi="Arial"/>
        </w:rPr>
      </w:pPr>
      <w:r w:rsidRPr="00F76757">
        <w:rPr>
          <w:rFonts w:ascii="Arial" w:hAnsi="Arial"/>
          <w:rtl/>
        </w:rPr>
        <w:lastRenderedPageBreak/>
        <w:t>החזקת סמים לצריכה עצמית, עבירה</w:t>
      </w:r>
      <w:r>
        <w:rPr>
          <w:rFonts w:ascii="Arial" w:hAnsi="Arial"/>
          <w:rtl/>
        </w:rPr>
        <w:t xml:space="preserve"> לפי </w:t>
      </w:r>
      <w:hyperlink r:id="rId20" w:history="1">
        <w:r w:rsidR="00304D51" w:rsidRPr="00304D51">
          <w:rPr>
            <w:rStyle w:val="Hyperlink"/>
            <w:rFonts w:ascii="Arial" w:hAnsi="Arial"/>
            <w:rtl/>
          </w:rPr>
          <w:t>סעיף 7(א)</w:t>
        </w:r>
      </w:hyperlink>
      <w:r>
        <w:rPr>
          <w:rFonts w:ascii="Arial" w:hAnsi="Arial"/>
          <w:rtl/>
        </w:rPr>
        <w:t xml:space="preserve"> + </w:t>
      </w:r>
      <w:hyperlink r:id="rId21" w:history="1">
        <w:r w:rsidR="00304D51" w:rsidRPr="00304D51">
          <w:rPr>
            <w:rStyle w:val="Hyperlink"/>
            <w:rFonts w:ascii="Arial" w:hAnsi="Arial"/>
            <w:rtl/>
          </w:rPr>
          <w:t>7(ג)(2)</w:t>
        </w:r>
      </w:hyperlink>
      <w:r w:rsidRPr="00F76757">
        <w:rPr>
          <w:rFonts w:ascii="Arial" w:hAnsi="Arial"/>
          <w:rtl/>
        </w:rPr>
        <w:t xml:space="preserve"> ל</w:t>
      </w:r>
      <w:hyperlink r:id="rId22" w:history="1">
        <w:r w:rsidR="00AE3E29" w:rsidRPr="00AE3E29">
          <w:rPr>
            <w:rFonts w:ascii="Arial" w:hAnsi="Arial"/>
            <w:color w:val="0000FF"/>
            <w:u w:val="single"/>
            <w:rtl/>
          </w:rPr>
          <w:t>פקודת הסמים המסוכנים</w:t>
        </w:r>
      </w:hyperlink>
      <w:r w:rsidRPr="00F76757">
        <w:rPr>
          <w:rFonts w:ascii="Arial" w:hAnsi="Arial"/>
          <w:rtl/>
        </w:rPr>
        <w:t xml:space="preserve"> [נוסח חדש] תשל"ג – 1973</w:t>
      </w:r>
      <w:r>
        <w:rPr>
          <w:rFonts w:ascii="Arial" w:hAnsi="Arial" w:hint="cs"/>
          <w:rtl/>
        </w:rPr>
        <w:t>.</w:t>
      </w:r>
    </w:p>
    <w:p w14:paraId="7A322165" w14:textId="77777777" w:rsidR="00CB2B29" w:rsidRPr="00F76757" w:rsidRDefault="00CB2B29" w:rsidP="00CB2B29">
      <w:pPr>
        <w:spacing w:line="360" w:lineRule="auto"/>
        <w:jc w:val="both"/>
        <w:rPr>
          <w:rFonts w:ascii="Arial" w:hAnsi="Arial"/>
          <w:rtl/>
        </w:rPr>
      </w:pPr>
    </w:p>
    <w:p w14:paraId="703806F1" w14:textId="77777777" w:rsidR="00CB2B29" w:rsidRDefault="00CB2B29" w:rsidP="00CB2B29">
      <w:pPr>
        <w:spacing w:line="360" w:lineRule="auto"/>
        <w:jc w:val="both"/>
        <w:rPr>
          <w:rFonts w:ascii="Arial" w:hAnsi="Arial"/>
          <w:rtl/>
        </w:rPr>
      </w:pPr>
      <w:r>
        <w:rPr>
          <w:rFonts w:ascii="Arial" w:hAnsi="Arial" w:hint="cs"/>
          <w:u w:val="single"/>
          <w:rtl/>
        </w:rPr>
        <w:t>נאשם 2:</w:t>
      </w:r>
    </w:p>
    <w:p w14:paraId="306F3114" w14:textId="77777777" w:rsidR="00CB2B29" w:rsidRDefault="00CB2B29" w:rsidP="00CB2B29">
      <w:pPr>
        <w:pStyle w:val="a9"/>
        <w:numPr>
          <w:ilvl w:val="0"/>
          <w:numId w:val="1"/>
        </w:numPr>
        <w:spacing w:line="360" w:lineRule="auto"/>
        <w:jc w:val="both"/>
        <w:rPr>
          <w:rFonts w:ascii="Arial" w:hAnsi="Arial"/>
        </w:rPr>
      </w:pPr>
      <w:r w:rsidRPr="00F76757">
        <w:rPr>
          <w:rFonts w:ascii="Arial" w:hAnsi="Arial"/>
          <w:rtl/>
        </w:rPr>
        <w:t xml:space="preserve">החזקת </w:t>
      </w:r>
      <w:r>
        <w:rPr>
          <w:rFonts w:ascii="Arial" w:hAnsi="Arial" w:hint="cs"/>
          <w:rtl/>
        </w:rPr>
        <w:t>תחמושת, בניגוד</w:t>
      </w:r>
      <w:r w:rsidRPr="00F76757">
        <w:rPr>
          <w:rFonts w:ascii="Arial" w:hAnsi="Arial"/>
          <w:rtl/>
        </w:rPr>
        <w:t xml:space="preserve"> </w:t>
      </w:r>
      <w:r>
        <w:rPr>
          <w:rFonts w:ascii="Arial" w:hAnsi="Arial" w:hint="cs"/>
          <w:rtl/>
        </w:rPr>
        <w:t>ל</w:t>
      </w:r>
      <w:r w:rsidRPr="00F76757">
        <w:rPr>
          <w:rFonts w:ascii="Arial" w:hAnsi="Arial"/>
          <w:rtl/>
        </w:rPr>
        <w:t xml:space="preserve">סעיף </w:t>
      </w:r>
      <w:hyperlink r:id="rId23" w:history="1">
        <w:r w:rsidR="00304D51" w:rsidRPr="00304D51">
          <w:rPr>
            <w:rStyle w:val="Hyperlink"/>
            <w:rFonts w:ascii="Arial" w:hAnsi="Arial"/>
            <w:rtl/>
          </w:rPr>
          <w:t>144 (א)</w:t>
        </w:r>
      </w:hyperlink>
      <w:r w:rsidRPr="00F76757">
        <w:rPr>
          <w:rFonts w:ascii="Arial" w:hAnsi="Arial"/>
          <w:rtl/>
        </w:rPr>
        <w:t xml:space="preserve"> סיפא לחוק</w:t>
      </w:r>
      <w:r>
        <w:rPr>
          <w:rFonts w:ascii="Arial" w:hAnsi="Arial" w:hint="cs"/>
          <w:rtl/>
        </w:rPr>
        <w:t>.</w:t>
      </w:r>
    </w:p>
    <w:p w14:paraId="34BAAAE7" w14:textId="77777777" w:rsidR="00CB2B29" w:rsidRDefault="00CB2B29" w:rsidP="00CB2B29">
      <w:pPr>
        <w:spacing w:line="360" w:lineRule="auto"/>
        <w:jc w:val="both"/>
        <w:rPr>
          <w:rFonts w:ascii="Arial" w:hAnsi="Arial"/>
          <w:rtl/>
        </w:rPr>
      </w:pPr>
      <w:bookmarkStart w:id="7" w:name="ABSTRACT_END"/>
      <w:bookmarkEnd w:id="7"/>
    </w:p>
    <w:p w14:paraId="783B2333" w14:textId="77777777" w:rsidR="00CB2B29" w:rsidRDefault="00CB2B29" w:rsidP="00CB2B29">
      <w:pPr>
        <w:spacing w:line="360" w:lineRule="auto"/>
        <w:jc w:val="both"/>
        <w:rPr>
          <w:rFonts w:ascii="Arial" w:hAnsi="Arial"/>
          <w:rtl/>
        </w:rPr>
      </w:pPr>
      <w:r>
        <w:rPr>
          <w:rFonts w:ascii="Arial" w:hAnsi="Arial" w:hint="cs"/>
          <w:rtl/>
        </w:rPr>
        <w:t>בהתאם לעובדות כתב האישום המתוקן (כא/1), הנאשמים הינם אחים, המתגוררים בבית מפוצל בשכונה 58, בית 26 ברהט, כאשר הנאשם 1 מתגורר בקומה השלישית ואילו הנאשם 2 מתגורר בקומה השניה. בני משפחה נוספים מתגוררים בקומת הקרקע (להלן: "הבית").</w:t>
      </w:r>
    </w:p>
    <w:p w14:paraId="0FC26014" w14:textId="77777777" w:rsidR="00CB2B29" w:rsidRDefault="00CB2B29" w:rsidP="00CB2B29">
      <w:pPr>
        <w:spacing w:line="360" w:lineRule="auto"/>
        <w:jc w:val="both"/>
        <w:rPr>
          <w:rFonts w:ascii="Arial" w:hAnsi="Arial"/>
          <w:rtl/>
        </w:rPr>
      </w:pPr>
    </w:p>
    <w:p w14:paraId="2EEC9F2E" w14:textId="77777777" w:rsidR="00CB2B29" w:rsidRDefault="00CB2B29" w:rsidP="00CB2B29">
      <w:pPr>
        <w:spacing w:line="360" w:lineRule="auto"/>
        <w:jc w:val="both"/>
        <w:rPr>
          <w:rFonts w:ascii="Arial" w:hAnsi="Arial"/>
          <w:rtl/>
        </w:rPr>
      </w:pPr>
      <w:r>
        <w:rPr>
          <w:rFonts w:ascii="Arial" w:hAnsi="Arial" w:hint="cs"/>
          <w:rtl/>
        </w:rPr>
        <w:t>בתאריך 29.10.20, במסגרת פעילות משטרתית יזומה, נערך חיפוש בבית.</w:t>
      </w:r>
    </w:p>
    <w:p w14:paraId="46A37F3A" w14:textId="77777777" w:rsidR="00CB2B29" w:rsidRDefault="00CB2B29" w:rsidP="00CB2B29">
      <w:pPr>
        <w:spacing w:line="360" w:lineRule="auto"/>
        <w:jc w:val="both"/>
        <w:rPr>
          <w:rFonts w:ascii="Arial" w:hAnsi="Arial"/>
          <w:rtl/>
        </w:rPr>
      </w:pPr>
      <w:r>
        <w:rPr>
          <w:rFonts w:ascii="Arial" w:hAnsi="Arial" w:hint="cs"/>
          <w:rtl/>
        </w:rPr>
        <w:t xml:space="preserve">במהלך החיפוש, אותרו בקומה השלישית, בה מתגורר הנאשם 1, כלי נשק, חלקי נשק ותחמושת כמפורט להלן: נשק דמוי רובה סער מסוג </w:t>
      </w:r>
      <w:r w:rsidRPr="00391D30">
        <w:rPr>
          <w:rFonts w:ascii="David" w:hAnsi="David"/>
        </w:rPr>
        <w:t>M</w:t>
      </w:r>
      <w:r>
        <w:rPr>
          <w:rFonts w:ascii="David" w:hAnsi="David"/>
        </w:rPr>
        <w:t>-</w:t>
      </w:r>
      <w:r w:rsidRPr="00391D30">
        <w:rPr>
          <w:rFonts w:ascii="David" w:hAnsi="David"/>
        </w:rPr>
        <w:t>16</w:t>
      </w:r>
      <w:r>
        <w:rPr>
          <w:rFonts w:ascii="Arial" w:hAnsi="Arial" w:hint="cs"/>
          <w:rtl/>
        </w:rPr>
        <w:t xml:space="preserve"> מפורק לשניים, שיורה ובכוחו להמית אדם; מחסנית ובתוכה כדור 5.56 מ"מ; מחסנית עם 18 כדורים 5.56 מ"מ; שלושה כדורי 9 מ"מ; 56 כדורי 5.56 מ"מ בתפזורת; קופסה ובה 12 כדורי אקדח 9 מ"מ; חלק מנשק </w:t>
      </w:r>
      <w:r>
        <w:rPr>
          <w:rFonts w:ascii="Arial" w:hAnsi="Arial"/>
          <w:rtl/>
        </w:rPr>
        <w:t>–</w:t>
      </w:r>
      <w:r>
        <w:rPr>
          <w:rFonts w:ascii="Arial" w:hAnsi="Arial" w:hint="cs"/>
          <w:rtl/>
        </w:rPr>
        <w:t xml:space="preserve"> תריס של </w:t>
      </w:r>
      <w:r w:rsidRPr="00391D30">
        <w:rPr>
          <w:rFonts w:ascii="David" w:hAnsi="David"/>
        </w:rPr>
        <w:t>M</w:t>
      </w:r>
      <w:r>
        <w:rPr>
          <w:rFonts w:ascii="David" w:hAnsi="David"/>
        </w:rPr>
        <w:t>-</w:t>
      </w:r>
      <w:r w:rsidRPr="00391D30">
        <w:rPr>
          <w:rFonts w:ascii="David" w:hAnsi="David"/>
        </w:rPr>
        <w:t>16</w:t>
      </w:r>
      <w:r>
        <w:rPr>
          <w:rFonts w:ascii="Arial" w:hAnsi="Arial" w:hint="cs"/>
          <w:rtl/>
        </w:rPr>
        <w:t>; שתי קופסאות של כדורים 5.56 מ"מ, כאשר בתוך כל אחת, 30 כדורים, ובסך הכל, 60 כדורים בשתי הקופסאות יחדיו.</w:t>
      </w:r>
    </w:p>
    <w:p w14:paraId="0954B3E8" w14:textId="77777777" w:rsidR="00CB2B29" w:rsidRDefault="00CB2B29" w:rsidP="00CB2B29">
      <w:pPr>
        <w:spacing w:line="360" w:lineRule="auto"/>
        <w:jc w:val="both"/>
        <w:rPr>
          <w:rFonts w:ascii="Arial" w:hAnsi="Arial"/>
          <w:rtl/>
        </w:rPr>
      </w:pPr>
    </w:p>
    <w:p w14:paraId="11868AF9" w14:textId="77777777" w:rsidR="00CB2B29" w:rsidRDefault="00CB2B29" w:rsidP="00CB2B29">
      <w:pPr>
        <w:spacing w:line="360" w:lineRule="auto"/>
        <w:jc w:val="both"/>
        <w:rPr>
          <w:rFonts w:ascii="Arial" w:hAnsi="Arial"/>
          <w:rtl/>
        </w:rPr>
      </w:pPr>
      <w:r>
        <w:rPr>
          <w:rFonts w:ascii="Arial" w:hAnsi="Arial" w:hint="cs"/>
          <w:rtl/>
        </w:rPr>
        <w:t>בנוסף, במהלך החיפוש, נתפסו סמים מסוג קנבוס במשקל כ-25 גרם השייכים לנאשם 1.</w:t>
      </w:r>
    </w:p>
    <w:p w14:paraId="718E3511" w14:textId="77777777" w:rsidR="00CB2B29" w:rsidRDefault="00CB2B29" w:rsidP="00CB2B29">
      <w:pPr>
        <w:spacing w:line="360" w:lineRule="auto"/>
        <w:jc w:val="both"/>
        <w:rPr>
          <w:rFonts w:ascii="Arial" w:hAnsi="Arial"/>
          <w:rtl/>
        </w:rPr>
      </w:pPr>
    </w:p>
    <w:p w14:paraId="7796B95F" w14:textId="77777777" w:rsidR="00CB2B29" w:rsidRDefault="00CB2B29" w:rsidP="00CB2B29">
      <w:pPr>
        <w:spacing w:line="360" w:lineRule="auto"/>
        <w:jc w:val="both"/>
        <w:rPr>
          <w:rFonts w:ascii="Arial" w:hAnsi="Arial"/>
          <w:rtl/>
        </w:rPr>
      </w:pPr>
      <w:r>
        <w:rPr>
          <w:rFonts w:ascii="Arial" w:hAnsi="Arial" w:hint="cs"/>
          <w:rtl/>
        </w:rPr>
        <w:t xml:space="preserve">במהלך החיפוש, נתפסו בקומה השניה, בה מתגורר הנאשם 2 </w:t>
      </w:r>
      <w:r>
        <w:rPr>
          <w:rFonts w:ascii="Arial" w:hAnsi="Arial"/>
          <w:rtl/>
        </w:rPr>
        <w:t>–</w:t>
      </w:r>
      <w:r>
        <w:rPr>
          <w:rFonts w:ascii="Arial" w:hAnsi="Arial" w:hint="cs"/>
          <w:rtl/>
        </w:rPr>
        <w:t xml:space="preserve">  8 כדורים מסוג 7.62 מ"מ.</w:t>
      </w:r>
    </w:p>
    <w:p w14:paraId="6C525670" w14:textId="77777777" w:rsidR="00CB2B29" w:rsidRDefault="00CB2B29" w:rsidP="00CB2B29">
      <w:pPr>
        <w:spacing w:line="360" w:lineRule="auto"/>
        <w:jc w:val="both"/>
        <w:rPr>
          <w:rFonts w:ascii="Arial" w:hAnsi="Arial"/>
          <w:rtl/>
        </w:rPr>
      </w:pPr>
    </w:p>
    <w:p w14:paraId="2DCAFA4E" w14:textId="77777777" w:rsidR="00CB2B29" w:rsidRDefault="00CB2B29" w:rsidP="00CB2B29">
      <w:pPr>
        <w:spacing w:line="360" w:lineRule="auto"/>
        <w:jc w:val="both"/>
        <w:rPr>
          <w:rFonts w:ascii="Arial" w:hAnsi="Arial"/>
          <w:rtl/>
        </w:rPr>
      </w:pPr>
      <w:r>
        <w:rPr>
          <w:rFonts w:ascii="Arial" w:hAnsi="Arial" w:hint="cs"/>
          <w:rtl/>
        </w:rPr>
        <w:t xml:space="preserve">כמו כן, במהלך החיפוש, נתפס ברכב מסוג טויוטה קורולה מ.ר. 7648063, השייך לנאשם 2 </w:t>
      </w:r>
      <w:r>
        <w:rPr>
          <w:rFonts w:ascii="Arial" w:hAnsi="Arial"/>
          <w:rtl/>
        </w:rPr>
        <w:t>–</w:t>
      </w:r>
      <w:r>
        <w:rPr>
          <w:rFonts w:ascii="Arial" w:hAnsi="Arial" w:hint="cs"/>
          <w:rtl/>
        </w:rPr>
        <w:t xml:space="preserve">  3 כדורים מסוג 5.56 מ"מ.</w:t>
      </w:r>
    </w:p>
    <w:p w14:paraId="5EF1404D" w14:textId="77777777" w:rsidR="00CB2B29" w:rsidRDefault="00CB2B29" w:rsidP="00CB2B29">
      <w:pPr>
        <w:spacing w:line="360" w:lineRule="auto"/>
        <w:jc w:val="both"/>
        <w:rPr>
          <w:rFonts w:ascii="Arial" w:hAnsi="Arial"/>
          <w:rtl/>
        </w:rPr>
      </w:pPr>
    </w:p>
    <w:p w14:paraId="683CAC20" w14:textId="77777777" w:rsidR="00CB2B29" w:rsidRDefault="00CB2B29" w:rsidP="00CB2B29">
      <w:pPr>
        <w:spacing w:line="360" w:lineRule="auto"/>
        <w:jc w:val="both"/>
        <w:rPr>
          <w:rFonts w:ascii="Arial" w:hAnsi="Arial"/>
          <w:rtl/>
        </w:rPr>
      </w:pPr>
      <w:r>
        <w:rPr>
          <w:rFonts w:ascii="Arial" w:hAnsi="Arial" w:hint="cs"/>
          <w:rtl/>
        </w:rPr>
        <w:t>בין הצדדים נקשר הסדר טיעון (ת/1), במסגרתו תוקן כתב האישום, הנאשמים הורשעו על פי הודאתם בעובדות ובעבירות שבכתב האישום המתוקן, והתביעה חזרה בה מאישום נגד נאשמת נוספת, שהועמדה לדין בכתב האישום המקורי.</w:t>
      </w:r>
    </w:p>
    <w:p w14:paraId="7AA445E0" w14:textId="77777777" w:rsidR="00CB2B29" w:rsidRDefault="00CB2B29" w:rsidP="00CB2B29">
      <w:pPr>
        <w:spacing w:line="360" w:lineRule="auto"/>
        <w:jc w:val="both"/>
        <w:rPr>
          <w:rFonts w:ascii="Arial" w:hAnsi="Arial"/>
          <w:rtl/>
        </w:rPr>
      </w:pPr>
    </w:p>
    <w:p w14:paraId="0B19A50E" w14:textId="77777777" w:rsidR="00CB2B29" w:rsidRDefault="00CB2B29" w:rsidP="00CB2B29">
      <w:pPr>
        <w:spacing w:line="360" w:lineRule="auto"/>
        <w:jc w:val="both"/>
        <w:rPr>
          <w:rFonts w:ascii="Arial" w:hAnsi="Arial"/>
          <w:rtl/>
        </w:rPr>
      </w:pPr>
      <w:r>
        <w:rPr>
          <w:rFonts w:ascii="Arial" w:hAnsi="Arial" w:hint="cs"/>
          <w:rtl/>
        </w:rPr>
        <w:t xml:space="preserve">הסדר הטיעון לא כלל הסכמה עונשית, למעט סיכום, לפיו המאסר המותנה שיושת על הנאשם 1 </w:t>
      </w:r>
      <w:r>
        <w:rPr>
          <w:rFonts w:ascii="Arial" w:hAnsi="Arial"/>
          <w:rtl/>
        </w:rPr>
        <w:t>–</w:t>
      </w:r>
      <w:r>
        <w:rPr>
          <w:rFonts w:ascii="Arial" w:hAnsi="Arial" w:hint="cs"/>
          <w:rtl/>
        </w:rPr>
        <w:t xml:space="preserve"> יכלול גם עבירות נגד </w:t>
      </w:r>
      <w:hyperlink r:id="rId24" w:history="1">
        <w:r w:rsidR="00AE3E29" w:rsidRPr="00AE3E29">
          <w:rPr>
            <w:rFonts w:ascii="Arial" w:hAnsi="Arial"/>
            <w:color w:val="0000FF"/>
            <w:u w:val="single"/>
            <w:rtl/>
          </w:rPr>
          <w:t>פקודת הסמים המסוכנים</w:t>
        </w:r>
      </w:hyperlink>
      <w:r>
        <w:rPr>
          <w:rFonts w:ascii="Arial" w:hAnsi="Arial" w:hint="cs"/>
          <w:rtl/>
        </w:rPr>
        <w:t xml:space="preserve">, הן מסוג עוון והן מסוג פשע. </w:t>
      </w:r>
    </w:p>
    <w:p w14:paraId="71DDB52B" w14:textId="77777777" w:rsidR="00CB2B29" w:rsidRDefault="00CB2B29" w:rsidP="00CB2B29">
      <w:pPr>
        <w:spacing w:line="360" w:lineRule="auto"/>
        <w:jc w:val="both"/>
        <w:rPr>
          <w:rFonts w:ascii="Arial" w:hAnsi="Arial"/>
          <w:rtl/>
        </w:rPr>
      </w:pPr>
    </w:p>
    <w:p w14:paraId="617C1D78" w14:textId="77777777" w:rsidR="00CB2B29" w:rsidRDefault="00CB2B29" w:rsidP="00CB2B29">
      <w:pPr>
        <w:spacing w:line="360" w:lineRule="auto"/>
        <w:jc w:val="both"/>
        <w:rPr>
          <w:rFonts w:ascii="Arial" w:hAnsi="Arial"/>
          <w:rtl/>
        </w:rPr>
      </w:pPr>
      <w:r>
        <w:rPr>
          <w:rFonts w:ascii="Arial" w:hAnsi="Arial" w:hint="cs"/>
          <w:rtl/>
        </w:rPr>
        <w:t xml:space="preserve">מכאן </w:t>
      </w:r>
      <w:r>
        <w:rPr>
          <w:rFonts w:ascii="Arial" w:hAnsi="Arial"/>
          <w:rtl/>
        </w:rPr>
        <w:t>–</w:t>
      </w:r>
      <w:r>
        <w:rPr>
          <w:rFonts w:ascii="Arial" w:hAnsi="Arial" w:hint="cs"/>
          <w:rtl/>
        </w:rPr>
        <w:t xml:space="preserve"> גזר דין זה.</w:t>
      </w:r>
    </w:p>
    <w:p w14:paraId="71835F54" w14:textId="77777777" w:rsidR="00CB2B29" w:rsidRDefault="00CB2B29" w:rsidP="00CB2B29">
      <w:pPr>
        <w:spacing w:line="360" w:lineRule="auto"/>
        <w:jc w:val="both"/>
        <w:rPr>
          <w:rFonts w:ascii="Arial" w:hAnsi="Arial"/>
          <w:rtl/>
        </w:rPr>
      </w:pPr>
    </w:p>
    <w:p w14:paraId="57ED1871" w14:textId="77777777" w:rsidR="00CB2B29" w:rsidRDefault="00CB2B29" w:rsidP="00CB2B29">
      <w:pPr>
        <w:spacing w:line="360" w:lineRule="auto"/>
        <w:jc w:val="both"/>
        <w:rPr>
          <w:rFonts w:ascii="Arial" w:hAnsi="Arial"/>
          <w:rtl/>
        </w:rPr>
      </w:pPr>
    </w:p>
    <w:p w14:paraId="3DCF9BDD" w14:textId="77777777" w:rsidR="00CB2B29" w:rsidRDefault="00CB2B29" w:rsidP="00CB2B29">
      <w:pPr>
        <w:spacing w:line="360" w:lineRule="auto"/>
        <w:jc w:val="both"/>
        <w:rPr>
          <w:rFonts w:ascii="Arial" w:hAnsi="Arial"/>
          <w:rtl/>
        </w:rPr>
      </w:pPr>
    </w:p>
    <w:p w14:paraId="609B4DF1" w14:textId="77777777" w:rsidR="00CB2B29" w:rsidRDefault="00CB2B29" w:rsidP="00CB2B29">
      <w:pPr>
        <w:spacing w:line="360" w:lineRule="auto"/>
        <w:jc w:val="both"/>
        <w:rPr>
          <w:rFonts w:ascii="Arial" w:hAnsi="Arial"/>
          <w:rtl/>
        </w:rPr>
      </w:pPr>
      <w:r>
        <w:rPr>
          <w:rFonts w:ascii="Arial" w:hAnsi="Arial" w:hint="cs"/>
          <w:b/>
          <w:bCs/>
          <w:rtl/>
        </w:rPr>
        <w:t>ראיות לעונש</w:t>
      </w:r>
    </w:p>
    <w:p w14:paraId="4109FC87" w14:textId="77777777" w:rsidR="00CB2B29" w:rsidRDefault="00CB2B29" w:rsidP="00CB2B29">
      <w:pPr>
        <w:spacing w:line="360" w:lineRule="auto"/>
        <w:jc w:val="both"/>
        <w:rPr>
          <w:rFonts w:ascii="Arial" w:hAnsi="Arial"/>
          <w:rtl/>
        </w:rPr>
      </w:pPr>
    </w:p>
    <w:p w14:paraId="3729A90D" w14:textId="77777777" w:rsidR="00CB2B29" w:rsidRDefault="00CB2B29" w:rsidP="00CB2B29">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ראיות לעניין העונש, כדלקמן:</w:t>
      </w:r>
    </w:p>
    <w:p w14:paraId="544721AD" w14:textId="77777777" w:rsidR="00CB2B29" w:rsidRDefault="00CB2B29" w:rsidP="00CB2B29">
      <w:pPr>
        <w:spacing w:line="360" w:lineRule="auto"/>
        <w:jc w:val="both"/>
        <w:rPr>
          <w:rFonts w:ascii="Arial" w:hAnsi="Arial"/>
          <w:rtl/>
        </w:rPr>
      </w:pPr>
    </w:p>
    <w:p w14:paraId="47E3CE67" w14:textId="77777777" w:rsidR="00CB2B29" w:rsidRPr="0040670C" w:rsidRDefault="00CB2B29" w:rsidP="00CB2B29">
      <w:pPr>
        <w:pStyle w:val="a9"/>
        <w:numPr>
          <w:ilvl w:val="0"/>
          <w:numId w:val="1"/>
        </w:numPr>
        <w:spacing w:line="360" w:lineRule="auto"/>
        <w:jc w:val="both"/>
        <w:rPr>
          <w:rFonts w:ascii="A028 Extrabold" w:hAnsi="A028 Extrabold"/>
        </w:rPr>
      </w:pPr>
      <w:r w:rsidRPr="0040670C">
        <w:rPr>
          <w:rFonts w:ascii="A028 Extrabold" w:hAnsi="A028 Extrabold" w:hint="cs"/>
          <w:rtl/>
        </w:rPr>
        <w:t xml:space="preserve">גליון הרשעות קודמות פלילי לנאשם 1 </w:t>
      </w:r>
      <w:r>
        <w:rPr>
          <w:rFonts w:ascii="A028 Extrabold" w:hAnsi="A028 Extrabold" w:hint="cs"/>
          <w:rtl/>
        </w:rPr>
        <w:t>(</w:t>
      </w:r>
      <w:r w:rsidRPr="0040670C">
        <w:rPr>
          <w:rFonts w:ascii="A028 Extrabold" w:hAnsi="A028 Extrabold" w:hint="cs"/>
          <w:rtl/>
        </w:rPr>
        <w:t>ת/2א'</w:t>
      </w:r>
      <w:r>
        <w:rPr>
          <w:rFonts w:ascii="A028 Extrabold" w:hAnsi="A028 Extrabold" w:hint="cs"/>
          <w:rtl/>
        </w:rPr>
        <w:t xml:space="preserve">) </w:t>
      </w:r>
      <w:r>
        <w:rPr>
          <w:rFonts w:ascii="A028 Extrabold" w:hAnsi="A028 Extrabold"/>
          <w:rtl/>
        </w:rPr>
        <w:t>–</w:t>
      </w:r>
      <w:r>
        <w:rPr>
          <w:rFonts w:ascii="A028 Extrabold" w:hAnsi="A028 Extrabold" w:hint="cs"/>
          <w:rtl/>
        </w:rPr>
        <w:t xml:space="preserve"> לחובת הנאשם הרשעה מיום 15.01.18 בעבירת תקיפה בצוותא</w:t>
      </w:r>
      <w:r w:rsidRPr="0040670C">
        <w:rPr>
          <w:rFonts w:ascii="A028 Extrabold" w:hAnsi="A028 Extrabold" w:hint="cs"/>
          <w:rtl/>
        </w:rPr>
        <w:t xml:space="preserve">; </w:t>
      </w:r>
    </w:p>
    <w:p w14:paraId="0972161F" w14:textId="77777777" w:rsidR="00CB2B29" w:rsidRPr="0040670C" w:rsidRDefault="00CB2B29" w:rsidP="00CB2B29">
      <w:pPr>
        <w:pStyle w:val="a9"/>
        <w:numPr>
          <w:ilvl w:val="0"/>
          <w:numId w:val="1"/>
        </w:numPr>
        <w:spacing w:line="360" w:lineRule="auto"/>
        <w:jc w:val="both"/>
        <w:rPr>
          <w:rFonts w:ascii="A028 Extrabold" w:hAnsi="A028 Extrabold"/>
        </w:rPr>
      </w:pPr>
      <w:r w:rsidRPr="0040670C">
        <w:rPr>
          <w:rFonts w:ascii="A028 Extrabold" w:hAnsi="A028 Extrabold" w:hint="cs"/>
          <w:rtl/>
        </w:rPr>
        <w:t xml:space="preserve">גליון הרשעות קודמות תעבורתי לנאשם 1 </w:t>
      </w:r>
      <w:r>
        <w:rPr>
          <w:rFonts w:ascii="A028 Extrabold" w:hAnsi="A028 Extrabold" w:hint="cs"/>
          <w:rtl/>
        </w:rPr>
        <w:t>(</w:t>
      </w:r>
      <w:r w:rsidRPr="0040670C">
        <w:rPr>
          <w:rFonts w:ascii="A028 Extrabold" w:hAnsi="A028 Extrabold" w:hint="cs"/>
          <w:rtl/>
        </w:rPr>
        <w:t>ת/2ב'</w:t>
      </w:r>
      <w:r>
        <w:rPr>
          <w:rFonts w:ascii="A028 Extrabold" w:hAnsi="A028 Extrabold" w:hint="cs"/>
          <w:rtl/>
        </w:rPr>
        <w:t xml:space="preserve">) </w:t>
      </w:r>
      <w:r>
        <w:rPr>
          <w:rFonts w:ascii="A028 Extrabold" w:hAnsi="A028 Extrabold"/>
          <w:rtl/>
        </w:rPr>
        <w:t>–</w:t>
      </w:r>
      <w:r>
        <w:rPr>
          <w:rFonts w:ascii="A028 Extrabold" w:hAnsi="A028 Extrabold" w:hint="cs"/>
          <w:rtl/>
        </w:rPr>
        <w:t xml:space="preserve"> לחובת הנאשם הרשעות תעבורתיות, שאינן מן העניין</w:t>
      </w:r>
      <w:r w:rsidRPr="0040670C">
        <w:rPr>
          <w:rFonts w:ascii="A028 Extrabold" w:hAnsi="A028 Extrabold" w:hint="cs"/>
          <w:rtl/>
        </w:rPr>
        <w:t xml:space="preserve">; </w:t>
      </w:r>
    </w:p>
    <w:p w14:paraId="78C7486C" w14:textId="77777777" w:rsidR="00CB2B29" w:rsidRPr="0040670C" w:rsidRDefault="00CB2B29" w:rsidP="00CB2B29">
      <w:pPr>
        <w:pStyle w:val="a9"/>
        <w:numPr>
          <w:ilvl w:val="0"/>
          <w:numId w:val="1"/>
        </w:numPr>
        <w:spacing w:line="360" w:lineRule="auto"/>
        <w:jc w:val="both"/>
        <w:rPr>
          <w:rFonts w:ascii="A028 Extrabold" w:hAnsi="A028 Extrabold"/>
        </w:rPr>
      </w:pPr>
      <w:r w:rsidRPr="0040670C">
        <w:rPr>
          <w:rFonts w:ascii="A028 Extrabold" w:hAnsi="A028 Extrabold" w:hint="cs"/>
          <w:rtl/>
        </w:rPr>
        <w:t xml:space="preserve">הכרעת דין וגזר דין, </w:t>
      </w:r>
      <w:hyperlink r:id="rId25" w:history="1">
        <w:r w:rsidR="00AE3E29" w:rsidRPr="00AE3E29">
          <w:rPr>
            <w:rFonts w:ascii="A028 Extrabold" w:hAnsi="A028 Extrabold" w:hint="eastAsia"/>
            <w:color w:val="0000FF"/>
            <w:u w:val="single"/>
            <w:rtl/>
          </w:rPr>
          <w:t>ת</w:t>
        </w:r>
        <w:r w:rsidR="00AE3E29" w:rsidRPr="00AE3E29">
          <w:rPr>
            <w:rFonts w:ascii="A028 Extrabold" w:hAnsi="A028 Extrabold"/>
            <w:color w:val="0000FF"/>
            <w:u w:val="single"/>
            <w:rtl/>
          </w:rPr>
          <w:t>"</w:t>
        </w:r>
        <w:r w:rsidR="00AE3E29" w:rsidRPr="00AE3E29">
          <w:rPr>
            <w:rFonts w:ascii="A028 Extrabold" w:hAnsi="A028 Extrabold" w:hint="eastAsia"/>
            <w:color w:val="0000FF"/>
            <w:u w:val="single"/>
            <w:rtl/>
          </w:rPr>
          <w:t>פ</w:t>
        </w:r>
        <w:r w:rsidR="00AE3E29" w:rsidRPr="00AE3E29">
          <w:rPr>
            <w:rFonts w:ascii="A028 Extrabold" w:hAnsi="A028 Extrabold"/>
            <w:color w:val="0000FF"/>
            <w:u w:val="single"/>
            <w:rtl/>
          </w:rPr>
          <w:t xml:space="preserve"> 10876-10-17</w:t>
        </w:r>
      </w:hyperlink>
      <w:r w:rsidRPr="0040670C">
        <w:rPr>
          <w:rFonts w:ascii="A028 Extrabold" w:hAnsi="A028 Extrabold" w:hint="cs"/>
          <w:rtl/>
        </w:rPr>
        <w:t xml:space="preserve"> מיום 15.01.18 בנוגע לנאשם 1 </w:t>
      </w:r>
      <w:r>
        <w:rPr>
          <w:rFonts w:ascii="A028 Extrabold" w:hAnsi="A028 Extrabold" w:hint="cs"/>
          <w:rtl/>
        </w:rPr>
        <w:t xml:space="preserve">(ת/3) </w:t>
      </w:r>
      <w:r>
        <w:rPr>
          <w:rFonts w:ascii="A028 Extrabold" w:hAnsi="A028 Extrabold"/>
          <w:rtl/>
        </w:rPr>
        <w:t>–</w:t>
      </w:r>
      <w:r>
        <w:rPr>
          <w:rFonts w:ascii="A028 Extrabold" w:hAnsi="A028 Extrabold" w:hint="cs"/>
          <w:rtl/>
        </w:rPr>
        <w:t xml:space="preserve"> הנאשם הורשע, במסגרת הסדר טיעון, ביום 15.01.18 בעבירה של תקיפה בנסיבות מחמירות, ע"י שניים או יותר. במסגרת ההסדר, שכלל הסכמה עונשית, נגזרו עליו, 6 חודשי מאסר בפועל בניכוי ימי מעצרו; 8 חודשי מאסר על תנאי למשך 3 שנים מיום שחרורו, שלא יעבור כל עבירת אלימות מסוג פשע; 5 חודשי מאסר על תנאי למשך 3 שנים מיום שחרורו, שלא יעבור כל עבירת אלימות מסוג עוון; קנס בסך 2,000 </w:t>
      </w:r>
      <w:r>
        <w:rPr>
          <w:rFonts w:ascii="A028 Extrabold" w:hAnsi="A028 Extrabold" w:hint="eastAsia"/>
          <w:rtl/>
        </w:rPr>
        <w:t>₪</w:t>
      </w:r>
      <w:r>
        <w:rPr>
          <w:rFonts w:ascii="A028 Extrabold" w:hAnsi="A028 Extrabold" w:hint="cs"/>
          <w:rtl/>
        </w:rPr>
        <w:t xml:space="preserve">; התחייבות בסך 4,000 </w:t>
      </w:r>
      <w:r>
        <w:rPr>
          <w:rFonts w:ascii="A028 Extrabold" w:hAnsi="A028 Extrabold" w:hint="eastAsia"/>
          <w:rtl/>
        </w:rPr>
        <w:t>₪</w:t>
      </w:r>
      <w:r>
        <w:rPr>
          <w:rFonts w:ascii="A028 Extrabold" w:hAnsi="A028 Extrabold" w:hint="cs"/>
          <w:rtl/>
        </w:rPr>
        <w:t xml:space="preserve"> שלא יעבור כל עבירת אלימות, למשך שנתיים מיום שחרורו ממאסר;</w:t>
      </w:r>
      <w:r w:rsidRPr="0040670C">
        <w:rPr>
          <w:rFonts w:ascii="A028 Extrabold" w:hAnsi="A028 Extrabold" w:hint="cs"/>
          <w:rtl/>
        </w:rPr>
        <w:t xml:space="preserve"> </w:t>
      </w:r>
    </w:p>
    <w:p w14:paraId="10325B09" w14:textId="77777777" w:rsidR="00CB2B29" w:rsidRPr="0040670C" w:rsidRDefault="00CB2B29" w:rsidP="00CB2B29">
      <w:pPr>
        <w:pStyle w:val="a9"/>
        <w:numPr>
          <w:ilvl w:val="0"/>
          <w:numId w:val="1"/>
        </w:numPr>
        <w:spacing w:line="360" w:lineRule="auto"/>
        <w:jc w:val="both"/>
        <w:rPr>
          <w:rFonts w:ascii="A028 Extrabold" w:hAnsi="A028 Extrabold"/>
        </w:rPr>
      </w:pPr>
      <w:r w:rsidRPr="0040670C">
        <w:rPr>
          <w:rFonts w:ascii="A028 Extrabold" w:hAnsi="A028 Extrabold" w:hint="cs"/>
          <w:rtl/>
        </w:rPr>
        <w:t xml:space="preserve">גליון הרשעות קודמות פלילי לנאשם </w:t>
      </w:r>
      <w:r>
        <w:rPr>
          <w:rFonts w:ascii="A028 Extrabold" w:hAnsi="A028 Extrabold" w:hint="cs"/>
          <w:rtl/>
        </w:rPr>
        <w:t>2</w:t>
      </w:r>
      <w:r w:rsidRPr="0040670C">
        <w:rPr>
          <w:rFonts w:ascii="A028 Extrabold" w:hAnsi="A028 Extrabold" w:hint="cs"/>
          <w:rtl/>
        </w:rPr>
        <w:t xml:space="preserve"> </w:t>
      </w:r>
      <w:r>
        <w:rPr>
          <w:rFonts w:ascii="A028 Extrabold" w:hAnsi="A028 Extrabold" w:hint="cs"/>
          <w:rtl/>
        </w:rPr>
        <w:t>(</w:t>
      </w:r>
      <w:r w:rsidRPr="0040670C">
        <w:rPr>
          <w:rFonts w:ascii="A028 Extrabold" w:hAnsi="A028 Extrabold" w:hint="cs"/>
          <w:rtl/>
        </w:rPr>
        <w:t>ת/4א'</w:t>
      </w:r>
      <w:r>
        <w:rPr>
          <w:rFonts w:ascii="A028 Extrabold" w:hAnsi="A028 Extrabold" w:hint="cs"/>
          <w:rtl/>
        </w:rPr>
        <w:t xml:space="preserve">) </w:t>
      </w:r>
      <w:r>
        <w:rPr>
          <w:rFonts w:ascii="A028 Extrabold" w:hAnsi="A028 Extrabold"/>
          <w:rtl/>
        </w:rPr>
        <w:t>–</w:t>
      </w:r>
      <w:r>
        <w:rPr>
          <w:rFonts w:ascii="A028 Extrabold" w:hAnsi="A028 Extrabold" w:hint="cs"/>
          <w:rtl/>
        </w:rPr>
        <w:t xml:space="preserve"> לחובת הנאשם הרשעות, בעבירות סמים; מין; נשק; אלימות, אם כי, אין לחובתו הרשעות מהתקופה האחרונה</w:t>
      </w:r>
      <w:r w:rsidRPr="0040670C">
        <w:rPr>
          <w:rFonts w:ascii="A028 Extrabold" w:hAnsi="A028 Extrabold" w:hint="cs"/>
          <w:rtl/>
        </w:rPr>
        <w:t xml:space="preserve">; </w:t>
      </w:r>
    </w:p>
    <w:p w14:paraId="76DB2F39" w14:textId="77777777" w:rsidR="00CB2B29" w:rsidRDefault="00CB2B29" w:rsidP="00CB2B29">
      <w:pPr>
        <w:pStyle w:val="a9"/>
        <w:numPr>
          <w:ilvl w:val="0"/>
          <w:numId w:val="1"/>
        </w:numPr>
        <w:spacing w:line="360" w:lineRule="auto"/>
        <w:jc w:val="both"/>
        <w:rPr>
          <w:rFonts w:ascii="A028 Extrabold" w:hAnsi="A028 Extrabold"/>
        </w:rPr>
      </w:pPr>
      <w:r w:rsidRPr="0040670C">
        <w:rPr>
          <w:rFonts w:ascii="A028 Extrabold" w:hAnsi="A028 Extrabold" w:hint="cs"/>
          <w:rtl/>
        </w:rPr>
        <w:t xml:space="preserve">גליון הרשעות קודמות תעבורתי לנאשם </w:t>
      </w:r>
      <w:r>
        <w:rPr>
          <w:rFonts w:ascii="A028 Extrabold" w:hAnsi="A028 Extrabold" w:hint="cs"/>
          <w:rtl/>
        </w:rPr>
        <w:t>2</w:t>
      </w:r>
      <w:r w:rsidRPr="0040670C">
        <w:rPr>
          <w:rFonts w:ascii="A028 Extrabold" w:hAnsi="A028 Extrabold" w:hint="cs"/>
          <w:rtl/>
        </w:rPr>
        <w:t xml:space="preserve"> </w:t>
      </w:r>
      <w:r>
        <w:rPr>
          <w:rFonts w:ascii="A028 Extrabold" w:hAnsi="A028 Extrabold" w:hint="cs"/>
          <w:rtl/>
        </w:rPr>
        <w:t>(</w:t>
      </w:r>
      <w:r w:rsidRPr="0040670C">
        <w:rPr>
          <w:rFonts w:ascii="A028 Extrabold" w:hAnsi="A028 Extrabold" w:hint="cs"/>
          <w:rtl/>
        </w:rPr>
        <w:t>ת/4ב'</w:t>
      </w:r>
      <w:r>
        <w:rPr>
          <w:rFonts w:ascii="A028 Extrabold" w:hAnsi="A028 Extrabold" w:hint="cs"/>
          <w:rtl/>
        </w:rPr>
        <w:t xml:space="preserve">) </w:t>
      </w:r>
      <w:r>
        <w:rPr>
          <w:rFonts w:ascii="A028 Extrabold" w:hAnsi="A028 Extrabold"/>
          <w:rtl/>
        </w:rPr>
        <w:t>–</w:t>
      </w:r>
      <w:r>
        <w:rPr>
          <w:rFonts w:ascii="A028 Extrabold" w:hAnsi="A028 Extrabold" w:hint="cs"/>
          <w:rtl/>
        </w:rPr>
        <w:t xml:space="preserve"> לחובת הנאשם הרשעות תעבורתיות שאינן מן העניין</w:t>
      </w:r>
      <w:r w:rsidRPr="0040670C">
        <w:rPr>
          <w:rFonts w:ascii="A028 Extrabold" w:hAnsi="A028 Extrabold" w:hint="cs"/>
          <w:rtl/>
        </w:rPr>
        <w:t xml:space="preserve">. </w:t>
      </w:r>
    </w:p>
    <w:p w14:paraId="51AF9E6F" w14:textId="77777777" w:rsidR="00CB2B29" w:rsidRDefault="00CB2B29" w:rsidP="00CB2B29">
      <w:pPr>
        <w:spacing w:line="360" w:lineRule="auto"/>
        <w:jc w:val="both"/>
        <w:rPr>
          <w:rFonts w:ascii="A028 Extrabold" w:hAnsi="A028 Extrabold"/>
          <w:rtl/>
        </w:rPr>
      </w:pPr>
    </w:p>
    <w:p w14:paraId="595DE48F" w14:textId="77777777" w:rsidR="00CB2B29" w:rsidRDefault="00CB2B29" w:rsidP="00CB2B29">
      <w:pPr>
        <w:spacing w:line="360" w:lineRule="auto"/>
        <w:jc w:val="both"/>
        <w:rPr>
          <w:rFonts w:ascii="A028 Extrabold" w:hAnsi="A028 Extrabold"/>
          <w:rtl/>
        </w:rPr>
      </w:pPr>
      <w:r>
        <w:rPr>
          <w:rFonts w:ascii="A028 Extrabold" w:hAnsi="A028 Extrabold" w:hint="cs"/>
          <w:u w:val="single"/>
          <w:rtl/>
        </w:rPr>
        <w:t>ההגנה</w:t>
      </w:r>
      <w:r>
        <w:rPr>
          <w:rFonts w:ascii="A028 Extrabold" w:hAnsi="A028 Extrabold" w:hint="cs"/>
          <w:rtl/>
        </w:rPr>
        <w:t xml:space="preserve"> לא הגישה ראיות לענין העונש, אך ביקשה להעיד שני עדי אופי, מר באהר נעים עובייד, אחיהם של הנאשמים, ומר נעים עובייד, אביהם של הנאשמים.</w:t>
      </w:r>
    </w:p>
    <w:p w14:paraId="021632CC" w14:textId="77777777" w:rsidR="00CB2B29" w:rsidRDefault="00CB2B29" w:rsidP="00CB2B29">
      <w:pPr>
        <w:spacing w:line="360" w:lineRule="auto"/>
        <w:jc w:val="both"/>
        <w:rPr>
          <w:rFonts w:ascii="A028 Extrabold" w:hAnsi="A028 Extrabold"/>
          <w:rtl/>
        </w:rPr>
      </w:pPr>
    </w:p>
    <w:p w14:paraId="28A75E5A" w14:textId="77777777" w:rsidR="00CB2B29" w:rsidRDefault="00CB2B29" w:rsidP="00CB2B29">
      <w:pPr>
        <w:pStyle w:val="a9"/>
        <w:numPr>
          <w:ilvl w:val="0"/>
          <w:numId w:val="1"/>
        </w:numPr>
        <w:spacing w:line="360" w:lineRule="auto"/>
        <w:jc w:val="both"/>
        <w:rPr>
          <w:rFonts w:ascii="A028 Extrabold" w:hAnsi="A028 Extrabold"/>
        </w:rPr>
      </w:pPr>
      <w:r w:rsidRPr="00E16098">
        <w:rPr>
          <w:rFonts w:ascii="A028 Extrabold" w:hAnsi="A028 Extrabold" w:hint="cs"/>
          <w:u w:val="single"/>
          <w:rtl/>
        </w:rPr>
        <w:t>עדותו של מר באהר נעים עובייד</w:t>
      </w:r>
      <w:r>
        <w:rPr>
          <w:rFonts w:ascii="A028 Extrabold" w:hAnsi="A028 Extrabold" w:hint="cs"/>
          <w:rtl/>
        </w:rPr>
        <w:t xml:space="preserve"> </w:t>
      </w:r>
      <w:r>
        <w:rPr>
          <w:rFonts w:ascii="A028 Extrabold" w:hAnsi="A028 Extrabold"/>
          <w:rtl/>
        </w:rPr>
        <w:t>–</w:t>
      </w:r>
      <w:r>
        <w:rPr>
          <w:rFonts w:ascii="A028 Extrabold" w:hAnsi="A028 Extrabold" w:hint="cs"/>
          <w:rtl/>
        </w:rPr>
        <w:t xml:space="preserve"> אחיהם הצעיר של הנאשמים; שירת בצבא בחטמ"ר ערבה 406, וסיפר, כי אביהם שירת אף הוא בצבא. לדבריו, גם הנאשמים חפצו לשרת בצבא. העד סיפר, כי הוא מנהל כעת את העסק של הנאשם 1, שטיפת רכבים ברהט, והוא סטודנט במכללה להנדסה. בחקירתו החוזרת סיפר, כי לא ידע אודות הסתבכויותיהם הקודמות של אחיו, הנאשמים, ולא ידע אודות הנשק בבית;</w:t>
      </w:r>
    </w:p>
    <w:p w14:paraId="37DB7CEA" w14:textId="77777777" w:rsidR="00CB2B29" w:rsidRDefault="00CB2B29" w:rsidP="00CB2B29">
      <w:pPr>
        <w:pStyle w:val="a9"/>
        <w:numPr>
          <w:ilvl w:val="0"/>
          <w:numId w:val="1"/>
        </w:numPr>
        <w:spacing w:line="360" w:lineRule="auto"/>
        <w:jc w:val="both"/>
        <w:rPr>
          <w:rFonts w:ascii="A028 Extrabold" w:hAnsi="A028 Extrabold"/>
        </w:rPr>
      </w:pPr>
      <w:r>
        <w:rPr>
          <w:rFonts w:ascii="A028 Extrabold" w:hAnsi="A028 Extrabold" w:hint="cs"/>
          <w:u w:val="single"/>
          <w:rtl/>
        </w:rPr>
        <w:t>עדותו של מר נעים עובייד</w:t>
      </w:r>
      <w:r>
        <w:rPr>
          <w:rFonts w:ascii="A028 Extrabold" w:hAnsi="A028 Extrabold" w:hint="cs"/>
          <w:rtl/>
        </w:rPr>
        <w:t xml:space="preserve"> </w:t>
      </w:r>
      <w:r>
        <w:rPr>
          <w:rFonts w:ascii="A028 Extrabold" w:hAnsi="A028 Extrabold"/>
          <w:rtl/>
        </w:rPr>
        <w:t>–</w:t>
      </w:r>
      <w:r>
        <w:rPr>
          <w:rFonts w:ascii="A028 Extrabold" w:hAnsi="A028 Extrabold" w:hint="cs"/>
          <w:rtl/>
        </w:rPr>
        <w:t xml:space="preserve"> העד הוא אביהם של הנאשמים. העד מסר, כי לא היה בידיעתו שהנאשמים החזיקו בנשק ותחמושת, ואם היה יודע, היה מדווח למשטרה. לדבריו, כאשר הובא לידיעתו שאחד מבניו מחזיק בסמים, הוא דיווח למשטרה בעצמו. העד שיתף, כי בעבר התנדב במשטרה ואף שירת בצבא. העד גינה את העבירות.</w:t>
      </w:r>
    </w:p>
    <w:p w14:paraId="7A53DBCB" w14:textId="77777777" w:rsidR="00CB2B29" w:rsidRDefault="00CB2B29" w:rsidP="00CB2B29">
      <w:pPr>
        <w:spacing w:line="360" w:lineRule="auto"/>
        <w:jc w:val="both"/>
        <w:rPr>
          <w:rFonts w:ascii="A028 Extrabold" w:hAnsi="A028 Extrabold"/>
          <w:rtl/>
        </w:rPr>
      </w:pPr>
    </w:p>
    <w:p w14:paraId="7E240330" w14:textId="77777777" w:rsidR="00CB2B29" w:rsidRDefault="00CB2B29" w:rsidP="00CB2B29">
      <w:pPr>
        <w:spacing w:line="360" w:lineRule="auto"/>
        <w:jc w:val="both"/>
        <w:rPr>
          <w:rFonts w:ascii="A028 Extrabold" w:hAnsi="A028 Extrabold"/>
          <w:rtl/>
        </w:rPr>
      </w:pPr>
    </w:p>
    <w:p w14:paraId="469B3FCC" w14:textId="77777777" w:rsidR="00CB2B29" w:rsidRDefault="00CB2B29" w:rsidP="00CB2B29">
      <w:pPr>
        <w:spacing w:line="360" w:lineRule="auto"/>
        <w:jc w:val="both"/>
        <w:rPr>
          <w:rFonts w:ascii="A028 Extrabold" w:hAnsi="A028 Extrabold"/>
          <w:rtl/>
        </w:rPr>
      </w:pPr>
    </w:p>
    <w:p w14:paraId="4CEB5C96" w14:textId="77777777" w:rsidR="00CB2B29" w:rsidRDefault="00CB2B29" w:rsidP="00CB2B29">
      <w:pPr>
        <w:spacing w:line="360" w:lineRule="auto"/>
        <w:jc w:val="both"/>
        <w:rPr>
          <w:rFonts w:ascii="A028 Extrabold" w:hAnsi="A028 Extrabold"/>
          <w:rtl/>
        </w:rPr>
      </w:pPr>
      <w:r>
        <w:rPr>
          <w:rFonts w:ascii="A028 Extrabold" w:hAnsi="A028 Extrabold" w:hint="cs"/>
          <w:b/>
          <w:bCs/>
          <w:rtl/>
        </w:rPr>
        <w:t>טענות הצדדים</w:t>
      </w:r>
    </w:p>
    <w:p w14:paraId="7C4BBA69" w14:textId="77777777" w:rsidR="00CB2B29" w:rsidRDefault="00CB2B29" w:rsidP="00CB2B29">
      <w:pPr>
        <w:spacing w:line="360" w:lineRule="auto"/>
        <w:jc w:val="both"/>
        <w:rPr>
          <w:rFonts w:ascii="A028 Extrabold" w:hAnsi="A028 Extrabold"/>
          <w:rtl/>
        </w:rPr>
      </w:pPr>
    </w:p>
    <w:p w14:paraId="003B38C6" w14:textId="77777777" w:rsidR="00CB2B29" w:rsidRDefault="00CB2B29" w:rsidP="00CB2B29">
      <w:pPr>
        <w:spacing w:line="360" w:lineRule="auto"/>
        <w:jc w:val="both"/>
        <w:rPr>
          <w:rFonts w:ascii="A028 Extrabold" w:hAnsi="A028 Extrabold"/>
          <w:rtl/>
        </w:rPr>
      </w:pPr>
      <w:r>
        <w:rPr>
          <w:rFonts w:ascii="A028 Extrabold" w:hAnsi="A028 Extrabold" w:hint="cs"/>
          <w:u w:val="single"/>
          <w:rtl/>
        </w:rPr>
        <w:t>התביעה</w:t>
      </w:r>
      <w:r>
        <w:rPr>
          <w:rFonts w:ascii="A028 Extrabold" w:hAnsi="A028 Extrabold" w:hint="cs"/>
          <w:rtl/>
        </w:rPr>
        <w:t xml:space="preserve"> הגישה טיעוניה לעונש בכתב (ת/5) והשלימה אותן על פה.</w:t>
      </w:r>
    </w:p>
    <w:p w14:paraId="7AFDA352" w14:textId="77777777" w:rsidR="00CB2B29" w:rsidRDefault="00CB2B29" w:rsidP="00CB2B29">
      <w:pPr>
        <w:spacing w:line="360" w:lineRule="auto"/>
        <w:jc w:val="both"/>
        <w:rPr>
          <w:rFonts w:ascii="A028 Extrabold" w:hAnsi="A028 Extrabold"/>
          <w:rtl/>
        </w:rPr>
      </w:pPr>
    </w:p>
    <w:p w14:paraId="6F6F851C" w14:textId="77777777" w:rsidR="00CB2B29" w:rsidRDefault="00CB2B29" w:rsidP="00CB2B29">
      <w:pPr>
        <w:spacing w:line="360" w:lineRule="auto"/>
        <w:jc w:val="both"/>
        <w:rPr>
          <w:rFonts w:ascii="A028 Extrabold" w:hAnsi="A028 Extrabold"/>
          <w:rtl/>
        </w:rPr>
      </w:pPr>
      <w:r>
        <w:rPr>
          <w:rFonts w:ascii="A028 Extrabold" w:hAnsi="A028 Extrabold" w:hint="cs"/>
          <w:rtl/>
        </w:rPr>
        <w:t>התביעה טענה, כי מעשיהם של הנאשמים פגעו בערכים המוגנים של שלום הציבור ובטחונו, והיו בעלי פוטנציאל לפגיעה בגוף ובנפש.</w:t>
      </w:r>
    </w:p>
    <w:p w14:paraId="24528938" w14:textId="77777777" w:rsidR="00CB2B29" w:rsidRDefault="00CB2B29" w:rsidP="00CB2B29">
      <w:pPr>
        <w:spacing w:line="360" w:lineRule="auto"/>
        <w:jc w:val="both"/>
        <w:rPr>
          <w:rFonts w:ascii="A028 Extrabold" w:hAnsi="A028 Extrabold"/>
          <w:rtl/>
        </w:rPr>
      </w:pPr>
    </w:p>
    <w:p w14:paraId="0D67018A" w14:textId="77777777" w:rsidR="00CB2B29" w:rsidRDefault="00CB2B29" w:rsidP="00CB2B29">
      <w:pPr>
        <w:spacing w:line="360" w:lineRule="auto"/>
        <w:jc w:val="both"/>
        <w:rPr>
          <w:rFonts w:ascii="A028 Extrabold" w:hAnsi="A028 Extrabold"/>
          <w:rtl/>
        </w:rPr>
      </w:pPr>
      <w:r>
        <w:rPr>
          <w:rFonts w:ascii="A028 Extrabold" w:hAnsi="A028 Extrabold" w:hint="cs"/>
          <w:rtl/>
        </w:rPr>
        <w:t>כלי נשק המוחזקים באופן בלתי חוקי מגיעים, לא פעם, לשימוש זדוני ואף עלולים לשמש לפגיעה בבטחון המדינה.</w:t>
      </w:r>
    </w:p>
    <w:p w14:paraId="43B2B697" w14:textId="77777777" w:rsidR="00CB2B29" w:rsidRDefault="00CB2B29" w:rsidP="00CB2B29">
      <w:pPr>
        <w:spacing w:line="360" w:lineRule="auto"/>
        <w:jc w:val="both"/>
        <w:rPr>
          <w:rFonts w:ascii="A028 Extrabold" w:hAnsi="A028 Extrabold"/>
          <w:rtl/>
        </w:rPr>
      </w:pPr>
    </w:p>
    <w:p w14:paraId="3A13A62F" w14:textId="77777777" w:rsidR="00CB2B29" w:rsidRDefault="00CB2B29" w:rsidP="00CB2B29">
      <w:pPr>
        <w:spacing w:line="360" w:lineRule="auto"/>
        <w:jc w:val="both"/>
        <w:rPr>
          <w:rFonts w:ascii="A028 Extrabold" w:hAnsi="A028 Extrabold"/>
          <w:rtl/>
        </w:rPr>
      </w:pPr>
      <w:r>
        <w:rPr>
          <w:rFonts w:ascii="A028 Extrabold" w:hAnsi="A028 Extrabold" w:hint="cs"/>
          <w:rtl/>
        </w:rPr>
        <w:t>התביעה טענה, כי החזקת נשק, תחמושת וסמים, בבית בו נמצאים גם קטינים, מעצימה את הסיכון כתוצאה מהחזקת כלי הנשק ואף מהחזקת הסמים המסוכנים.</w:t>
      </w:r>
    </w:p>
    <w:p w14:paraId="1EDB1F0F" w14:textId="77777777" w:rsidR="00CB2B29" w:rsidRDefault="00CB2B29" w:rsidP="00CB2B29">
      <w:pPr>
        <w:spacing w:line="360" w:lineRule="auto"/>
        <w:jc w:val="both"/>
        <w:rPr>
          <w:rFonts w:ascii="A028 Extrabold" w:hAnsi="A028 Extrabold"/>
          <w:rtl/>
        </w:rPr>
      </w:pPr>
    </w:p>
    <w:p w14:paraId="57434EF3" w14:textId="77777777" w:rsidR="00CB2B29" w:rsidRDefault="00CB2B29" w:rsidP="00CB2B29">
      <w:pPr>
        <w:spacing w:line="360" w:lineRule="auto"/>
        <w:jc w:val="both"/>
        <w:rPr>
          <w:rFonts w:ascii="A028 Extrabold" w:hAnsi="A028 Extrabold"/>
          <w:rtl/>
        </w:rPr>
      </w:pPr>
      <w:r>
        <w:rPr>
          <w:rFonts w:ascii="A028 Extrabold" w:hAnsi="A028 Extrabold" w:hint="cs"/>
          <w:rtl/>
        </w:rPr>
        <w:t>התביעה הפנתה לעברם הפלילי של הנאשמים.</w:t>
      </w:r>
    </w:p>
    <w:p w14:paraId="4C38AB93" w14:textId="77777777" w:rsidR="00CB2B29" w:rsidRDefault="00CB2B29" w:rsidP="00CB2B29">
      <w:pPr>
        <w:spacing w:line="360" w:lineRule="auto"/>
        <w:jc w:val="both"/>
        <w:rPr>
          <w:rFonts w:ascii="A028 Extrabold" w:hAnsi="A028 Extrabold"/>
          <w:rtl/>
        </w:rPr>
      </w:pPr>
    </w:p>
    <w:p w14:paraId="351B0470" w14:textId="77777777" w:rsidR="00CB2B29" w:rsidRDefault="00CB2B29" w:rsidP="00CB2B29">
      <w:pPr>
        <w:spacing w:line="360" w:lineRule="auto"/>
        <w:jc w:val="both"/>
        <w:rPr>
          <w:rFonts w:ascii="A028 Extrabold" w:hAnsi="A028 Extrabold"/>
          <w:rtl/>
        </w:rPr>
      </w:pPr>
      <w:r w:rsidRPr="00493743">
        <w:rPr>
          <w:rFonts w:ascii="A028 Extrabold" w:hAnsi="A028 Extrabold" w:hint="cs"/>
          <w:u w:val="single"/>
          <w:rtl/>
        </w:rPr>
        <w:t>לעניין הנאשם 1</w:t>
      </w:r>
      <w:r>
        <w:rPr>
          <w:rFonts w:ascii="A028 Extrabold" w:hAnsi="A028 Extrabold" w:hint="cs"/>
          <w:rtl/>
        </w:rPr>
        <w:t>, עתרה התביעה, ביחס לעבירות של החזקת נשק ותחמושת, למתחם ענישה הנע בין 30 עד 55 חודשי מאסר בפועל.</w:t>
      </w:r>
    </w:p>
    <w:p w14:paraId="688614F3" w14:textId="77777777" w:rsidR="00CB2B29" w:rsidRDefault="00CB2B29" w:rsidP="00CB2B29">
      <w:pPr>
        <w:spacing w:line="360" w:lineRule="auto"/>
        <w:jc w:val="both"/>
        <w:rPr>
          <w:rFonts w:ascii="A028 Extrabold" w:hAnsi="A028 Extrabold"/>
          <w:rtl/>
        </w:rPr>
      </w:pPr>
    </w:p>
    <w:p w14:paraId="7ADEAD6D" w14:textId="77777777" w:rsidR="00CB2B29" w:rsidRDefault="00CB2B29" w:rsidP="00CB2B29">
      <w:pPr>
        <w:spacing w:line="360" w:lineRule="auto"/>
        <w:jc w:val="both"/>
        <w:rPr>
          <w:rFonts w:ascii="A028 Extrabold" w:hAnsi="A028 Extrabold"/>
          <w:rtl/>
        </w:rPr>
      </w:pPr>
      <w:r>
        <w:rPr>
          <w:rFonts w:ascii="A028 Extrabold" w:hAnsi="A028 Extrabold" w:hint="cs"/>
          <w:rtl/>
        </w:rPr>
        <w:t>ביחס לעבירה של החזקת סם לצריכה עצמית, עתרה התביעה ל-6 חודשי מאסר בפועל.</w:t>
      </w:r>
    </w:p>
    <w:p w14:paraId="4BB0382A" w14:textId="77777777" w:rsidR="00CB2B29" w:rsidRDefault="00CB2B29" w:rsidP="00CB2B29">
      <w:pPr>
        <w:spacing w:line="360" w:lineRule="auto"/>
        <w:jc w:val="both"/>
        <w:rPr>
          <w:rFonts w:ascii="A028 Extrabold" w:hAnsi="A028 Extrabold"/>
          <w:rtl/>
        </w:rPr>
      </w:pPr>
    </w:p>
    <w:p w14:paraId="42678FFB" w14:textId="77777777" w:rsidR="00CB2B29" w:rsidRDefault="00CB2B29" w:rsidP="00CB2B29">
      <w:pPr>
        <w:spacing w:line="360" w:lineRule="auto"/>
        <w:jc w:val="both"/>
        <w:rPr>
          <w:rFonts w:ascii="A028 Extrabold" w:hAnsi="A028 Extrabold"/>
          <w:rtl/>
        </w:rPr>
      </w:pPr>
      <w:r>
        <w:rPr>
          <w:rFonts w:ascii="A028 Extrabold" w:hAnsi="A028 Extrabold" w:hint="cs"/>
          <w:rtl/>
        </w:rPr>
        <w:t>התביעה עתרה למתחם כולל הנע בין 36 עד 55 חודשי מאסר בפועל בגין כלל העבירות.</w:t>
      </w:r>
    </w:p>
    <w:p w14:paraId="1A0B592B" w14:textId="77777777" w:rsidR="00CB2B29" w:rsidRDefault="00CB2B29" w:rsidP="00CB2B29">
      <w:pPr>
        <w:spacing w:line="360" w:lineRule="auto"/>
        <w:jc w:val="both"/>
        <w:rPr>
          <w:rFonts w:ascii="A028 Extrabold" w:hAnsi="A028 Extrabold"/>
          <w:rtl/>
        </w:rPr>
      </w:pPr>
    </w:p>
    <w:p w14:paraId="406876F3" w14:textId="77777777" w:rsidR="00CB2B29" w:rsidRDefault="00CB2B29" w:rsidP="00CB2B29">
      <w:pPr>
        <w:spacing w:line="360" w:lineRule="auto"/>
        <w:jc w:val="both"/>
        <w:rPr>
          <w:rFonts w:ascii="A028 Extrabold" w:hAnsi="A028 Extrabold"/>
          <w:rtl/>
        </w:rPr>
      </w:pPr>
      <w:r>
        <w:rPr>
          <w:rFonts w:ascii="A028 Extrabold" w:hAnsi="A028 Extrabold" w:hint="cs"/>
          <w:rtl/>
        </w:rPr>
        <w:t>בנוסף, ביקשה התביעה להטיל על הנאשם מאסר על תנאי בעבירות סמים ונשק; קנס; ושלילת רישיון נהיגה לשנתיים.</w:t>
      </w:r>
    </w:p>
    <w:p w14:paraId="02A82831" w14:textId="77777777" w:rsidR="00CB2B29" w:rsidRDefault="00CB2B29" w:rsidP="00CB2B29">
      <w:pPr>
        <w:spacing w:line="360" w:lineRule="auto"/>
        <w:jc w:val="both"/>
        <w:rPr>
          <w:rFonts w:ascii="A028 Extrabold" w:hAnsi="A028 Extrabold"/>
          <w:rtl/>
        </w:rPr>
      </w:pPr>
    </w:p>
    <w:p w14:paraId="081A8019" w14:textId="77777777" w:rsidR="00CB2B29" w:rsidRDefault="00CB2B29" w:rsidP="00CB2B29">
      <w:pPr>
        <w:spacing w:line="360" w:lineRule="auto"/>
        <w:jc w:val="both"/>
        <w:rPr>
          <w:rFonts w:ascii="A028 Extrabold" w:hAnsi="A028 Extrabold"/>
          <w:rtl/>
        </w:rPr>
      </w:pPr>
      <w:r>
        <w:rPr>
          <w:rFonts w:ascii="A028 Extrabold" w:hAnsi="A028 Extrabold" w:hint="cs"/>
          <w:rtl/>
        </w:rPr>
        <w:t>כן, ביקשה התביעה להפעיל המאסר המותנה מגזר הדין ת/3, במצטבר לכל עונש מאסר שיוטל על הנאשם 1.</w:t>
      </w:r>
    </w:p>
    <w:p w14:paraId="7BB0FD92" w14:textId="77777777" w:rsidR="00CB2B29" w:rsidRDefault="00CB2B29" w:rsidP="00CB2B29">
      <w:pPr>
        <w:spacing w:line="360" w:lineRule="auto"/>
        <w:jc w:val="both"/>
        <w:rPr>
          <w:rFonts w:ascii="A028 Extrabold" w:hAnsi="A028 Extrabold"/>
          <w:rtl/>
        </w:rPr>
      </w:pPr>
    </w:p>
    <w:p w14:paraId="4FFCCD9A" w14:textId="77777777" w:rsidR="00CB2B29" w:rsidRDefault="00CB2B29" w:rsidP="00CB2B29">
      <w:pPr>
        <w:spacing w:line="360" w:lineRule="auto"/>
        <w:jc w:val="both"/>
        <w:rPr>
          <w:rFonts w:ascii="A028 Extrabold" w:hAnsi="A028 Extrabold"/>
          <w:rtl/>
        </w:rPr>
      </w:pPr>
      <w:r>
        <w:rPr>
          <w:rFonts w:ascii="A028 Extrabold" w:hAnsi="A028 Extrabold" w:hint="cs"/>
          <w:rtl/>
        </w:rPr>
        <w:t xml:space="preserve">לטענת התביעה, עבירות נשק מגלמות בתוכן פוטנציאל הרסני לפגיעה בשלום הציבור ובטחונו, ומכאן, שעבירות אלו מקיימות באופן מהותי את יסוד האלימות.  </w:t>
      </w:r>
    </w:p>
    <w:p w14:paraId="30687C84" w14:textId="77777777" w:rsidR="00CB2B29" w:rsidRDefault="00CB2B29" w:rsidP="00CB2B29">
      <w:pPr>
        <w:spacing w:line="360" w:lineRule="auto"/>
        <w:jc w:val="both"/>
        <w:rPr>
          <w:rFonts w:ascii="A028 Extrabold" w:hAnsi="A028 Extrabold"/>
          <w:rtl/>
        </w:rPr>
      </w:pPr>
      <w:r>
        <w:rPr>
          <w:rFonts w:ascii="A028 Extrabold" w:hAnsi="A028 Extrabold" w:hint="cs"/>
          <w:rtl/>
        </w:rPr>
        <w:t>התביעה ביקשה למקם עונשו של הנאשם 1 בשליש האמצעי של מתחם הענישה.</w:t>
      </w:r>
    </w:p>
    <w:p w14:paraId="337D9930" w14:textId="77777777" w:rsidR="00CB2B29" w:rsidRDefault="00CB2B29" w:rsidP="00CB2B29">
      <w:pPr>
        <w:spacing w:line="360" w:lineRule="auto"/>
        <w:jc w:val="both"/>
        <w:rPr>
          <w:rFonts w:ascii="A028 Extrabold" w:hAnsi="A028 Extrabold"/>
          <w:rtl/>
        </w:rPr>
      </w:pPr>
    </w:p>
    <w:p w14:paraId="746A99FB" w14:textId="77777777" w:rsidR="00CB2B29" w:rsidRDefault="00CB2B29" w:rsidP="00CB2B29">
      <w:pPr>
        <w:spacing w:line="360" w:lineRule="auto"/>
        <w:jc w:val="both"/>
        <w:rPr>
          <w:rFonts w:ascii="A028 Extrabold" w:hAnsi="A028 Extrabold"/>
          <w:rtl/>
        </w:rPr>
      </w:pPr>
      <w:r w:rsidRPr="00493743">
        <w:rPr>
          <w:rFonts w:ascii="A028 Extrabold" w:hAnsi="A028 Extrabold" w:hint="cs"/>
          <w:u w:val="single"/>
          <w:rtl/>
        </w:rPr>
        <w:t>לעניין הנאשם 2</w:t>
      </w:r>
      <w:r>
        <w:rPr>
          <w:rFonts w:ascii="A028 Extrabold" w:hAnsi="A028 Extrabold" w:hint="cs"/>
          <w:rtl/>
        </w:rPr>
        <w:t>, הפנתה התביעה להנחיית פרקליט המדינה 9.16, שענינה מדיניות ענישה בעבירות נשק ומטעני חבלה, ועתרה למתחם ענישה הנע בין 6 חודשי מאסר לריצוי בדרך של עבודות שירות ועד 6 חודשי מאסר בכליאה ממשית.</w:t>
      </w:r>
    </w:p>
    <w:p w14:paraId="38A22054" w14:textId="77777777" w:rsidR="00CB2B29" w:rsidRDefault="00CB2B29" w:rsidP="00CB2B29">
      <w:pPr>
        <w:spacing w:line="360" w:lineRule="auto"/>
        <w:jc w:val="both"/>
        <w:rPr>
          <w:rFonts w:ascii="A028 Extrabold" w:hAnsi="A028 Extrabold"/>
          <w:rtl/>
        </w:rPr>
      </w:pPr>
    </w:p>
    <w:p w14:paraId="3EBF10F4" w14:textId="77777777" w:rsidR="00CB2B29" w:rsidRDefault="00CB2B29" w:rsidP="00CB2B29">
      <w:pPr>
        <w:spacing w:line="360" w:lineRule="auto"/>
        <w:jc w:val="both"/>
        <w:rPr>
          <w:rFonts w:ascii="A028 Extrabold" w:hAnsi="A028 Extrabold"/>
          <w:rtl/>
        </w:rPr>
      </w:pPr>
      <w:r>
        <w:rPr>
          <w:rFonts w:ascii="A028 Extrabold" w:hAnsi="A028 Extrabold" w:hint="cs"/>
          <w:rtl/>
        </w:rPr>
        <w:t>התביעה ביקשה למקם עונשו של הנאשם 2 באמצע המתחם, לצד מאסר מותנה משמעותי.</w:t>
      </w:r>
    </w:p>
    <w:p w14:paraId="42FA43B2" w14:textId="77777777" w:rsidR="00CB2B29" w:rsidRDefault="00CB2B29" w:rsidP="00CB2B29">
      <w:pPr>
        <w:spacing w:line="360" w:lineRule="auto"/>
        <w:jc w:val="both"/>
        <w:rPr>
          <w:rFonts w:ascii="A028 Extrabold" w:hAnsi="A028 Extrabold"/>
          <w:rtl/>
        </w:rPr>
      </w:pPr>
    </w:p>
    <w:p w14:paraId="1603E274" w14:textId="77777777" w:rsidR="00CB2B29" w:rsidRDefault="00CB2B29" w:rsidP="00CB2B29">
      <w:pPr>
        <w:spacing w:line="360" w:lineRule="auto"/>
        <w:jc w:val="both"/>
        <w:rPr>
          <w:rFonts w:ascii="A028 Extrabold" w:hAnsi="A028 Extrabold"/>
          <w:rtl/>
        </w:rPr>
      </w:pPr>
      <w:r>
        <w:rPr>
          <w:rFonts w:ascii="A028 Extrabold" w:hAnsi="A028 Extrabold" w:hint="cs"/>
          <w:u w:val="single"/>
          <w:rtl/>
        </w:rPr>
        <w:t>ההגנה</w:t>
      </w:r>
      <w:r>
        <w:rPr>
          <w:rFonts w:ascii="A028 Extrabold" w:hAnsi="A028 Extrabold" w:hint="cs"/>
          <w:rtl/>
        </w:rPr>
        <w:t xml:space="preserve"> טענה, כי המתחמים אליהם עתרה התביעה אינם מידתיים.</w:t>
      </w:r>
    </w:p>
    <w:p w14:paraId="2E132700" w14:textId="77777777" w:rsidR="00CB2B29" w:rsidRDefault="00CB2B29" w:rsidP="00CB2B29">
      <w:pPr>
        <w:spacing w:line="360" w:lineRule="auto"/>
        <w:jc w:val="both"/>
        <w:rPr>
          <w:rFonts w:ascii="A028 Extrabold" w:hAnsi="A028 Extrabold"/>
          <w:rtl/>
        </w:rPr>
      </w:pPr>
    </w:p>
    <w:p w14:paraId="2FCC00F2" w14:textId="77777777" w:rsidR="00CB2B29" w:rsidRDefault="00CB2B29" w:rsidP="00CB2B29">
      <w:pPr>
        <w:spacing w:line="360" w:lineRule="auto"/>
        <w:jc w:val="both"/>
        <w:rPr>
          <w:rFonts w:ascii="A028 Extrabold" w:hAnsi="A028 Extrabold"/>
          <w:rtl/>
        </w:rPr>
      </w:pPr>
      <w:r>
        <w:rPr>
          <w:rFonts w:ascii="A028 Extrabold" w:hAnsi="A028 Extrabold" w:hint="cs"/>
          <w:rtl/>
        </w:rPr>
        <w:t>ההגנה טענה, כי הנאשם 1 אדם נורמטיבי, נשוי, אב לקטין, טרם מעצרו היה יציב תעסוקתית.</w:t>
      </w:r>
    </w:p>
    <w:p w14:paraId="404D0481" w14:textId="77777777" w:rsidR="00CB2B29" w:rsidRDefault="00CB2B29" w:rsidP="00CB2B29">
      <w:pPr>
        <w:spacing w:line="360" w:lineRule="auto"/>
        <w:rPr>
          <w:rFonts w:ascii="A028 Extrabold" w:hAnsi="A028 Extrabold"/>
          <w:rtl/>
        </w:rPr>
      </w:pPr>
    </w:p>
    <w:p w14:paraId="65B2925E" w14:textId="77777777" w:rsidR="00CB2B29" w:rsidRDefault="00CB2B29" w:rsidP="00CB2B29">
      <w:pPr>
        <w:spacing w:line="360" w:lineRule="auto"/>
        <w:rPr>
          <w:rFonts w:ascii="A028 Extrabold" w:hAnsi="A028 Extrabold"/>
          <w:rtl/>
        </w:rPr>
      </w:pPr>
      <w:r>
        <w:rPr>
          <w:rFonts w:ascii="A028 Extrabold" w:hAnsi="A028 Extrabold" w:hint="cs"/>
          <w:rtl/>
        </w:rPr>
        <w:t>ההגנה טענה, כי שגתה התביעה בהתייחסותה לעבירת החזקת הנשק כעבירת אלימות, כיוון שהנשק שנתפס הוחזק בבית מגורים כשהוא מפורק לשניים, ולא היה מוכן לפעולה, ואף לא נטען כי נעשה בנשק שימוש כלשהו או שהיתה כוונה להשתמש בו.</w:t>
      </w:r>
    </w:p>
    <w:p w14:paraId="0EA60142" w14:textId="77777777" w:rsidR="00CB2B29" w:rsidRDefault="00CB2B29" w:rsidP="00CB2B29">
      <w:pPr>
        <w:spacing w:line="360" w:lineRule="auto"/>
        <w:rPr>
          <w:rFonts w:ascii="A028 Extrabold" w:hAnsi="A028 Extrabold"/>
          <w:rtl/>
        </w:rPr>
      </w:pPr>
    </w:p>
    <w:p w14:paraId="118B040A" w14:textId="77777777" w:rsidR="00CB2B29" w:rsidRDefault="00CB2B29" w:rsidP="00CB2B29">
      <w:pPr>
        <w:spacing w:line="360" w:lineRule="auto"/>
        <w:jc w:val="both"/>
        <w:rPr>
          <w:rFonts w:ascii="A028 Extrabold" w:hAnsi="A028 Extrabold"/>
          <w:rtl/>
        </w:rPr>
      </w:pPr>
      <w:r>
        <w:rPr>
          <w:rFonts w:ascii="A028 Extrabold" w:hAnsi="A028 Extrabold" w:hint="cs"/>
          <w:rtl/>
        </w:rPr>
        <w:t>ההגנה טענה, כי עברו הפלילי של הנאשם 1 אינו מכביד.</w:t>
      </w:r>
    </w:p>
    <w:p w14:paraId="1D26BCEA" w14:textId="77777777" w:rsidR="00CB2B29" w:rsidRDefault="00CB2B29" w:rsidP="00CB2B29">
      <w:pPr>
        <w:spacing w:line="360" w:lineRule="auto"/>
        <w:jc w:val="both"/>
        <w:rPr>
          <w:rFonts w:ascii="A028 Extrabold" w:hAnsi="A028 Extrabold"/>
          <w:rtl/>
        </w:rPr>
      </w:pPr>
    </w:p>
    <w:p w14:paraId="722A2935" w14:textId="77777777" w:rsidR="00CB2B29" w:rsidRDefault="00CB2B29" w:rsidP="00CB2B29">
      <w:pPr>
        <w:spacing w:line="360" w:lineRule="auto"/>
        <w:jc w:val="both"/>
        <w:rPr>
          <w:rFonts w:ascii="A028 Extrabold" w:hAnsi="A028 Extrabold"/>
          <w:rtl/>
        </w:rPr>
      </w:pPr>
      <w:r>
        <w:rPr>
          <w:rFonts w:ascii="A028 Extrabold" w:hAnsi="A028 Extrabold" w:hint="cs"/>
          <w:rtl/>
        </w:rPr>
        <w:t>ההגנה טענה, כי עתירת התביעה ל-6 חודשי מאסר בגין עבירה של החזקת סם בכמות המיועדת לשימוש עצמי, אינה ראויה ואינה מידתית. בהקשר זה, הוסיפה ההגנה, כי לא נטען שהנאשם 1 השתמש בסמים, אלא רק שהחזיק בכמות המוגדרת לצריכה עצמית.</w:t>
      </w:r>
    </w:p>
    <w:p w14:paraId="567BCC0A" w14:textId="77777777" w:rsidR="00CB2B29" w:rsidRDefault="00CB2B29" w:rsidP="00CB2B29">
      <w:pPr>
        <w:spacing w:line="360" w:lineRule="auto"/>
        <w:jc w:val="both"/>
        <w:rPr>
          <w:rFonts w:ascii="A028 Extrabold" w:hAnsi="A028 Extrabold"/>
          <w:rtl/>
        </w:rPr>
      </w:pPr>
    </w:p>
    <w:p w14:paraId="664F8A26" w14:textId="77777777" w:rsidR="00CB2B29" w:rsidRDefault="00CB2B29" w:rsidP="00CB2B29">
      <w:pPr>
        <w:spacing w:line="360" w:lineRule="auto"/>
        <w:jc w:val="both"/>
        <w:rPr>
          <w:rFonts w:ascii="A028 Extrabold" w:hAnsi="A028 Extrabold"/>
          <w:rtl/>
        </w:rPr>
      </w:pPr>
      <w:r>
        <w:rPr>
          <w:rFonts w:ascii="A028 Extrabold" w:hAnsi="A028 Extrabold" w:hint="cs"/>
          <w:rtl/>
        </w:rPr>
        <w:t>ההגנה טענה, כי אין לקבוע מתחמים שונים אלא מתחם אחד כולל לעבירות הנשק והסמים.</w:t>
      </w:r>
    </w:p>
    <w:p w14:paraId="1473D0F0" w14:textId="77777777" w:rsidR="00CB2B29" w:rsidRDefault="00CB2B29" w:rsidP="00CB2B29">
      <w:pPr>
        <w:spacing w:line="360" w:lineRule="auto"/>
        <w:jc w:val="both"/>
        <w:rPr>
          <w:rFonts w:ascii="A028 Extrabold" w:hAnsi="A028 Extrabold"/>
          <w:rtl/>
        </w:rPr>
      </w:pPr>
    </w:p>
    <w:p w14:paraId="3A2347B4" w14:textId="77777777" w:rsidR="00CB2B29" w:rsidRDefault="00CB2B29" w:rsidP="00CB2B29">
      <w:pPr>
        <w:spacing w:line="360" w:lineRule="auto"/>
        <w:jc w:val="both"/>
        <w:rPr>
          <w:rFonts w:ascii="A028 Extrabold" w:hAnsi="A028 Extrabold"/>
          <w:rtl/>
        </w:rPr>
      </w:pPr>
      <w:r>
        <w:rPr>
          <w:rFonts w:ascii="A028 Extrabold" w:hAnsi="A028 Extrabold" w:hint="cs"/>
          <w:rtl/>
        </w:rPr>
        <w:t xml:space="preserve">באשר לנאשם 2, טענה ההגנה, כי הנאשם הודה במיוחס לו, ונתן הסבר המניח את הדעת </w:t>
      </w:r>
      <w:r>
        <w:rPr>
          <w:rFonts w:ascii="A028 Extrabold" w:hAnsi="A028 Extrabold"/>
          <w:rtl/>
        </w:rPr>
        <w:t>–</w:t>
      </w:r>
      <w:r>
        <w:rPr>
          <w:rFonts w:ascii="A028 Extrabold" w:hAnsi="A028 Extrabold" w:hint="cs"/>
          <w:rtl/>
        </w:rPr>
        <w:t xml:space="preserve"> לדבריו, מצא את הכדורים ושמר אותם.</w:t>
      </w:r>
    </w:p>
    <w:p w14:paraId="768286ED" w14:textId="77777777" w:rsidR="00CB2B29" w:rsidRDefault="00CB2B29" w:rsidP="00CB2B29">
      <w:pPr>
        <w:spacing w:line="360" w:lineRule="auto"/>
        <w:jc w:val="both"/>
        <w:rPr>
          <w:rFonts w:ascii="A028 Extrabold" w:hAnsi="A028 Extrabold"/>
          <w:rtl/>
        </w:rPr>
      </w:pPr>
    </w:p>
    <w:p w14:paraId="087F1754" w14:textId="77777777" w:rsidR="00CB2B29" w:rsidRDefault="00CB2B29" w:rsidP="00CB2B29">
      <w:pPr>
        <w:spacing w:line="360" w:lineRule="auto"/>
        <w:jc w:val="both"/>
        <w:rPr>
          <w:rFonts w:ascii="A028 Extrabold" w:hAnsi="A028 Extrabold"/>
          <w:rtl/>
        </w:rPr>
      </w:pPr>
      <w:r>
        <w:rPr>
          <w:rFonts w:ascii="A028 Extrabold" w:hAnsi="A028 Extrabold" w:hint="cs"/>
          <w:rtl/>
        </w:rPr>
        <w:t>ההגנה טענה, כי הנאשמים הם אנשים נורמטיביים מרקע נורמטיבי, אביהם ושלושת אחיהם שירתו בצבא, אביהם התנדב במשמר האזרחי ובמשטרה, אשת הנאשם 1 סטודנטית למשפטים.</w:t>
      </w:r>
    </w:p>
    <w:p w14:paraId="0EAEB448" w14:textId="77777777" w:rsidR="00CB2B29" w:rsidRDefault="00CB2B29" w:rsidP="00CB2B29">
      <w:pPr>
        <w:spacing w:line="360" w:lineRule="auto"/>
        <w:jc w:val="both"/>
        <w:rPr>
          <w:rFonts w:ascii="A028 Extrabold" w:hAnsi="A028 Extrabold"/>
          <w:rtl/>
        </w:rPr>
      </w:pPr>
    </w:p>
    <w:p w14:paraId="5F46DB90" w14:textId="77777777" w:rsidR="00CB2B29" w:rsidRDefault="00CB2B29" w:rsidP="00CB2B29">
      <w:pPr>
        <w:spacing w:line="360" w:lineRule="auto"/>
        <w:rPr>
          <w:rFonts w:ascii="A028 Extrabold" w:hAnsi="A028 Extrabold"/>
          <w:rtl/>
        </w:rPr>
      </w:pPr>
      <w:r>
        <w:rPr>
          <w:rFonts w:ascii="A028 Extrabold" w:hAnsi="A028 Extrabold" w:hint="cs"/>
          <w:rtl/>
        </w:rPr>
        <w:t>ההגנה ביקשה לייחס משקל לעדויות עדי האופי, שפורטו לעיל.</w:t>
      </w:r>
    </w:p>
    <w:p w14:paraId="3C620000" w14:textId="77777777" w:rsidR="00CB2B29" w:rsidRDefault="00CB2B29" w:rsidP="00CB2B29">
      <w:pPr>
        <w:spacing w:line="360" w:lineRule="auto"/>
        <w:rPr>
          <w:rFonts w:ascii="A028 Extrabold" w:hAnsi="A028 Extrabold"/>
          <w:rtl/>
        </w:rPr>
      </w:pPr>
    </w:p>
    <w:p w14:paraId="16A6CDEE" w14:textId="77777777" w:rsidR="00CB2B29" w:rsidRDefault="00CB2B29" w:rsidP="00CB2B29">
      <w:pPr>
        <w:spacing w:line="360" w:lineRule="auto"/>
        <w:rPr>
          <w:rFonts w:ascii="A028 Extrabold" w:hAnsi="A028 Extrabold"/>
          <w:rtl/>
        </w:rPr>
      </w:pPr>
      <w:r>
        <w:rPr>
          <w:rFonts w:ascii="A028 Extrabold" w:hAnsi="A028 Extrabold" w:hint="cs"/>
          <w:rtl/>
        </w:rPr>
        <w:t>ההגנה ביקשה ליתן משקל לכך שהנאשמים הודו, נטלו אחריות וחסכו זמן שיפוטי.</w:t>
      </w:r>
    </w:p>
    <w:p w14:paraId="1836D358" w14:textId="77777777" w:rsidR="00CB2B29" w:rsidRDefault="00CB2B29" w:rsidP="00CB2B29">
      <w:pPr>
        <w:spacing w:line="360" w:lineRule="auto"/>
        <w:rPr>
          <w:rFonts w:ascii="A028 Extrabold" w:hAnsi="A028 Extrabold"/>
          <w:rtl/>
        </w:rPr>
      </w:pPr>
    </w:p>
    <w:p w14:paraId="0A568D12" w14:textId="77777777" w:rsidR="00CB2B29" w:rsidRDefault="00CB2B29" w:rsidP="00CB2B29">
      <w:pPr>
        <w:spacing w:line="360" w:lineRule="auto"/>
        <w:jc w:val="both"/>
        <w:rPr>
          <w:rFonts w:ascii="A028 Extrabold" w:hAnsi="A028 Extrabold"/>
          <w:rtl/>
        </w:rPr>
      </w:pPr>
      <w:r>
        <w:rPr>
          <w:rFonts w:ascii="A028 Extrabold" w:hAnsi="A028 Extrabold" w:hint="cs"/>
          <w:rtl/>
        </w:rPr>
        <w:t>ההגנה טענה, כי מתחם העונש ההולם בענינו של הנאשם 1 הוא 10 עד 18 חודשי מאסר בפועל ויש למקם עונשו ברף התחתון של המתחם, לצד מאסר מותנה בעבירות סמים על כל סוגיהן וענישה נלווית.</w:t>
      </w:r>
    </w:p>
    <w:p w14:paraId="356EA48F" w14:textId="77777777" w:rsidR="00CB2B29" w:rsidRDefault="00CB2B29" w:rsidP="00CB2B29">
      <w:pPr>
        <w:spacing w:line="360" w:lineRule="auto"/>
        <w:jc w:val="both"/>
        <w:rPr>
          <w:rFonts w:ascii="A028 Extrabold" w:hAnsi="A028 Extrabold"/>
          <w:rtl/>
        </w:rPr>
      </w:pPr>
    </w:p>
    <w:p w14:paraId="70ABE48D" w14:textId="77777777" w:rsidR="00CB2B29" w:rsidRDefault="00CB2B29" w:rsidP="00CB2B29">
      <w:pPr>
        <w:spacing w:line="360" w:lineRule="auto"/>
        <w:jc w:val="both"/>
        <w:rPr>
          <w:rFonts w:ascii="A028 Extrabold" w:hAnsi="A028 Extrabold"/>
          <w:rtl/>
        </w:rPr>
      </w:pPr>
      <w:r>
        <w:rPr>
          <w:rFonts w:ascii="A028 Extrabold" w:hAnsi="A028 Extrabold" w:hint="cs"/>
          <w:rtl/>
        </w:rPr>
        <w:t>ההגנה טענה, כי בעניין הנאשם 2, אשר החזיק ב-8 כדורים בלבד, ללא נשק, יש להסתפק בענישה צופה פני עתיד.</w:t>
      </w:r>
    </w:p>
    <w:p w14:paraId="0D6BF6ED" w14:textId="77777777" w:rsidR="00CB2B29" w:rsidRDefault="00CB2B29" w:rsidP="00CB2B29">
      <w:pPr>
        <w:spacing w:line="360" w:lineRule="auto"/>
        <w:jc w:val="both"/>
        <w:rPr>
          <w:rFonts w:ascii="A028 Extrabold" w:hAnsi="A028 Extrabold"/>
          <w:rtl/>
        </w:rPr>
      </w:pPr>
    </w:p>
    <w:p w14:paraId="01ECA5C3" w14:textId="77777777" w:rsidR="00CB2B29" w:rsidRDefault="00CB2B29" w:rsidP="00CB2B29">
      <w:pPr>
        <w:spacing w:line="360" w:lineRule="auto"/>
        <w:jc w:val="both"/>
        <w:rPr>
          <w:rFonts w:ascii="A028 Extrabold" w:hAnsi="A028 Extrabold"/>
          <w:rtl/>
        </w:rPr>
      </w:pPr>
      <w:r>
        <w:rPr>
          <w:rFonts w:ascii="A028 Extrabold" w:hAnsi="A028 Extrabold" w:hint="cs"/>
          <w:u w:val="single"/>
          <w:rtl/>
        </w:rPr>
        <w:t>בדברו האחרון של הנאשם 1</w:t>
      </w:r>
      <w:r>
        <w:rPr>
          <w:rFonts w:ascii="A028 Extrabold" w:hAnsi="A028 Extrabold" w:hint="cs"/>
          <w:rtl/>
        </w:rPr>
        <w:t xml:space="preserve"> מסר, כי הוא מצטער על מעשיו. לדבריו, החזיק בנשק לתקופה קצרה מבלי לחשוב על ההשלכות, וכעת מצר מאוד על כך, בייחוד לאור העובדה שנולד בנו הבכור לאחר כ-7 שנים של נסיונות להביא ילדים לעולם, והוא רוצה להיות לצד בנו ולראות אותו גדל. הנאשם ביקש מבית המשפט להתחשב בו בעת קביעת עונשו.</w:t>
      </w:r>
    </w:p>
    <w:p w14:paraId="6E9FDE23" w14:textId="77777777" w:rsidR="00CB2B29" w:rsidRDefault="00CB2B29" w:rsidP="00CB2B29">
      <w:pPr>
        <w:spacing w:line="360" w:lineRule="auto"/>
        <w:jc w:val="both"/>
        <w:rPr>
          <w:rFonts w:ascii="A028 Extrabold" w:hAnsi="A028 Extrabold"/>
          <w:rtl/>
        </w:rPr>
      </w:pPr>
    </w:p>
    <w:p w14:paraId="0619DCAE" w14:textId="77777777" w:rsidR="00CB2B29" w:rsidRDefault="00CB2B29" w:rsidP="00CB2B29">
      <w:pPr>
        <w:spacing w:line="360" w:lineRule="auto"/>
        <w:jc w:val="both"/>
        <w:rPr>
          <w:rFonts w:ascii="A028 Extrabold" w:hAnsi="A028 Extrabold"/>
          <w:rtl/>
        </w:rPr>
      </w:pPr>
      <w:r>
        <w:rPr>
          <w:rFonts w:ascii="A028 Extrabold" w:hAnsi="A028 Extrabold" w:hint="cs"/>
          <w:u w:val="single"/>
          <w:rtl/>
        </w:rPr>
        <w:t>בדברו האחרון של הנאשם 2</w:t>
      </w:r>
      <w:r>
        <w:rPr>
          <w:rFonts w:ascii="A028 Extrabold" w:hAnsi="A028 Extrabold" w:hint="cs"/>
          <w:rtl/>
        </w:rPr>
        <w:t xml:space="preserve"> מסר, כי הוא מצטער על מעשיו. לדבריו, מצא את הכדורים ושמר אותם ברכב על מנת שילדיו לא ישחקו בהם מבלי לחשוב על ההשלכות. לדבריו, מנהל דוכן למכירת כלי בית בשוק ברהט.</w:t>
      </w:r>
    </w:p>
    <w:p w14:paraId="2933C246" w14:textId="77777777" w:rsidR="00CB2B29" w:rsidRDefault="00CB2B29" w:rsidP="00CB2B29">
      <w:pPr>
        <w:spacing w:line="360" w:lineRule="auto"/>
        <w:jc w:val="both"/>
        <w:rPr>
          <w:rFonts w:ascii="A028 Extrabold" w:hAnsi="A028 Extrabold"/>
          <w:rtl/>
        </w:rPr>
      </w:pPr>
    </w:p>
    <w:p w14:paraId="41B0C0B6" w14:textId="77777777" w:rsidR="00CB2B29" w:rsidRDefault="00CB2B29" w:rsidP="00CB2B29">
      <w:pPr>
        <w:spacing w:line="360" w:lineRule="auto"/>
        <w:jc w:val="both"/>
        <w:rPr>
          <w:rFonts w:ascii="A028 Extrabold" w:hAnsi="A028 Extrabold"/>
          <w:rtl/>
        </w:rPr>
      </w:pPr>
    </w:p>
    <w:p w14:paraId="34DDD252" w14:textId="77777777" w:rsidR="00CB2B29" w:rsidRDefault="00CB2B29" w:rsidP="00CB2B29">
      <w:pPr>
        <w:spacing w:line="360" w:lineRule="auto"/>
        <w:jc w:val="both"/>
        <w:rPr>
          <w:rFonts w:ascii="A028 Extrabold" w:hAnsi="A028 Extrabold"/>
          <w:rtl/>
        </w:rPr>
      </w:pPr>
      <w:r>
        <w:rPr>
          <w:rFonts w:ascii="A028 Extrabold" w:hAnsi="A028 Extrabold" w:hint="cs"/>
          <w:b/>
          <w:bCs/>
          <w:rtl/>
        </w:rPr>
        <w:t>דיון והכרעה</w:t>
      </w:r>
    </w:p>
    <w:p w14:paraId="3CDA6337" w14:textId="77777777" w:rsidR="00CB2B29" w:rsidRDefault="00CB2B29" w:rsidP="00CB2B29">
      <w:pPr>
        <w:spacing w:line="360" w:lineRule="auto"/>
        <w:rPr>
          <w:rFonts w:ascii="A028 Extrabold" w:hAnsi="A028 Extrabold"/>
          <w:rtl/>
        </w:rPr>
      </w:pPr>
    </w:p>
    <w:p w14:paraId="211CFD23" w14:textId="77777777" w:rsidR="00CB2B29" w:rsidRDefault="00CB2B29" w:rsidP="00CB2B29">
      <w:pPr>
        <w:spacing w:line="360" w:lineRule="auto"/>
        <w:jc w:val="both"/>
        <w:rPr>
          <w:rFonts w:ascii="David" w:hAnsi="David"/>
        </w:rPr>
      </w:pPr>
      <w:r>
        <w:rPr>
          <w:rFonts w:ascii="David" w:hAnsi="David"/>
          <w:rtl/>
        </w:rPr>
        <w:t>אין צורך להכביר מילים על פוטנציאל הסיכון הנובע מהחזקת נשק חם קטלני, שלא כדין. כלי הנשק עלול למצוא דרכו לפעילות שלילית, אם פלילית ואם נגד בטחון המדינה.</w:t>
      </w:r>
    </w:p>
    <w:p w14:paraId="7027FE7B" w14:textId="77777777" w:rsidR="00CB2B29" w:rsidRDefault="00CB2B29" w:rsidP="00CB2B29">
      <w:pPr>
        <w:spacing w:line="360" w:lineRule="auto"/>
        <w:jc w:val="both"/>
        <w:rPr>
          <w:rFonts w:ascii="David" w:hAnsi="David"/>
          <w:rtl/>
        </w:rPr>
      </w:pPr>
    </w:p>
    <w:p w14:paraId="495A9B8F" w14:textId="77777777" w:rsidR="00CB2B29" w:rsidRDefault="00CB2B29" w:rsidP="00CB2B29">
      <w:pPr>
        <w:spacing w:line="360" w:lineRule="auto"/>
        <w:jc w:val="both"/>
        <w:rPr>
          <w:rFonts w:ascii="Arial" w:hAnsi="Arial" w:cs="Arial"/>
        </w:rPr>
      </w:pPr>
      <w:r>
        <w:rPr>
          <w:rFonts w:ascii="David" w:hAnsi="David"/>
          <w:rtl/>
        </w:rPr>
        <w:t>החזקת נשק על ידי מי שלא נבדק, לא נמצא מתאים ולא הוכשר לכך, בתנאים שאינם מבטיחים בידודו של הנשק מהסביבה (כיום, מי שמחזיק נשק ברישיון נדרש לאפסנו בכספת מאובטחת, מאחורי שני מנעולים), עלולה להביא לסיכון שלום הציבור, גם אם אין ראיות שהוחזק לצורך פעילות שלילית, כמפורט לעיל.</w:t>
      </w:r>
    </w:p>
    <w:p w14:paraId="340EA5ED" w14:textId="77777777" w:rsidR="00CB2B29" w:rsidRDefault="00CB2B29" w:rsidP="00CB2B29">
      <w:pPr>
        <w:spacing w:line="360" w:lineRule="auto"/>
        <w:jc w:val="both"/>
        <w:rPr>
          <w:rFonts w:cs="Times New Roman"/>
        </w:rPr>
      </w:pPr>
    </w:p>
    <w:p w14:paraId="31003AEF" w14:textId="77777777" w:rsidR="00CB2B29" w:rsidRDefault="00CB2B29" w:rsidP="00CB2B29">
      <w:pPr>
        <w:spacing w:line="360" w:lineRule="auto"/>
        <w:jc w:val="both"/>
        <w:rPr>
          <w:rFonts w:ascii="David" w:hAnsi="David"/>
        </w:rPr>
      </w:pPr>
      <w:r>
        <w:rPr>
          <w:rFonts w:ascii="David" w:hAnsi="David"/>
          <w:rtl/>
        </w:rPr>
        <w:t>בנוסף, החזקת נשק כאמור עלולה להביא לפגיעה בשלטון החוק ובנושאי שלטון החוק, המבצעים את תפקידם.</w:t>
      </w:r>
    </w:p>
    <w:p w14:paraId="70E1A163" w14:textId="77777777" w:rsidR="00CB2B29" w:rsidRDefault="00CB2B29" w:rsidP="00CB2B29">
      <w:pPr>
        <w:spacing w:line="360" w:lineRule="auto"/>
        <w:jc w:val="both"/>
        <w:rPr>
          <w:rFonts w:ascii="David" w:hAnsi="David"/>
        </w:rPr>
      </w:pPr>
    </w:p>
    <w:p w14:paraId="1AF94682" w14:textId="77777777" w:rsidR="00CB2B29" w:rsidRDefault="00CB2B29" w:rsidP="00CB2B29">
      <w:pPr>
        <w:spacing w:line="360" w:lineRule="auto"/>
        <w:jc w:val="both"/>
        <w:rPr>
          <w:rFonts w:ascii="David" w:hAnsi="David"/>
          <w:rtl/>
        </w:rPr>
      </w:pPr>
      <w:r>
        <w:rPr>
          <w:rFonts w:ascii="David" w:hAnsi="David"/>
          <w:rtl/>
        </w:rPr>
        <w:t xml:space="preserve">בפסק הדין </w:t>
      </w:r>
      <w:hyperlink r:id="rId26" w:history="1">
        <w:r w:rsidR="00AE3E29" w:rsidRPr="00AE3E29">
          <w:rPr>
            <w:rFonts w:ascii="David" w:hAnsi="David"/>
            <w:color w:val="0000FF"/>
            <w:u w:val="single"/>
            <w:rtl/>
          </w:rPr>
          <w:t>ע"פ 3288/14</w:t>
        </w:r>
      </w:hyperlink>
      <w:r>
        <w:rPr>
          <w:rFonts w:ascii="David" w:hAnsi="David"/>
          <w:rtl/>
        </w:rPr>
        <w:t xml:space="preserve"> </w:t>
      </w:r>
      <w:r>
        <w:rPr>
          <w:rFonts w:ascii="David" w:hAnsi="David"/>
          <w:b/>
          <w:bCs/>
          <w:rtl/>
        </w:rPr>
        <w:t>מדינת ישראל נ' קריספל</w:t>
      </w:r>
      <w:r>
        <w:rPr>
          <w:rFonts w:ascii="David" w:hAnsi="David"/>
          <w:rtl/>
        </w:rPr>
        <w:t xml:space="preserve"> (פורסם במאגרים), נאמר: </w:t>
      </w:r>
    </w:p>
    <w:p w14:paraId="6812A04C" w14:textId="77777777" w:rsidR="00CB2B29" w:rsidRDefault="00CB2B29" w:rsidP="00CB2B29">
      <w:pPr>
        <w:spacing w:line="360" w:lineRule="auto"/>
        <w:jc w:val="both"/>
        <w:rPr>
          <w:rFonts w:ascii="David" w:hAnsi="David"/>
          <w:rtl/>
        </w:rPr>
      </w:pPr>
    </w:p>
    <w:p w14:paraId="2D9C70DB" w14:textId="77777777" w:rsidR="00CB2B29" w:rsidRDefault="00CB2B29" w:rsidP="00CB2B29">
      <w:pPr>
        <w:spacing w:line="360" w:lineRule="auto"/>
        <w:jc w:val="both"/>
        <w:rPr>
          <w:rFonts w:ascii="Aharoni" w:hAnsi="Aharoni" w:cs="Aharoni"/>
          <w:rtl/>
        </w:rPr>
      </w:pPr>
      <w:r>
        <w:rPr>
          <w:rFonts w:ascii="Aharoni" w:hAnsi="Aharoni"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65A254F4" w14:textId="77777777" w:rsidR="00CB2B29" w:rsidRDefault="00CB2B29" w:rsidP="00CB2B29">
      <w:pPr>
        <w:spacing w:line="360" w:lineRule="auto"/>
        <w:jc w:val="both"/>
        <w:rPr>
          <w:rFonts w:ascii="David" w:hAnsi="David"/>
        </w:rPr>
      </w:pPr>
    </w:p>
    <w:p w14:paraId="1FA1F4DA" w14:textId="77777777" w:rsidR="00CB2B29" w:rsidRDefault="00CB2B29" w:rsidP="00CB2B29">
      <w:pPr>
        <w:spacing w:line="360" w:lineRule="auto"/>
        <w:jc w:val="both"/>
        <w:rPr>
          <w:rFonts w:ascii="David" w:hAnsi="David"/>
          <w:rtl/>
        </w:rPr>
      </w:pPr>
      <w:r>
        <w:rPr>
          <w:rFonts w:ascii="David" w:hAnsi="David"/>
          <w:rtl/>
        </w:rPr>
        <w:t xml:space="preserve">בפסק הדין </w:t>
      </w:r>
      <w:hyperlink r:id="rId27" w:history="1">
        <w:r w:rsidR="00AE3E29" w:rsidRPr="00AE3E29">
          <w:rPr>
            <w:rFonts w:ascii="David" w:hAnsi="David"/>
            <w:color w:val="0000FF"/>
            <w:u w:val="single"/>
            <w:rtl/>
          </w:rPr>
          <w:t>ע"פ 4945/13</w:t>
        </w:r>
      </w:hyperlink>
      <w:r>
        <w:rPr>
          <w:rFonts w:ascii="David" w:hAnsi="David"/>
          <w:rtl/>
        </w:rPr>
        <w:t xml:space="preserve"> </w:t>
      </w:r>
      <w:r>
        <w:rPr>
          <w:rFonts w:ascii="David" w:hAnsi="David"/>
          <w:b/>
          <w:bCs/>
          <w:rtl/>
        </w:rPr>
        <w:t>סלימאן, נ' מדינת ישראל</w:t>
      </w:r>
      <w:r>
        <w:rPr>
          <w:rFonts w:ascii="David" w:hAnsi="David"/>
          <w:rtl/>
        </w:rPr>
        <w:t xml:space="preserve"> (פורסם במאגרים), נאמר:</w:t>
      </w:r>
    </w:p>
    <w:p w14:paraId="233B0B5D" w14:textId="77777777" w:rsidR="00CB2B29" w:rsidRDefault="00CB2B29" w:rsidP="00CB2B29">
      <w:pPr>
        <w:spacing w:line="360" w:lineRule="auto"/>
        <w:jc w:val="both"/>
        <w:rPr>
          <w:rFonts w:ascii="David" w:hAnsi="David"/>
          <w:rtl/>
        </w:rPr>
      </w:pPr>
    </w:p>
    <w:p w14:paraId="2B2FC328" w14:textId="77777777" w:rsidR="00CB2B29" w:rsidRDefault="00CB2B29" w:rsidP="00CB2B29">
      <w:pPr>
        <w:spacing w:line="360" w:lineRule="auto"/>
        <w:jc w:val="both"/>
        <w:rPr>
          <w:rFonts w:ascii="Calibri" w:hAnsi="Calibri" w:cs="Calibri"/>
        </w:rPr>
      </w:pPr>
      <w:r>
        <w:rPr>
          <w:rFonts w:ascii="Aharoni" w:hAnsi="Aharoni" w:cs="Aharoni" w:hint="cs"/>
          <w:rtl/>
        </w:rPr>
        <w:t>... התגלגלותם של כלי נשק מיד ליד ללא פיקוח עלולה להוביל להגעתם בדרך לא דרך לגורמים פליליים ועוינים. אין לדעת מה יעלה בגורלם של</w:t>
      </w:r>
      <w:r w:rsidR="00AE3E29">
        <w:rPr>
          <w:rFonts w:ascii="Aharoni" w:hAnsi="Aharoni" w:cs="Aharoni" w:hint="cs"/>
          <w:rtl/>
        </w:rPr>
        <w:t xml:space="preserve"> </w:t>
      </w:r>
      <w:r>
        <w:rPr>
          <w:rFonts w:ascii="Aharoni" w:hAnsi="Aharoni" w:cs="Aharoni" w:hint="cs"/>
          <w:rtl/>
        </w:rPr>
        <w:t xml:space="preserve"> ולאלו תוצאות הרסניות יובילו. ודוק: הסיכון שנשקף לשלום הציבור צריך להילקח בחשבון על ידי כל מי שמחזיק בידו נשק שלא כדין, </w:t>
      </w:r>
      <w:r>
        <w:rPr>
          <w:rFonts w:ascii="Aharoni" w:hAnsi="Aharoni" w:cs="Aharoni" w:hint="cs"/>
          <w:u w:val="single"/>
          <w:rtl/>
        </w:rPr>
        <w:t>גם אם אינו מחזיק בו למטרת ביצוען של עבירות אחרות</w:t>
      </w:r>
      <w:r>
        <w:rPr>
          <w:rFonts w:ascii="Aharoni" w:hAnsi="Aharoni" w:cs="Aharoni" w:hint="cs"/>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625E9D3C" w14:textId="77777777" w:rsidR="00CB2B29" w:rsidRDefault="00CB2B29" w:rsidP="00CB2B29">
      <w:pPr>
        <w:spacing w:line="360" w:lineRule="auto"/>
        <w:jc w:val="both"/>
        <w:rPr>
          <w:rFonts w:ascii="David" w:hAnsi="David"/>
        </w:rPr>
      </w:pPr>
      <w:r>
        <w:rPr>
          <w:rFonts w:ascii="David" w:hAnsi="David"/>
          <w:rtl/>
        </w:rPr>
        <w:t>[ההדגשה אינה במקור].</w:t>
      </w:r>
    </w:p>
    <w:p w14:paraId="62C3007B" w14:textId="77777777" w:rsidR="00CB2B29" w:rsidRDefault="00CB2B29" w:rsidP="00CB2B29">
      <w:pPr>
        <w:spacing w:line="360" w:lineRule="auto"/>
        <w:jc w:val="both"/>
        <w:rPr>
          <w:rFonts w:ascii="David" w:hAnsi="David"/>
        </w:rPr>
      </w:pPr>
    </w:p>
    <w:p w14:paraId="6DF647EC" w14:textId="77777777" w:rsidR="00CB2B29" w:rsidRDefault="00CB2B29" w:rsidP="00CB2B29">
      <w:pPr>
        <w:spacing w:line="360" w:lineRule="auto"/>
        <w:jc w:val="both"/>
        <w:rPr>
          <w:rFonts w:ascii="David" w:hAnsi="David"/>
        </w:rPr>
      </w:pPr>
      <w:r>
        <w:rPr>
          <w:rFonts w:ascii="David" w:hAnsi="David"/>
          <w:rtl/>
        </w:rPr>
        <w:t xml:space="preserve">בשורה של פסקי דין נקבע, כי </w:t>
      </w:r>
      <w:r>
        <w:rPr>
          <w:rFonts w:ascii="David" w:hAnsi="David"/>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Pr>
          <w:rFonts w:ascii="David" w:hAnsi="David"/>
          <w:rtl/>
        </w:rPr>
        <w:t xml:space="preserve">. ראו </w:t>
      </w:r>
      <w:hyperlink r:id="rId28" w:history="1">
        <w:r w:rsidR="00AE3E29" w:rsidRPr="00AE3E29">
          <w:rPr>
            <w:rFonts w:ascii="David" w:hAnsi="David"/>
            <w:color w:val="0000FF"/>
            <w:u w:val="single"/>
            <w:rtl/>
          </w:rPr>
          <w:t>רע"פ 2718/04</w:t>
        </w:r>
      </w:hyperlink>
      <w:r>
        <w:rPr>
          <w:rFonts w:ascii="David" w:hAnsi="David"/>
          <w:rtl/>
        </w:rPr>
        <w:t xml:space="preserve"> </w:t>
      </w:r>
      <w:r>
        <w:rPr>
          <w:rFonts w:ascii="David" w:hAnsi="David"/>
          <w:b/>
          <w:bCs/>
          <w:rtl/>
        </w:rPr>
        <w:t>אבו דאחל נ' מדינת ישראל</w:t>
      </w:r>
      <w:r>
        <w:rPr>
          <w:rFonts w:ascii="David" w:hAnsi="David"/>
          <w:rtl/>
        </w:rPr>
        <w:t xml:space="preserve"> (פורסם במאגרים):</w:t>
      </w:r>
    </w:p>
    <w:p w14:paraId="1C320F63" w14:textId="77777777" w:rsidR="00CB2B29" w:rsidRDefault="00CB2B29" w:rsidP="00CB2B29">
      <w:pPr>
        <w:spacing w:line="360" w:lineRule="auto"/>
        <w:jc w:val="both"/>
        <w:rPr>
          <w:rFonts w:ascii="David" w:hAnsi="David"/>
          <w:rtl/>
        </w:rPr>
      </w:pPr>
    </w:p>
    <w:p w14:paraId="47851D1C" w14:textId="77777777" w:rsidR="00CB2B29" w:rsidRDefault="00CB2B29" w:rsidP="00CB2B29">
      <w:pPr>
        <w:spacing w:line="360" w:lineRule="auto"/>
        <w:jc w:val="both"/>
        <w:rPr>
          <w:rFonts w:ascii="Aharoni" w:hAnsi="Aharoni" w:cs="Aharoni"/>
          <w:rtl/>
        </w:rPr>
      </w:pPr>
      <w:r>
        <w:rPr>
          <w:rFonts w:ascii="Aharoni" w:hAnsi="Aharoni"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58BA9456" w14:textId="77777777" w:rsidR="00CB2B29" w:rsidRDefault="00CB2B29" w:rsidP="00CB2B29">
      <w:pPr>
        <w:spacing w:line="360" w:lineRule="auto"/>
        <w:jc w:val="both"/>
        <w:rPr>
          <w:rFonts w:ascii="David" w:hAnsi="David"/>
          <w:rtl/>
        </w:rPr>
      </w:pPr>
    </w:p>
    <w:p w14:paraId="08D986EE" w14:textId="77777777" w:rsidR="00CB2B29" w:rsidRDefault="00CB2B29" w:rsidP="00CB2B29">
      <w:pPr>
        <w:spacing w:line="360" w:lineRule="auto"/>
        <w:jc w:val="both"/>
        <w:rPr>
          <w:rFonts w:ascii="David" w:hAnsi="David"/>
          <w:rtl/>
        </w:rPr>
      </w:pPr>
      <w:r>
        <w:rPr>
          <w:rFonts w:ascii="David" w:hAnsi="David"/>
          <w:rtl/>
        </w:rPr>
        <w:t xml:space="preserve">עוד ראו </w:t>
      </w:r>
      <w:hyperlink r:id="rId29" w:history="1">
        <w:r w:rsidR="00AE3E29" w:rsidRPr="00AE3E29">
          <w:rPr>
            <w:rFonts w:ascii="David" w:hAnsi="David"/>
            <w:color w:val="0000FF"/>
            <w:u w:val="single"/>
            <w:rtl/>
          </w:rPr>
          <w:t>ע"פ 5220/09</w:t>
        </w:r>
      </w:hyperlink>
      <w:r>
        <w:rPr>
          <w:rFonts w:ascii="David" w:hAnsi="David"/>
          <w:rtl/>
        </w:rPr>
        <w:t xml:space="preserve"> </w:t>
      </w:r>
      <w:r>
        <w:rPr>
          <w:rFonts w:ascii="David" w:hAnsi="David"/>
          <w:b/>
          <w:bCs/>
          <w:rtl/>
        </w:rPr>
        <w:t xml:space="preserve">עוואודה נ' מדינת ישראל </w:t>
      </w:r>
      <w:r>
        <w:rPr>
          <w:rFonts w:ascii="David" w:hAnsi="David"/>
          <w:rtl/>
        </w:rPr>
        <w:t>(פורסם במאגרים):</w:t>
      </w:r>
    </w:p>
    <w:p w14:paraId="1C1A0A37" w14:textId="77777777" w:rsidR="00CB2B29" w:rsidRDefault="00CB2B29" w:rsidP="00CB2B29">
      <w:pPr>
        <w:spacing w:line="360" w:lineRule="auto"/>
        <w:jc w:val="both"/>
        <w:rPr>
          <w:rFonts w:ascii="David" w:hAnsi="David"/>
          <w:rtl/>
        </w:rPr>
      </w:pPr>
    </w:p>
    <w:p w14:paraId="2E06AAD6" w14:textId="77777777" w:rsidR="00CB2B29" w:rsidRDefault="00CB2B29" w:rsidP="00CB2B29">
      <w:pPr>
        <w:spacing w:line="360" w:lineRule="auto"/>
        <w:jc w:val="both"/>
        <w:rPr>
          <w:rFonts w:ascii="David" w:hAnsi="David"/>
          <w:rtl/>
        </w:rPr>
      </w:pPr>
      <w:r>
        <w:rPr>
          <w:rFonts w:ascii="Aharoni" w:hAnsi="Aharoni" w:cs="Aharoni" w:hint="cs"/>
          <w:rtl/>
        </w:rPr>
        <w:t xml:space="preserve">אשר על כן משכבר נקבע הכלל לפיו </w:t>
      </w:r>
      <w:r>
        <w:rPr>
          <w:rFonts w:ascii="Aharoni" w:hAnsi="Aharoni" w:cs="Aharoni" w:hint="cs"/>
          <w:u w:val="single"/>
          <w:rtl/>
        </w:rPr>
        <w:t>ככלל יש לאסור את המבצעים עבירה זו, גם אם מדובר בעבירה ראשונה</w:t>
      </w:r>
      <w:r>
        <w:rPr>
          <w:rFonts w:ascii="Aharoni" w:hAnsi="Aharoni" w:cs="Aharoni" w:hint="cs"/>
          <w:rtl/>
        </w:rPr>
        <w:t>, מאחורי סורג ובריח, ואילו אורך התקופה כלול בנסיבות הספציפיות של העושה והמעשה.</w:t>
      </w:r>
    </w:p>
    <w:p w14:paraId="50D498D3" w14:textId="77777777" w:rsidR="00CB2B29" w:rsidRDefault="00CB2B29" w:rsidP="00CB2B29">
      <w:pPr>
        <w:spacing w:line="360" w:lineRule="auto"/>
        <w:jc w:val="both"/>
        <w:rPr>
          <w:rFonts w:ascii="David" w:hAnsi="David"/>
          <w:rtl/>
        </w:rPr>
      </w:pPr>
      <w:r>
        <w:rPr>
          <w:rFonts w:ascii="David" w:hAnsi="David"/>
          <w:rtl/>
        </w:rPr>
        <w:t>[ההדגשה אינה במקור].</w:t>
      </w:r>
    </w:p>
    <w:p w14:paraId="06F7C2A1" w14:textId="77777777" w:rsidR="00CB2B29" w:rsidRDefault="00CB2B29" w:rsidP="00CB2B29">
      <w:pPr>
        <w:spacing w:line="360" w:lineRule="auto"/>
        <w:jc w:val="both"/>
        <w:rPr>
          <w:rFonts w:ascii="David" w:hAnsi="David"/>
          <w:rtl/>
        </w:rPr>
      </w:pPr>
    </w:p>
    <w:p w14:paraId="69F24425" w14:textId="77777777" w:rsidR="00CB2B29" w:rsidRDefault="00CB2B29" w:rsidP="00CB2B29">
      <w:pPr>
        <w:spacing w:line="360" w:lineRule="auto"/>
        <w:jc w:val="both"/>
        <w:rPr>
          <w:rFonts w:ascii="David" w:hAnsi="David"/>
          <w:rtl/>
        </w:rPr>
      </w:pPr>
      <w:r>
        <w:rPr>
          <w:rFonts w:ascii="David" w:hAnsi="David" w:hint="cs"/>
          <w:rtl/>
        </w:rPr>
        <w:t xml:space="preserve">גם צריכת סמים יש בה, בעקיפין, משום פגיעה פוטנציאלית בציבור, לאור תופעות ההתמכרות ויתר התופעות השליליות הנלוות לשימוש בסמים מסוכנים, לרבות הירידה בפריון העבודה והתנהגות שולית, אלימה או עבריינית אחרת, הקשורה עם השימוש בחומרים משני תודעה. </w:t>
      </w:r>
    </w:p>
    <w:p w14:paraId="0E2D3F59" w14:textId="77777777" w:rsidR="00CB2B29" w:rsidRDefault="00CB2B29" w:rsidP="00CB2B29">
      <w:pPr>
        <w:spacing w:line="360" w:lineRule="auto"/>
        <w:jc w:val="both"/>
        <w:rPr>
          <w:rFonts w:ascii="David" w:hAnsi="David"/>
          <w:rtl/>
        </w:rPr>
      </w:pPr>
    </w:p>
    <w:p w14:paraId="78E3EF21" w14:textId="77777777" w:rsidR="00CB2B29" w:rsidRDefault="00CB2B29" w:rsidP="00CB2B29">
      <w:pPr>
        <w:spacing w:line="360" w:lineRule="auto"/>
        <w:jc w:val="both"/>
        <w:rPr>
          <w:rFonts w:ascii="David" w:hAnsi="David"/>
          <w:rtl/>
        </w:rPr>
      </w:pPr>
    </w:p>
    <w:p w14:paraId="5B59AEDC" w14:textId="77777777" w:rsidR="00CB2B29" w:rsidRDefault="00CB2B29" w:rsidP="00CB2B29">
      <w:pPr>
        <w:spacing w:line="360" w:lineRule="auto"/>
        <w:jc w:val="both"/>
        <w:rPr>
          <w:rFonts w:ascii="David" w:hAnsi="David"/>
          <w:rtl/>
        </w:rPr>
      </w:pPr>
      <w:r>
        <w:rPr>
          <w:rFonts w:ascii="David" w:hAnsi="David"/>
          <w:b/>
          <w:bCs/>
          <w:rtl/>
        </w:rPr>
        <w:t>מתחם ענישה</w:t>
      </w:r>
    </w:p>
    <w:p w14:paraId="1A962117" w14:textId="77777777" w:rsidR="00CB2B29" w:rsidRDefault="00CB2B29" w:rsidP="00CB2B29">
      <w:pPr>
        <w:spacing w:line="360" w:lineRule="auto"/>
        <w:jc w:val="both"/>
        <w:rPr>
          <w:rFonts w:ascii="David" w:hAnsi="David"/>
          <w:rtl/>
        </w:rPr>
      </w:pPr>
    </w:p>
    <w:p w14:paraId="0C8029CE" w14:textId="77777777" w:rsidR="00CB2B29" w:rsidRDefault="00CB2B29" w:rsidP="00CB2B29">
      <w:pPr>
        <w:spacing w:line="360" w:lineRule="auto"/>
        <w:jc w:val="both"/>
        <w:rPr>
          <w:rFonts w:ascii="David" w:hAnsi="David"/>
          <w:rtl/>
        </w:rPr>
      </w:pPr>
      <w:r>
        <w:rPr>
          <w:rFonts w:ascii="David" w:hAnsi="David"/>
          <w:rtl/>
        </w:rPr>
        <w:t>לצורך סקירת מדיניות הענישה הנוהגת</w:t>
      </w:r>
      <w:r>
        <w:rPr>
          <w:rFonts w:ascii="David" w:hAnsi="David" w:hint="cs"/>
          <w:rtl/>
        </w:rPr>
        <w:t xml:space="preserve"> בעבירות שעניינן החזקת נשק</w:t>
      </w:r>
      <w:r>
        <w:rPr>
          <w:rFonts w:ascii="David" w:hAnsi="David"/>
          <w:rtl/>
        </w:rPr>
        <w:t xml:space="preserve">, </w:t>
      </w:r>
      <w:r>
        <w:rPr>
          <w:rFonts w:ascii="David" w:hAnsi="David" w:hint="cs"/>
          <w:rtl/>
        </w:rPr>
        <w:t xml:space="preserve">חלקי נשק או תחמושת, </w:t>
      </w:r>
      <w:r>
        <w:rPr>
          <w:rFonts w:ascii="David" w:hAnsi="David"/>
          <w:rtl/>
        </w:rPr>
        <w:t>תובא להלן פסיקה רלוונטית:</w:t>
      </w:r>
    </w:p>
    <w:p w14:paraId="2BD06B06" w14:textId="77777777" w:rsidR="00CB2B29" w:rsidRDefault="00CB2B29" w:rsidP="00CB2B29">
      <w:pPr>
        <w:spacing w:line="360" w:lineRule="auto"/>
        <w:rPr>
          <w:rFonts w:ascii="A028 Extrabold" w:hAnsi="A028 Extrabold"/>
          <w:rtl/>
        </w:rPr>
      </w:pPr>
    </w:p>
    <w:p w14:paraId="75A69EF1" w14:textId="77777777" w:rsidR="00CB2B29" w:rsidRDefault="00CB2B29" w:rsidP="00CB2B29">
      <w:pPr>
        <w:pStyle w:val="a9"/>
        <w:numPr>
          <w:ilvl w:val="0"/>
          <w:numId w:val="2"/>
        </w:numPr>
        <w:spacing w:line="360" w:lineRule="auto"/>
        <w:jc w:val="both"/>
        <w:rPr>
          <w:rFonts w:ascii="David" w:hAnsi="David"/>
        </w:rPr>
      </w:pPr>
      <w:r>
        <w:rPr>
          <w:rFonts w:ascii="David" w:hAnsi="David" w:hint="cs"/>
          <w:rtl/>
        </w:rPr>
        <w:t xml:space="preserve">בגזר הדין </w:t>
      </w:r>
      <w:hyperlink r:id="rId30" w:history="1">
        <w:r w:rsidR="00AE3E29" w:rsidRPr="00AE3E29">
          <w:rPr>
            <w:rFonts w:ascii="David" w:hAnsi="David"/>
            <w:color w:val="0000FF"/>
            <w:u w:val="single"/>
            <w:rtl/>
          </w:rPr>
          <w:t>ת"פ 52091-02-20</w:t>
        </w:r>
      </w:hyperlink>
      <w:r>
        <w:rPr>
          <w:rFonts w:ascii="David" w:hAnsi="David" w:hint="cs"/>
          <w:rtl/>
        </w:rPr>
        <w:t xml:space="preserve"> </w:t>
      </w:r>
      <w:r>
        <w:rPr>
          <w:rFonts w:ascii="David" w:hAnsi="David" w:hint="cs"/>
          <w:b/>
          <w:bCs/>
          <w:rtl/>
        </w:rPr>
        <w:t>מדינת ישראל נ' אל אעסם</w:t>
      </w:r>
      <w:r>
        <w:rPr>
          <w:rFonts w:ascii="David" w:hAnsi="David" w:hint="cs"/>
          <w:rtl/>
        </w:rPr>
        <w:t xml:space="preserve"> (פורסם במאגרים </w:t>
      </w:r>
      <w:r>
        <w:rPr>
          <w:rFonts w:ascii="David" w:hAnsi="David"/>
          <w:rtl/>
        </w:rPr>
        <w:t>–</w:t>
      </w:r>
      <w:r>
        <w:rPr>
          <w:rFonts w:ascii="David" w:hAnsi="David" w:hint="cs"/>
          <w:rtl/>
        </w:rPr>
        <w:t xml:space="preserve"> להלן: "</w:t>
      </w:r>
      <w:r>
        <w:rPr>
          <w:rFonts w:ascii="David" w:hAnsi="David" w:hint="cs"/>
          <w:b/>
          <w:bCs/>
          <w:rtl/>
        </w:rPr>
        <w:t>פרשת אל אעסם</w:t>
      </w:r>
      <w:r>
        <w:rPr>
          <w:rFonts w:ascii="David" w:hAnsi="David" w:hint="cs"/>
          <w:rtl/>
        </w:rPr>
        <w:t>"), הורשע הנאשם, במסגרת הסדר טיעון, בהחזקת נשק מסוג תת מקלע מאולתר 9 מ"מ לצד כ-20 כדורי 9 מ"מ, אשר הוסלקו בארון מטבח בבית מגורים. על הנאשם נגזרו 18 חודשי מאסר בפועל, מאסר מותנה וקנס בסך 12,000 ₪.</w:t>
      </w:r>
    </w:p>
    <w:p w14:paraId="142C749F" w14:textId="77777777" w:rsidR="00CB2B29" w:rsidRDefault="00CB2B29" w:rsidP="00CB2B29">
      <w:pPr>
        <w:pStyle w:val="a9"/>
        <w:spacing w:line="360" w:lineRule="auto"/>
        <w:jc w:val="both"/>
        <w:rPr>
          <w:rFonts w:ascii="David" w:hAnsi="David"/>
        </w:rPr>
      </w:pPr>
    </w:p>
    <w:p w14:paraId="0882AEFD" w14:textId="77777777" w:rsidR="00CB2B29" w:rsidRDefault="00CB2B29" w:rsidP="00CB2B29">
      <w:pPr>
        <w:pStyle w:val="a9"/>
        <w:numPr>
          <w:ilvl w:val="0"/>
          <w:numId w:val="2"/>
        </w:numPr>
        <w:spacing w:line="360" w:lineRule="auto"/>
        <w:jc w:val="both"/>
        <w:rPr>
          <w:rFonts w:ascii="David" w:hAnsi="David"/>
        </w:rPr>
      </w:pPr>
      <w:r>
        <w:rPr>
          <w:rFonts w:ascii="David" w:hAnsi="David"/>
          <w:rtl/>
        </w:rPr>
        <w:t xml:space="preserve">בפסק הדין </w:t>
      </w:r>
      <w:hyperlink r:id="rId31" w:history="1">
        <w:r w:rsidR="00AE3E29" w:rsidRPr="00AE3E29">
          <w:rPr>
            <w:rFonts w:ascii="David" w:hAnsi="David"/>
            <w:color w:val="0000FF"/>
            <w:u w:val="single"/>
            <w:rtl/>
          </w:rPr>
          <w:t>עפ"ג 23419-01-17</w:t>
        </w:r>
      </w:hyperlink>
      <w:r>
        <w:rPr>
          <w:rFonts w:ascii="David" w:hAnsi="David"/>
          <w:b/>
          <w:bCs/>
          <w:rtl/>
        </w:rPr>
        <w:t xml:space="preserve"> מדינת ישראל נ' זניד ואח'</w:t>
      </w:r>
      <w:r>
        <w:rPr>
          <w:rFonts w:ascii="David" w:hAnsi="David"/>
          <w:rtl/>
        </w:rPr>
        <w:t xml:space="preserve"> (פורסם במאגרים), נדון ערעור המדינה בעניינם של שני משיבים, האחד - נתפס מחזיק אקדח בקוטר 9 מ"מ ביחד עם מחסנית ובה 17</w:t>
      </w:r>
      <w:r w:rsidR="00AE3E29">
        <w:rPr>
          <w:rFonts w:ascii="David" w:hAnsi="David"/>
          <w:rtl/>
        </w:rPr>
        <w:t xml:space="preserve"> </w:t>
      </w:r>
      <w:r>
        <w:rPr>
          <w:rFonts w:ascii="David" w:hAnsi="David"/>
          <w:rtl/>
        </w:rPr>
        <w:t xml:space="preserve"> כדורים; וכן רובה סער מאולתר דמוי </w:t>
      </w:r>
      <w:r>
        <w:rPr>
          <w:rFonts w:ascii="Arial" w:hAnsi="Arial" w:cs="Arial"/>
        </w:rPr>
        <w:t>M-16</w:t>
      </w:r>
      <w:r>
        <w:rPr>
          <w:rFonts w:ascii="David" w:hAnsi="David"/>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Pr>
          <w:rFonts w:ascii="David" w:hAnsi="David"/>
          <w:u w:val="single"/>
          <w:rtl/>
        </w:rPr>
        <w:t>המתחמים שנקבעו על ידי בית משפט השלום נמוכים יתר על המידה</w:t>
      </w:r>
      <w:r>
        <w:rPr>
          <w:rFonts w:ascii="David" w:hAnsi="David"/>
          <w:rtl/>
        </w:rPr>
        <w:t xml:space="preserve">. </w:t>
      </w:r>
    </w:p>
    <w:p w14:paraId="187FCE5E" w14:textId="77777777" w:rsidR="00CB2B29" w:rsidRDefault="00CB2B29" w:rsidP="00CB2B29">
      <w:pPr>
        <w:spacing w:line="360" w:lineRule="auto"/>
        <w:jc w:val="both"/>
        <w:rPr>
          <w:rFonts w:ascii="David" w:hAnsi="David"/>
          <w:rtl/>
        </w:rPr>
      </w:pPr>
    </w:p>
    <w:p w14:paraId="7A1CB74C" w14:textId="77777777" w:rsidR="00CB2B29" w:rsidRDefault="00CB2B29" w:rsidP="00CB2B29">
      <w:pPr>
        <w:pStyle w:val="a9"/>
        <w:numPr>
          <w:ilvl w:val="0"/>
          <w:numId w:val="2"/>
        </w:numPr>
        <w:spacing w:line="360" w:lineRule="auto"/>
        <w:jc w:val="both"/>
        <w:rPr>
          <w:rFonts w:ascii="David" w:hAnsi="David"/>
        </w:rPr>
      </w:pPr>
      <w:r>
        <w:rPr>
          <w:rFonts w:ascii="David" w:hAnsi="David"/>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Pr>
          <w:rFonts w:ascii="David" w:hAnsi="David"/>
          <w:u w:val="single"/>
          <w:rtl/>
        </w:rPr>
        <w:t>אחד</w:t>
      </w:r>
      <w:r>
        <w:rPr>
          <w:rFonts w:ascii="David" w:hAnsi="David"/>
          <w:rtl/>
        </w:rPr>
        <w:t xml:space="preserve"> מסוג תת מקלע בצירוף מחסנית ובה 10 כדורים. ראו </w:t>
      </w:r>
      <w:hyperlink r:id="rId32" w:history="1">
        <w:r w:rsidR="00AE3E29" w:rsidRPr="00AE3E29">
          <w:rPr>
            <w:rFonts w:ascii="David" w:hAnsi="David"/>
            <w:color w:val="0000FF"/>
            <w:u w:val="single"/>
            <w:rtl/>
          </w:rPr>
          <w:t>ת.פ 7544-11-16</w:t>
        </w:r>
      </w:hyperlink>
      <w:r>
        <w:rPr>
          <w:rFonts w:ascii="David" w:hAnsi="David"/>
          <w:rtl/>
        </w:rPr>
        <w:t xml:space="preserve"> </w:t>
      </w:r>
      <w:r>
        <w:rPr>
          <w:rFonts w:ascii="David" w:hAnsi="David"/>
          <w:b/>
          <w:bCs/>
          <w:rtl/>
        </w:rPr>
        <w:t xml:space="preserve">מדינת ישראל נ' אלאסד </w:t>
      </w:r>
      <w:r>
        <w:rPr>
          <w:rFonts w:ascii="David" w:hAnsi="David"/>
          <w:rtl/>
        </w:rPr>
        <w:t xml:space="preserve">(פורסם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33" w:history="1">
        <w:r w:rsidR="00AE3E29" w:rsidRPr="00AE3E29">
          <w:rPr>
            <w:rFonts w:ascii="David" w:hAnsi="David"/>
            <w:color w:val="0000FF"/>
            <w:u w:val="single"/>
            <w:rtl/>
          </w:rPr>
          <w:t>עפ"ג 22885-05-17</w:t>
        </w:r>
      </w:hyperlink>
      <w:r>
        <w:rPr>
          <w:rFonts w:ascii="David" w:hAnsi="David"/>
          <w:rtl/>
        </w:rPr>
        <w:t xml:space="preserve"> </w:t>
      </w:r>
      <w:r>
        <w:rPr>
          <w:rFonts w:ascii="David" w:hAnsi="David"/>
          <w:b/>
          <w:bCs/>
          <w:rtl/>
        </w:rPr>
        <w:t>אלאסד נ' מדינת ישראל</w:t>
      </w:r>
      <w:r>
        <w:rPr>
          <w:rFonts w:ascii="David" w:hAnsi="David"/>
          <w:rtl/>
        </w:rPr>
        <w:t xml:space="preserve"> (פורסם במאגרים).</w:t>
      </w:r>
    </w:p>
    <w:p w14:paraId="3AB0E5EE" w14:textId="77777777" w:rsidR="00CB2B29" w:rsidRPr="00A02F1B" w:rsidRDefault="00CB2B29" w:rsidP="00CB2B29">
      <w:pPr>
        <w:pStyle w:val="a9"/>
        <w:rPr>
          <w:rFonts w:ascii="David" w:hAnsi="David"/>
          <w:rtl/>
        </w:rPr>
      </w:pPr>
    </w:p>
    <w:p w14:paraId="2F71B719" w14:textId="77777777" w:rsidR="00CB2B29" w:rsidRDefault="00CB2B29" w:rsidP="00CB2B29">
      <w:pPr>
        <w:pStyle w:val="a9"/>
        <w:numPr>
          <w:ilvl w:val="0"/>
          <w:numId w:val="2"/>
        </w:numPr>
        <w:spacing w:line="360" w:lineRule="auto"/>
        <w:jc w:val="both"/>
        <w:rPr>
          <w:rFonts w:ascii="David" w:hAnsi="David"/>
        </w:rPr>
      </w:pPr>
      <w:r>
        <w:rPr>
          <w:rFonts w:ascii="David" w:hAnsi="David" w:hint="cs"/>
          <w:rtl/>
        </w:rPr>
        <w:t xml:space="preserve">בגזר דין </w:t>
      </w:r>
      <w:hyperlink r:id="rId34" w:history="1">
        <w:r w:rsidR="00AE3E29" w:rsidRPr="00AE3E29">
          <w:rPr>
            <w:rFonts w:ascii="David" w:hAnsi="David"/>
            <w:color w:val="0000FF"/>
            <w:u w:val="single"/>
            <w:rtl/>
          </w:rPr>
          <w:t>ת"פ 32560-12-16</w:t>
        </w:r>
      </w:hyperlink>
      <w:r>
        <w:rPr>
          <w:rFonts w:ascii="David" w:hAnsi="David" w:hint="cs"/>
          <w:rtl/>
        </w:rPr>
        <w:t xml:space="preserve"> </w:t>
      </w:r>
      <w:r>
        <w:rPr>
          <w:rFonts w:ascii="David" w:hAnsi="David" w:hint="cs"/>
          <w:b/>
          <w:bCs/>
          <w:rtl/>
        </w:rPr>
        <w:t>מדינת ישראל נ' אלסאריעה (</w:t>
      </w:r>
      <w:r>
        <w:rPr>
          <w:rFonts w:ascii="David" w:hAnsi="David" w:hint="cs"/>
          <w:rtl/>
        </w:rPr>
        <w:t xml:space="preserve">פורסם במאגרים), נדון נאשם בגין עבירה של נסיון להחזקת אקדח מסוג ברטה (העבירה תוקנה לנסיון, במסגרת הסדר טעון, בשל כך </w:t>
      </w:r>
      <w:r>
        <w:rPr>
          <w:rFonts w:ascii="David" w:hAnsi="David" w:hint="cs"/>
          <w:u w:val="single"/>
          <w:rtl/>
        </w:rPr>
        <w:t>שהנשק לא היה תקין</w:t>
      </w:r>
      <w:r>
        <w:rPr>
          <w:rFonts w:ascii="David" w:hAnsi="David" w:hint="cs"/>
          <w:rtl/>
        </w:rPr>
        <w:t xml:space="preserve">), וכן תת מקלע מאולתר, כשכלי הנשק הוחזקו בביתו של הנאשם שם, לעונש מאסר בן 20 חדשים בפועל. זאת, במסגרת מתחם כולל שנע בין 18 עד 42 חדשי מאסר. </w:t>
      </w:r>
      <w:r>
        <w:rPr>
          <w:rFonts w:ascii="David" w:hAnsi="David" w:hint="cs"/>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388A198B" w14:textId="77777777" w:rsidR="00CB2B29" w:rsidRDefault="00CB2B29" w:rsidP="00CB2B29">
      <w:pPr>
        <w:spacing w:line="360" w:lineRule="auto"/>
        <w:jc w:val="both"/>
        <w:rPr>
          <w:rFonts w:ascii="David" w:hAnsi="David"/>
          <w:rtl/>
        </w:rPr>
      </w:pPr>
    </w:p>
    <w:p w14:paraId="2502ACB5" w14:textId="77777777" w:rsidR="00CB2B29" w:rsidRDefault="00CB2B29" w:rsidP="00CB2B29">
      <w:pPr>
        <w:pStyle w:val="a9"/>
        <w:numPr>
          <w:ilvl w:val="0"/>
          <w:numId w:val="3"/>
        </w:numPr>
        <w:spacing w:line="360" w:lineRule="auto"/>
        <w:jc w:val="both"/>
        <w:rPr>
          <w:rFonts w:ascii="David" w:hAnsi="David"/>
        </w:rPr>
      </w:pPr>
      <w:r>
        <w:rPr>
          <w:rFonts w:ascii="David" w:hAnsi="David" w:hint="cs"/>
          <w:rtl/>
        </w:rPr>
        <w:t xml:space="preserve">בפסק הדין </w:t>
      </w:r>
      <w:hyperlink r:id="rId35" w:history="1">
        <w:r w:rsidR="00AE3E29" w:rsidRPr="00AE3E29">
          <w:rPr>
            <w:rFonts w:ascii="David" w:hAnsi="David"/>
            <w:color w:val="0000FF"/>
            <w:u w:val="single"/>
            <w:rtl/>
          </w:rPr>
          <w:t>עפ"ג 4673-08-19</w:t>
        </w:r>
      </w:hyperlink>
      <w:r>
        <w:rPr>
          <w:rFonts w:ascii="David" w:hAnsi="David"/>
          <w:rtl/>
        </w:rPr>
        <w:t xml:space="preserve"> </w:t>
      </w:r>
      <w:r>
        <w:rPr>
          <w:rFonts w:ascii="David" w:hAnsi="David"/>
          <w:b/>
          <w:bCs/>
          <w:rtl/>
        </w:rPr>
        <w:t xml:space="preserve">אבו מוסא נ' מדינת ישראל </w:t>
      </w:r>
      <w:r>
        <w:rPr>
          <w:rFonts w:ascii="David" w:hAnsi="David"/>
          <w:rtl/>
        </w:rPr>
        <w:t>(פורסם במאגרים – להלן: "</w:t>
      </w:r>
      <w:r>
        <w:rPr>
          <w:rFonts w:ascii="David" w:hAnsi="David"/>
          <w:b/>
          <w:bCs/>
          <w:rtl/>
        </w:rPr>
        <w:t>פרשת אבו מוסא"</w:t>
      </w:r>
      <w:r>
        <w:rPr>
          <w:rFonts w:ascii="David" w:hAnsi="David"/>
          <w:rtl/>
        </w:rPr>
        <w:t>)</w:t>
      </w:r>
      <w:r>
        <w:rPr>
          <w:rFonts w:ascii="David" w:hAnsi="David" w:hint="cs"/>
          <w:rtl/>
        </w:rPr>
        <w:t xml:space="preserve">, </w:t>
      </w:r>
      <w:r>
        <w:rPr>
          <w:rFonts w:ascii="David" w:hAnsi="David"/>
          <w:rtl/>
        </w:rPr>
        <w:t xml:space="preserve">נדחה ערעור ההגנה על עונש בפועל בן 18 חודשים בתוספת מאסר מותנה וקנס בסך 12,000 ₪, שהושתו על צעיר שהחזיק כלי נשק מסוג </w:t>
      </w:r>
      <w:r>
        <w:rPr>
          <w:rFonts w:ascii="David" w:hAnsi="David"/>
          <w:u w:val="single"/>
          <w:rtl/>
        </w:rPr>
        <w:t>תת מקלע מאולתר</w:t>
      </w:r>
      <w:r>
        <w:rPr>
          <w:rFonts w:ascii="David" w:hAnsi="David"/>
          <w:rtl/>
        </w:rPr>
        <w:t>.</w:t>
      </w:r>
    </w:p>
    <w:p w14:paraId="72A872F8" w14:textId="77777777" w:rsidR="00CB2B29" w:rsidRDefault="00CB2B29" w:rsidP="00CB2B29">
      <w:pPr>
        <w:pStyle w:val="a9"/>
        <w:spacing w:line="360" w:lineRule="auto"/>
        <w:jc w:val="both"/>
        <w:rPr>
          <w:rFonts w:ascii="David" w:hAnsi="David"/>
          <w:rtl/>
        </w:rPr>
      </w:pPr>
      <w:r>
        <w:rPr>
          <w:rFonts w:ascii="David" w:hAnsi="David"/>
          <w:rtl/>
        </w:rPr>
        <w:t xml:space="preserve">אותו מערער החזיק בנשק למשך </w:t>
      </w:r>
      <w:r>
        <w:rPr>
          <w:rFonts w:ascii="David" w:hAnsi="David"/>
          <w:u w:val="single"/>
          <w:rtl/>
        </w:rPr>
        <w:t>עשרה ימים בלבד</w:t>
      </w:r>
      <w:r>
        <w:rPr>
          <w:rFonts w:ascii="David" w:hAnsi="David"/>
          <w:rtl/>
        </w:rPr>
        <w:t xml:space="preserve"> ואף הוסכם, כי החזיקו בעבור אחר.</w:t>
      </w:r>
    </w:p>
    <w:p w14:paraId="434F7E6B" w14:textId="77777777" w:rsidR="00CB2B29" w:rsidRDefault="00CB2B29" w:rsidP="00CB2B29">
      <w:pPr>
        <w:pStyle w:val="a9"/>
        <w:spacing w:line="360" w:lineRule="auto"/>
        <w:jc w:val="both"/>
        <w:rPr>
          <w:rFonts w:ascii="David" w:hAnsi="David"/>
          <w:rtl/>
        </w:rPr>
      </w:pPr>
      <w:r>
        <w:rPr>
          <w:rFonts w:ascii="David" w:hAnsi="David"/>
          <w:rtl/>
        </w:rPr>
        <w:t xml:space="preserve">בית המשפט המחוזי, בשבתו כבית משפט לערעורים פליליים, הרכב בראשות הנשיאה כב' השופטת ר' יפה-כץ, ציין:  </w:t>
      </w:r>
    </w:p>
    <w:p w14:paraId="5BB19F1E" w14:textId="77777777" w:rsidR="00CB2B29" w:rsidRDefault="00CB2B29" w:rsidP="00CB2B29">
      <w:pPr>
        <w:spacing w:line="360" w:lineRule="auto"/>
        <w:jc w:val="both"/>
        <w:rPr>
          <w:rFonts w:ascii="David" w:hAnsi="David"/>
          <w:rtl/>
        </w:rPr>
      </w:pPr>
    </w:p>
    <w:p w14:paraId="48323058" w14:textId="77777777" w:rsidR="00CB2B29" w:rsidRDefault="00CB2B29" w:rsidP="00CB2B29">
      <w:pPr>
        <w:pStyle w:val="a9"/>
        <w:spacing w:line="360" w:lineRule="auto"/>
        <w:jc w:val="both"/>
        <w:rPr>
          <w:rFonts w:ascii="Aharoni" w:hAnsi="Aharoni" w:cs="Aharoni"/>
          <w:rtl/>
        </w:rPr>
      </w:pPr>
      <w:r>
        <w:rPr>
          <w:rFonts w:ascii="Aharoni" w:hAnsi="Aharoni" w:cs="Aharoni" w:hint="cs"/>
          <w:rtl/>
        </w:rPr>
        <w:t>בית המשפט קמא ציין ובצדק, את החומרה הרבה שיש לראות בעבירות הקשורות בנשק, ואף בצדק ציין, כי בית המשפט מצווה להחמיר את הענישה בעבירות כגון אלה, כדי להגן על הציבור. כך צדק גם בית המשפט בעת שקבע מתחם עונש כפי שקבע...</w:t>
      </w:r>
    </w:p>
    <w:p w14:paraId="48756FC4" w14:textId="77777777" w:rsidR="00CB2B29" w:rsidRDefault="00CB2B29" w:rsidP="00CB2B29">
      <w:pPr>
        <w:pStyle w:val="a9"/>
        <w:spacing w:line="360" w:lineRule="auto"/>
        <w:jc w:val="both"/>
        <w:rPr>
          <w:rFonts w:ascii="Aharoni" w:hAnsi="Aharoni" w:cs="Aharoni"/>
          <w:rtl/>
        </w:rPr>
      </w:pPr>
      <w:r>
        <w:rPr>
          <w:rFonts w:ascii="Aharoni" w:hAnsi="Aharoni" w:cs="Aharoni" w:hint="cs"/>
          <w:rtl/>
        </w:rPr>
        <w:t>בית משפט קמה הדגיש את העובדה כי העבירה של החזקת נשק הפכה למכה של</w:t>
      </w:r>
      <w:r w:rsidR="00AE3E29">
        <w:rPr>
          <w:rFonts w:ascii="Aharoni" w:hAnsi="Aharoni" w:cs="Aharoni" w:hint="cs"/>
          <w:rtl/>
        </w:rPr>
        <w:t xml:space="preserve"> </w:t>
      </w:r>
      <w:r>
        <w:rPr>
          <w:rFonts w:ascii="Aharoni" w:hAnsi="Aharoni" w:cs="Aharoni" w:hint="cs"/>
          <w:rtl/>
        </w:rPr>
        <w:t xml:space="preserve"> אזור הדרום, ואף צדק, כאשר קבע שלא ניתן להתעלם מנסיבה זו בעת קביעת העונש הראוי למערער.</w:t>
      </w:r>
    </w:p>
    <w:p w14:paraId="5C4D9D33" w14:textId="77777777" w:rsidR="00CB2B29" w:rsidRDefault="00CB2B29" w:rsidP="00CB2B29">
      <w:pPr>
        <w:spacing w:line="360" w:lineRule="auto"/>
        <w:jc w:val="both"/>
        <w:rPr>
          <w:rFonts w:ascii="David" w:hAnsi="David"/>
          <w:rtl/>
        </w:rPr>
      </w:pPr>
    </w:p>
    <w:p w14:paraId="2894960E" w14:textId="77777777" w:rsidR="00CB2B29" w:rsidRDefault="00CB2B29" w:rsidP="00CB2B29">
      <w:pPr>
        <w:pStyle w:val="a9"/>
        <w:numPr>
          <w:ilvl w:val="0"/>
          <w:numId w:val="3"/>
        </w:numPr>
        <w:spacing w:line="360" w:lineRule="auto"/>
        <w:jc w:val="both"/>
        <w:rPr>
          <w:rFonts w:ascii="David" w:hAnsi="David"/>
        </w:rPr>
      </w:pPr>
      <w:r>
        <w:rPr>
          <w:rFonts w:ascii="David" w:hAnsi="David" w:hint="cs"/>
          <w:rtl/>
        </w:rPr>
        <w:t xml:space="preserve">בגזר הדין </w:t>
      </w:r>
      <w:hyperlink r:id="rId36" w:history="1">
        <w:r w:rsidR="00AE3E29" w:rsidRPr="00AE3E29">
          <w:rPr>
            <w:rFonts w:ascii="David" w:hAnsi="David"/>
            <w:color w:val="0000FF"/>
            <w:u w:val="single"/>
            <w:rtl/>
          </w:rPr>
          <w:t>ת"פ 19417-11-16</w:t>
        </w:r>
      </w:hyperlink>
      <w:r>
        <w:rPr>
          <w:rFonts w:ascii="David" w:hAnsi="David"/>
          <w:rtl/>
        </w:rPr>
        <w:t xml:space="preserve"> </w:t>
      </w:r>
      <w:r>
        <w:rPr>
          <w:rFonts w:ascii="David" w:hAnsi="David"/>
          <w:b/>
          <w:bCs/>
          <w:rtl/>
        </w:rPr>
        <w:t>מדינת ישראל נ'</w:t>
      </w:r>
      <w:r>
        <w:rPr>
          <w:rFonts w:ascii="David" w:hAnsi="David"/>
          <w:rtl/>
        </w:rPr>
        <w:t xml:space="preserve"> </w:t>
      </w:r>
      <w:r>
        <w:rPr>
          <w:rFonts w:ascii="David" w:hAnsi="David"/>
          <w:b/>
          <w:bCs/>
          <w:rtl/>
        </w:rPr>
        <w:t>אבו אלקיעאן</w:t>
      </w:r>
      <w:r>
        <w:rPr>
          <w:rFonts w:ascii="David" w:hAnsi="David" w:hint="cs"/>
          <w:rtl/>
        </w:rPr>
        <w:t xml:space="preserve"> (פורסם במאגרים) - </w:t>
      </w:r>
      <w:r>
        <w:rPr>
          <w:rFonts w:ascii="David" w:hAnsi="David"/>
          <w:rtl/>
        </w:rPr>
        <w:t>נאשם ללא הרשעות קודמות, אשר ניהל חיים אזרחיים עמלניים כבעלים של מספר עסקים בישוב חורה, לעונש מאסר בפועל בין 15 חודשים בגין החזקת אקדח חצי אוטומטי אחד, במתחם שנקבע בין 15 עד 30 חודשי מאסר בפועל, כשהסיבה לקביעת המתחם שם היתה</w:t>
      </w:r>
      <w:r>
        <w:rPr>
          <w:rFonts w:ascii="David" w:hAnsi="David" w:hint="cs"/>
          <w:rtl/>
        </w:rPr>
        <w:t xml:space="preserve">, </w:t>
      </w:r>
      <w:r>
        <w:rPr>
          <w:rFonts w:ascii="David" w:hAnsi="David"/>
          <w:rtl/>
        </w:rPr>
        <w:t>כי הנשק הוחזק בליווית תחמושת.</w:t>
      </w:r>
      <w:r>
        <w:rPr>
          <w:rFonts w:ascii="David" w:hAnsi="David" w:hint="cs"/>
          <w:rtl/>
        </w:rPr>
        <w:t xml:space="preserve"> מדובר ב</w:t>
      </w:r>
      <w:r>
        <w:rPr>
          <w:rFonts w:ascii="David" w:hAnsi="David"/>
          <w:rtl/>
        </w:rPr>
        <w:t>נאשם, שהיה ללא הרשעות (ואף ללא רישומים) קודמים, לאחר שירות צבאי ארוך בסדיר ובקבע, מוכר כדמות ציבורית במגזר אליו משתייך.</w:t>
      </w:r>
    </w:p>
    <w:p w14:paraId="674D5978" w14:textId="77777777" w:rsidR="00CB2B29" w:rsidRDefault="00CB2B29" w:rsidP="00CB2B29">
      <w:pPr>
        <w:spacing w:line="360" w:lineRule="auto"/>
        <w:jc w:val="both"/>
        <w:rPr>
          <w:rFonts w:ascii="David" w:hAnsi="David"/>
          <w:rtl/>
        </w:rPr>
      </w:pPr>
    </w:p>
    <w:p w14:paraId="1D6E4E40" w14:textId="77777777" w:rsidR="00CB2B29" w:rsidRDefault="00CB2B29" w:rsidP="00CB2B29">
      <w:pPr>
        <w:spacing w:line="360" w:lineRule="auto"/>
        <w:jc w:val="both"/>
        <w:rPr>
          <w:rFonts w:ascii="David" w:hAnsi="David"/>
        </w:rPr>
      </w:pPr>
      <w:r>
        <w:rPr>
          <w:rFonts w:ascii="David" w:hAnsi="David"/>
          <w:rtl/>
        </w:rPr>
        <w:t xml:space="preserve">לפני מספר שנים, פורסמה הנחיית פרקליט המדינה מס' </w:t>
      </w:r>
      <w:r w:rsidR="00AE3E29">
        <w:rPr>
          <w:rFonts w:ascii="David" w:hAnsi="David"/>
          <w:rtl/>
        </w:rPr>
        <w:t xml:space="preserve"> </w:t>
      </w:r>
      <w:r>
        <w:rPr>
          <w:rFonts w:ascii="David" w:hAnsi="David"/>
          <w:rtl/>
        </w:rPr>
        <w:t xml:space="preserve">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w:t>
      </w:r>
      <w:r>
        <w:rPr>
          <w:rFonts w:ascii="David" w:hAnsi="David"/>
          <w:u w:val="single"/>
          <w:rtl/>
        </w:rPr>
        <w:t>ברמה אחת לפני הרמה החמורה ביותר</w:t>
      </w:r>
      <w:r>
        <w:rPr>
          <w:rFonts w:ascii="David" w:hAnsi="David"/>
          <w:rtl/>
        </w:rPr>
        <w:t xml:space="preserve">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2BBCB82E" w14:textId="77777777" w:rsidR="00CB2B29" w:rsidRDefault="00CB2B29" w:rsidP="00CB2B29">
      <w:pPr>
        <w:spacing w:line="360" w:lineRule="auto"/>
        <w:jc w:val="both"/>
        <w:rPr>
          <w:rFonts w:ascii="David" w:hAnsi="David"/>
          <w:rtl/>
        </w:rPr>
      </w:pPr>
    </w:p>
    <w:p w14:paraId="01F288C4" w14:textId="77777777" w:rsidR="00CB2B29" w:rsidRDefault="00CB2B29" w:rsidP="00CB2B29">
      <w:pPr>
        <w:spacing w:line="360" w:lineRule="auto"/>
        <w:jc w:val="both"/>
        <w:rPr>
          <w:rFonts w:ascii="David" w:hAnsi="David"/>
          <w:rtl/>
        </w:rPr>
      </w:pPr>
      <w:r>
        <w:rPr>
          <w:rFonts w:ascii="David" w:hAnsi="David"/>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Pr>
          <w:rFonts w:ascii="David" w:hAnsi="David"/>
          <w:u w:val="single"/>
          <w:rtl/>
        </w:rPr>
        <w:t>פליליים</w:t>
      </w:r>
      <w:r>
        <w:rPr>
          <w:rFonts w:ascii="David" w:hAnsi="David"/>
          <w:rtl/>
        </w:rPr>
        <w:t xml:space="preserve"> באמצעות נשק חם. זאת, מבלי לקחת בחשבון פיגועים על רקע בטחוני או עבירות שנאה.</w:t>
      </w:r>
    </w:p>
    <w:p w14:paraId="507588B1" w14:textId="77777777" w:rsidR="00CB2B29" w:rsidRDefault="00CB2B29" w:rsidP="00CB2B29">
      <w:pPr>
        <w:spacing w:line="360" w:lineRule="auto"/>
        <w:jc w:val="both"/>
        <w:rPr>
          <w:rFonts w:ascii="David" w:hAnsi="David"/>
          <w:rtl/>
        </w:rPr>
      </w:pPr>
    </w:p>
    <w:p w14:paraId="4809BEB3" w14:textId="77777777" w:rsidR="00CB2B29" w:rsidRDefault="00CB2B29" w:rsidP="00CB2B29">
      <w:pPr>
        <w:spacing w:line="360" w:lineRule="auto"/>
        <w:jc w:val="both"/>
        <w:rPr>
          <w:rFonts w:ascii="David" w:hAnsi="David"/>
          <w:rtl/>
        </w:rPr>
      </w:pPr>
      <w:r>
        <w:rPr>
          <w:rFonts w:ascii="David" w:hAnsi="David"/>
          <w:rtl/>
        </w:rPr>
        <w:t xml:space="preserve">ריבוי כתבי האישום בגין עבירות אלה בשנים האחרונות, מאשש טענת התביעה, כי </w:t>
      </w:r>
      <w:r>
        <w:rPr>
          <w:rFonts w:ascii="David" w:hAnsi="David"/>
          <w:u w:val="single"/>
          <w:rtl/>
        </w:rPr>
        <w:t>העבירה הנדונה הפכה ל"מכת מדינה"</w:t>
      </w:r>
      <w:r>
        <w:rPr>
          <w:rFonts w:ascii="David" w:hAnsi="David"/>
          <w:rtl/>
        </w:rPr>
        <w:t>. חלק מהגורמים לכך, הוא הנגישות הרבה לכלי נשק. נפיצות כלי הנשק יוצרת סכנה של ממש לבטחון הציבור, כפי האמרה הידועה, לפיה, כלי הנשק שהופיע במערכה הראשונה, חוזר להופיע במערכות שלאחר מכן. ובעת האחרונה, די בהצצה חטופה בכל מהדורת חדשות כמעט, כדי להתרשם מהנזקים הקשים, אשר נגרמים מכלי הנשק, המוחזקים על ידי מי שאינו מורשה לכך.</w:t>
      </w:r>
    </w:p>
    <w:p w14:paraId="38E5C60C" w14:textId="77777777" w:rsidR="00CB2B29" w:rsidRDefault="00CB2B29" w:rsidP="00CB2B29">
      <w:pPr>
        <w:spacing w:line="360" w:lineRule="auto"/>
        <w:jc w:val="both"/>
        <w:rPr>
          <w:rFonts w:ascii="David" w:hAnsi="David"/>
          <w:rtl/>
        </w:rPr>
      </w:pPr>
    </w:p>
    <w:p w14:paraId="61EB9F36" w14:textId="77777777" w:rsidR="00CB2B29" w:rsidRDefault="00CB2B29" w:rsidP="00CB2B29">
      <w:pPr>
        <w:spacing w:line="360" w:lineRule="auto"/>
        <w:jc w:val="both"/>
        <w:rPr>
          <w:rFonts w:ascii="David" w:hAnsi="David"/>
          <w:rtl/>
        </w:rPr>
      </w:pPr>
      <w:r>
        <w:rPr>
          <w:rFonts w:ascii="David" w:hAnsi="David" w:hint="cs"/>
          <w:rtl/>
        </w:rPr>
        <w:t xml:space="preserve">בשורה של גזרי דין מהזמן האחרון, </w:t>
      </w:r>
      <w:r>
        <w:rPr>
          <w:rFonts w:ascii="David" w:hAnsi="David"/>
          <w:rtl/>
        </w:rPr>
        <w:t>לנוכח התפשטות הפעילות העבר</w:t>
      </w:r>
      <w:r>
        <w:rPr>
          <w:rFonts w:ascii="David" w:hAnsi="David" w:hint="cs"/>
          <w:rtl/>
        </w:rPr>
        <w:t>י</w:t>
      </w:r>
      <w:r>
        <w:rPr>
          <w:rFonts w:ascii="David" w:hAnsi="David"/>
          <w:rtl/>
        </w:rPr>
        <w:t xml:space="preserve">ינית הכוללת </w:t>
      </w:r>
      <w:r>
        <w:rPr>
          <w:rFonts w:ascii="David" w:hAnsi="David" w:hint="cs"/>
          <w:rtl/>
        </w:rPr>
        <w:t xml:space="preserve">החזקה או </w:t>
      </w:r>
      <w:r>
        <w:rPr>
          <w:rFonts w:ascii="David" w:hAnsi="David"/>
          <w:rtl/>
        </w:rPr>
        <w:t xml:space="preserve">שימוש בנשק חם, </w:t>
      </w:r>
      <w:r>
        <w:rPr>
          <w:rFonts w:ascii="David" w:hAnsi="David" w:hint="cs"/>
          <w:rtl/>
        </w:rPr>
        <w:t>מצא בית המשפט</w:t>
      </w:r>
      <w:r>
        <w:rPr>
          <w:rFonts w:ascii="David" w:hAnsi="David"/>
          <w:rtl/>
        </w:rPr>
        <w:t xml:space="preserve"> לקבוע החמרה </w:t>
      </w:r>
      <w:r>
        <w:rPr>
          <w:rFonts w:ascii="David" w:hAnsi="David" w:hint="cs"/>
          <w:rtl/>
        </w:rPr>
        <w:t>הדרגתית</w:t>
      </w:r>
      <w:r>
        <w:rPr>
          <w:rFonts w:ascii="David" w:hAnsi="David"/>
          <w:rtl/>
        </w:rPr>
        <w:t xml:space="preserve">, במתחמים שנקבעו, כשהמתחם בגין אחזקת נשק חם אוטומטי מסוג רובה סער או תת מקלע – </w:t>
      </w:r>
      <w:r>
        <w:rPr>
          <w:rFonts w:ascii="David" w:hAnsi="David" w:hint="cs"/>
          <w:rtl/>
        </w:rPr>
        <w:t>הועמד</w:t>
      </w:r>
      <w:r>
        <w:rPr>
          <w:rFonts w:ascii="David" w:hAnsi="David"/>
          <w:rtl/>
        </w:rPr>
        <w:t xml:space="preserve"> בין 20 ועד 40 חדשים מאסר בפועל</w:t>
      </w:r>
      <w:r>
        <w:rPr>
          <w:rFonts w:ascii="David" w:hAnsi="David" w:hint="cs"/>
          <w:rtl/>
        </w:rPr>
        <w:t xml:space="preserve"> (ראו פרשת </w:t>
      </w:r>
      <w:r>
        <w:rPr>
          <w:rFonts w:ascii="David" w:hAnsi="David" w:hint="cs"/>
          <w:b/>
          <w:bCs/>
          <w:rtl/>
        </w:rPr>
        <w:t>אל אע</w:t>
      </w:r>
      <w:r w:rsidRPr="00EE4E88">
        <w:rPr>
          <w:rFonts w:ascii="David" w:hAnsi="David" w:hint="cs"/>
          <w:b/>
          <w:bCs/>
          <w:rtl/>
        </w:rPr>
        <w:t>סם</w:t>
      </w:r>
      <w:r>
        <w:rPr>
          <w:rFonts w:ascii="David" w:hAnsi="David" w:hint="cs"/>
          <w:rtl/>
        </w:rPr>
        <w:t xml:space="preserve"> דלעיל).</w:t>
      </w:r>
    </w:p>
    <w:p w14:paraId="2747C731" w14:textId="77777777" w:rsidR="00CB2B29" w:rsidRDefault="00CB2B29" w:rsidP="00CB2B29">
      <w:pPr>
        <w:spacing w:line="360" w:lineRule="auto"/>
        <w:jc w:val="both"/>
        <w:rPr>
          <w:rFonts w:ascii="David" w:hAnsi="David"/>
          <w:rtl/>
        </w:rPr>
      </w:pPr>
    </w:p>
    <w:p w14:paraId="07B15DD9" w14:textId="77777777" w:rsidR="00CB2B29" w:rsidRDefault="00CB2B29" w:rsidP="00CB2B29">
      <w:pPr>
        <w:spacing w:line="360" w:lineRule="auto"/>
        <w:jc w:val="both"/>
        <w:rPr>
          <w:rFonts w:ascii="David" w:hAnsi="David"/>
          <w:rtl/>
        </w:rPr>
      </w:pPr>
      <w:r>
        <w:rPr>
          <w:rFonts w:ascii="David" w:hAnsi="David" w:hint="cs"/>
          <w:rtl/>
        </w:rPr>
        <w:t xml:space="preserve">במקרה דנן, לצד החזקת נשק מסוג </w:t>
      </w:r>
      <w:r>
        <w:rPr>
          <w:rFonts w:ascii="David" w:hAnsi="David"/>
        </w:rPr>
        <w:t>M-16</w:t>
      </w:r>
      <w:r>
        <w:rPr>
          <w:rFonts w:ascii="David" w:hAnsi="David" w:hint="cs"/>
          <w:rtl/>
        </w:rPr>
        <w:t>, החזיק הנאשם 1 גם חלקי נשק, תחמושת רבה וסמים מסוג קנביס, הכל כמפורט בכתב האישום המתוקן. מגוון התחמושת והחלקים שהוחזקו, מעידים על מעורבות של ממש, שאינה מקרית, בתחום העברייני. על כן, ביחס לנאשם 1, מוצא בית המשפט לקבוע מתחם ענישה כולל, אשר ינוע בין 24 עד 48 חודשי מאסר בפועל.</w:t>
      </w:r>
    </w:p>
    <w:p w14:paraId="3A6A0667" w14:textId="77777777" w:rsidR="00CB2B29" w:rsidRDefault="00CB2B29" w:rsidP="00CB2B29">
      <w:pPr>
        <w:spacing w:line="360" w:lineRule="auto"/>
        <w:jc w:val="both"/>
        <w:rPr>
          <w:rFonts w:ascii="David" w:hAnsi="David"/>
          <w:rtl/>
        </w:rPr>
      </w:pPr>
    </w:p>
    <w:p w14:paraId="10847C95" w14:textId="77777777" w:rsidR="00CB2B29" w:rsidRDefault="00CB2B29" w:rsidP="00CB2B29">
      <w:pPr>
        <w:spacing w:line="360" w:lineRule="auto"/>
        <w:jc w:val="both"/>
        <w:rPr>
          <w:rFonts w:ascii="David" w:hAnsi="David"/>
          <w:rtl/>
        </w:rPr>
      </w:pPr>
      <w:r>
        <w:rPr>
          <w:rFonts w:ascii="David" w:hAnsi="David" w:hint="cs"/>
          <w:rtl/>
        </w:rPr>
        <w:t>ביחס לנאשם 2, אשר החזיק כמות לא גדולה של כדורים בלבד, מוצא בית המשפט לקבוע מתחם ענישה הנע בין ענישה צופה פני עתיד ועד מספר חודשי מאסר, אשר יכול שירוצו בדרך של עבודות שירות.</w:t>
      </w:r>
    </w:p>
    <w:p w14:paraId="45AC0777" w14:textId="77777777" w:rsidR="00CB2B29" w:rsidRDefault="00CB2B29" w:rsidP="00CB2B29">
      <w:pPr>
        <w:spacing w:line="360" w:lineRule="auto"/>
        <w:jc w:val="both"/>
        <w:rPr>
          <w:rFonts w:ascii="David" w:hAnsi="David"/>
          <w:rtl/>
        </w:rPr>
      </w:pPr>
    </w:p>
    <w:p w14:paraId="73A747EE" w14:textId="77777777" w:rsidR="00CB2B29" w:rsidRDefault="00CB2B29" w:rsidP="00CB2B29">
      <w:pPr>
        <w:spacing w:line="360" w:lineRule="auto"/>
        <w:jc w:val="both"/>
        <w:rPr>
          <w:rFonts w:ascii="David" w:hAnsi="David"/>
          <w:rtl/>
        </w:rPr>
      </w:pPr>
    </w:p>
    <w:p w14:paraId="737F5E48" w14:textId="77777777" w:rsidR="00CB2B29" w:rsidRDefault="00CB2B29" w:rsidP="00CB2B29">
      <w:pPr>
        <w:spacing w:line="360" w:lineRule="auto"/>
        <w:jc w:val="both"/>
        <w:rPr>
          <w:rFonts w:ascii="David" w:hAnsi="David"/>
          <w:rtl/>
        </w:rPr>
      </w:pPr>
      <w:r>
        <w:rPr>
          <w:rFonts w:ascii="David" w:hAnsi="David" w:hint="cs"/>
          <w:b/>
          <w:bCs/>
          <w:rtl/>
        </w:rPr>
        <w:t>קביעת הענישה הספציפית במסגרת המתחם</w:t>
      </w:r>
    </w:p>
    <w:p w14:paraId="7850F4DA" w14:textId="77777777" w:rsidR="00CB2B29" w:rsidRDefault="00CB2B29" w:rsidP="00CB2B29">
      <w:pPr>
        <w:spacing w:line="360" w:lineRule="auto"/>
        <w:jc w:val="both"/>
        <w:rPr>
          <w:rFonts w:ascii="David" w:hAnsi="David"/>
          <w:rtl/>
        </w:rPr>
      </w:pPr>
    </w:p>
    <w:p w14:paraId="54CE4368" w14:textId="77777777" w:rsidR="00CB2B29" w:rsidRDefault="00CB2B29" w:rsidP="00CB2B29">
      <w:pPr>
        <w:spacing w:line="360" w:lineRule="auto"/>
        <w:jc w:val="both"/>
        <w:rPr>
          <w:rFonts w:ascii="David" w:hAnsi="David"/>
          <w:rtl/>
        </w:rPr>
      </w:pPr>
      <w:r>
        <w:rPr>
          <w:rFonts w:ascii="David" w:hAnsi="David" w:hint="cs"/>
          <w:u w:val="single"/>
          <w:rtl/>
        </w:rPr>
        <w:t>נאשם 1</w:t>
      </w:r>
    </w:p>
    <w:p w14:paraId="07FCE27F" w14:textId="77777777" w:rsidR="00CB2B29" w:rsidRPr="00712AB7" w:rsidRDefault="00CB2B29" w:rsidP="00CB2B29">
      <w:pPr>
        <w:spacing w:line="360" w:lineRule="auto"/>
        <w:jc w:val="both"/>
        <w:rPr>
          <w:rFonts w:ascii="David" w:hAnsi="David"/>
          <w:rtl/>
        </w:rPr>
      </w:pPr>
    </w:p>
    <w:p w14:paraId="0B89E354" w14:textId="77777777" w:rsidR="00CB2B29" w:rsidRDefault="00CB2B29" w:rsidP="00CB2B29">
      <w:pPr>
        <w:spacing w:line="360" w:lineRule="auto"/>
        <w:jc w:val="both"/>
        <w:rPr>
          <w:rFonts w:ascii="David" w:hAnsi="David"/>
          <w:rtl/>
        </w:rPr>
      </w:pPr>
      <w:r>
        <w:rPr>
          <w:rFonts w:ascii="David" w:hAnsi="David" w:hint="cs"/>
          <w:rtl/>
        </w:rPr>
        <w:t>לחובת הנאשם 1, הרשעה קודמת בעבירת אלימות, במסגרתה אף תלוי ועומד מאסר מותנה, אשר בין הצדדים מחלוקת האם הוא בר הפעלה.</w:t>
      </w:r>
    </w:p>
    <w:p w14:paraId="43E2C20A" w14:textId="77777777" w:rsidR="00CB2B29" w:rsidRDefault="00CB2B29" w:rsidP="00CB2B29">
      <w:pPr>
        <w:spacing w:line="360" w:lineRule="auto"/>
        <w:jc w:val="both"/>
        <w:rPr>
          <w:rFonts w:ascii="David" w:hAnsi="David"/>
          <w:rtl/>
        </w:rPr>
      </w:pPr>
    </w:p>
    <w:p w14:paraId="6D3AE022" w14:textId="77777777" w:rsidR="00CB2B29" w:rsidRDefault="00CB2B29" w:rsidP="00CB2B29">
      <w:pPr>
        <w:spacing w:line="360" w:lineRule="auto"/>
        <w:jc w:val="both"/>
        <w:rPr>
          <w:rFonts w:ascii="David" w:hAnsi="David"/>
          <w:rtl/>
        </w:rPr>
      </w:pPr>
      <w:r>
        <w:rPr>
          <w:rFonts w:ascii="David" w:hAnsi="David" w:hint="cs"/>
          <w:rtl/>
        </w:rPr>
        <w:t>לזכות הנאשם 1, הודאתו באשמה ונטילת האחריות מצדו, תוך הבעת חרטה על מעשיו.</w:t>
      </w:r>
    </w:p>
    <w:p w14:paraId="06B564C7" w14:textId="77777777" w:rsidR="00CB2B29" w:rsidRDefault="00CB2B29" w:rsidP="00CB2B29">
      <w:pPr>
        <w:spacing w:line="360" w:lineRule="auto"/>
        <w:jc w:val="both"/>
        <w:rPr>
          <w:rFonts w:ascii="David" w:hAnsi="David"/>
          <w:rtl/>
        </w:rPr>
      </w:pPr>
    </w:p>
    <w:p w14:paraId="77E7D379" w14:textId="77777777" w:rsidR="00CB2B29" w:rsidRDefault="00CB2B29" w:rsidP="00CB2B29">
      <w:pPr>
        <w:spacing w:line="360" w:lineRule="auto"/>
        <w:jc w:val="both"/>
        <w:rPr>
          <w:rFonts w:ascii="David" w:hAnsi="David"/>
          <w:rtl/>
        </w:rPr>
      </w:pPr>
      <w:r>
        <w:rPr>
          <w:rFonts w:ascii="David" w:hAnsi="David" w:hint="cs"/>
          <w:rtl/>
        </w:rPr>
        <w:t xml:space="preserve">אשר לשאלת הפעלת המאסר המותנה: </w:t>
      </w:r>
    </w:p>
    <w:p w14:paraId="13A8B71B" w14:textId="77777777" w:rsidR="00CB2B29" w:rsidRDefault="00CB2B29" w:rsidP="00CB2B29">
      <w:pPr>
        <w:spacing w:line="360" w:lineRule="auto"/>
        <w:jc w:val="both"/>
        <w:rPr>
          <w:rFonts w:ascii="David" w:hAnsi="David"/>
          <w:rtl/>
        </w:rPr>
      </w:pPr>
    </w:p>
    <w:p w14:paraId="4A853AE2" w14:textId="77777777" w:rsidR="00CB2B29" w:rsidRDefault="00CB2B29" w:rsidP="00CB2B29">
      <w:pPr>
        <w:spacing w:line="360" w:lineRule="auto"/>
        <w:jc w:val="both"/>
        <w:rPr>
          <w:rFonts w:ascii="David" w:hAnsi="David"/>
          <w:rtl/>
        </w:rPr>
      </w:pPr>
    </w:p>
    <w:p w14:paraId="7430D327" w14:textId="77777777" w:rsidR="00CB2B29" w:rsidRDefault="00CB2B29" w:rsidP="00CB2B29">
      <w:pPr>
        <w:spacing w:line="360" w:lineRule="auto"/>
        <w:jc w:val="both"/>
        <w:rPr>
          <w:rFonts w:ascii="David" w:hAnsi="David"/>
          <w:rtl/>
        </w:rPr>
      </w:pPr>
    </w:p>
    <w:p w14:paraId="10218452" w14:textId="77777777" w:rsidR="00CB2B29" w:rsidRDefault="00CB2B29" w:rsidP="00CB2B29">
      <w:pPr>
        <w:spacing w:line="360" w:lineRule="auto"/>
        <w:jc w:val="both"/>
        <w:rPr>
          <w:rFonts w:ascii="David" w:hAnsi="David"/>
          <w:rtl/>
        </w:rPr>
      </w:pPr>
      <w:r>
        <w:rPr>
          <w:rFonts w:ascii="David" w:hAnsi="David" w:hint="cs"/>
          <w:rtl/>
        </w:rPr>
        <w:t xml:space="preserve">לענין זה, הפנתה התביעה לפסק הדין </w:t>
      </w:r>
      <w:hyperlink r:id="rId37" w:history="1">
        <w:r w:rsidR="00AE3E29" w:rsidRPr="00AE3E29">
          <w:rPr>
            <w:rFonts w:ascii="David" w:hAnsi="David"/>
            <w:color w:val="0000FF"/>
            <w:u w:val="single"/>
            <w:rtl/>
          </w:rPr>
          <w:t>רע"פ 4065/18</w:t>
        </w:r>
      </w:hyperlink>
      <w:r>
        <w:rPr>
          <w:rFonts w:ascii="David" w:hAnsi="David" w:hint="cs"/>
          <w:rtl/>
        </w:rPr>
        <w:t xml:space="preserve"> </w:t>
      </w:r>
      <w:r>
        <w:rPr>
          <w:rFonts w:ascii="David" w:hAnsi="David" w:hint="cs"/>
          <w:b/>
          <w:bCs/>
          <w:rtl/>
        </w:rPr>
        <w:t xml:space="preserve">איאסו נ' מדינת ישראל </w:t>
      </w:r>
      <w:r>
        <w:rPr>
          <w:rFonts w:ascii="David" w:hAnsi="David" w:hint="cs"/>
          <w:rtl/>
        </w:rPr>
        <w:t xml:space="preserve">(פורסם במאגרים). באותו עניין, נדון נאשם בגין בעבירה של החזקת נשק, כשהוא טעון ומוכן לשימוש במקום ציבורי; הפרעה לשוטר; הפרת הוראה חוקית והשיג על החלטת בית המשפט המחוזי מרכז, בדבר הפעלת מאסר מותנה שהוטל על כל עבירת אלימות. </w:t>
      </w:r>
    </w:p>
    <w:p w14:paraId="70DDE8B8" w14:textId="77777777" w:rsidR="00CB2B29" w:rsidRDefault="00CB2B29" w:rsidP="00CB2B29">
      <w:pPr>
        <w:spacing w:line="360" w:lineRule="auto"/>
        <w:jc w:val="both"/>
        <w:rPr>
          <w:rFonts w:ascii="David" w:hAnsi="David"/>
          <w:rtl/>
        </w:rPr>
      </w:pPr>
    </w:p>
    <w:p w14:paraId="0C35DE1F" w14:textId="77777777" w:rsidR="00CB2B29" w:rsidRDefault="00CB2B29" w:rsidP="00CB2B29">
      <w:pPr>
        <w:spacing w:line="360" w:lineRule="auto"/>
        <w:jc w:val="both"/>
        <w:rPr>
          <w:rFonts w:ascii="David" w:hAnsi="David"/>
          <w:rtl/>
        </w:rPr>
      </w:pPr>
      <w:r>
        <w:rPr>
          <w:rFonts w:ascii="David" w:hAnsi="David" w:hint="cs"/>
          <w:rtl/>
        </w:rPr>
        <w:t>בבית משפט השלום נקבע, כי החזקת נשק אינה עולה כדי "עבירה שיסודה אלימות". בערעור שהוגש לבית המשפט המחוזי נקבע, כי ניתן להפעיל את המאסר המותנה, כיוון שמדובר בעבירה המקימה יסוד של אלימות. בית המשפט המחוזי ציין:</w:t>
      </w:r>
    </w:p>
    <w:p w14:paraId="099707BC" w14:textId="77777777" w:rsidR="00CB2B29" w:rsidRDefault="00CB2B29" w:rsidP="00CB2B29">
      <w:pPr>
        <w:spacing w:line="360" w:lineRule="auto"/>
        <w:jc w:val="both"/>
        <w:rPr>
          <w:rFonts w:ascii="David" w:hAnsi="David" w:cs="Aharoni"/>
          <w:rtl/>
        </w:rPr>
      </w:pPr>
    </w:p>
    <w:p w14:paraId="02105AD1" w14:textId="77777777" w:rsidR="00CB2B29" w:rsidRDefault="00CB2B29" w:rsidP="00CB2B29">
      <w:pPr>
        <w:spacing w:line="360" w:lineRule="auto"/>
        <w:jc w:val="both"/>
        <w:rPr>
          <w:rFonts w:ascii="David" w:hAnsi="David" w:cs="Aharoni"/>
          <w:rtl/>
        </w:rPr>
      </w:pPr>
      <w:r w:rsidRPr="00652BDF">
        <w:rPr>
          <w:rFonts w:ascii="David" w:hAnsi="David" w:cs="Aharoni"/>
          <w:rtl/>
        </w:rPr>
        <w:t>המבחן להחלת מאסר על תנאי ביחס לעבירה מאוחרת הינו ענייני-מהותי, כאשר מטרתו העונשית של המאסר על תנאי הוא להרתיע את הנאשם מלשוב ולנהוג בהתנהגות דומה לזו שנהג בעבר כאשר ביצע את העבירה בגינה הושת עליו עונש המאסר על התנאי</w:t>
      </w:r>
      <w:r>
        <w:rPr>
          <w:rFonts w:ascii="David" w:hAnsi="David" w:cs="Aharoni" w:hint="cs"/>
          <w:rtl/>
        </w:rPr>
        <w:t>.</w:t>
      </w:r>
    </w:p>
    <w:p w14:paraId="4878BB26" w14:textId="77777777" w:rsidR="00CB2B29" w:rsidRPr="00475671" w:rsidRDefault="00CB2B29" w:rsidP="00CB2B29">
      <w:pPr>
        <w:jc w:val="both"/>
        <w:rPr>
          <w:rFonts w:ascii="David" w:hAnsi="David" w:cs="Aharoni"/>
          <w:sz w:val="16"/>
          <w:szCs w:val="16"/>
          <w:rtl/>
        </w:rPr>
      </w:pPr>
      <w:r w:rsidRPr="00475671">
        <w:rPr>
          <w:rFonts w:ascii="David" w:hAnsi="David" w:cs="Aharoni" w:hint="cs"/>
          <w:sz w:val="16"/>
          <w:szCs w:val="16"/>
          <w:rtl/>
        </w:rPr>
        <w:t>.</w:t>
      </w:r>
    </w:p>
    <w:p w14:paraId="5AB075A0" w14:textId="77777777" w:rsidR="00CB2B29" w:rsidRPr="00475671" w:rsidRDefault="00CB2B29" w:rsidP="00CB2B29">
      <w:pPr>
        <w:jc w:val="both"/>
        <w:rPr>
          <w:rFonts w:ascii="David" w:hAnsi="David" w:cs="Aharoni"/>
          <w:sz w:val="16"/>
          <w:szCs w:val="16"/>
          <w:rtl/>
        </w:rPr>
      </w:pPr>
      <w:r w:rsidRPr="00475671">
        <w:rPr>
          <w:rFonts w:ascii="David" w:hAnsi="David" w:cs="Aharoni" w:hint="cs"/>
          <w:sz w:val="16"/>
          <w:szCs w:val="16"/>
          <w:rtl/>
        </w:rPr>
        <w:t>.</w:t>
      </w:r>
    </w:p>
    <w:p w14:paraId="3E9D5D48" w14:textId="77777777" w:rsidR="00CB2B29" w:rsidRDefault="00CB2B29" w:rsidP="00CB2B29">
      <w:pPr>
        <w:jc w:val="both"/>
        <w:rPr>
          <w:rFonts w:ascii="David" w:hAnsi="David" w:cs="Aharoni"/>
          <w:rtl/>
        </w:rPr>
      </w:pPr>
      <w:r w:rsidRPr="00475671">
        <w:rPr>
          <w:rFonts w:ascii="David" w:hAnsi="David" w:cs="Aharoni" w:hint="cs"/>
          <w:sz w:val="16"/>
          <w:szCs w:val="16"/>
          <w:rtl/>
        </w:rPr>
        <w:t>.</w:t>
      </w:r>
    </w:p>
    <w:p w14:paraId="36106B0C" w14:textId="77777777" w:rsidR="00CB2B29" w:rsidRDefault="00CB2B29" w:rsidP="00CB2B29">
      <w:pPr>
        <w:spacing w:line="360" w:lineRule="auto"/>
        <w:jc w:val="both"/>
        <w:rPr>
          <w:rFonts w:ascii="David" w:hAnsi="David" w:cs="Aharoni"/>
          <w:rtl/>
        </w:rPr>
      </w:pPr>
      <w:r w:rsidRPr="00652BDF">
        <w:rPr>
          <w:rFonts w:ascii="David" w:hAnsi="David" w:cs="Aharoni"/>
          <w:rtl/>
        </w:rPr>
        <w:t>במקרה דנן, המערער 1 העמיד חיי אדם בסיכון ממשי, בשעה שהחזיק בידיו נשק בעל פוטנציאל קטילה, כשהוא טעון ומוכן לירי, במקום פומבי, כאשר הגדרת עבירת התנאי בעניינו כ"עבירה שיש בה יסוד של אלימות", היא הגדרה רחבה הכוללת בתוכה, לגישתנו, כל עבירה שעניינה סיכון חיי אדם או סיכון לפגיעה בשלמות גופו.</w:t>
      </w:r>
    </w:p>
    <w:p w14:paraId="2EE787AC" w14:textId="77777777" w:rsidR="00CB2B29" w:rsidRDefault="00CB2B29" w:rsidP="00CB2B29">
      <w:pPr>
        <w:spacing w:line="360" w:lineRule="auto"/>
        <w:jc w:val="both"/>
        <w:rPr>
          <w:rFonts w:ascii="David" w:hAnsi="David" w:cs="Aharoni"/>
          <w:rtl/>
        </w:rPr>
      </w:pPr>
    </w:p>
    <w:p w14:paraId="034CA2EF" w14:textId="77777777" w:rsidR="00CB2B29" w:rsidRPr="00652BDF" w:rsidRDefault="00CB2B29" w:rsidP="00CB2B29">
      <w:pPr>
        <w:spacing w:line="360" w:lineRule="auto"/>
        <w:jc w:val="both"/>
        <w:rPr>
          <w:rFonts w:ascii="David" w:hAnsi="David"/>
          <w:rtl/>
        </w:rPr>
      </w:pPr>
      <w:r>
        <w:rPr>
          <w:rFonts w:ascii="David" w:hAnsi="David" w:hint="cs"/>
          <w:rtl/>
        </w:rPr>
        <w:t xml:space="preserve">בקשת רשות ערעור לבית המשפט העליון, נדחתה, תוך שבית המשפט העליון ציין, כי יסוד האלימות התקיים, כיוון שהנאשם החזיק בנשק מאולתר, </w:t>
      </w:r>
      <w:r w:rsidRPr="003F2234">
        <w:rPr>
          <w:rFonts w:ascii="David" w:hAnsi="David" w:hint="cs"/>
          <w:u w:val="single"/>
          <w:rtl/>
        </w:rPr>
        <w:t>בו מחסנית</w:t>
      </w:r>
      <w:r>
        <w:rPr>
          <w:rFonts w:ascii="David" w:hAnsi="David" w:hint="cs"/>
          <w:rtl/>
        </w:rPr>
        <w:t xml:space="preserve">, כשהוא </w:t>
      </w:r>
      <w:r>
        <w:rPr>
          <w:rFonts w:ascii="David" w:hAnsi="David" w:hint="cs"/>
          <w:u w:val="single"/>
          <w:rtl/>
        </w:rPr>
        <w:t>טעון ומוכן לירי</w:t>
      </w:r>
      <w:r>
        <w:rPr>
          <w:rFonts w:ascii="David" w:hAnsi="David" w:hint="cs"/>
          <w:rtl/>
        </w:rPr>
        <w:t xml:space="preserve">, </w:t>
      </w:r>
      <w:r w:rsidRPr="004E5A30">
        <w:rPr>
          <w:rFonts w:ascii="David" w:hAnsi="David" w:hint="cs"/>
          <w:u w:val="single"/>
          <w:rtl/>
        </w:rPr>
        <w:t>במקום ציבורי</w:t>
      </w:r>
      <w:r>
        <w:rPr>
          <w:rFonts w:ascii="David" w:hAnsi="David" w:hint="cs"/>
          <w:rtl/>
        </w:rPr>
        <w:t>.</w:t>
      </w:r>
    </w:p>
    <w:p w14:paraId="2E136F4F" w14:textId="77777777" w:rsidR="00CB2B29" w:rsidRDefault="00CB2B29" w:rsidP="00CB2B29">
      <w:pPr>
        <w:spacing w:line="360" w:lineRule="auto"/>
        <w:jc w:val="both"/>
        <w:rPr>
          <w:rFonts w:ascii="David" w:hAnsi="David"/>
          <w:rtl/>
        </w:rPr>
      </w:pPr>
    </w:p>
    <w:p w14:paraId="3AA2044A" w14:textId="77777777" w:rsidR="00CB2B29" w:rsidRDefault="00CB2B29" w:rsidP="00CB2B29">
      <w:pPr>
        <w:spacing w:line="360" w:lineRule="auto"/>
        <w:jc w:val="both"/>
        <w:rPr>
          <w:rFonts w:ascii="David" w:hAnsi="David"/>
          <w:rtl/>
        </w:rPr>
      </w:pPr>
      <w:r>
        <w:rPr>
          <w:rFonts w:ascii="David" w:hAnsi="David" w:hint="cs"/>
          <w:rtl/>
        </w:rPr>
        <w:t>במקרה דנן, הוחזק הנשק, כשהוא מפורק ואף אינו טעון, בבית מגורים.</w:t>
      </w:r>
    </w:p>
    <w:p w14:paraId="748B6C83" w14:textId="77777777" w:rsidR="00CB2B29" w:rsidRDefault="00CB2B29" w:rsidP="00CB2B29">
      <w:pPr>
        <w:spacing w:line="360" w:lineRule="auto"/>
        <w:jc w:val="both"/>
        <w:rPr>
          <w:rFonts w:ascii="David" w:hAnsi="David"/>
          <w:rtl/>
        </w:rPr>
      </w:pPr>
    </w:p>
    <w:p w14:paraId="23CED16E" w14:textId="77777777" w:rsidR="00CB2B29" w:rsidRDefault="00CB2B29" w:rsidP="00CB2B29">
      <w:pPr>
        <w:spacing w:line="360" w:lineRule="auto"/>
        <w:jc w:val="both"/>
        <w:rPr>
          <w:rFonts w:ascii="David" w:hAnsi="David"/>
          <w:rtl/>
        </w:rPr>
      </w:pPr>
      <w:r>
        <w:rPr>
          <w:rFonts w:ascii="David" w:hAnsi="David" w:hint="cs"/>
          <w:rtl/>
        </w:rPr>
        <w:t xml:space="preserve">עיקרון החוקיות קובע, בין היתר, כי אין עונשין אלא אם מזהירים. בהתאם לכך, קבע המחוקק, </w:t>
      </w:r>
      <w:hyperlink r:id="rId38" w:history="1">
        <w:r w:rsidR="00304D51" w:rsidRPr="00304D51">
          <w:rPr>
            <w:rStyle w:val="Hyperlink"/>
            <w:rFonts w:ascii="David" w:hAnsi="David" w:hint="eastAsia"/>
            <w:rtl/>
          </w:rPr>
          <w:t>בסעיף</w:t>
        </w:r>
        <w:r w:rsidR="00304D51" w:rsidRPr="00304D51">
          <w:rPr>
            <w:rStyle w:val="Hyperlink"/>
            <w:rFonts w:ascii="David" w:hAnsi="David"/>
            <w:rtl/>
          </w:rPr>
          <w:t xml:space="preserve"> 34כ"א</w:t>
        </w:r>
      </w:hyperlink>
      <w:r>
        <w:rPr>
          <w:rFonts w:ascii="David" w:hAnsi="David" w:hint="cs"/>
          <w:rtl/>
        </w:rPr>
        <w:t xml:space="preserve"> לחוק, כדלקמן:</w:t>
      </w:r>
    </w:p>
    <w:p w14:paraId="50453BE8" w14:textId="77777777" w:rsidR="00CB2B29" w:rsidRDefault="00CB2B29" w:rsidP="00CB2B29">
      <w:pPr>
        <w:spacing w:line="360" w:lineRule="auto"/>
        <w:jc w:val="both"/>
        <w:rPr>
          <w:rFonts w:ascii="David" w:hAnsi="David"/>
          <w:rtl/>
        </w:rPr>
      </w:pPr>
    </w:p>
    <w:p w14:paraId="0B18100C" w14:textId="77777777" w:rsidR="00CB2B29" w:rsidRPr="004E5A30" w:rsidRDefault="00CB2B29" w:rsidP="00CB2B29">
      <w:pPr>
        <w:spacing w:line="360" w:lineRule="auto"/>
        <w:jc w:val="both"/>
        <w:rPr>
          <w:rFonts w:ascii="David" w:hAnsi="David" w:cs="Aharoni"/>
          <w:rtl/>
        </w:rPr>
      </w:pPr>
      <w:r>
        <w:rPr>
          <w:rFonts w:ascii="David" w:hAnsi="David" w:cs="Aharoni" w:hint="cs"/>
          <w:rtl/>
        </w:rPr>
        <w:t xml:space="preserve">ניתן דין לפירושים סבירים אחדים לפי תכליתו, יוכרע העניין לפי הפירוש המקל ביותר עם מי שאמור לשאת באחריות פלילית לפי אותו דין. </w:t>
      </w:r>
    </w:p>
    <w:p w14:paraId="352C4AE4" w14:textId="77777777" w:rsidR="00CB2B29" w:rsidRDefault="00CB2B29" w:rsidP="00CB2B29">
      <w:pPr>
        <w:spacing w:line="360" w:lineRule="auto"/>
        <w:jc w:val="both"/>
        <w:rPr>
          <w:rFonts w:ascii="David" w:hAnsi="David"/>
          <w:rtl/>
        </w:rPr>
      </w:pPr>
    </w:p>
    <w:p w14:paraId="7F41DEF2" w14:textId="77777777" w:rsidR="00CB2B29" w:rsidRDefault="00CB2B29" w:rsidP="00CB2B29">
      <w:pPr>
        <w:spacing w:line="360" w:lineRule="auto"/>
        <w:jc w:val="both"/>
        <w:rPr>
          <w:rFonts w:ascii="David" w:hAnsi="David"/>
          <w:rtl/>
        </w:rPr>
      </w:pPr>
      <w:r>
        <w:rPr>
          <w:rFonts w:ascii="David" w:hAnsi="David" w:hint="cs"/>
          <w:rtl/>
        </w:rPr>
        <w:t xml:space="preserve">במקרה דנן, אמנם, אין המדובר בפרשנות הוראת חקיקה, אך המאסר המותנה מהווה אף הוא נורמה (הגם שהיא נורמה ספציפית), החלה על האדם, שלחובתו הושת המאסר המותנה. אותה נורמה קובעת, כי אם יעבור עבירה מסוימת </w:t>
      </w:r>
      <w:r>
        <w:rPr>
          <w:rFonts w:ascii="David" w:hAnsi="David"/>
          <w:rtl/>
        </w:rPr>
        <w:t>–</w:t>
      </w:r>
      <w:r>
        <w:rPr>
          <w:rFonts w:ascii="David" w:hAnsi="David" w:hint="cs"/>
          <w:rtl/>
        </w:rPr>
        <w:t xml:space="preserve"> ייענש בעונש נוסף. המדובר בנורמה, שהיא בתחתית פירמידת הנורמות (כלומר בעלת התחולה המצומצמת ביותר), אך עדיין זוהי נורמה, שהיא בעלת מאפיין של הוראת דין כלפי אותו אדם. נורמה כזו יש לפרש בפירוש המקל עם הנאשם, אחרת </w:t>
      </w:r>
      <w:r>
        <w:rPr>
          <w:rFonts w:ascii="David" w:hAnsi="David"/>
          <w:rtl/>
        </w:rPr>
        <w:t>–</w:t>
      </w:r>
      <w:r>
        <w:rPr>
          <w:rFonts w:ascii="David" w:hAnsi="David" w:hint="cs"/>
          <w:rtl/>
        </w:rPr>
        <w:t xml:space="preserve"> עלול להיפגע עקרון החוקיות. </w:t>
      </w:r>
    </w:p>
    <w:p w14:paraId="1D12ED1E" w14:textId="77777777" w:rsidR="00CB2B29" w:rsidRDefault="00CB2B29" w:rsidP="00CB2B29">
      <w:pPr>
        <w:spacing w:line="360" w:lineRule="auto"/>
        <w:jc w:val="both"/>
        <w:rPr>
          <w:rFonts w:ascii="David" w:hAnsi="David"/>
          <w:rtl/>
        </w:rPr>
      </w:pPr>
    </w:p>
    <w:p w14:paraId="7A1F4D78" w14:textId="77777777" w:rsidR="00CB2B29" w:rsidRDefault="00CB2B29" w:rsidP="00CB2B29">
      <w:pPr>
        <w:spacing w:line="360" w:lineRule="auto"/>
        <w:jc w:val="both"/>
        <w:rPr>
          <w:rFonts w:ascii="David" w:hAnsi="David"/>
          <w:rtl/>
        </w:rPr>
      </w:pPr>
      <w:r>
        <w:rPr>
          <w:rFonts w:ascii="David" w:hAnsi="David" w:hint="cs"/>
          <w:rtl/>
        </w:rPr>
        <w:t>בית משפט זה קבע, לא פעם, כי הדרך הנכונה והמדויקת ביותר לנסח מרחב תחולתם מאסרים מותנים, הינה תוך הפניה לסעיפי עבירה ספציפיים, לסימנים או לפרקים רלוונטיים ב</w:t>
      </w:r>
      <w:hyperlink r:id="rId39" w:history="1">
        <w:r w:rsidR="00AE3E29" w:rsidRPr="00AE3E29">
          <w:rPr>
            <w:rFonts w:ascii="David" w:hAnsi="David"/>
            <w:color w:val="0000FF"/>
            <w:u w:val="single"/>
            <w:rtl/>
          </w:rPr>
          <w:t>חוק העונשין</w:t>
        </w:r>
      </w:hyperlink>
      <w:r>
        <w:rPr>
          <w:rFonts w:ascii="David" w:hAnsi="David" w:hint="cs"/>
          <w:rtl/>
        </w:rPr>
        <w:t xml:space="preserve">, או בדברי חקיקה אחרים. </w:t>
      </w:r>
    </w:p>
    <w:p w14:paraId="1DEBEFEE" w14:textId="77777777" w:rsidR="00CB2B29" w:rsidRDefault="00CB2B29" w:rsidP="00CB2B29">
      <w:pPr>
        <w:spacing w:line="360" w:lineRule="auto"/>
        <w:jc w:val="both"/>
        <w:rPr>
          <w:rFonts w:ascii="David" w:hAnsi="David"/>
          <w:rtl/>
        </w:rPr>
      </w:pPr>
    </w:p>
    <w:p w14:paraId="7F603055" w14:textId="77777777" w:rsidR="00CB2B29" w:rsidRDefault="00CB2B29" w:rsidP="00CB2B29">
      <w:pPr>
        <w:spacing w:line="360" w:lineRule="auto"/>
        <w:jc w:val="both"/>
        <w:rPr>
          <w:rFonts w:ascii="David" w:hAnsi="David"/>
          <w:rtl/>
        </w:rPr>
      </w:pPr>
      <w:r>
        <w:rPr>
          <w:rFonts w:ascii="David" w:hAnsi="David" w:hint="cs"/>
          <w:rtl/>
        </w:rPr>
        <w:t xml:space="preserve">אך אם לא כך נהג מותב אחר </w:t>
      </w:r>
      <w:r>
        <w:rPr>
          <w:rFonts w:ascii="David" w:hAnsi="David"/>
          <w:rtl/>
        </w:rPr>
        <w:t>–</w:t>
      </w:r>
      <w:r>
        <w:rPr>
          <w:rFonts w:ascii="David" w:hAnsi="David" w:hint="cs"/>
          <w:rtl/>
        </w:rPr>
        <w:t xml:space="preserve"> יש לפרש תחולת המאסר המותנה באופן בו האדם הסביר היה מכלכל צעדיו כדי להימנע מלהסתבך בעבירה, המפעילה אותו.</w:t>
      </w:r>
    </w:p>
    <w:p w14:paraId="282B39E5" w14:textId="77777777" w:rsidR="00CB2B29" w:rsidRDefault="00CB2B29" w:rsidP="00CB2B29">
      <w:pPr>
        <w:spacing w:line="360" w:lineRule="auto"/>
        <w:jc w:val="both"/>
        <w:rPr>
          <w:rFonts w:ascii="David" w:hAnsi="David"/>
          <w:rtl/>
        </w:rPr>
      </w:pPr>
    </w:p>
    <w:p w14:paraId="1D58DA57" w14:textId="77777777" w:rsidR="00CB2B29" w:rsidRDefault="00CB2B29" w:rsidP="00CB2B29">
      <w:pPr>
        <w:spacing w:line="360" w:lineRule="auto"/>
        <w:jc w:val="both"/>
        <w:rPr>
          <w:rFonts w:ascii="David" w:hAnsi="David"/>
          <w:rtl/>
        </w:rPr>
      </w:pPr>
      <w:r>
        <w:rPr>
          <w:rFonts w:ascii="David" w:hAnsi="David" w:hint="cs"/>
          <w:rtl/>
        </w:rPr>
        <w:t xml:space="preserve">אם במקרה, שהובא על ידי התביעה לעיל </w:t>
      </w:r>
      <w:r>
        <w:rPr>
          <w:rFonts w:ascii="David" w:hAnsi="David"/>
          <w:rtl/>
        </w:rPr>
        <w:t>–</w:t>
      </w:r>
      <w:r>
        <w:rPr>
          <w:rFonts w:ascii="David" w:hAnsi="David" w:hint="cs"/>
          <w:rtl/>
        </w:rPr>
        <w:t xml:space="preserve"> עוד ניתן היה (גם זאת, יש להודות, די בדוחק) לקשור החזקת הנשק לאיסור על הסתבכות בעבירת אלימות, שכן, מאפייני תפיסת הנשק באותו מקום היו קשורים לפעילות עבריינית במובהק וכאמור, נתפס הנשק כשהוא בכלי רכב המצוי בתנועה, טעון עם כדור בקנה ומוכן לשימוש, הרי במקרה דנן </w:t>
      </w:r>
      <w:r>
        <w:rPr>
          <w:rFonts w:ascii="David" w:hAnsi="David"/>
          <w:rtl/>
        </w:rPr>
        <w:t>–</w:t>
      </w:r>
      <w:r>
        <w:rPr>
          <w:rFonts w:ascii="David" w:hAnsi="David" w:hint="cs"/>
          <w:rtl/>
        </w:rPr>
        <w:t xml:space="preserve"> לא היו מאפיינים המלמדים על היותו מוכן לשימוש ואין לשלול מטרות אחרות להחזקתו, כגון: הגנה עצמית, סמלי מעמד וכדומה.</w:t>
      </w:r>
    </w:p>
    <w:p w14:paraId="74BCEE67" w14:textId="77777777" w:rsidR="00CB2B29" w:rsidRDefault="00CB2B29" w:rsidP="00CB2B29">
      <w:pPr>
        <w:spacing w:line="360" w:lineRule="auto"/>
        <w:jc w:val="both"/>
        <w:rPr>
          <w:rFonts w:ascii="David" w:hAnsi="David"/>
          <w:rtl/>
        </w:rPr>
      </w:pPr>
    </w:p>
    <w:p w14:paraId="0F12EB78" w14:textId="77777777" w:rsidR="00CB2B29" w:rsidRDefault="00CB2B29" w:rsidP="00CB2B29">
      <w:pPr>
        <w:spacing w:line="360" w:lineRule="auto"/>
        <w:jc w:val="both"/>
        <w:rPr>
          <w:rFonts w:ascii="David" w:hAnsi="David"/>
          <w:rtl/>
        </w:rPr>
      </w:pPr>
      <w:r>
        <w:rPr>
          <w:rFonts w:ascii="David" w:hAnsi="David" w:hint="cs"/>
          <w:rtl/>
        </w:rPr>
        <w:t>כפי שעלה מהראיות, שנשמעו לעניין העונש, משפחתם של הנאשמים, ככלל, מקיימת אורח חיים נורמטיבי, כשלא מעטים מבני המשפחה שירתו בצה"ל תקופות משמעותיות.</w:t>
      </w:r>
    </w:p>
    <w:p w14:paraId="63E00C6B" w14:textId="77777777" w:rsidR="00CB2B29" w:rsidRDefault="00CB2B29" w:rsidP="00CB2B29">
      <w:pPr>
        <w:spacing w:line="360" w:lineRule="auto"/>
        <w:jc w:val="both"/>
        <w:rPr>
          <w:rFonts w:ascii="David" w:hAnsi="David"/>
          <w:rtl/>
        </w:rPr>
      </w:pPr>
    </w:p>
    <w:p w14:paraId="25495D0F" w14:textId="77777777" w:rsidR="00CB2B29" w:rsidRDefault="00CB2B29" w:rsidP="00CB2B29">
      <w:pPr>
        <w:spacing w:line="360" w:lineRule="auto"/>
        <w:jc w:val="both"/>
        <w:rPr>
          <w:rFonts w:ascii="David" w:hAnsi="David"/>
          <w:rtl/>
        </w:rPr>
      </w:pPr>
      <w:r>
        <w:rPr>
          <w:rFonts w:ascii="David" w:hAnsi="David" w:hint="cs"/>
          <w:rtl/>
        </w:rPr>
        <w:t>במצב דברים זה, אין בית המשפט מוצא, כי ניתן להורות על הפעלת המאסר המותנה.</w:t>
      </w:r>
    </w:p>
    <w:p w14:paraId="0A83C96A" w14:textId="77777777" w:rsidR="00CB2B29" w:rsidRDefault="00CB2B29" w:rsidP="00CB2B29">
      <w:pPr>
        <w:spacing w:line="360" w:lineRule="auto"/>
        <w:jc w:val="both"/>
        <w:rPr>
          <w:rFonts w:ascii="David" w:hAnsi="David"/>
          <w:rtl/>
        </w:rPr>
      </w:pPr>
    </w:p>
    <w:p w14:paraId="7CD2AD7D" w14:textId="77777777" w:rsidR="00CB2B29" w:rsidRDefault="00CB2B29" w:rsidP="00CB2B29">
      <w:pPr>
        <w:spacing w:line="360" w:lineRule="auto"/>
        <w:jc w:val="both"/>
        <w:rPr>
          <w:rFonts w:ascii="David" w:hAnsi="David"/>
          <w:rtl/>
        </w:rPr>
      </w:pPr>
    </w:p>
    <w:p w14:paraId="39568747" w14:textId="77777777" w:rsidR="00CB2B29" w:rsidRDefault="00CB2B29" w:rsidP="00CB2B29">
      <w:pPr>
        <w:spacing w:line="360" w:lineRule="auto"/>
        <w:jc w:val="both"/>
        <w:rPr>
          <w:rFonts w:ascii="David" w:hAnsi="David"/>
          <w:rtl/>
        </w:rPr>
      </w:pPr>
    </w:p>
    <w:p w14:paraId="479073CD" w14:textId="77777777" w:rsidR="00CB2B29" w:rsidRDefault="00CB2B29" w:rsidP="00CB2B29">
      <w:pPr>
        <w:spacing w:line="360" w:lineRule="auto"/>
        <w:jc w:val="both"/>
        <w:rPr>
          <w:rFonts w:ascii="David" w:hAnsi="David"/>
          <w:rtl/>
        </w:rPr>
      </w:pPr>
    </w:p>
    <w:p w14:paraId="0BB7647B" w14:textId="77777777" w:rsidR="00CB2B29" w:rsidRDefault="00CB2B29" w:rsidP="00CB2B29">
      <w:pPr>
        <w:spacing w:line="360" w:lineRule="auto"/>
        <w:jc w:val="both"/>
        <w:rPr>
          <w:rFonts w:ascii="David" w:hAnsi="David"/>
          <w:rtl/>
        </w:rPr>
      </w:pPr>
    </w:p>
    <w:p w14:paraId="15967078" w14:textId="77777777" w:rsidR="00CB2B29" w:rsidRDefault="00CB2B29" w:rsidP="00CB2B29">
      <w:pPr>
        <w:spacing w:line="360" w:lineRule="auto"/>
        <w:jc w:val="both"/>
        <w:rPr>
          <w:rFonts w:ascii="David" w:hAnsi="David"/>
          <w:rtl/>
        </w:rPr>
      </w:pPr>
    </w:p>
    <w:p w14:paraId="47655E65" w14:textId="77777777" w:rsidR="00CB2B29" w:rsidRDefault="00CB2B29" w:rsidP="00CB2B29">
      <w:pPr>
        <w:spacing w:line="360" w:lineRule="auto"/>
        <w:jc w:val="both"/>
        <w:rPr>
          <w:rFonts w:ascii="David" w:hAnsi="David"/>
          <w:rtl/>
        </w:rPr>
      </w:pPr>
      <w:r>
        <w:rPr>
          <w:rFonts w:ascii="David" w:hAnsi="David" w:hint="cs"/>
          <w:rtl/>
        </w:rPr>
        <w:t>בית המשפט מוצא למקם עונשו של הנאשם על הצד התחתון של מתחם הענישה, אך לא על הרף התחתון ממש; מאסר מותנה מרתיע; קנס.</w:t>
      </w:r>
    </w:p>
    <w:p w14:paraId="16E32861" w14:textId="77777777" w:rsidR="00CB2B29" w:rsidRDefault="00CB2B29" w:rsidP="00CB2B29">
      <w:pPr>
        <w:spacing w:line="360" w:lineRule="auto"/>
        <w:jc w:val="both"/>
        <w:rPr>
          <w:rFonts w:ascii="David" w:hAnsi="David"/>
          <w:rtl/>
        </w:rPr>
      </w:pPr>
    </w:p>
    <w:p w14:paraId="2390C2FE" w14:textId="77777777" w:rsidR="00CB2B29" w:rsidRDefault="00CB2B29" w:rsidP="00CB2B29">
      <w:pPr>
        <w:spacing w:line="360" w:lineRule="auto"/>
        <w:jc w:val="both"/>
        <w:rPr>
          <w:rFonts w:ascii="David" w:hAnsi="David"/>
          <w:rtl/>
        </w:rPr>
      </w:pPr>
    </w:p>
    <w:p w14:paraId="03955521" w14:textId="77777777" w:rsidR="00CB2B29" w:rsidRDefault="00CB2B29" w:rsidP="00CB2B29">
      <w:pPr>
        <w:spacing w:line="360" w:lineRule="auto"/>
        <w:jc w:val="both"/>
        <w:rPr>
          <w:rFonts w:ascii="David" w:hAnsi="David"/>
          <w:rtl/>
        </w:rPr>
      </w:pPr>
      <w:r>
        <w:rPr>
          <w:rFonts w:ascii="David" w:hAnsi="David" w:hint="cs"/>
          <w:u w:val="single"/>
          <w:rtl/>
        </w:rPr>
        <w:t>נאשם 2</w:t>
      </w:r>
    </w:p>
    <w:p w14:paraId="12EF9813" w14:textId="77777777" w:rsidR="00CB2B29" w:rsidRDefault="00CB2B29" w:rsidP="00CB2B29">
      <w:pPr>
        <w:spacing w:line="360" w:lineRule="auto"/>
        <w:jc w:val="both"/>
        <w:rPr>
          <w:rFonts w:ascii="David" w:hAnsi="David"/>
          <w:rtl/>
        </w:rPr>
      </w:pPr>
    </w:p>
    <w:p w14:paraId="0CA9D684" w14:textId="77777777" w:rsidR="00CB2B29" w:rsidRDefault="00CB2B29" w:rsidP="00CB2B29">
      <w:pPr>
        <w:spacing w:line="360" w:lineRule="auto"/>
        <w:jc w:val="both"/>
        <w:rPr>
          <w:rFonts w:ascii="David" w:hAnsi="David"/>
          <w:rtl/>
        </w:rPr>
      </w:pPr>
      <w:r>
        <w:rPr>
          <w:rFonts w:ascii="David" w:hAnsi="David" w:hint="cs"/>
          <w:rtl/>
        </w:rPr>
        <w:t>הרשעותיו של הנאשם 2 אינן מהעת האחרונה, ועל כן ניתן להניח לזכותו, כי בשנים  האחרונות חדל ממעורבות שולית.</w:t>
      </w:r>
    </w:p>
    <w:p w14:paraId="6A972F9C" w14:textId="77777777" w:rsidR="00CB2B29" w:rsidRDefault="00CB2B29" w:rsidP="00CB2B29">
      <w:pPr>
        <w:spacing w:line="360" w:lineRule="auto"/>
        <w:jc w:val="both"/>
        <w:rPr>
          <w:rFonts w:ascii="David" w:hAnsi="David"/>
          <w:rtl/>
        </w:rPr>
      </w:pPr>
    </w:p>
    <w:p w14:paraId="450A7393" w14:textId="77777777" w:rsidR="00CB2B29" w:rsidRDefault="00CB2B29" w:rsidP="00CB2B29">
      <w:pPr>
        <w:spacing w:line="360" w:lineRule="auto"/>
        <w:jc w:val="both"/>
        <w:rPr>
          <w:rFonts w:ascii="David" w:hAnsi="David"/>
          <w:rtl/>
        </w:rPr>
      </w:pPr>
      <w:r>
        <w:rPr>
          <w:rFonts w:ascii="David" w:hAnsi="David" w:hint="cs"/>
          <w:rtl/>
        </w:rPr>
        <w:t xml:space="preserve">חלקו של הנאשם 2 בפרשה מתמצא בכך, שבאמתחתו נמצאו 11 כדורים. </w:t>
      </w:r>
    </w:p>
    <w:p w14:paraId="3D00AA91" w14:textId="77777777" w:rsidR="00CB2B29" w:rsidRDefault="00CB2B29" w:rsidP="00CB2B29">
      <w:pPr>
        <w:spacing w:line="360" w:lineRule="auto"/>
        <w:jc w:val="both"/>
        <w:rPr>
          <w:rFonts w:ascii="David" w:hAnsi="David"/>
          <w:rtl/>
        </w:rPr>
      </w:pPr>
    </w:p>
    <w:p w14:paraId="5D9C402F" w14:textId="77777777" w:rsidR="00CB2B29" w:rsidRDefault="00CB2B29" w:rsidP="00CB2B29">
      <w:pPr>
        <w:spacing w:line="360" w:lineRule="auto"/>
        <w:jc w:val="both"/>
        <w:rPr>
          <w:rFonts w:ascii="David" w:hAnsi="David"/>
          <w:rtl/>
        </w:rPr>
      </w:pPr>
      <w:r>
        <w:rPr>
          <w:rFonts w:ascii="David" w:hAnsi="David" w:hint="cs"/>
          <w:rtl/>
        </w:rPr>
        <w:t>החזקת תחמושת מסוג זה, בכמות שאינה מהגדולות, אינה מחייבת קביעת מתחם ענישה מחמיר.</w:t>
      </w:r>
    </w:p>
    <w:p w14:paraId="4E573E2A" w14:textId="77777777" w:rsidR="00CB2B29" w:rsidRDefault="00CB2B29" w:rsidP="00CB2B29">
      <w:pPr>
        <w:spacing w:line="360" w:lineRule="auto"/>
        <w:jc w:val="both"/>
        <w:rPr>
          <w:rFonts w:ascii="David" w:hAnsi="David"/>
          <w:rtl/>
        </w:rPr>
      </w:pPr>
    </w:p>
    <w:p w14:paraId="03F8AB1A" w14:textId="77777777" w:rsidR="00CB2B29" w:rsidRDefault="00CB2B29" w:rsidP="00CB2B29">
      <w:pPr>
        <w:spacing w:line="360" w:lineRule="auto"/>
        <w:jc w:val="both"/>
        <w:rPr>
          <w:rFonts w:ascii="David" w:hAnsi="David"/>
          <w:rtl/>
        </w:rPr>
      </w:pPr>
      <w:r>
        <w:rPr>
          <w:rFonts w:ascii="David" w:hAnsi="David" w:hint="cs"/>
          <w:rtl/>
        </w:rPr>
        <w:t xml:space="preserve">על כן, מוצא בית המשפט למקם עונשו ברף התחתון, כלומר </w:t>
      </w:r>
      <w:r>
        <w:rPr>
          <w:rFonts w:ascii="David" w:hAnsi="David"/>
          <w:rtl/>
        </w:rPr>
        <w:t>–</w:t>
      </w:r>
      <w:r>
        <w:rPr>
          <w:rFonts w:ascii="David" w:hAnsi="David" w:hint="cs"/>
          <w:rtl/>
        </w:rPr>
        <w:t xml:space="preserve"> להסתפק בהשתת מאסר צופה פני עתיד בלבד.</w:t>
      </w:r>
    </w:p>
    <w:p w14:paraId="75C8AFC0" w14:textId="77777777" w:rsidR="00CB2B29" w:rsidRDefault="00CB2B29" w:rsidP="00CB2B29">
      <w:pPr>
        <w:spacing w:line="360" w:lineRule="auto"/>
        <w:jc w:val="both"/>
        <w:rPr>
          <w:rFonts w:ascii="David" w:hAnsi="David"/>
          <w:rtl/>
        </w:rPr>
      </w:pPr>
    </w:p>
    <w:p w14:paraId="2F0B5881" w14:textId="77777777" w:rsidR="00CB2B29" w:rsidRDefault="00CB2B29" w:rsidP="00CB2B29">
      <w:pPr>
        <w:spacing w:line="360" w:lineRule="auto"/>
        <w:jc w:val="both"/>
        <w:rPr>
          <w:rFonts w:ascii="David" w:hAnsi="David"/>
          <w:rtl/>
        </w:rPr>
      </w:pPr>
      <w:r>
        <w:rPr>
          <w:rFonts w:ascii="David" w:hAnsi="David" w:hint="cs"/>
          <w:rtl/>
        </w:rPr>
        <w:t xml:space="preserve">המאסרים המותנים בנוגע לכל אחד מהנאשמים יושתו בגין החזקת נשק חם או קר וכן בגין החזקת תחמושת או חלקי נשק. בנוגע לנאשם 1 </w:t>
      </w:r>
      <w:r>
        <w:rPr>
          <w:rFonts w:ascii="David" w:hAnsi="David"/>
          <w:rtl/>
        </w:rPr>
        <w:t>–</w:t>
      </w:r>
      <w:r>
        <w:rPr>
          <w:rFonts w:ascii="David" w:hAnsi="David" w:hint="cs"/>
          <w:rtl/>
        </w:rPr>
        <w:t xml:space="preserve"> יושת גם מאסר מותנה בגין עבירות בניגוד ל</w:t>
      </w:r>
      <w:hyperlink r:id="rId40" w:history="1">
        <w:r w:rsidR="00AE3E29" w:rsidRPr="00AE3E29">
          <w:rPr>
            <w:rFonts w:ascii="David" w:hAnsi="David"/>
            <w:color w:val="0000FF"/>
            <w:u w:val="single"/>
            <w:rtl/>
          </w:rPr>
          <w:t>פקודת הסמים המסוכנים</w:t>
        </w:r>
      </w:hyperlink>
      <w:r>
        <w:rPr>
          <w:rFonts w:ascii="David" w:hAnsi="David" w:hint="cs"/>
          <w:rtl/>
        </w:rPr>
        <w:t xml:space="preserve">. </w:t>
      </w:r>
    </w:p>
    <w:p w14:paraId="614F1B29" w14:textId="77777777" w:rsidR="00CB2B29" w:rsidRDefault="00CB2B29" w:rsidP="00CB2B29">
      <w:pPr>
        <w:spacing w:line="360" w:lineRule="auto"/>
        <w:jc w:val="both"/>
        <w:rPr>
          <w:rFonts w:ascii="David" w:hAnsi="David"/>
          <w:rtl/>
        </w:rPr>
      </w:pPr>
    </w:p>
    <w:p w14:paraId="32D1ECFB" w14:textId="77777777" w:rsidR="00CB2B29" w:rsidRDefault="00CB2B29" w:rsidP="00CB2B29">
      <w:pPr>
        <w:spacing w:line="360" w:lineRule="auto"/>
        <w:jc w:val="both"/>
        <w:rPr>
          <w:rFonts w:ascii="David" w:hAnsi="David"/>
        </w:rPr>
      </w:pPr>
      <w:r>
        <w:rPr>
          <w:rFonts w:ascii="David" w:hAnsi="David"/>
          <w:b/>
          <w:bCs/>
          <w:rtl/>
        </w:rPr>
        <w:t>סיכום</w:t>
      </w:r>
    </w:p>
    <w:p w14:paraId="3A7D210A" w14:textId="77777777" w:rsidR="00CB2B29" w:rsidRDefault="00CB2B29" w:rsidP="00CB2B29">
      <w:pPr>
        <w:spacing w:line="360" w:lineRule="auto"/>
        <w:jc w:val="both"/>
        <w:rPr>
          <w:rFonts w:ascii="David" w:hAnsi="David"/>
          <w:rtl/>
        </w:rPr>
      </w:pPr>
    </w:p>
    <w:p w14:paraId="6D695DE3" w14:textId="77777777" w:rsidR="00CB2B29" w:rsidRDefault="00CB2B29" w:rsidP="00CB2B29">
      <w:pPr>
        <w:spacing w:line="360" w:lineRule="auto"/>
        <w:jc w:val="both"/>
        <w:rPr>
          <w:rFonts w:ascii="David" w:hAnsi="David"/>
          <w:rtl/>
        </w:rPr>
      </w:pPr>
      <w:r>
        <w:rPr>
          <w:rFonts w:ascii="David" w:hAnsi="David"/>
          <w:rtl/>
        </w:rPr>
        <w:t xml:space="preserve">לאחר שבית המשפט עיין בטיעוני התביעה בכתב; שמע טיעוני הצדדים על פה; </w:t>
      </w:r>
      <w:r>
        <w:rPr>
          <w:rFonts w:ascii="David" w:hAnsi="David" w:hint="cs"/>
          <w:rtl/>
        </w:rPr>
        <w:t xml:space="preserve">שמע עדותם של עדי האופי מטעם ההגנה; </w:t>
      </w:r>
      <w:r>
        <w:rPr>
          <w:rFonts w:ascii="David" w:hAnsi="David"/>
          <w:rtl/>
        </w:rPr>
        <w:t>עיין בראיות לעונש; ולאחר ששמע דבר</w:t>
      </w:r>
      <w:r>
        <w:rPr>
          <w:rFonts w:ascii="David" w:hAnsi="David" w:hint="cs"/>
          <w:rtl/>
        </w:rPr>
        <w:t>ם</w:t>
      </w:r>
      <w:r>
        <w:rPr>
          <w:rFonts w:ascii="David" w:hAnsi="David"/>
          <w:rtl/>
        </w:rPr>
        <w:t xml:space="preserve"> האחרון של הנאש</w:t>
      </w:r>
      <w:r>
        <w:rPr>
          <w:rFonts w:ascii="David" w:hAnsi="David" w:hint="cs"/>
          <w:rtl/>
        </w:rPr>
        <w:t>מי</w:t>
      </w:r>
      <w:r>
        <w:rPr>
          <w:rFonts w:ascii="David" w:hAnsi="David"/>
          <w:rtl/>
        </w:rPr>
        <w:t>ם, גוזר בית המשפט על הנאש</w:t>
      </w:r>
      <w:r>
        <w:rPr>
          <w:rFonts w:ascii="David" w:hAnsi="David" w:hint="cs"/>
          <w:rtl/>
        </w:rPr>
        <w:t>מי</w:t>
      </w:r>
      <w:r>
        <w:rPr>
          <w:rFonts w:ascii="David" w:hAnsi="David"/>
          <w:rtl/>
        </w:rPr>
        <w:t>ם את העונשים כדלקמן:</w:t>
      </w:r>
    </w:p>
    <w:p w14:paraId="7E43C4D2" w14:textId="77777777" w:rsidR="00CB2B29" w:rsidRDefault="00CB2B29" w:rsidP="00CB2B29">
      <w:pPr>
        <w:spacing w:line="360" w:lineRule="auto"/>
        <w:jc w:val="both"/>
        <w:rPr>
          <w:rFonts w:ascii="David" w:hAnsi="David"/>
          <w:rtl/>
        </w:rPr>
      </w:pPr>
    </w:p>
    <w:p w14:paraId="08E2BA22" w14:textId="77777777" w:rsidR="00CB2B29" w:rsidRPr="001E0648" w:rsidRDefault="00CB2B29" w:rsidP="00CB2B29">
      <w:pPr>
        <w:spacing w:line="360" w:lineRule="auto"/>
        <w:jc w:val="both"/>
        <w:rPr>
          <w:rFonts w:ascii="David" w:hAnsi="David"/>
          <w:u w:val="single"/>
          <w:rtl/>
        </w:rPr>
      </w:pPr>
      <w:r>
        <w:rPr>
          <w:rFonts w:ascii="David" w:hAnsi="David" w:hint="cs"/>
          <w:u w:val="single"/>
          <w:rtl/>
        </w:rPr>
        <w:t>נאשם 1</w:t>
      </w:r>
    </w:p>
    <w:p w14:paraId="7D0B57FB" w14:textId="77777777" w:rsidR="00CB2B29" w:rsidRDefault="00CB2B29" w:rsidP="00CB2B29">
      <w:pPr>
        <w:spacing w:line="360" w:lineRule="auto"/>
        <w:jc w:val="both"/>
        <w:rPr>
          <w:rFonts w:ascii="David" w:hAnsi="David"/>
          <w:rtl/>
        </w:rPr>
      </w:pPr>
    </w:p>
    <w:p w14:paraId="373B29C7" w14:textId="77777777" w:rsidR="00CB2B29" w:rsidRDefault="00CB2B29" w:rsidP="00CB2B29">
      <w:pPr>
        <w:pStyle w:val="a9"/>
        <w:numPr>
          <w:ilvl w:val="0"/>
          <w:numId w:val="4"/>
        </w:numPr>
        <w:spacing w:line="360" w:lineRule="auto"/>
        <w:jc w:val="both"/>
        <w:rPr>
          <w:rFonts w:ascii="David" w:hAnsi="David"/>
        </w:rPr>
      </w:pPr>
      <w:r>
        <w:rPr>
          <w:rFonts w:ascii="David" w:hAnsi="David" w:hint="cs"/>
          <w:rtl/>
        </w:rPr>
        <w:t xml:space="preserve">26 </w:t>
      </w:r>
      <w:r w:rsidRPr="00873D2B">
        <w:rPr>
          <w:rFonts w:ascii="David" w:hAnsi="David"/>
          <w:rtl/>
        </w:rPr>
        <w:t>חודשי מאסר בפועל, בניכוי ימי מעצרו בהתאם לרישומי שב"ס;</w:t>
      </w:r>
    </w:p>
    <w:p w14:paraId="73BE78DA" w14:textId="77777777" w:rsidR="00CB2B29" w:rsidRDefault="00CB2B29" w:rsidP="00CB2B29">
      <w:pPr>
        <w:pStyle w:val="a9"/>
        <w:numPr>
          <w:ilvl w:val="0"/>
          <w:numId w:val="4"/>
        </w:numPr>
        <w:spacing w:line="360" w:lineRule="auto"/>
        <w:jc w:val="both"/>
        <w:rPr>
          <w:rFonts w:ascii="David" w:hAnsi="David"/>
        </w:rPr>
      </w:pPr>
      <w:r w:rsidRPr="00873D2B">
        <w:rPr>
          <w:rFonts w:ascii="David" w:hAnsi="David"/>
          <w:rtl/>
        </w:rPr>
        <w:t xml:space="preserve">12 חודשי מאסר על תנאי למשך 3 שנים מהיום; והתנאי – שהנאשם לא יעבור עבירה מסוג פשע בניגוד </w:t>
      </w:r>
      <w:hyperlink r:id="rId41" w:history="1">
        <w:r w:rsidR="00304D51" w:rsidRPr="00304D51">
          <w:rPr>
            <w:rStyle w:val="Hyperlink"/>
            <w:rFonts w:ascii="David" w:hAnsi="David"/>
            <w:rtl/>
          </w:rPr>
          <w:t>לסעיף 144</w:t>
        </w:r>
      </w:hyperlink>
      <w:r w:rsidRPr="00873D2B">
        <w:rPr>
          <w:rFonts w:ascii="David" w:hAnsi="David"/>
          <w:rtl/>
        </w:rPr>
        <w:t xml:space="preserve"> ל</w:t>
      </w:r>
      <w:hyperlink r:id="rId42" w:history="1">
        <w:r w:rsidR="00AE3E29" w:rsidRPr="00AE3E29">
          <w:rPr>
            <w:rFonts w:ascii="David" w:hAnsi="David"/>
            <w:color w:val="0000FF"/>
            <w:u w:val="single"/>
            <w:rtl/>
          </w:rPr>
          <w:t>חוק העונשין</w:t>
        </w:r>
      </w:hyperlink>
      <w:r w:rsidRPr="00873D2B">
        <w:rPr>
          <w:rFonts w:ascii="David" w:hAnsi="David"/>
          <w:rtl/>
        </w:rPr>
        <w:t>, תשל"ז – 1977</w:t>
      </w:r>
      <w:r w:rsidRPr="00873D2B">
        <w:rPr>
          <w:rFonts w:ascii="David" w:hAnsi="David" w:hint="cs"/>
          <w:rtl/>
        </w:rPr>
        <w:t xml:space="preserve">, או </w:t>
      </w:r>
      <w:r>
        <w:rPr>
          <w:rtl/>
        </w:rPr>
        <w:t xml:space="preserve">עבירה </w:t>
      </w:r>
      <w:r>
        <w:rPr>
          <w:rFonts w:hint="cs"/>
          <w:rtl/>
        </w:rPr>
        <w:t xml:space="preserve">מסוג פשע, </w:t>
      </w:r>
      <w:r>
        <w:rPr>
          <w:rtl/>
        </w:rPr>
        <w:t>בניגוד ל</w:t>
      </w:r>
      <w:hyperlink r:id="rId43" w:history="1">
        <w:r w:rsidR="00AE3E29" w:rsidRPr="00AE3E29">
          <w:rPr>
            <w:color w:val="0000FF"/>
            <w:u w:val="single"/>
            <w:rtl/>
          </w:rPr>
          <w:t>פקודת הסמים המסוכנים</w:t>
        </w:r>
      </w:hyperlink>
      <w:r>
        <w:rPr>
          <w:rtl/>
        </w:rPr>
        <w:t xml:space="preserve"> [נוסח חדש], תשל"ג – 1973</w:t>
      </w:r>
      <w:r w:rsidRPr="00873D2B">
        <w:rPr>
          <w:rFonts w:ascii="David" w:hAnsi="David"/>
          <w:rtl/>
        </w:rPr>
        <w:t xml:space="preserve">; </w:t>
      </w:r>
    </w:p>
    <w:p w14:paraId="6D2F40EC" w14:textId="77777777" w:rsidR="00CB2B29" w:rsidRDefault="00CB2B29" w:rsidP="00CB2B29">
      <w:pPr>
        <w:pStyle w:val="a9"/>
        <w:numPr>
          <w:ilvl w:val="0"/>
          <w:numId w:val="4"/>
        </w:numPr>
        <w:spacing w:line="360" w:lineRule="auto"/>
        <w:jc w:val="both"/>
        <w:rPr>
          <w:rFonts w:ascii="David" w:hAnsi="David"/>
        </w:rPr>
      </w:pPr>
      <w:r w:rsidRPr="00873D2B">
        <w:rPr>
          <w:rFonts w:ascii="David" w:hAnsi="David"/>
          <w:rtl/>
        </w:rPr>
        <w:t xml:space="preserve">6 חודשי מאסר על תנאי למשך 3 שנים מהיום; והתנאי – שהנאשם לא יעבור עבירה מסוג עוון בניגוד </w:t>
      </w:r>
      <w:hyperlink r:id="rId44" w:history="1">
        <w:r w:rsidR="00304D51" w:rsidRPr="00304D51">
          <w:rPr>
            <w:rStyle w:val="Hyperlink"/>
            <w:rFonts w:ascii="David" w:hAnsi="David"/>
            <w:rtl/>
          </w:rPr>
          <w:t>לסעיף 144</w:t>
        </w:r>
      </w:hyperlink>
      <w:r w:rsidRPr="00873D2B">
        <w:rPr>
          <w:rFonts w:ascii="David" w:hAnsi="David"/>
          <w:rtl/>
        </w:rPr>
        <w:t xml:space="preserve"> ל</w:t>
      </w:r>
      <w:hyperlink r:id="rId45" w:history="1">
        <w:r w:rsidR="00AE3E29" w:rsidRPr="00AE3E29">
          <w:rPr>
            <w:rFonts w:ascii="David" w:hAnsi="David"/>
            <w:color w:val="0000FF"/>
            <w:u w:val="single"/>
            <w:rtl/>
          </w:rPr>
          <w:t>חוק העונשין</w:t>
        </w:r>
      </w:hyperlink>
      <w:r w:rsidRPr="00873D2B">
        <w:rPr>
          <w:rFonts w:ascii="David" w:hAnsi="David"/>
          <w:rtl/>
        </w:rPr>
        <w:t xml:space="preserve">, תשל"ז – </w:t>
      </w:r>
      <w:r w:rsidRPr="00873D2B">
        <w:rPr>
          <w:rFonts w:ascii="David" w:hAnsi="David" w:hint="cs"/>
          <w:rtl/>
        </w:rPr>
        <w:t>1977,</w:t>
      </w:r>
      <w:r w:rsidR="00AE3E29">
        <w:rPr>
          <w:rFonts w:ascii="David" w:hAnsi="David"/>
          <w:rtl/>
        </w:rPr>
        <w:t xml:space="preserve"> </w:t>
      </w:r>
      <w:r w:rsidRPr="00873D2B">
        <w:rPr>
          <w:rFonts w:ascii="David" w:hAnsi="David"/>
          <w:rtl/>
        </w:rPr>
        <w:t xml:space="preserve"> או עבירה כלשהי בניגוד </w:t>
      </w:r>
      <w:hyperlink r:id="rId46" w:history="1">
        <w:r w:rsidR="00304D51" w:rsidRPr="00304D51">
          <w:rPr>
            <w:rStyle w:val="Hyperlink"/>
            <w:rFonts w:ascii="David" w:hAnsi="David"/>
            <w:rtl/>
          </w:rPr>
          <w:t>לסעיף 186</w:t>
        </w:r>
      </w:hyperlink>
      <w:r w:rsidRPr="00873D2B">
        <w:rPr>
          <w:rFonts w:ascii="David" w:hAnsi="David"/>
          <w:rtl/>
        </w:rPr>
        <w:t xml:space="preserve"> לאותו חוק</w:t>
      </w:r>
      <w:r w:rsidRPr="00873D2B">
        <w:rPr>
          <w:rFonts w:ascii="David" w:hAnsi="David" w:hint="cs"/>
          <w:rtl/>
        </w:rPr>
        <w:t xml:space="preserve">, או </w:t>
      </w:r>
      <w:r>
        <w:rPr>
          <w:rtl/>
        </w:rPr>
        <w:t>עבירה בניגוד ל</w:t>
      </w:r>
      <w:hyperlink r:id="rId47" w:history="1">
        <w:r w:rsidR="00AE3E29" w:rsidRPr="00AE3E29">
          <w:rPr>
            <w:color w:val="0000FF"/>
            <w:u w:val="single"/>
            <w:rtl/>
          </w:rPr>
          <w:t>פקודת הסמים המסוכנים</w:t>
        </w:r>
      </w:hyperlink>
      <w:r>
        <w:rPr>
          <w:rtl/>
        </w:rPr>
        <w:t xml:space="preserve"> [נוסח חדש], תשל"ג – 1973</w:t>
      </w:r>
      <w:r w:rsidRPr="00873D2B">
        <w:rPr>
          <w:rFonts w:ascii="David" w:hAnsi="David"/>
          <w:rtl/>
        </w:rPr>
        <w:t>;</w:t>
      </w:r>
    </w:p>
    <w:p w14:paraId="48DA9625" w14:textId="77777777" w:rsidR="00CB2B29" w:rsidRDefault="00CB2B29" w:rsidP="00CB2B29">
      <w:pPr>
        <w:pStyle w:val="a9"/>
        <w:numPr>
          <w:ilvl w:val="0"/>
          <w:numId w:val="4"/>
        </w:numPr>
        <w:spacing w:line="360" w:lineRule="auto"/>
        <w:jc w:val="both"/>
        <w:rPr>
          <w:rFonts w:ascii="David" w:hAnsi="David"/>
        </w:rPr>
      </w:pPr>
      <w:r w:rsidRPr="00873D2B">
        <w:rPr>
          <w:rFonts w:ascii="David" w:hAnsi="David"/>
          <w:rtl/>
        </w:rPr>
        <w:t xml:space="preserve"> קנס בסך </w:t>
      </w:r>
      <w:r>
        <w:rPr>
          <w:rFonts w:ascii="David" w:hAnsi="David" w:hint="cs"/>
          <w:rtl/>
        </w:rPr>
        <w:t>12</w:t>
      </w:r>
      <w:r w:rsidRPr="00873D2B">
        <w:rPr>
          <w:rFonts w:ascii="David" w:hAnsi="David"/>
          <w:rtl/>
        </w:rPr>
        <w:t xml:space="preserve">,000 ₪ או </w:t>
      </w:r>
      <w:r w:rsidRPr="00873D2B">
        <w:rPr>
          <w:rFonts w:ascii="David" w:hAnsi="David" w:hint="cs"/>
          <w:rtl/>
        </w:rPr>
        <w:t>75</w:t>
      </w:r>
      <w:r w:rsidRPr="00873D2B">
        <w:rPr>
          <w:rFonts w:ascii="David" w:hAnsi="David"/>
          <w:rtl/>
        </w:rPr>
        <w:t xml:space="preserve"> ימי מאסר תמורתו. הקנס ישולם ב-</w:t>
      </w:r>
      <w:r>
        <w:rPr>
          <w:rFonts w:ascii="David" w:hAnsi="David" w:hint="cs"/>
          <w:rtl/>
        </w:rPr>
        <w:t>12</w:t>
      </w:r>
      <w:r w:rsidRPr="00873D2B">
        <w:rPr>
          <w:rFonts w:ascii="David" w:hAnsi="David"/>
          <w:rtl/>
        </w:rPr>
        <w:t xml:space="preserve"> שיעורים שווים ורצופים החל מיום 15.0</w:t>
      </w:r>
      <w:r w:rsidRPr="00873D2B">
        <w:rPr>
          <w:rFonts w:ascii="David" w:hAnsi="David" w:hint="cs"/>
          <w:rtl/>
        </w:rPr>
        <w:t>6</w:t>
      </w:r>
      <w:r w:rsidRPr="00873D2B">
        <w:rPr>
          <w:rFonts w:ascii="David" w:hAnsi="David"/>
          <w:rtl/>
        </w:rPr>
        <w:t>.21</w:t>
      </w:r>
      <w:r w:rsidR="00AE3E29">
        <w:rPr>
          <w:rFonts w:ascii="David" w:hAnsi="David"/>
          <w:rtl/>
        </w:rPr>
        <w:t xml:space="preserve"> </w:t>
      </w:r>
      <w:r w:rsidRPr="00873D2B">
        <w:rPr>
          <w:rFonts w:ascii="David" w:hAnsi="David"/>
          <w:rtl/>
        </w:rPr>
        <w:t xml:space="preserve"> ובכל 15 לחודש שלאחר מכן. לא יועבר אחד התשלומים במועד – תעמוד היתרה לפירעון מידי</w:t>
      </w:r>
      <w:r>
        <w:rPr>
          <w:rFonts w:ascii="David" w:hAnsi="David" w:hint="cs"/>
          <w:rtl/>
        </w:rPr>
        <w:t>;</w:t>
      </w:r>
    </w:p>
    <w:p w14:paraId="04BEDF63" w14:textId="77777777" w:rsidR="00CB2B29" w:rsidRDefault="00CB2B29" w:rsidP="00CB2B29">
      <w:pPr>
        <w:pStyle w:val="a9"/>
        <w:numPr>
          <w:ilvl w:val="0"/>
          <w:numId w:val="4"/>
        </w:numPr>
        <w:spacing w:line="360" w:lineRule="auto"/>
        <w:jc w:val="both"/>
        <w:rPr>
          <w:rFonts w:ascii="David" w:hAnsi="David"/>
        </w:rPr>
      </w:pPr>
      <w:r>
        <w:rPr>
          <w:rFonts w:ascii="David" w:hAnsi="David" w:hint="cs"/>
          <w:rtl/>
        </w:rPr>
        <w:t>סמים,</w:t>
      </w:r>
      <w:r>
        <w:rPr>
          <w:rFonts w:ascii="David" w:hAnsi="David"/>
          <w:rtl/>
        </w:rPr>
        <w:t xml:space="preserve"> נשק</w:t>
      </w:r>
      <w:r>
        <w:rPr>
          <w:rFonts w:ascii="David" w:hAnsi="David" w:hint="cs"/>
          <w:rtl/>
        </w:rPr>
        <w:t>,</w:t>
      </w:r>
      <w:r>
        <w:rPr>
          <w:rFonts w:ascii="David" w:hAnsi="David"/>
          <w:rtl/>
        </w:rPr>
        <w:t xml:space="preserve"> ותחמושת – יושמדו, בחלוף תקופת הערעור.</w:t>
      </w:r>
    </w:p>
    <w:p w14:paraId="298C998E" w14:textId="77777777" w:rsidR="00CB2B29" w:rsidRDefault="00CB2B29" w:rsidP="00CB2B29">
      <w:pPr>
        <w:spacing w:line="360" w:lineRule="auto"/>
        <w:jc w:val="both"/>
        <w:rPr>
          <w:rFonts w:ascii="David" w:hAnsi="David"/>
          <w:rtl/>
        </w:rPr>
      </w:pPr>
    </w:p>
    <w:p w14:paraId="11EBA618" w14:textId="77777777" w:rsidR="00CB2B29" w:rsidRDefault="00CB2B29" w:rsidP="00CB2B29">
      <w:pPr>
        <w:spacing w:line="360" w:lineRule="auto"/>
        <w:jc w:val="both"/>
        <w:rPr>
          <w:rFonts w:ascii="David" w:hAnsi="David"/>
          <w:rtl/>
        </w:rPr>
      </w:pPr>
      <w:r>
        <w:rPr>
          <w:rFonts w:ascii="David" w:hAnsi="David" w:hint="cs"/>
          <w:u w:val="single"/>
          <w:rtl/>
        </w:rPr>
        <w:t>נאשם 2</w:t>
      </w:r>
    </w:p>
    <w:p w14:paraId="184FA177" w14:textId="77777777" w:rsidR="00CB2B29" w:rsidRDefault="00CB2B29" w:rsidP="00CB2B29">
      <w:pPr>
        <w:spacing w:line="360" w:lineRule="auto"/>
        <w:jc w:val="both"/>
        <w:rPr>
          <w:rFonts w:ascii="David" w:hAnsi="David"/>
          <w:rtl/>
        </w:rPr>
      </w:pPr>
    </w:p>
    <w:p w14:paraId="41F2154B" w14:textId="77777777" w:rsidR="00CB2B29" w:rsidRDefault="00CB2B29" w:rsidP="00CB2B29">
      <w:pPr>
        <w:pStyle w:val="a9"/>
        <w:numPr>
          <w:ilvl w:val="0"/>
          <w:numId w:val="5"/>
        </w:numPr>
        <w:spacing w:line="360" w:lineRule="auto"/>
        <w:jc w:val="both"/>
        <w:rPr>
          <w:rFonts w:ascii="David" w:hAnsi="David"/>
        </w:rPr>
      </w:pPr>
      <w:r>
        <w:rPr>
          <w:rFonts w:ascii="David" w:hAnsi="David" w:hint="cs"/>
          <w:rtl/>
        </w:rPr>
        <w:t>6</w:t>
      </w:r>
      <w:r w:rsidRPr="00873D2B">
        <w:rPr>
          <w:rFonts w:ascii="David" w:hAnsi="David"/>
          <w:rtl/>
        </w:rPr>
        <w:t xml:space="preserve"> חודשי מאסר על תנאי למשך 3 שנים מהיום; והתנ</w:t>
      </w:r>
      <w:r>
        <w:rPr>
          <w:rFonts w:ascii="David" w:hAnsi="David"/>
          <w:rtl/>
        </w:rPr>
        <w:t xml:space="preserve">אי – שהנאשם לא יעבור עבירה </w:t>
      </w:r>
      <w:r>
        <w:rPr>
          <w:rFonts w:ascii="David" w:hAnsi="David" w:hint="cs"/>
          <w:rtl/>
        </w:rPr>
        <w:t xml:space="preserve">כלשהי </w:t>
      </w:r>
      <w:r>
        <w:rPr>
          <w:rFonts w:ascii="David" w:hAnsi="David"/>
          <w:rtl/>
        </w:rPr>
        <w:t xml:space="preserve">בניגוד </w:t>
      </w:r>
      <w:hyperlink r:id="rId48" w:history="1">
        <w:r w:rsidR="00304D51" w:rsidRPr="00304D51">
          <w:rPr>
            <w:rStyle w:val="Hyperlink"/>
            <w:rFonts w:ascii="David" w:hAnsi="David"/>
            <w:rtl/>
          </w:rPr>
          <w:t>לסעיפים 144</w:t>
        </w:r>
      </w:hyperlink>
      <w:r w:rsidRPr="00873D2B">
        <w:rPr>
          <w:rFonts w:ascii="David" w:hAnsi="David"/>
          <w:rtl/>
        </w:rPr>
        <w:t xml:space="preserve"> </w:t>
      </w:r>
      <w:r>
        <w:rPr>
          <w:rFonts w:ascii="David" w:hAnsi="David" w:hint="cs"/>
          <w:rtl/>
        </w:rPr>
        <w:t xml:space="preserve">או </w:t>
      </w:r>
      <w:hyperlink r:id="rId49" w:history="1">
        <w:r w:rsidR="00304D51" w:rsidRPr="00304D51">
          <w:rPr>
            <w:rStyle w:val="Hyperlink"/>
            <w:rFonts w:ascii="David" w:hAnsi="David"/>
            <w:rtl/>
          </w:rPr>
          <w:t>186</w:t>
        </w:r>
      </w:hyperlink>
      <w:r>
        <w:rPr>
          <w:rFonts w:ascii="David" w:hAnsi="David" w:hint="cs"/>
          <w:rtl/>
        </w:rPr>
        <w:t xml:space="preserve"> </w:t>
      </w:r>
      <w:r w:rsidRPr="00873D2B">
        <w:rPr>
          <w:rFonts w:ascii="David" w:hAnsi="David"/>
          <w:rtl/>
        </w:rPr>
        <w:t>ל</w:t>
      </w:r>
      <w:hyperlink r:id="rId50" w:history="1">
        <w:r w:rsidR="00AE3E29" w:rsidRPr="00AE3E29">
          <w:rPr>
            <w:rFonts w:ascii="David" w:hAnsi="David"/>
            <w:color w:val="0000FF"/>
            <w:u w:val="single"/>
            <w:rtl/>
          </w:rPr>
          <w:t>חוק העונשין</w:t>
        </w:r>
      </w:hyperlink>
      <w:r w:rsidRPr="00873D2B">
        <w:rPr>
          <w:rFonts w:ascii="David" w:hAnsi="David"/>
          <w:rtl/>
        </w:rPr>
        <w:t>, תשל"ז – 197</w:t>
      </w:r>
      <w:r>
        <w:rPr>
          <w:rFonts w:ascii="David" w:hAnsi="David" w:hint="cs"/>
          <w:rtl/>
        </w:rPr>
        <w:t>7</w:t>
      </w:r>
      <w:r w:rsidRPr="00873D2B">
        <w:rPr>
          <w:rFonts w:ascii="David" w:hAnsi="David"/>
          <w:rtl/>
        </w:rPr>
        <w:t xml:space="preserve">; </w:t>
      </w:r>
    </w:p>
    <w:p w14:paraId="7F27A786" w14:textId="77777777" w:rsidR="00CB2B29" w:rsidRDefault="00CB2B29" w:rsidP="00CB2B29">
      <w:pPr>
        <w:pStyle w:val="a9"/>
        <w:numPr>
          <w:ilvl w:val="0"/>
          <w:numId w:val="5"/>
        </w:numPr>
        <w:spacing w:line="360" w:lineRule="auto"/>
        <w:jc w:val="both"/>
        <w:rPr>
          <w:rFonts w:ascii="David" w:hAnsi="David"/>
        </w:rPr>
      </w:pPr>
      <w:r>
        <w:rPr>
          <w:rFonts w:ascii="David" w:hAnsi="David"/>
          <w:rtl/>
        </w:rPr>
        <w:t xml:space="preserve">תחמושת – </w:t>
      </w:r>
      <w:r>
        <w:rPr>
          <w:rFonts w:ascii="David" w:hAnsi="David" w:hint="cs"/>
          <w:rtl/>
        </w:rPr>
        <w:t>ת</w:t>
      </w:r>
      <w:r>
        <w:rPr>
          <w:rFonts w:ascii="David" w:hAnsi="David"/>
          <w:rtl/>
        </w:rPr>
        <w:t>ושמד, בחלוף תקופת הערעור.</w:t>
      </w:r>
    </w:p>
    <w:p w14:paraId="2F52B23F" w14:textId="77777777" w:rsidR="00CB2B29" w:rsidRPr="00AE3E29" w:rsidRDefault="00AE3E29" w:rsidP="00CB2B29">
      <w:pPr>
        <w:pStyle w:val="a9"/>
        <w:spacing w:line="360" w:lineRule="auto"/>
        <w:jc w:val="both"/>
        <w:rPr>
          <w:rFonts w:ascii="David" w:hAnsi="David"/>
          <w:color w:val="FFFFFF"/>
          <w:sz w:val="2"/>
          <w:szCs w:val="2"/>
        </w:rPr>
      </w:pPr>
      <w:r w:rsidRPr="00AE3E29">
        <w:rPr>
          <w:rFonts w:ascii="David" w:hAnsi="David"/>
          <w:color w:val="FFFFFF"/>
          <w:sz w:val="2"/>
          <w:szCs w:val="2"/>
          <w:rtl/>
        </w:rPr>
        <w:t>5129371</w:t>
      </w:r>
    </w:p>
    <w:p w14:paraId="128CEA64" w14:textId="77777777" w:rsidR="00CB2B29" w:rsidRPr="00F63717" w:rsidRDefault="00AE3E29" w:rsidP="00CB2B29">
      <w:pPr>
        <w:spacing w:after="160" w:line="276" w:lineRule="auto"/>
        <w:rPr>
          <w:rFonts w:ascii="Calibri" w:hAnsi="Calibri"/>
          <w:rtl/>
        </w:rPr>
      </w:pPr>
      <w:r w:rsidRPr="00AE3E29">
        <w:rPr>
          <w:rFonts w:ascii="Calibri" w:hAnsi="Calibri"/>
          <w:color w:val="FFFFFF"/>
          <w:sz w:val="2"/>
          <w:szCs w:val="2"/>
          <w:rtl/>
        </w:rPr>
        <w:t>54678313</w:t>
      </w:r>
      <w:r w:rsidR="00CB2B29" w:rsidRPr="00FD0AD8">
        <w:rPr>
          <w:rFonts w:ascii="Calibri" w:hAnsi="Calibri" w:hint="eastAsia"/>
          <w:rtl/>
        </w:rPr>
        <w:t>הודעה</w:t>
      </w:r>
      <w:r w:rsidR="00CB2B29" w:rsidRPr="00FD0AD8">
        <w:rPr>
          <w:rFonts w:ascii="Calibri" w:hAnsi="Calibri"/>
          <w:rtl/>
        </w:rPr>
        <w:t xml:space="preserve"> </w:t>
      </w:r>
      <w:r w:rsidR="00CB2B29" w:rsidRPr="00FD0AD8">
        <w:rPr>
          <w:rFonts w:ascii="Calibri" w:hAnsi="Calibri" w:hint="eastAsia"/>
          <w:rtl/>
        </w:rPr>
        <w:t>זכות</w:t>
      </w:r>
      <w:r w:rsidR="00CB2B29" w:rsidRPr="00FD0AD8">
        <w:rPr>
          <w:rFonts w:ascii="Calibri" w:hAnsi="Calibri"/>
          <w:rtl/>
        </w:rPr>
        <w:t xml:space="preserve"> </w:t>
      </w:r>
      <w:r w:rsidR="00CB2B29" w:rsidRPr="00FD0AD8">
        <w:rPr>
          <w:rFonts w:ascii="Calibri" w:hAnsi="Calibri" w:hint="eastAsia"/>
          <w:rtl/>
        </w:rPr>
        <w:t>הערעור</w:t>
      </w:r>
      <w:r w:rsidR="00CB2B29" w:rsidRPr="00FD0AD8">
        <w:rPr>
          <w:rFonts w:ascii="Calibri" w:hAnsi="Calibri"/>
          <w:rtl/>
        </w:rPr>
        <w:t>.</w:t>
      </w:r>
    </w:p>
    <w:p w14:paraId="4308A717" w14:textId="77777777" w:rsidR="00CB2B29" w:rsidRDefault="00CB2B29" w:rsidP="00CB2B29">
      <w:pPr>
        <w:spacing w:line="360" w:lineRule="auto"/>
        <w:jc w:val="both"/>
        <w:rPr>
          <w:rFonts w:ascii="Arial" w:hAnsi="Arial"/>
          <w:rtl/>
        </w:rPr>
      </w:pPr>
    </w:p>
    <w:p w14:paraId="3DFEF000" w14:textId="77777777" w:rsidR="00CB2B29" w:rsidRDefault="00AE3E29" w:rsidP="00CB2B29">
      <w:pPr>
        <w:spacing w:line="360" w:lineRule="auto"/>
        <w:jc w:val="both"/>
        <w:rPr>
          <w:rFonts w:ascii="Arial" w:hAnsi="Arial"/>
          <w:rtl/>
        </w:rPr>
      </w:pPr>
      <w:bookmarkStart w:id="8" w:name="Nitan"/>
      <w:r>
        <w:rPr>
          <w:rFonts w:ascii="Arial" w:hAnsi="Arial"/>
          <w:rtl/>
        </w:rPr>
        <w:t xml:space="preserve">ניתנה היום, ט"ו אייר תשפ"א, 27 אפריל 2021, בנוכחות הצדדים. </w:t>
      </w:r>
      <w:bookmarkEnd w:id="8"/>
    </w:p>
    <w:p w14:paraId="784A1740" w14:textId="77777777" w:rsidR="00CB2B29" w:rsidRDefault="00CB2B29" w:rsidP="00CB2B29">
      <w:pPr>
        <w:spacing w:line="360" w:lineRule="auto"/>
        <w:ind w:left="3600" w:firstLine="720"/>
        <w:jc w:val="center"/>
      </w:pPr>
    </w:p>
    <w:p w14:paraId="4D6AD7A1" w14:textId="77777777" w:rsidR="00CB2B29" w:rsidRPr="00304D51" w:rsidRDefault="00304D51" w:rsidP="00CB2B29">
      <w:pPr>
        <w:spacing w:line="360" w:lineRule="auto"/>
        <w:ind w:left="3600" w:firstLine="720"/>
        <w:jc w:val="center"/>
        <w:rPr>
          <w:rFonts w:ascii="Arial" w:hAnsi="Arial"/>
          <w:color w:val="FFFFFF"/>
          <w:sz w:val="2"/>
          <w:szCs w:val="2"/>
          <w:rtl/>
        </w:rPr>
      </w:pPr>
      <w:r w:rsidRPr="00304D51">
        <w:rPr>
          <w:rFonts w:ascii="Arial" w:hAnsi="Arial"/>
          <w:color w:val="FFFFFF"/>
          <w:sz w:val="2"/>
          <w:szCs w:val="2"/>
          <w:rtl/>
        </w:rPr>
        <w:t>5129371</w:t>
      </w:r>
    </w:p>
    <w:p w14:paraId="16DF0C30" w14:textId="77777777" w:rsidR="00F017FD" w:rsidRPr="00304D51" w:rsidRDefault="00304D51" w:rsidP="00AE3E29">
      <w:pPr>
        <w:keepNext/>
        <w:rPr>
          <w:rFonts w:ascii="David" w:hAnsi="David"/>
          <w:color w:val="FFFFFF"/>
          <w:sz w:val="2"/>
          <w:szCs w:val="2"/>
          <w:rtl/>
        </w:rPr>
      </w:pPr>
      <w:r w:rsidRPr="00304D51">
        <w:rPr>
          <w:rFonts w:ascii="David" w:hAnsi="David"/>
          <w:color w:val="FFFFFF"/>
          <w:sz w:val="2"/>
          <w:szCs w:val="2"/>
          <w:rtl/>
        </w:rPr>
        <w:t>54678313</w:t>
      </w:r>
    </w:p>
    <w:p w14:paraId="05E358F8" w14:textId="77777777" w:rsidR="00AE3E29" w:rsidRDefault="00AE3E29" w:rsidP="00AE3E29">
      <w:pPr>
        <w:rPr>
          <w:rtl/>
        </w:rPr>
      </w:pPr>
    </w:p>
    <w:p w14:paraId="7DD8D92A" w14:textId="77777777" w:rsidR="00AE3E29" w:rsidRDefault="00AE3E29" w:rsidP="00AE3E29">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03100D82" w14:textId="77777777" w:rsidR="00304D51" w:rsidRPr="00304D51" w:rsidRDefault="00304D51" w:rsidP="00304D51">
      <w:pPr>
        <w:keepNext/>
        <w:rPr>
          <w:rFonts w:ascii="David" w:hAnsi="David"/>
          <w:color w:val="000000"/>
          <w:sz w:val="22"/>
          <w:szCs w:val="22"/>
          <w:rtl/>
        </w:rPr>
      </w:pPr>
    </w:p>
    <w:p w14:paraId="19E2E169" w14:textId="77777777" w:rsidR="00304D51" w:rsidRPr="00304D51" w:rsidRDefault="00304D51" w:rsidP="00304D51">
      <w:pPr>
        <w:keepNext/>
        <w:rPr>
          <w:rFonts w:ascii="David" w:hAnsi="David"/>
          <w:color w:val="000000"/>
          <w:sz w:val="22"/>
          <w:szCs w:val="22"/>
          <w:rtl/>
        </w:rPr>
      </w:pPr>
      <w:r w:rsidRPr="00304D51">
        <w:rPr>
          <w:rFonts w:ascii="David" w:hAnsi="David"/>
          <w:color w:val="000000"/>
          <w:sz w:val="22"/>
          <w:szCs w:val="22"/>
          <w:rtl/>
        </w:rPr>
        <w:t>רון סולקין 54678313-/</w:t>
      </w:r>
    </w:p>
    <w:p w14:paraId="2FEE40EE" w14:textId="77777777" w:rsidR="00AE3E29" w:rsidRPr="00AE3E29" w:rsidRDefault="00304D51" w:rsidP="00304D51">
      <w:pPr>
        <w:rPr>
          <w:color w:val="0000FF"/>
          <w:u w:val="single"/>
        </w:rPr>
      </w:pPr>
      <w:r w:rsidRPr="00304D51">
        <w:rPr>
          <w:color w:val="000000"/>
          <w:u w:val="single"/>
          <w:rtl/>
        </w:rPr>
        <w:t>נוסח מסמך זה כפוף לשינויי ניסוח ועריכה</w:t>
      </w:r>
    </w:p>
    <w:sectPr w:rsidR="00AE3E29" w:rsidRPr="00AE3E29" w:rsidSect="00304D51">
      <w:headerReference w:type="even" r:id="rId52"/>
      <w:headerReference w:type="default" r:id="rId53"/>
      <w:footerReference w:type="even" r:id="rId54"/>
      <w:footerReference w:type="default" r:id="rId55"/>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80DB1" w14:textId="77777777" w:rsidR="004F27B7" w:rsidRDefault="004F27B7" w:rsidP="00D26091">
      <w:r>
        <w:separator/>
      </w:r>
    </w:p>
  </w:endnote>
  <w:endnote w:type="continuationSeparator" w:id="0">
    <w:p w14:paraId="282A2DA3" w14:textId="77777777" w:rsidR="004F27B7" w:rsidRDefault="004F27B7" w:rsidP="00D2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BFFE9" w14:textId="77777777" w:rsidR="00304D51" w:rsidRDefault="00304D51" w:rsidP="00304D5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1573C6" w14:textId="77777777" w:rsidR="00AE3E29" w:rsidRPr="00304D51" w:rsidRDefault="00304D51" w:rsidP="00304D51">
    <w:pPr>
      <w:pStyle w:val="a5"/>
      <w:pBdr>
        <w:top w:val="single" w:sz="4" w:space="1" w:color="auto"/>
        <w:between w:val="single" w:sz="4" w:space="0" w:color="auto"/>
      </w:pBdr>
      <w:spacing w:after="60"/>
      <w:jc w:val="center"/>
      <w:rPr>
        <w:rFonts w:ascii="FrankRuehl" w:hAnsi="FrankRuehl" w:cs="FrankRuehl"/>
        <w:color w:val="000000"/>
      </w:rPr>
    </w:pPr>
    <w:r w:rsidRPr="00304D5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92F4D" w14:textId="77777777" w:rsidR="00304D51" w:rsidRDefault="00304D51" w:rsidP="00304D51">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1254E">
      <w:rPr>
        <w:rStyle w:val="a8"/>
        <w:rFonts w:ascii="FrankRuehl" w:hAnsi="FrankRuehl" w:cs="FrankRuehl"/>
        <w:noProof/>
        <w:rtl/>
      </w:rPr>
      <w:t>1</w:t>
    </w:r>
    <w:r>
      <w:rPr>
        <w:rStyle w:val="a8"/>
        <w:rFonts w:ascii="FrankRuehl" w:hAnsi="FrankRuehl" w:cs="FrankRuehl"/>
        <w:rtl/>
      </w:rPr>
      <w:fldChar w:fldCharType="end"/>
    </w:r>
  </w:p>
  <w:p w14:paraId="26888247" w14:textId="77777777" w:rsidR="00870CCA" w:rsidRPr="00304D51" w:rsidRDefault="00304D51" w:rsidP="00304D51">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304D51">
      <w:rPr>
        <w:rStyle w:val="a8"/>
        <w:rFonts w:ascii="FrankRuehl" w:hAnsi="FrankRuehl" w:cs="FrankRuehl" w:hint="cs"/>
        <w:color w:val="000000"/>
      </w:rPr>
      <w:pict w14:anchorId="59B5F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48961" w14:textId="77777777" w:rsidR="004F27B7" w:rsidRDefault="004F27B7" w:rsidP="00D26091">
      <w:r>
        <w:separator/>
      </w:r>
    </w:p>
  </w:footnote>
  <w:footnote w:type="continuationSeparator" w:id="0">
    <w:p w14:paraId="59E2E0E7" w14:textId="77777777" w:rsidR="004F27B7" w:rsidRDefault="004F27B7" w:rsidP="00D26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DC42E" w14:textId="77777777" w:rsidR="00AE3E29" w:rsidRPr="00304D51" w:rsidRDefault="00304D51" w:rsidP="00304D5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22297-11-20</w:t>
    </w:r>
    <w:r>
      <w:rPr>
        <w:rFonts w:ascii="David" w:hAnsi="David"/>
        <w:color w:val="000000"/>
        <w:sz w:val="22"/>
        <w:szCs w:val="22"/>
        <w:rtl/>
      </w:rPr>
      <w:tab/>
      <w:t xml:space="preserve"> מדינת ישראל  נ' עאהד בן נעים עובייד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8F196" w14:textId="77777777" w:rsidR="00AE3E29" w:rsidRPr="00304D51" w:rsidRDefault="00304D51" w:rsidP="00304D5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22297-11-20</w:t>
    </w:r>
    <w:r>
      <w:rPr>
        <w:rFonts w:ascii="David" w:hAnsi="David"/>
        <w:color w:val="000000"/>
        <w:sz w:val="22"/>
        <w:szCs w:val="22"/>
        <w:rtl/>
      </w:rPr>
      <w:tab/>
      <w:t xml:space="preserve"> מדינת ישראל  נ' עאהד בן נעים עובייד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573CE"/>
    <w:multiLevelType w:val="hybridMultilevel"/>
    <w:tmpl w:val="18D4DD7A"/>
    <w:lvl w:ilvl="0" w:tplc="79B0E43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74317F"/>
    <w:multiLevelType w:val="hybridMultilevel"/>
    <w:tmpl w:val="43B61CA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52790B"/>
    <w:multiLevelType w:val="hybridMultilevel"/>
    <w:tmpl w:val="43B61CA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6487B"/>
    <w:multiLevelType w:val="hybridMultilevel"/>
    <w:tmpl w:val="7B8046DA"/>
    <w:lvl w:ilvl="0" w:tplc="B840091A">
      <w:start w:val="3"/>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27153"/>
    <w:multiLevelType w:val="hybridMultilevel"/>
    <w:tmpl w:val="8982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33313108">
    <w:abstractNumId w:val="3"/>
  </w:num>
  <w:num w:numId="2" w16cid:durableId="193421885">
    <w:abstractNumId w:val="0"/>
  </w:num>
  <w:num w:numId="3" w16cid:durableId="388387359">
    <w:abstractNumId w:val="4"/>
  </w:num>
  <w:num w:numId="4" w16cid:durableId="948127017">
    <w:abstractNumId w:val="1"/>
  </w:num>
  <w:num w:numId="5" w16cid:durableId="1813791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2B29"/>
    <w:rsid w:val="00115F69"/>
    <w:rsid w:val="001B5A3B"/>
    <w:rsid w:val="00304D51"/>
    <w:rsid w:val="004F27B7"/>
    <w:rsid w:val="00534E65"/>
    <w:rsid w:val="0061254E"/>
    <w:rsid w:val="00734004"/>
    <w:rsid w:val="00870CCA"/>
    <w:rsid w:val="00AE3E29"/>
    <w:rsid w:val="00CB2B29"/>
    <w:rsid w:val="00D26091"/>
    <w:rsid w:val="00E21EE9"/>
    <w:rsid w:val="00E35BBE"/>
    <w:rsid w:val="00E44AA6"/>
    <w:rsid w:val="00ED2261"/>
    <w:rsid w:val="00EE512F"/>
    <w:rsid w:val="00F017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739020"/>
  <w15:chartTrackingRefBased/>
  <w15:docId w15:val="{225ABFD3-CD22-46C1-8DDA-B446A256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2B2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B2B29"/>
    <w:pPr>
      <w:tabs>
        <w:tab w:val="center" w:pos="4153"/>
        <w:tab w:val="right" w:pos="8306"/>
      </w:tabs>
    </w:pPr>
  </w:style>
  <w:style w:type="character" w:customStyle="1" w:styleId="a4">
    <w:name w:val="כותרת עליונה תו"/>
    <w:link w:val="a3"/>
    <w:rsid w:val="00CB2B29"/>
    <w:rPr>
      <w:rFonts w:ascii="Times New Roman" w:eastAsia="Times New Roman" w:hAnsi="Times New Roman" w:cs="David"/>
      <w:sz w:val="24"/>
      <w:szCs w:val="24"/>
    </w:rPr>
  </w:style>
  <w:style w:type="paragraph" w:styleId="a5">
    <w:name w:val="footer"/>
    <w:basedOn w:val="a"/>
    <w:link w:val="a6"/>
    <w:rsid w:val="00CB2B29"/>
    <w:pPr>
      <w:tabs>
        <w:tab w:val="center" w:pos="4153"/>
        <w:tab w:val="right" w:pos="8306"/>
      </w:tabs>
    </w:pPr>
  </w:style>
  <w:style w:type="character" w:customStyle="1" w:styleId="a6">
    <w:name w:val="כותרת תחתונה תו"/>
    <w:link w:val="a5"/>
    <w:rsid w:val="00CB2B29"/>
    <w:rPr>
      <w:rFonts w:ascii="Times New Roman" w:eastAsia="Times New Roman" w:hAnsi="Times New Roman" w:cs="David"/>
      <w:sz w:val="24"/>
      <w:szCs w:val="24"/>
    </w:rPr>
  </w:style>
  <w:style w:type="table" w:styleId="a7">
    <w:name w:val="Table Grid"/>
    <w:basedOn w:val="a1"/>
    <w:rsid w:val="00CB2B2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B2B29"/>
    <w:rPr>
      <w:noProof w:val="0"/>
    </w:rPr>
  </w:style>
  <w:style w:type="paragraph" w:styleId="a9">
    <w:name w:val="List Paragraph"/>
    <w:basedOn w:val="a"/>
    <w:qFormat/>
    <w:rsid w:val="00CB2B29"/>
    <w:pPr>
      <w:ind w:left="720"/>
      <w:contextualSpacing/>
    </w:pPr>
  </w:style>
  <w:style w:type="character" w:styleId="aa">
    <w:name w:val="line number"/>
    <w:rsid w:val="00CB2B29"/>
  </w:style>
  <w:style w:type="character" w:styleId="Hyperlink">
    <w:name w:val="Hyperlink"/>
    <w:rsid w:val="00AE3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6913730"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7.c.2" TargetMode="External"/><Relationship Id="rId34" Type="http://schemas.openxmlformats.org/officeDocument/2006/relationships/hyperlink" Target="http://www.nevo.co.il/case/21778276" TargetMode="External"/><Relationship Id="rId42" Type="http://schemas.openxmlformats.org/officeDocument/2006/relationships/hyperlink" Target="http://www.nevo.co.il/law/70301" TargetMode="External"/><Relationship Id="rId47" Type="http://schemas.openxmlformats.org/officeDocument/2006/relationships/hyperlink" Target="http://www.nevo.co.il/law/4216" TargetMode="External"/><Relationship Id="rId50" Type="http://schemas.openxmlformats.org/officeDocument/2006/relationships/hyperlink" Target="http://www.nevo.co.il/law/70301" TargetMode="External"/><Relationship Id="rId55" Type="http://schemas.openxmlformats.org/officeDocument/2006/relationships/footer" Target="footer2.xml"/><Relationship Id="rId7" Type="http://schemas.openxmlformats.org/officeDocument/2006/relationships/hyperlink" Target="http://www.nevo.co.il/case/27142643" TargetMode="External"/><Relationship Id="rId2" Type="http://schemas.openxmlformats.org/officeDocument/2006/relationships/styles" Target="styles.xml"/><Relationship Id="rId16" Type="http://schemas.openxmlformats.org/officeDocument/2006/relationships/hyperlink" Target="http://www.nevo.co.il/law/4216/144" TargetMode="External"/><Relationship Id="rId29" Type="http://schemas.openxmlformats.org/officeDocument/2006/relationships/hyperlink" Target="http://www.nevo.co.il/case/6000182" TargetMode="External"/><Relationship Id="rId11" Type="http://schemas.openxmlformats.org/officeDocument/2006/relationships/hyperlink" Target="http://www.nevo.co.il/law/70301/186"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2001830" TargetMode="External"/><Relationship Id="rId37" Type="http://schemas.openxmlformats.org/officeDocument/2006/relationships/hyperlink" Target="http://www.nevo.co.il/case/24263426" TargetMode="External"/><Relationship Id="rId40" Type="http://schemas.openxmlformats.org/officeDocument/2006/relationships/hyperlink" Target="http://www.nevo.co.il/law/4216" TargetMode="External"/><Relationship Id="rId45" Type="http://schemas.openxmlformats.org/officeDocument/2006/relationships/hyperlink" Target="http://www.nevo.co.il/law/70301"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144.a"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26478630" TargetMode="External"/><Relationship Id="rId35" Type="http://schemas.openxmlformats.org/officeDocument/2006/relationships/hyperlink" Target="http://www.nevo.co.il/case/25923515" TargetMode="External"/><Relationship Id="rId43" Type="http://schemas.openxmlformats.org/officeDocument/2006/relationships/hyperlink" Target="http://www.nevo.co.il/law/4216" TargetMode="External"/><Relationship Id="rId48" Type="http://schemas.openxmlformats.org/officeDocument/2006/relationships/hyperlink" Target="http://www.nevo.co.il/law/4216/144" TargetMode="External"/><Relationship Id="rId56"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34k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23127101" TargetMode="External"/><Relationship Id="rId33" Type="http://schemas.openxmlformats.org/officeDocument/2006/relationships/hyperlink" Target="http://www.nevo.co.il/case/22607175" TargetMode="External"/><Relationship Id="rId38" Type="http://schemas.openxmlformats.org/officeDocument/2006/relationships/hyperlink" Target="http://www.nevo.co.il/law/70301/34ka" TargetMode="External"/><Relationship Id="rId46" Type="http://schemas.openxmlformats.org/officeDocument/2006/relationships/hyperlink" Target="http://www.nevo.co.il/law/70301/186" TargetMode="External"/><Relationship Id="rId20" Type="http://schemas.openxmlformats.org/officeDocument/2006/relationships/hyperlink" Target="http://www.nevo.co.il/law/4216/7.a" TargetMode="External"/><Relationship Id="rId41" Type="http://schemas.openxmlformats.org/officeDocument/2006/relationships/hyperlink" Target="http://www.nevo.co.il/law/70301/144"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2"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5852404" TargetMode="External"/><Relationship Id="rId36" Type="http://schemas.openxmlformats.org/officeDocument/2006/relationships/hyperlink" Target="http://www.nevo.co.il/case/21567481" TargetMode="External"/><Relationship Id="rId49" Type="http://schemas.openxmlformats.org/officeDocument/2006/relationships/hyperlink" Target="http://www.nevo.co.il/law/70301/186" TargetMode="External"/><Relationship Id="rId57" Type="http://schemas.openxmlformats.org/officeDocument/2006/relationships/theme" Target="theme/theme1.xml"/><Relationship Id="rId10" Type="http://schemas.openxmlformats.org/officeDocument/2006/relationships/hyperlink" Target="http://www.nevo.co.il/law/70301/144.a" TargetMode="External"/><Relationship Id="rId31" Type="http://schemas.openxmlformats.org/officeDocument/2006/relationships/hyperlink" Target="http://www.nevo.co.il/case/22112345" TargetMode="External"/><Relationship Id="rId44" Type="http://schemas.openxmlformats.org/officeDocument/2006/relationships/hyperlink" Target="http://www.nevo.co.il/law/70301/144"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3814</Words>
  <Characters>19071</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22840</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7143524</vt:i4>
      </vt:variant>
      <vt:variant>
        <vt:i4>126</vt:i4>
      </vt:variant>
      <vt:variant>
        <vt:i4>0</vt:i4>
      </vt:variant>
      <vt:variant>
        <vt:i4>5</vt:i4>
      </vt:variant>
      <vt:variant>
        <vt:lpwstr>http://www.nevo.co.il/law/70301/186</vt:lpwstr>
      </vt:variant>
      <vt:variant>
        <vt:lpwstr/>
      </vt:variant>
      <vt:variant>
        <vt:i4>8061054</vt:i4>
      </vt:variant>
      <vt:variant>
        <vt:i4>123</vt:i4>
      </vt:variant>
      <vt:variant>
        <vt:i4>0</vt:i4>
      </vt:variant>
      <vt:variant>
        <vt:i4>5</vt:i4>
      </vt:variant>
      <vt:variant>
        <vt:lpwstr>http://www.nevo.co.il/law/4216/144</vt:lpwstr>
      </vt:variant>
      <vt:variant>
        <vt:lpwstr/>
      </vt:variant>
      <vt:variant>
        <vt:i4>8257637</vt:i4>
      </vt:variant>
      <vt:variant>
        <vt:i4>120</vt:i4>
      </vt:variant>
      <vt:variant>
        <vt:i4>0</vt:i4>
      </vt:variant>
      <vt:variant>
        <vt:i4>5</vt:i4>
      </vt:variant>
      <vt:variant>
        <vt:lpwstr>http://www.nevo.co.il/law/4216</vt:lpwstr>
      </vt:variant>
      <vt:variant>
        <vt:lpwstr/>
      </vt:variant>
      <vt:variant>
        <vt:i4>7143524</vt:i4>
      </vt:variant>
      <vt:variant>
        <vt:i4>117</vt:i4>
      </vt:variant>
      <vt:variant>
        <vt:i4>0</vt:i4>
      </vt:variant>
      <vt:variant>
        <vt:i4>5</vt:i4>
      </vt:variant>
      <vt:variant>
        <vt:lpwstr>http://www.nevo.co.il/law/70301/186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8257637</vt:i4>
      </vt:variant>
      <vt:variant>
        <vt:i4>108</vt:i4>
      </vt:variant>
      <vt:variant>
        <vt:i4>0</vt:i4>
      </vt:variant>
      <vt:variant>
        <vt:i4>5</vt:i4>
      </vt:variant>
      <vt:variant>
        <vt:lpwstr>http://www.nevo.co.il/law/4216</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6357092</vt:i4>
      </vt:variant>
      <vt:variant>
        <vt:i4>102</vt:i4>
      </vt:variant>
      <vt:variant>
        <vt:i4>0</vt:i4>
      </vt:variant>
      <vt:variant>
        <vt:i4>5</vt:i4>
      </vt:variant>
      <vt:variant>
        <vt:lpwstr>http://www.nevo.co.il/law/70301/144</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13</vt:i4>
      </vt:variant>
      <vt:variant>
        <vt:i4>93</vt:i4>
      </vt:variant>
      <vt:variant>
        <vt:i4>0</vt:i4>
      </vt:variant>
      <vt:variant>
        <vt:i4>5</vt:i4>
      </vt:variant>
      <vt:variant>
        <vt:lpwstr>http://www.nevo.co.il/law/70301/34ka</vt:lpwstr>
      </vt:variant>
      <vt:variant>
        <vt:lpwstr/>
      </vt:variant>
      <vt:variant>
        <vt:i4>3211378</vt:i4>
      </vt:variant>
      <vt:variant>
        <vt:i4>90</vt:i4>
      </vt:variant>
      <vt:variant>
        <vt:i4>0</vt:i4>
      </vt:variant>
      <vt:variant>
        <vt:i4>5</vt:i4>
      </vt:variant>
      <vt:variant>
        <vt:lpwstr>http://www.nevo.co.il/case/24263426</vt:lpwstr>
      </vt:variant>
      <vt:variant>
        <vt:lpwstr/>
      </vt:variant>
      <vt:variant>
        <vt:i4>3670135</vt:i4>
      </vt:variant>
      <vt:variant>
        <vt:i4>87</vt:i4>
      </vt:variant>
      <vt:variant>
        <vt:i4>0</vt:i4>
      </vt:variant>
      <vt:variant>
        <vt:i4>5</vt:i4>
      </vt:variant>
      <vt:variant>
        <vt:lpwstr>http://www.nevo.co.il/case/21567481</vt:lpwstr>
      </vt:variant>
      <vt:variant>
        <vt:lpwstr/>
      </vt:variant>
      <vt:variant>
        <vt:i4>3735670</vt:i4>
      </vt:variant>
      <vt:variant>
        <vt:i4>84</vt:i4>
      </vt:variant>
      <vt:variant>
        <vt:i4>0</vt:i4>
      </vt:variant>
      <vt:variant>
        <vt:i4>5</vt:i4>
      </vt:variant>
      <vt:variant>
        <vt:lpwstr>http://www.nevo.co.il/case/25923515</vt:lpwstr>
      </vt:variant>
      <vt:variant>
        <vt:lpwstr/>
      </vt:variant>
      <vt:variant>
        <vt:i4>3801200</vt:i4>
      </vt:variant>
      <vt:variant>
        <vt:i4>81</vt:i4>
      </vt:variant>
      <vt:variant>
        <vt:i4>0</vt:i4>
      </vt:variant>
      <vt:variant>
        <vt:i4>5</vt:i4>
      </vt:variant>
      <vt:variant>
        <vt:lpwstr>http://www.nevo.co.il/case/21778276</vt:lpwstr>
      </vt:variant>
      <vt:variant>
        <vt:lpwstr/>
      </vt:variant>
      <vt:variant>
        <vt:i4>3407991</vt:i4>
      </vt:variant>
      <vt:variant>
        <vt:i4>78</vt:i4>
      </vt:variant>
      <vt:variant>
        <vt:i4>0</vt:i4>
      </vt:variant>
      <vt:variant>
        <vt:i4>5</vt:i4>
      </vt:variant>
      <vt:variant>
        <vt:lpwstr>http://www.nevo.co.il/case/22607175</vt:lpwstr>
      </vt:variant>
      <vt:variant>
        <vt:lpwstr/>
      </vt:variant>
      <vt:variant>
        <vt:i4>3145854</vt:i4>
      </vt:variant>
      <vt:variant>
        <vt:i4>75</vt:i4>
      </vt:variant>
      <vt:variant>
        <vt:i4>0</vt:i4>
      </vt:variant>
      <vt:variant>
        <vt:i4>5</vt:i4>
      </vt:variant>
      <vt:variant>
        <vt:lpwstr>http://www.nevo.co.il/case/22001830</vt:lpwstr>
      </vt:variant>
      <vt:variant>
        <vt:lpwstr/>
      </vt:variant>
      <vt:variant>
        <vt:i4>3473524</vt:i4>
      </vt:variant>
      <vt:variant>
        <vt:i4>72</vt:i4>
      </vt:variant>
      <vt:variant>
        <vt:i4>0</vt:i4>
      </vt:variant>
      <vt:variant>
        <vt:i4>5</vt:i4>
      </vt:variant>
      <vt:variant>
        <vt:lpwstr>http://www.nevo.co.il/case/22112345</vt:lpwstr>
      </vt:variant>
      <vt:variant>
        <vt:lpwstr/>
      </vt:variant>
      <vt:variant>
        <vt:i4>3997811</vt:i4>
      </vt:variant>
      <vt:variant>
        <vt:i4>69</vt:i4>
      </vt:variant>
      <vt:variant>
        <vt:i4>0</vt:i4>
      </vt:variant>
      <vt:variant>
        <vt:i4>5</vt:i4>
      </vt:variant>
      <vt:variant>
        <vt:lpwstr>http://www.nevo.co.il/case/26478630</vt:lpwstr>
      </vt:variant>
      <vt:variant>
        <vt:lpwstr/>
      </vt:variant>
      <vt:variant>
        <vt:i4>3473532</vt:i4>
      </vt:variant>
      <vt:variant>
        <vt:i4>66</vt:i4>
      </vt:variant>
      <vt:variant>
        <vt:i4>0</vt:i4>
      </vt:variant>
      <vt:variant>
        <vt:i4>5</vt:i4>
      </vt:variant>
      <vt:variant>
        <vt:lpwstr>http://www.nevo.co.il/case/6000182</vt:lpwstr>
      </vt:variant>
      <vt:variant>
        <vt:lpwstr/>
      </vt:variant>
      <vt:variant>
        <vt:i4>3145854</vt:i4>
      </vt:variant>
      <vt:variant>
        <vt:i4>63</vt:i4>
      </vt:variant>
      <vt:variant>
        <vt:i4>0</vt:i4>
      </vt:variant>
      <vt:variant>
        <vt:i4>5</vt:i4>
      </vt:variant>
      <vt:variant>
        <vt:lpwstr>http://www.nevo.co.il/case/5852404</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3670132</vt:i4>
      </vt:variant>
      <vt:variant>
        <vt:i4>57</vt:i4>
      </vt:variant>
      <vt:variant>
        <vt:i4>0</vt:i4>
      </vt:variant>
      <vt:variant>
        <vt:i4>5</vt:i4>
      </vt:variant>
      <vt:variant>
        <vt:lpwstr>http://www.nevo.co.il/case/16913730</vt:lpwstr>
      </vt:variant>
      <vt:variant>
        <vt:lpwstr/>
      </vt:variant>
      <vt:variant>
        <vt:i4>3407988</vt:i4>
      </vt:variant>
      <vt:variant>
        <vt:i4>54</vt:i4>
      </vt:variant>
      <vt:variant>
        <vt:i4>0</vt:i4>
      </vt:variant>
      <vt:variant>
        <vt:i4>5</vt:i4>
      </vt:variant>
      <vt:variant>
        <vt:lpwstr>http://www.nevo.co.il/case/23127101</vt:lpwstr>
      </vt:variant>
      <vt:variant>
        <vt:lpwstr/>
      </vt:variant>
      <vt:variant>
        <vt:i4>8257637</vt:i4>
      </vt:variant>
      <vt:variant>
        <vt:i4>51</vt:i4>
      </vt:variant>
      <vt:variant>
        <vt:i4>0</vt:i4>
      </vt:variant>
      <vt:variant>
        <vt:i4>5</vt:i4>
      </vt:variant>
      <vt:variant>
        <vt:lpwstr>http://www.nevo.co.il/law/4216</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8257637</vt:i4>
      </vt:variant>
      <vt:variant>
        <vt:i4>45</vt:i4>
      </vt:variant>
      <vt:variant>
        <vt:i4>0</vt:i4>
      </vt:variant>
      <vt:variant>
        <vt:i4>5</vt:i4>
      </vt:variant>
      <vt:variant>
        <vt:lpwstr>http://www.nevo.co.il/law/4216</vt:lpwstr>
      </vt:variant>
      <vt:variant>
        <vt:lpwstr/>
      </vt:variant>
      <vt:variant>
        <vt:i4>1572938</vt:i4>
      </vt:variant>
      <vt:variant>
        <vt:i4>42</vt:i4>
      </vt:variant>
      <vt:variant>
        <vt:i4>0</vt:i4>
      </vt:variant>
      <vt:variant>
        <vt:i4>5</vt:i4>
      </vt:variant>
      <vt:variant>
        <vt:lpwstr>http://www.nevo.co.il/law/4216/7.c.2</vt:lpwstr>
      </vt:variant>
      <vt:variant>
        <vt:lpwstr/>
      </vt:variant>
      <vt:variant>
        <vt:i4>2621540</vt:i4>
      </vt:variant>
      <vt:variant>
        <vt:i4>39</vt:i4>
      </vt:variant>
      <vt:variant>
        <vt:i4>0</vt:i4>
      </vt:variant>
      <vt:variant>
        <vt:i4>5</vt:i4>
      </vt:variant>
      <vt:variant>
        <vt:lpwstr>http://www.nevo.co.il/law/4216/7.a</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8061054</vt:i4>
      </vt:variant>
      <vt:variant>
        <vt:i4>27</vt:i4>
      </vt:variant>
      <vt:variant>
        <vt:i4>0</vt:i4>
      </vt:variant>
      <vt:variant>
        <vt:i4>5</vt:i4>
      </vt:variant>
      <vt:variant>
        <vt:lpwstr>http://www.nevo.co.il/law/4216/144</vt:lpwstr>
      </vt:variant>
      <vt:variant>
        <vt:lpwstr/>
      </vt:variant>
      <vt:variant>
        <vt:i4>1572938</vt:i4>
      </vt:variant>
      <vt:variant>
        <vt:i4>24</vt:i4>
      </vt:variant>
      <vt:variant>
        <vt:i4>0</vt:i4>
      </vt:variant>
      <vt:variant>
        <vt:i4>5</vt:i4>
      </vt:variant>
      <vt:variant>
        <vt:lpwstr>http://www.nevo.co.il/law/4216/7.c.2</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13</vt:i4>
      </vt:variant>
      <vt:variant>
        <vt:i4>15</vt:i4>
      </vt:variant>
      <vt:variant>
        <vt:i4>0</vt:i4>
      </vt:variant>
      <vt:variant>
        <vt:i4>5</vt:i4>
      </vt:variant>
      <vt:variant>
        <vt:lpwstr>http://www.nevo.co.il/law/70301/34ka</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3473521</vt:i4>
      </vt:variant>
      <vt:variant>
        <vt:i4>0</vt:i4>
      </vt:variant>
      <vt:variant>
        <vt:i4>0</vt:i4>
      </vt:variant>
      <vt:variant>
        <vt:i4>5</vt:i4>
      </vt:variant>
      <vt:variant>
        <vt:lpwstr>http://www.nevo.co.il/case/27142643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2025-04-25T11:07:00Z</dcterms:created>
  <dcterms:modified xsi:type="dcterms:W3CDTF">2025-04-25T11:07:00Z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22297</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עאהד בן נעים עובייד;מהין בן נעים עובייד</vt:lpwstr>
  </property>
  <property fmtid="{D5CDD505-2E9C-101B-9397-08002B2CF9AE}" pid="10" name="LAWYER">
    <vt:lpwstr>דריה רדקין;נתי טרבלסי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20210427</vt:lpwstr>
  </property>
  <property fmtid="{D5CDD505-2E9C-101B-9397-08002B2CF9AE}" pid="14" name="TYPE_N_DATE">
    <vt:lpwstr>38020210427</vt:lpwstr>
  </property>
  <property fmtid="{D5CDD505-2E9C-101B-9397-08002B2CF9AE}" pid="15" name="WORDNUMPAGES">
    <vt:lpwstr>14</vt:lpwstr>
  </property>
  <property fmtid="{D5CDD505-2E9C-101B-9397-08002B2CF9AE}" pid="16" name="TYPE_ABS_DATE">
    <vt:lpwstr>380020210427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27142643;23127101;16913730;7791493;5852404;6000182;26478630;22112345;22001830;22607175;21778276;25923515;21567481;24263426</vt:lpwstr>
  </property>
  <property fmtid="{D5CDD505-2E9C-101B-9397-08002B2CF9AE}" pid="36" name="LAWLISTTMP1">
    <vt:lpwstr>70301/144.a:3;34ka;144:2;186:2</vt:lpwstr>
  </property>
  <property fmtid="{D5CDD505-2E9C-101B-9397-08002B2CF9AE}" pid="37" name="LAWLISTTMP2">
    <vt:lpwstr>4216/007.a;007.c.2;144</vt:lpwstr>
  </property>
</Properties>
</file>