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5901BD" w:rsidRPr="00AD0ABE" w14:paraId="4BFDC50A" w14:textId="77777777" w:rsidTr="00906A11">
        <w:trPr>
          <w:trHeight w:hRule="exact" w:val="418"/>
          <w:jc w:val="center"/>
        </w:trPr>
        <w:tc>
          <w:tcPr>
            <w:tcW w:w="8721" w:type="dxa"/>
            <w:gridSpan w:val="2"/>
          </w:tcPr>
          <w:p w14:paraId="0B1BFE77" w14:textId="77777777" w:rsidR="005901BD" w:rsidRPr="00AD0ABE" w:rsidRDefault="005901BD" w:rsidP="002875DC">
            <w:pPr>
              <w:pStyle w:val="a3"/>
              <w:jc w:val="center"/>
              <w:rPr>
                <w:rFonts w:ascii="Tahoma" w:hAnsi="Tahoma" w:cs="Tahoma"/>
                <w:color w:val="000080"/>
                <w:rtl/>
              </w:rPr>
            </w:pPr>
            <w:bookmarkStart w:id="0" w:name="FirstLawyer"/>
            <w:bookmarkStart w:id="1" w:name="LastJudge"/>
            <w:r w:rsidRPr="00AD0ABE">
              <w:rPr>
                <w:rFonts w:ascii="Tahoma" w:hAnsi="Tahoma" w:cs="Tahoma"/>
                <w:b/>
                <w:bCs/>
                <w:color w:val="000080"/>
                <w:rtl/>
              </w:rPr>
              <w:t>בית משפט השלום בירושלים</w:t>
            </w:r>
          </w:p>
        </w:tc>
      </w:tr>
      <w:tr w:rsidR="005901BD" w:rsidRPr="00AD0ABE" w14:paraId="1AC85CDF" w14:textId="77777777" w:rsidTr="00906A11">
        <w:trPr>
          <w:trHeight w:val="337"/>
          <w:jc w:val="center"/>
        </w:trPr>
        <w:tc>
          <w:tcPr>
            <w:tcW w:w="5062" w:type="dxa"/>
          </w:tcPr>
          <w:p w14:paraId="617CF81B" w14:textId="77777777" w:rsidR="005901BD" w:rsidRPr="00AD0ABE" w:rsidRDefault="005901BD" w:rsidP="002875DC">
            <w:pPr>
              <w:rPr>
                <w:rFonts w:cs="FrankRuehl"/>
                <w:sz w:val="28"/>
                <w:szCs w:val="28"/>
                <w:rtl/>
              </w:rPr>
            </w:pPr>
            <w:r w:rsidRPr="00AD0ABE">
              <w:rPr>
                <w:rFonts w:cs="FrankRuehl"/>
                <w:sz w:val="28"/>
                <w:szCs w:val="28"/>
                <w:rtl/>
              </w:rPr>
              <w:t>ת"פ</w:t>
            </w:r>
            <w:r w:rsidRPr="00AD0ABE">
              <w:rPr>
                <w:rFonts w:cs="FrankRuehl" w:hint="cs"/>
                <w:sz w:val="28"/>
                <w:szCs w:val="28"/>
                <w:rtl/>
              </w:rPr>
              <w:t xml:space="preserve"> </w:t>
            </w:r>
            <w:hyperlink r:id="rId7" w:history="1">
              <w:r w:rsidR="00A16443" w:rsidRPr="00A16443">
                <w:rPr>
                  <w:rFonts w:cs="FrankRuehl"/>
                  <w:color w:val="0000FF"/>
                  <w:sz w:val="28"/>
                  <w:szCs w:val="28"/>
                  <w:u w:val="single"/>
                  <w:rtl/>
                </w:rPr>
                <w:t xml:space="preserve">69110-11-20 </w:t>
              </w:r>
            </w:hyperlink>
            <w:r w:rsidRPr="00AD0ABE">
              <w:rPr>
                <w:rFonts w:cs="FrankRuehl" w:hint="cs"/>
                <w:sz w:val="28"/>
                <w:szCs w:val="28"/>
                <w:rtl/>
              </w:rPr>
              <w:t xml:space="preserve"> </w:t>
            </w:r>
            <w:r w:rsidRPr="00AD0ABE">
              <w:rPr>
                <w:rFonts w:cs="FrankRuehl"/>
                <w:sz w:val="28"/>
                <w:szCs w:val="28"/>
                <w:rtl/>
              </w:rPr>
              <w:t>מדינת ישראל נ' לחאם(אחר/נוסף)</w:t>
            </w:r>
          </w:p>
          <w:p w14:paraId="12471E18" w14:textId="77777777" w:rsidR="005901BD" w:rsidRPr="00AD0ABE" w:rsidRDefault="005901BD" w:rsidP="002875DC">
            <w:pPr>
              <w:pStyle w:val="a3"/>
              <w:rPr>
                <w:rFonts w:cs="FrankRuehl"/>
                <w:sz w:val="28"/>
                <w:szCs w:val="28"/>
                <w:rtl/>
              </w:rPr>
            </w:pPr>
          </w:p>
        </w:tc>
        <w:tc>
          <w:tcPr>
            <w:tcW w:w="3659" w:type="dxa"/>
          </w:tcPr>
          <w:p w14:paraId="4D5A42FA" w14:textId="77777777" w:rsidR="005901BD" w:rsidRPr="00AD0ABE" w:rsidRDefault="005901BD" w:rsidP="002875DC">
            <w:pPr>
              <w:pStyle w:val="a3"/>
              <w:jc w:val="right"/>
              <w:rPr>
                <w:rFonts w:cs="FrankRuehl"/>
                <w:sz w:val="28"/>
                <w:szCs w:val="28"/>
                <w:rtl/>
              </w:rPr>
            </w:pPr>
          </w:p>
        </w:tc>
      </w:tr>
    </w:tbl>
    <w:p w14:paraId="139F87A5" w14:textId="77777777" w:rsidR="005901BD" w:rsidRPr="00AD0ABE" w:rsidRDefault="005901BD" w:rsidP="005901BD">
      <w:pPr>
        <w:pStyle w:val="a3"/>
        <w:rPr>
          <w:rtl/>
        </w:rPr>
      </w:pPr>
      <w:r w:rsidRPr="00AD0ABE">
        <w:rPr>
          <w:rFonts w:hint="cs"/>
          <w:rtl/>
        </w:rPr>
        <w:t xml:space="preserve"> </w:t>
      </w:r>
    </w:p>
    <w:p w14:paraId="6A2373FE" w14:textId="77777777" w:rsidR="005901BD" w:rsidRPr="00AD0ABE" w:rsidRDefault="005901BD" w:rsidP="005901BD">
      <w:pPr>
        <w:rPr>
          <w:rtl/>
        </w:rPr>
      </w:pPr>
    </w:p>
    <w:p w14:paraId="6D25DA2C" w14:textId="77777777" w:rsidR="005901BD" w:rsidRPr="00AD0ABE" w:rsidRDefault="005901BD" w:rsidP="005901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901BD" w:rsidRPr="00AD0ABE" w14:paraId="5D566C5D" w14:textId="77777777" w:rsidTr="005901BD">
        <w:trPr>
          <w:trHeight w:val="295"/>
          <w:jc w:val="center"/>
        </w:trPr>
        <w:tc>
          <w:tcPr>
            <w:tcW w:w="923" w:type="dxa"/>
            <w:tcBorders>
              <w:top w:val="nil"/>
              <w:left w:val="nil"/>
              <w:bottom w:val="nil"/>
              <w:right w:val="nil"/>
            </w:tcBorders>
            <w:shd w:val="clear" w:color="auto" w:fill="auto"/>
          </w:tcPr>
          <w:p w14:paraId="602FB056" w14:textId="77777777" w:rsidR="005901BD" w:rsidRPr="00AD0ABE" w:rsidRDefault="005901BD" w:rsidP="005901BD">
            <w:pPr>
              <w:jc w:val="both"/>
              <w:rPr>
                <w:rFonts w:ascii="Arial" w:hAnsi="Arial" w:cs="FrankRuehl"/>
                <w:sz w:val="28"/>
                <w:szCs w:val="28"/>
              </w:rPr>
            </w:pPr>
            <w:r w:rsidRPr="00AD0ABE">
              <w:rPr>
                <w:rFonts w:ascii="Arial" w:hAnsi="Arial" w:cs="FrankRuehl" w:hint="cs"/>
                <w:sz w:val="28"/>
                <w:szCs w:val="28"/>
                <w:rtl/>
              </w:rPr>
              <w:t>ב</w:t>
            </w:r>
            <w:r w:rsidRPr="00AD0AB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08CB1E1" w14:textId="77777777" w:rsidR="005901BD" w:rsidRPr="00AD0ABE" w:rsidRDefault="005901BD" w:rsidP="005901BD">
            <w:pPr>
              <w:jc w:val="both"/>
              <w:rPr>
                <w:rFonts w:ascii="Arial" w:hAnsi="Arial" w:cs="FrankRuehl"/>
                <w:sz w:val="28"/>
                <w:szCs w:val="28"/>
                <w:rtl/>
              </w:rPr>
            </w:pPr>
            <w:r w:rsidRPr="00AD0ABE">
              <w:rPr>
                <w:rFonts w:ascii="Arial" w:hAnsi="Arial" w:cs="FrankRuehl" w:hint="cs"/>
                <w:sz w:val="28"/>
                <w:szCs w:val="28"/>
                <w:rtl/>
              </w:rPr>
              <w:t>כבוד סגן הנשיא ירון מינטקביץ</w:t>
            </w:r>
          </w:p>
          <w:p w14:paraId="5090C806" w14:textId="77777777" w:rsidR="005901BD" w:rsidRPr="00AD0ABE" w:rsidRDefault="005901BD" w:rsidP="005901BD">
            <w:pPr>
              <w:jc w:val="both"/>
              <w:rPr>
                <w:rFonts w:ascii="Arial" w:hAnsi="Arial" w:cs="FrankRuehl"/>
                <w:sz w:val="28"/>
                <w:szCs w:val="28"/>
              </w:rPr>
            </w:pPr>
          </w:p>
        </w:tc>
      </w:tr>
      <w:tr w:rsidR="005901BD" w:rsidRPr="00AD0ABE" w14:paraId="134A092F" w14:textId="77777777" w:rsidTr="005901BD">
        <w:trPr>
          <w:trHeight w:val="355"/>
          <w:jc w:val="center"/>
        </w:trPr>
        <w:tc>
          <w:tcPr>
            <w:tcW w:w="923" w:type="dxa"/>
            <w:tcBorders>
              <w:top w:val="nil"/>
              <w:left w:val="nil"/>
              <w:bottom w:val="nil"/>
              <w:right w:val="nil"/>
            </w:tcBorders>
            <w:shd w:val="clear" w:color="auto" w:fill="auto"/>
          </w:tcPr>
          <w:p w14:paraId="578811FC" w14:textId="77777777" w:rsidR="005901BD" w:rsidRPr="00AD0ABE" w:rsidRDefault="005901BD" w:rsidP="005901BD">
            <w:pPr>
              <w:jc w:val="both"/>
              <w:rPr>
                <w:rFonts w:ascii="Arial" w:hAnsi="Arial" w:cs="FrankRuehl"/>
                <w:sz w:val="28"/>
                <w:szCs w:val="28"/>
              </w:rPr>
            </w:pPr>
            <w:bookmarkStart w:id="2" w:name="FirstAppellant"/>
            <w:r w:rsidRPr="00AD0AB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A26E776" w14:textId="77777777" w:rsidR="005901BD" w:rsidRPr="00AD0ABE" w:rsidRDefault="005901BD" w:rsidP="002875DC">
            <w:r w:rsidRPr="00AD0ABE">
              <w:rPr>
                <w:rFonts w:ascii="Arial" w:hAnsi="Arial" w:cs="FrankRuehl"/>
                <w:sz w:val="28"/>
                <w:szCs w:val="28"/>
                <w:rtl/>
              </w:rPr>
              <w:t>מדינת ישראל</w:t>
            </w:r>
            <w:r w:rsidRPr="00AD0ABE">
              <w:rPr>
                <w:rFonts w:ascii="Arial" w:hAnsi="Arial" w:cs="FrankRuehl"/>
                <w:sz w:val="28"/>
                <w:szCs w:val="28"/>
                <w:rtl/>
              </w:rPr>
              <w:br/>
            </w:r>
            <w:r w:rsidRPr="00AD0ABE">
              <w:rPr>
                <w:rFonts w:hint="cs"/>
                <w:rtl/>
              </w:rPr>
              <w:t>ע"י עו"ד מנאל אבו עאמר</w:t>
            </w:r>
          </w:p>
        </w:tc>
        <w:tc>
          <w:tcPr>
            <w:tcW w:w="3771" w:type="dxa"/>
            <w:tcBorders>
              <w:top w:val="nil"/>
              <w:left w:val="nil"/>
              <w:bottom w:val="nil"/>
              <w:right w:val="nil"/>
            </w:tcBorders>
            <w:shd w:val="clear" w:color="auto" w:fill="auto"/>
          </w:tcPr>
          <w:p w14:paraId="618A5775" w14:textId="77777777" w:rsidR="005901BD" w:rsidRPr="00AD0ABE" w:rsidRDefault="005901BD" w:rsidP="005901BD">
            <w:pPr>
              <w:jc w:val="both"/>
              <w:rPr>
                <w:rFonts w:ascii="Arial" w:hAnsi="Arial" w:cs="FrankRuehl"/>
                <w:sz w:val="28"/>
                <w:szCs w:val="28"/>
              </w:rPr>
            </w:pPr>
          </w:p>
        </w:tc>
      </w:tr>
      <w:bookmarkEnd w:id="2"/>
      <w:tr w:rsidR="005901BD" w:rsidRPr="00AD0ABE" w14:paraId="52EF77D8" w14:textId="77777777" w:rsidTr="005901BD">
        <w:trPr>
          <w:trHeight w:val="355"/>
          <w:jc w:val="center"/>
        </w:trPr>
        <w:tc>
          <w:tcPr>
            <w:tcW w:w="923" w:type="dxa"/>
            <w:tcBorders>
              <w:top w:val="nil"/>
              <w:left w:val="nil"/>
              <w:bottom w:val="nil"/>
              <w:right w:val="nil"/>
            </w:tcBorders>
            <w:shd w:val="clear" w:color="auto" w:fill="auto"/>
          </w:tcPr>
          <w:p w14:paraId="1A4F1636" w14:textId="77777777" w:rsidR="005901BD" w:rsidRPr="00AD0ABE" w:rsidRDefault="005901BD" w:rsidP="005901B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713C9B1" w14:textId="77777777" w:rsidR="005901BD" w:rsidRPr="00AD0ABE" w:rsidRDefault="005901BD" w:rsidP="005901BD">
            <w:pPr>
              <w:jc w:val="both"/>
              <w:rPr>
                <w:rtl/>
              </w:rPr>
            </w:pPr>
          </w:p>
        </w:tc>
        <w:tc>
          <w:tcPr>
            <w:tcW w:w="3771" w:type="dxa"/>
            <w:tcBorders>
              <w:top w:val="nil"/>
              <w:left w:val="nil"/>
              <w:bottom w:val="nil"/>
              <w:right w:val="nil"/>
            </w:tcBorders>
            <w:shd w:val="clear" w:color="auto" w:fill="auto"/>
          </w:tcPr>
          <w:p w14:paraId="7D2D6E5A" w14:textId="77777777" w:rsidR="005901BD" w:rsidRPr="00AD0ABE" w:rsidRDefault="005901BD" w:rsidP="005901BD">
            <w:pPr>
              <w:jc w:val="right"/>
              <w:rPr>
                <w:rFonts w:ascii="Arial" w:hAnsi="Arial" w:cs="FrankRuehl"/>
                <w:sz w:val="28"/>
                <w:szCs w:val="28"/>
                <w:rtl/>
              </w:rPr>
            </w:pPr>
            <w:r w:rsidRPr="00AD0ABE">
              <w:rPr>
                <w:rFonts w:ascii="Arial" w:hAnsi="Arial" w:cs="FrankRuehl" w:hint="cs"/>
                <w:sz w:val="28"/>
                <w:szCs w:val="28"/>
                <w:rtl/>
              </w:rPr>
              <w:t>ה</w:t>
            </w:r>
            <w:r w:rsidRPr="00AD0ABE">
              <w:rPr>
                <w:rFonts w:ascii="Arial" w:hAnsi="Arial" w:cs="FrankRuehl"/>
                <w:sz w:val="28"/>
                <w:szCs w:val="28"/>
                <w:rtl/>
              </w:rPr>
              <w:t>מאשימה</w:t>
            </w:r>
          </w:p>
        </w:tc>
      </w:tr>
      <w:tr w:rsidR="005901BD" w:rsidRPr="00AD0ABE" w14:paraId="2CBC5321" w14:textId="77777777" w:rsidTr="005901BD">
        <w:trPr>
          <w:trHeight w:val="355"/>
          <w:jc w:val="center"/>
        </w:trPr>
        <w:tc>
          <w:tcPr>
            <w:tcW w:w="923" w:type="dxa"/>
            <w:tcBorders>
              <w:top w:val="nil"/>
              <w:left w:val="nil"/>
              <w:bottom w:val="nil"/>
              <w:right w:val="nil"/>
            </w:tcBorders>
            <w:shd w:val="clear" w:color="auto" w:fill="auto"/>
          </w:tcPr>
          <w:p w14:paraId="47D56AC4" w14:textId="77777777" w:rsidR="005901BD" w:rsidRPr="00AD0ABE" w:rsidRDefault="005901BD" w:rsidP="005901B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16DBE1D" w14:textId="77777777" w:rsidR="005901BD" w:rsidRPr="00AD0ABE" w:rsidRDefault="005901BD" w:rsidP="005901BD">
            <w:pPr>
              <w:jc w:val="center"/>
              <w:rPr>
                <w:rFonts w:ascii="Arial" w:hAnsi="Arial" w:cs="FrankRuehl"/>
                <w:b/>
                <w:bCs/>
                <w:sz w:val="28"/>
                <w:szCs w:val="28"/>
                <w:rtl/>
              </w:rPr>
            </w:pPr>
          </w:p>
          <w:p w14:paraId="4A23415E" w14:textId="77777777" w:rsidR="005901BD" w:rsidRPr="00AD0ABE" w:rsidRDefault="005901BD" w:rsidP="005901BD">
            <w:pPr>
              <w:jc w:val="center"/>
              <w:rPr>
                <w:rFonts w:ascii="Arial" w:hAnsi="Arial" w:cs="FrankRuehl"/>
                <w:b/>
                <w:bCs/>
                <w:sz w:val="28"/>
                <w:szCs w:val="28"/>
                <w:rtl/>
              </w:rPr>
            </w:pPr>
            <w:r w:rsidRPr="00AD0ABE">
              <w:rPr>
                <w:rFonts w:ascii="Arial" w:hAnsi="Arial" w:cs="FrankRuehl"/>
                <w:b/>
                <w:bCs/>
                <w:sz w:val="28"/>
                <w:szCs w:val="28"/>
                <w:rtl/>
              </w:rPr>
              <w:t>נגד</w:t>
            </w:r>
          </w:p>
          <w:p w14:paraId="458F7D07" w14:textId="77777777" w:rsidR="005901BD" w:rsidRPr="00AD0ABE" w:rsidRDefault="005901BD" w:rsidP="005901BD">
            <w:pPr>
              <w:jc w:val="both"/>
              <w:rPr>
                <w:rFonts w:ascii="Arial" w:hAnsi="Arial" w:cs="FrankRuehl"/>
                <w:sz w:val="28"/>
                <w:szCs w:val="28"/>
              </w:rPr>
            </w:pPr>
          </w:p>
        </w:tc>
      </w:tr>
      <w:tr w:rsidR="005901BD" w:rsidRPr="00AD0ABE" w14:paraId="02AB9C29" w14:textId="77777777" w:rsidTr="005901BD">
        <w:trPr>
          <w:trHeight w:val="355"/>
          <w:jc w:val="center"/>
        </w:trPr>
        <w:tc>
          <w:tcPr>
            <w:tcW w:w="923" w:type="dxa"/>
            <w:tcBorders>
              <w:top w:val="nil"/>
              <w:left w:val="nil"/>
              <w:bottom w:val="nil"/>
              <w:right w:val="nil"/>
            </w:tcBorders>
            <w:shd w:val="clear" w:color="auto" w:fill="auto"/>
          </w:tcPr>
          <w:p w14:paraId="4FCDEDCE" w14:textId="77777777" w:rsidR="005901BD" w:rsidRPr="00AD0ABE" w:rsidRDefault="005901BD" w:rsidP="002875DC">
            <w:pPr>
              <w:rPr>
                <w:rFonts w:ascii="Arial" w:hAnsi="Arial" w:cs="FrankRuehl"/>
                <w:sz w:val="28"/>
                <w:szCs w:val="28"/>
                <w:rtl/>
              </w:rPr>
            </w:pPr>
          </w:p>
        </w:tc>
        <w:tc>
          <w:tcPr>
            <w:tcW w:w="4126" w:type="dxa"/>
            <w:tcBorders>
              <w:top w:val="nil"/>
              <w:left w:val="nil"/>
              <w:bottom w:val="nil"/>
              <w:right w:val="nil"/>
            </w:tcBorders>
            <w:shd w:val="clear" w:color="auto" w:fill="auto"/>
          </w:tcPr>
          <w:p w14:paraId="2A28E95B" w14:textId="77777777" w:rsidR="005901BD" w:rsidRPr="00AD0ABE" w:rsidRDefault="005901BD" w:rsidP="002875DC">
            <w:pPr>
              <w:rPr>
                <w:rtl/>
              </w:rPr>
            </w:pPr>
            <w:r w:rsidRPr="00AD0ABE">
              <w:rPr>
                <w:rFonts w:ascii="Arial" w:hAnsi="Arial" w:cs="FrankRuehl"/>
                <w:sz w:val="28"/>
                <w:szCs w:val="28"/>
                <w:rtl/>
              </w:rPr>
              <w:t>פאדי לחאם</w:t>
            </w:r>
            <w:r w:rsidRPr="00AD0ABE">
              <w:rPr>
                <w:rFonts w:ascii="Arial" w:hAnsi="Arial" w:cs="FrankRuehl"/>
                <w:sz w:val="28"/>
                <w:szCs w:val="28"/>
                <w:rtl/>
              </w:rPr>
              <w:br/>
            </w:r>
            <w:r w:rsidRPr="00AD0ABE">
              <w:rPr>
                <w:rFonts w:hint="cs"/>
                <w:rtl/>
              </w:rPr>
              <w:t>ע"י עו"ד ראמי עותמאן</w:t>
            </w:r>
          </w:p>
        </w:tc>
        <w:tc>
          <w:tcPr>
            <w:tcW w:w="3771" w:type="dxa"/>
            <w:tcBorders>
              <w:top w:val="nil"/>
              <w:left w:val="nil"/>
              <w:bottom w:val="nil"/>
              <w:right w:val="nil"/>
            </w:tcBorders>
            <w:shd w:val="clear" w:color="auto" w:fill="auto"/>
          </w:tcPr>
          <w:p w14:paraId="7E8D02A6" w14:textId="77777777" w:rsidR="005901BD" w:rsidRPr="00AD0ABE" w:rsidRDefault="005901BD" w:rsidP="005901BD">
            <w:pPr>
              <w:jc w:val="right"/>
              <w:rPr>
                <w:rFonts w:ascii="Arial" w:hAnsi="Arial" w:cs="FrankRuehl"/>
                <w:sz w:val="28"/>
                <w:szCs w:val="28"/>
              </w:rPr>
            </w:pPr>
          </w:p>
        </w:tc>
      </w:tr>
      <w:tr w:rsidR="005901BD" w:rsidRPr="00AD0ABE" w14:paraId="3368AF70" w14:textId="77777777" w:rsidTr="005901BD">
        <w:trPr>
          <w:trHeight w:val="355"/>
          <w:jc w:val="center"/>
        </w:trPr>
        <w:tc>
          <w:tcPr>
            <w:tcW w:w="923" w:type="dxa"/>
            <w:tcBorders>
              <w:top w:val="nil"/>
              <w:left w:val="nil"/>
              <w:bottom w:val="nil"/>
              <w:right w:val="nil"/>
            </w:tcBorders>
            <w:shd w:val="clear" w:color="auto" w:fill="auto"/>
          </w:tcPr>
          <w:p w14:paraId="0C927C22" w14:textId="77777777" w:rsidR="005901BD" w:rsidRPr="00AD0ABE" w:rsidRDefault="005901BD" w:rsidP="005901B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AB0D069" w14:textId="77777777" w:rsidR="005901BD" w:rsidRPr="00AD0ABE" w:rsidRDefault="005901BD" w:rsidP="005901BD">
            <w:pPr>
              <w:jc w:val="both"/>
              <w:rPr>
                <w:rtl/>
              </w:rPr>
            </w:pPr>
          </w:p>
        </w:tc>
        <w:tc>
          <w:tcPr>
            <w:tcW w:w="3771" w:type="dxa"/>
            <w:tcBorders>
              <w:top w:val="nil"/>
              <w:left w:val="nil"/>
              <w:bottom w:val="nil"/>
              <w:right w:val="nil"/>
            </w:tcBorders>
            <w:shd w:val="clear" w:color="auto" w:fill="auto"/>
          </w:tcPr>
          <w:p w14:paraId="1C38357D" w14:textId="77777777" w:rsidR="005901BD" w:rsidRPr="00AD0ABE" w:rsidRDefault="005901BD" w:rsidP="005901BD">
            <w:pPr>
              <w:jc w:val="right"/>
              <w:rPr>
                <w:rFonts w:ascii="Arial" w:hAnsi="Arial" w:cs="FrankRuehl"/>
                <w:sz w:val="28"/>
                <w:szCs w:val="28"/>
              </w:rPr>
            </w:pPr>
            <w:r w:rsidRPr="00AD0ABE">
              <w:rPr>
                <w:rFonts w:ascii="Arial" w:hAnsi="Arial" w:cs="FrankRuehl" w:hint="cs"/>
                <w:sz w:val="28"/>
                <w:szCs w:val="28"/>
                <w:rtl/>
              </w:rPr>
              <w:t>ה</w:t>
            </w:r>
            <w:r w:rsidRPr="00AD0ABE">
              <w:rPr>
                <w:rFonts w:ascii="Arial" w:hAnsi="Arial" w:cs="FrankRuehl"/>
                <w:sz w:val="28"/>
                <w:szCs w:val="28"/>
                <w:rtl/>
              </w:rPr>
              <w:t>נאשם</w:t>
            </w:r>
          </w:p>
        </w:tc>
      </w:tr>
    </w:tbl>
    <w:p w14:paraId="521F29E9" w14:textId="77777777" w:rsidR="00906A11" w:rsidRDefault="00906A11" w:rsidP="005901BD">
      <w:pPr>
        <w:rPr>
          <w:rtl/>
        </w:rPr>
      </w:pPr>
    </w:p>
    <w:p w14:paraId="1097C1C3" w14:textId="77777777" w:rsidR="00906A11" w:rsidRPr="00906A11" w:rsidRDefault="00906A11" w:rsidP="00906A11">
      <w:pPr>
        <w:spacing w:after="120" w:line="240" w:lineRule="exact"/>
        <w:ind w:left="283" w:hanging="283"/>
        <w:jc w:val="both"/>
        <w:rPr>
          <w:rFonts w:ascii="FrankRuehl" w:hAnsi="FrankRuehl" w:cs="FrankRuehl"/>
          <w:rtl/>
        </w:rPr>
      </w:pPr>
    </w:p>
    <w:p w14:paraId="28F121D2" w14:textId="77777777" w:rsidR="00A16443" w:rsidRPr="00A16443" w:rsidRDefault="00A16443" w:rsidP="00A16443">
      <w:pPr>
        <w:spacing w:before="120" w:after="120" w:line="240" w:lineRule="exact"/>
        <w:ind w:left="283" w:hanging="283"/>
        <w:jc w:val="both"/>
        <w:rPr>
          <w:rFonts w:ascii="FrankRuehl" w:hAnsi="FrankRuehl" w:cs="FrankRuehl"/>
          <w:rtl/>
        </w:rPr>
      </w:pPr>
    </w:p>
    <w:p w14:paraId="45AB2FCF" w14:textId="77777777" w:rsidR="002761A7" w:rsidRDefault="002761A7" w:rsidP="002761A7">
      <w:pPr>
        <w:spacing w:after="120" w:line="360" w:lineRule="auto"/>
        <w:jc w:val="both"/>
        <w:rPr>
          <w:rFonts w:ascii="Arial" w:hAnsi="Arial"/>
          <w:rtl/>
        </w:rPr>
      </w:pPr>
      <w:bookmarkStart w:id="3" w:name="LawTable"/>
      <w:bookmarkEnd w:id="3"/>
    </w:p>
    <w:p w14:paraId="5355ECB8" w14:textId="77777777" w:rsidR="002761A7" w:rsidRPr="002761A7" w:rsidRDefault="002761A7" w:rsidP="002761A7">
      <w:pPr>
        <w:spacing w:before="120" w:after="120" w:line="240" w:lineRule="exact"/>
        <w:ind w:left="283" w:hanging="283"/>
        <w:jc w:val="both"/>
        <w:rPr>
          <w:rFonts w:ascii="FrankRuehl" w:hAnsi="FrankRuehl" w:cs="FrankRuehl"/>
          <w:rtl/>
        </w:rPr>
      </w:pPr>
    </w:p>
    <w:p w14:paraId="2267247D" w14:textId="77777777" w:rsidR="002761A7" w:rsidRPr="002761A7" w:rsidRDefault="002761A7" w:rsidP="002761A7">
      <w:pPr>
        <w:spacing w:before="120" w:after="120" w:line="240" w:lineRule="exact"/>
        <w:ind w:left="283" w:hanging="283"/>
        <w:jc w:val="both"/>
        <w:rPr>
          <w:rFonts w:ascii="FrankRuehl" w:hAnsi="FrankRuehl" w:cs="FrankRuehl"/>
          <w:rtl/>
        </w:rPr>
      </w:pPr>
    </w:p>
    <w:p w14:paraId="69EF9A7C" w14:textId="77777777" w:rsidR="002761A7" w:rsidRPr="002761A7" w:rsidRDefault="002761A7" w:rsidP="002761A7">
      <w:pPr>
        <w:spacing w:before="120" w:after="120" w:line="240" w:lineRule="exact"/>
        <w:ind w:left="283" w:hanging="283"/>
        <w:jc w:val="both"/>
        <w:rPr>
          <w:rFonts w:ascii="FrankRuehl" w:hAnsi="FrankRuehl" w:cs="FrankRuehl"/>
          <w:rtl/>
        </w:rPr>
      </w:pPr>
      <w:r w:rsidRPr="002761A7">
        <w:rPr>
          <w:rFonts w:ascii="FrankRuehl" w:hAnsi="FrankRuehl" w:cs="FrankRuehl"/>
          <w:rtl/>
        </w:rPr>
        <w:t xml:space="preserve">חקיקה שאוזכרה: </w:t>
      </w:r>
    </w:p>
    <w:p w14:paraId="28068767" w14:textId="77777777" w:rsidR="002761A7" w:rsidRPr="002761A7" w:rsidRDefault="002761A7" w:rsidP="002761A7">
      <w:pPr>
        <w:spacing w:before="120" w:after="120" w:line="240" w:lineRule="exact"/>
        <w:ind w:left="283" w:hanging="283"/>
        <w:jc w:val="both"/>
        <w:rPr>
          <w:rFonts w:ascii="FrankRuehl" w:hAnsi="FrankRuehl" w:cs="FrankRuehl"/>
          <w:rtl/>
        </w:rPr>
      </w:pPr>
      <w:hyperlink r:id="rId8" w:history="1">
        <w:r w:rsidRPr="002761A7">
          <w:rPr>
            <w:rFonts w:ascii="FrankRuehl" w:hAnsi="FrankRuehl" w:cs="FrankRuehl"/>
            <w:color w:val="0000FF"/>
            <w:rtl/>
          </w:rPr>
          <w:t>חוק העונשין, תשל"ז-1977</w:t>
        </w:r>
      </w:hyperlink>
      <w:r w:rsidRPr="002761A7">
        <w:rPr>
          <w:rFonts w:ascii="FrankRuehl" w:hAnsi="FrankRuehl" w:cs="FrankRuehl"/>
          <w:rtl/>
        </w:rPr>
        <w:t xml:space="preserve">: סע'  </w:t>
      </w:r>
      <w:hyperlink r:id="rId9" w:history="1">
        <w:r w:rsidRPr="002761A7">
          <w:rPr>
            <w:rFonts w:ascii="FrankRuehl" w:hAnsi="FrankRuehl" w:cs="FrankRuehl"/>
            <w:color w:val="0000FF"/>
            <w:rtl/>
          </w:rPr>
          <w:t>144</w:t>
        </w:r>
      </w:hyperlink>
    </w:p>
    <w:p w14:paraId="1D8533AA" w14:textId="77777777" w:rsidR="002761A7" w:rsidRPr="002761A7" w:rsidRDefault="002761A7" w:rsidP="002761A7">
      <w:pPr>
        <w:spacing w:after="120" w:line="360" w:lineRule="auto"/>
        <w:jc w:val="both"/>
        <w:rPr>
          <w:rFonts w:ascii="Arial" w:hAnsi="Arial"/>
          <w:rtl/>
        </w:rPr>
      </w:pPr>
      <w:bookmarkStart w:id="4" w:name="LawTable_End"/>
      <w:bookmarkEnd w:id="4"/>
    </w:p>
    <w:p w14:paraId="1A1BD1E8" w14:textId="77777777" w:rsidR="005901BD" w:rsidRPr="00A16443" w:rsidRDefault="005901BD" w:rsidP="00A16443">
      <w:pPr>
        <w:spacing w:after="120"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01BD" w14:paraId="7506B111" w14:textId="77777777" w:rsidTr="005901BD">
        <w:trPr>
          <w:trHeight w:val="355"/>
          <w:jc w:val="center"/>
        </w:trPr>
        <w:tc>
          <w:tcPr>
            <w:tcW w:w="8820" w:type="dxa"/>
            <w:tcBorders>
              <w:top w:val="nil"/>
              <w:left w:val="nil"/>
              <w:bottom w:val="nil"/>
              <w:right w:val="nil"/>
            </w:tcBorders>
            <w:shd w:val="clear" w:color="auto" w:fill="auto"/>
          </w:tcPr>
          <w:p w14:paraId="38508042" w14:textId="77777777" w:rsidR="00AD0ABE" w:rsidRPr="00AD0ABE" w:rsidRDefault="00AD0ABE" w:rsidP="00AD0ABE">
            <w:pPr>
              <w:spacing w:after="120" w:line="360" w:lineRule="auto"/>
              <w:jc w:val="center"/>
              <w:rPr>
                <w:rFonts w:ascii="Arial" w:hAnsi="Arial" w:cs="FrankRuehl"/>
                <w:b/>
                <w:bCs/>
                <w:sz w:val="32"/>
                <w:szCs w:val="32"/>
                <w:u w:val="single"/>
                <w:rtl/>
              </w:rPr>
            </w:pPr>
            <w:bookmarkStart w:id="5" w:name="PsakDin" w:colFirst="0" w:colLast="0"/>
            <w:bookmarkEnd w:id="0"/>
            <w:bookmarkEnd w:id="1"/>
            <w:r w:rsidRPr="00AD0ABE">
              <w:rPr>
                <w:rFonts w:ascii="Arial" w:hAnsi="Arial" w:cs="FrankRuehl"/>
                <w:b/>
                <w:bCs/>
                <w:sz w:val="32"/>
                <w:szCs w:val="32"/>
                <w:u w:val="single"/>
                <w:rtl/>
              </w:rPr>
              <w:t>גזר דין</w:t>
            </w:r>
          </w:p>
          <w:p w14:paraId="035528B1" w14:textId="77777777" w:rsidR="005901BD" w:rsidRPr="00AD0ABE" w:rsidRDefault="005901BD" w:rsidP="00AD0ABE">
            <w:pPr>
              <w:spacing w:after="120" w:line="360" w:lineRule="auto"/>
              <w:jc w:val="center"/>
              <w:rPr>
                <w:rFonts w:ascii="Arial" w:hAnsi="Arial" w:cs="FrankRuehl"/>
                <w:bCs/>
                <w:sz w:val="32"/>
                <w:szCs w:val="32"/>
                <w:u w:val="single"/>
                <w:rtl/>
              </w:rPr>
            </w:pPr>
          </w:p>
        </w:tc>
      </w:tr>
    </w:tbl>
    <w:bookmarkEnd w:id="5"/>
    <w:p w14:paraId="1CC3BDCF" w14:textId="77777777" w:rsidR="005901BD" w:rsidRPr="00357F98" w:rsidRDefault="005901BD" w:rsidP="005901BD">
      <w:pPr>
        <w:spacing w:after="120" w:line="360" w:lineRule="auto"/>
        <w:jc w:val="both"/>
        <w:rPr>
          <w:rFonts w:ascii="Arial" w:hAnsi="Arial"/>
          <w:b/>
          <w:bCs/>
          <w:rtl/>
        </w:rPr>
      </w:pPr>
      <w:r w:rsidRPr="00357F98">
        <w:rPr>
          <w:rFonts w:ascii="Arial" w:hAnsi="Arial" w:hint="cs"/>
          <w:b/>
          <w:bCs/>
          <w:rtl/>
        </w:rPr>
        <w:t>רקע</w:t>
      </w:r>
    </w:p>
    <w:p w14:paraId="1C557682" w14:textId="77777777" w:rsidR="005901BD" w:rsidRDefault="005901BD" w:rsidP="005901BD">
      <w:pPr>
        <w:spacing w:after="120" w:line="360" w:lineRule="auto"/>
        <w:jc w:val="both"/>
        <w:rPr>
          <w:rFonts w:ascii="Arial" w:hAnsi="Arial"/>
          <w:rtl/>
        </w:rPr>
      </w:pPr>
      <w:bookmarkStart w:id="6" w:name="ABSTRACT_START"/>
      <w:bookmarkEnd w:id="6"/>
      <w:r>
        <w:rPr>
          <w:rFonts w:ascii="Arial" w:hAnsi="Arial" w:hint="cs"/>
          <w:rtl/>
        </w:rPr>
        <w:t>הנאשם הורשע על פי הודאתו בעבירות של החזקת נשק, אבזר נשק ותחמושת ושיבוש הליכי משפט. ואלו עובדות כתב האישום:</w:t>
      </w:r>
    </w:p>
    <w:p w14:paraId="15B01792" w14:textId="77777777" w:rsidR="005901BD" w:rsidRDefault="005901BD" w:rsidP="005901BD">
      <w:pPr>
        <w:spacing w:after="120" w:line="360" w:lineRule="auto"/>
        <w:jc w:val="both"/>
        <w:rPr>
          <w:rFonts w:ascii="Arial" w:hAnsi="Arial"/>
          <w:rtl/>
        </w:rPr>
      </w:pPr>
      <w:r>
        <w:rPr>
          <w:rFonts w:ascii="Arial" w:hAnsi="Arial" w:hint="cs"/>
          <w:rtl/>
        </w:rPr>
        <w:t xml:space="preserve">בתקופה שקדמה ליום 16.11.20, החזיק הנאשם בביתו נשק דמוי רובה מסוג </w:t>
      </w:r>
      <w:r>
        <w:rPr>
          <w:rFonts w:ascii="Arial" w:hAnsi="Arial"/>
        </w:rPr>
        <w:t>M16</w:t>
      </w:r>
      <w:r>
        <w:rPr>
          <w:rFonts w:ascii="Arial" w:hAnsi="Arial" w:hint="cs"/>
          <w:rtl/>
        </w:rPr>
        <w:t xml:space="preserve">, אשר במקור נועד לירי כדוריות פלסטיק והוסב לירי תחמושת חיה בקוטר 5.56 מ"מ. הנאשם החזיק את הנשק </w:t>
      </w:r>
      <w:r>
        <w:rPr>
          <w:rFonts w:ascii="Arial" w:hAnsi="Arial" w:hint="cs"/>
          <w:rtl/>
        </w:rPr>
        <w:lastRenderedPageBreak/>
        <w:t xml:space="preserve">בתוך תיק, כשהוא מפורק וללא ידית הדריכה. כמו כן, הנאשם החזיק אביזרים לרובה מסוג </w:t>
      </w:r>
      <w:r>
        <w:rPr>
          <w:rFonts w:ascii="Arial" w:hAnsi="Arial"/>
        </w:rPr>
        <w:t>M16</w:t>
      </w:r>
      <w:r>
        <w:rPr>
          <w:rFonts w:ascii="Arial" w:hAnsi="Arial" w:hint="cs"/>
          <w:rtl/>
        </w:rPr>
        <w:t xml:space="preserve"> ובהם שתי ידיות דריכה, ידית אחיזה ובית בלם, וכן 4 כדורים בקוטר 5.56 מ"מ.</w:t>
      </w:r>
    </w:p>
    <w:p w14:paraId="1F84F450" w14:textId="77777777" w:rsidR="005901BD" w:rsidRDefault="005901BD" w:rsidP="005901BD">
      <w:pPr>
        <w:spacing w:after="120" w:line="360" w:lineRule="auto"/>
        <w:jc w:val="both"/>
        <w:rPr>
          <w:rtl/>
        </w:rPr>
      </w:pPr>
      <w:bookmarkStart w:id="7" w:name="ABSTRACT_END"/>
      <w:bookmarkEnd w:id="7"/>
      <w:r>
        <w:rPr>
          <w:rFonts w:hint="cs"/>
          <w:rtl/>
        </w:rPr>
        <w:t>מחוות הדעת שנערכה ביחס לנשק עלה, כי לא ניתן היה להשתמש בו באופן בו הוחזק, משום שלא היתה בו ידית דריכה. עוד עלה מחוות הדעת, כי לאחר שהוכנסה לנשק ידית דריכה, ניתן היה לירות בו ובכוחו להמית אדם.</w:t>
      </w:r>
    </w:p>
    <w:p w14:paraId="4A9D6459" w14:textId="77777777" w:rsidR="005901BD" w:rsidRPr="00374975" w:rsidRDefault="005901BD" w:rsidP="005901BD">
      <w:pPr>
        <w:spacing w:after="120" w:line="360" w:lineRule="auto"/>
        <w:jc w:val="both"/>
        <w:rPr>
          <w:rFonts w:ascii="Arial" w:hAnsi="Arial"/>
          <w:rtl/>
        </w:rPr>
      </w:pPr>
      <w:r>
        <w:rPr>
          <w:rFonts w:ascii="Arial" w:hAnsi="Arial" w:hint="cs"/>
          <w:rtl/>
        </w:rPr>
        <w:t>ביום 16.11.20 הגיעו אנשי כוחות הביטחון לבצע חיפוש בביתו של הנאשם, והוא השליך את התיק ובו הנשק אל מחוץ לבית, על מנת שלא ימצא.</w:t>
      </w:r>
    </w:p>
    <w:p w14:paraId="131F8885" w14:textId="77777777" w:rsidR="005901BD" w:rsidRDefault="005901BD" w:rsidP="005901BD">
      <w:pPr>
        <w:spacing w:after="120" w:line="360" w:lineRule="auto"/>
        <w:jc w:val="both"/>
        <w:rPr>
          <w:rtl/>
        </w:rPr>
      </w:pPr>
      <w:r>
        <w:rPr>
          <w:rFonts w:hint="cs"/>
          <w:rtl/>
        </w:rPr>
        <w:t>הנאשם הודה בכתב האישום כפי שהוא, ללא כל הסדר בין הצדדים. הוסכם, כי במסגרת הטיעונים לעונש יוכל הסניגור להגיש את חוות הדעת הנזכרת מעלה.</w:t>
      </w:r>
    </w:p>
    <w:p w14:paraId="3BC51628" w14:textId="77777777" w:rsidR="005901BD" w:rsidRPr="00600CAC" w:rsidRDefault="005901BD" w:rsidP="005901BD">
      <w:pPr>
        <w:spacing w:after="120" w:line="360" w:lineRule="auto"/>
        <w:jc w:val="both"/>
        <w:rPr>
          <w:b/>
          <w:bCs/>
          <w:rtl/>
        </w:rPr>
      </w:pPr>
      <w:r w:rsidRPr="00600CAC">
        <w:rPr>
          <w:rFonts w:hint="cs"/>
          <w:b/>
          <w:bCs/>
          <w:rtl/>
        </w:rPr>
        <w:t>עמדות הצדדים</w:t>
      </w:r>
    </w:p>
    <w:p w14:paraId="12EFCD15" w14:textId="77777777" w:rsidR="005901BD" w:rsidRDefault="005901BD" w:rsidP="005901BD">
      <w:pPr>
        <w:spacing w:after="120" w:line="360" w:lineRule="auto"/>
        <w:jc w:val="both"/>
        <w:rPr>
          <w:rtl/>
        </w:rPr>
      </w:pPr>
      <w:r>
        <w:rPr>
          <w:rFonts w:hint="cs"/>
          <w:rtl/>
        </w:rPr>
        <w:t>ב"כ המאשימה הפנתה לחומרת מעשיו של הנאשם, פגיעתם בערכים מוגנים והסיכון הטמון בהם. לאור אלה ביקשה לקבוע כי מתחם העונש ההולם נע בין שנתיים מאסר לארבע שנות מאסר ועונשים נלווים. לאור הרשעתו הקודמת של הנאשם ויתר נסיבות המקרה בקשה להשית עליו עונש של שלוש שנות מאסר.</w:t>
      </w:r>
    </w:p>
    <w:p w14:paraId="149B5C39" w14:textId="77777777" w:rsidR="005901BD" w:rsidRDefault="005901BD" w:rsidP="005901BD">
      <w:pPr>
        <w:spacing w:after="120" w:line="360" w:lineRule="auto"/>
        <w:jc w:val="both"/>
        <w:rPr>
          <w:rtl/>
        </w:rPr>
      </w:pPr>
      <w:r>
        <w:rPr>
          <w:rFonts w:hint="cs"/>
          <w:rtl/>
        </w:rPr>
        <w:t>ב"כ הנאשם הפנה לכך שהנשק שהוחזק לא היה תקין ועל כן הסיכון הטמון בו נמוך. עוד הפנה לכך שרמת הענישה הנוהגת נמוכה בהרבה מאשר נטען על ידי המאשימה, וביקש לקבוע מתחם עונש הולם שבין מאסר בעבודות שירות ועד 15 חודשי מאסר.</w:t>
      </w:r>
    </w:p>
    <w:p w14:paraId="272DB606" w14:textId="77777777" w:rsidR="005901BD" w:rsidRDefault="005901BD" w:rsidP="005901BD">
      <w:pPr>
        <w:spacing w:after="120" w:line="360" w:lineRule="auto"/>
        <w:jc w:val="both"/>
        <w:rPr>
          <w:rtl/>
        </w:rPr>
      </w:pPr>
      <w:r>
        <w:rPr>
          <w:rFonts w:hint="cs"/>
          <w:rtl/>
        </w:rPr>
        <w:t>לעניין נסיבותיו האישיות של הנאשם, הפנה לאמור בתסקיר שירות המבחן ולתמונה העולה ממנו. עוד הפנה לכך שהנאשם קיבל אחריות למעשיו והודה, ולכך שבני משפחתו של הנאשם מבקשים לסייע לו להשתקם. לעניין הרשעתו הקודמת של הנאשם הדגיש, כי מדובר בעבירה שבוצעה עת היה קטין וחלף זמן ניכר מאז ביצועה. לאור אלה, ביקש הסניגור להסתפק בהטלת מאסר בעבודות שירות.</w:t>
      </w:r>
    </w:p>
    <w:p w14:paraId="1FACCA51" w14:textId="77777777" w:rsidR="005901BD" w:rsidRDefault="005901BD" w:rsidP="005901BD">
      <w:pPr>
        <w:spacing w:after="120" w:line="360" w:lineRule="auto"/>
        <w:jc w:val="both"/>
        <w:rPr>
          <w:rtl/>
        </w:rPr>
      </w:pPr>
      <w:r>
        <w:rPr>
          <w:rFonts w:hint="cs"/>
          <w:rtl/>
        </w:rPr>
        <w:t>ב"כ שני הצדדים הפנו לפסקי דין שונים לתמיכה בטיעוניהם.</w:t>
      </w:r>
    </w:p>
    <w:p w14:paraId="42DA3980" w14:textId="77777777" w:rsidR="005901BD" w:rsidRDefault="005901BD" w:rsidP="005901BD">
      <w:pPr>
        <w:spacing w:after="120" w:line="360" w:lineRule="auto"/>
        <w:jc w:val="both"/>
        <w:rPr>
          <w:rtl/>
        </w:rPr>
      </w:pPr>
      <w:r>
        <w:rPr>
          <w:rFonts w:hint="cs"/>
          <w:rtl/>
        </w:rPr>
        <w:t>הנאשם ביקש את רחמי בית המשפט, לפחות בעבור בתו בת השנה וחצי.</w:t>
      </w:r>
    </w:p>
    <w:p w14:paraId="48DCC68E" w14:textId="77777777" w:rsidR="005901BD" w:rsidRPr="00E13DC2" w:rsidRDefault="005901BD" w:rsidP="005901BD">
      <w:pPr>
        <w:spacing w:after="120" w:line="360" w:lineRule="auto"/>
        <w:jc w:val="both"/>
        <w:rPr>
          <w:b/>
          <w:bCs/>
          <w:rtl/>
        </w:rPr>
      </w:pPr>
      <w:r w:rsidRPr="00E13DC2">
        <w:rPr>
          <w:rFonts w:hint="cs"/>
          <w:b/>
          <w:bCs/>
          <w:rtl/>
        </w:rPr>
        <w:t>מתחם העונש ההולם</w:t>
      </w:r>
    </w:p>
    <w:p w14:paraId="58BA145E" w14:textId="77777777" w:rsidR="005901BD" w:rsidRDefault="005901BD" w:rsidP="005901BD">
      <w:pPr>
        <w:spacing w:after="120" w:line="360" w:lineRule="auto"/>
        <w:jc w:val="both"/>
      </w:pPr>
      <w:r>
        <w:rPr>
          <w:rFonts w:hint="cs"/>
          <w:rtl/>
        </w:rPr>
        <w:t>הנאשם החזיק בביתו נשק מאולתר שהוסב לירי תחמושת חיה, וכן אביזרים נוספים וכמות קטנה של תחמושת, ובכך יצר פוטנציאל לפגיעה בערך המוגן החשוב מכל, שמירה על חיי אדם. החזקת נשק מקפלת בתוכה סיכון ממשי, כי הנשק ישמש לביצוע עבירות פליליות או מעשי טרור, ובכך יביא לקיפוח נפש. באופן עקיף עבירה זו מהווה אף קריאת תיגר על שלטון החוק, שהרי המדינה היא הריבון והיא שרשאית לקבוע מי ישא נשק ולאיזו מטרה.</w:t>
      </w:r>
    </w:p>
    <w:p w14:paraId="75AC51BB" w14:textId="77777777" w:rsidR="005901BD" w:rsidRDefault="005901BD" w:rsidP="005901BD">
      <w:pPr>
        <w:spacing w:after="120" w:line="360" w:lineRule="auto"/>
        <w:jc w:val="both"/>
      </w:pPr>
      <w:r>
        <w:rPr>
          <w:rFonts w:hint="cs"/>
          <w:rtl/>
        </w:rPr>
        <w:lastRenderedPageBreak/>
        <w:t xml:space="preserve">בית המשפט העליון עמד בשורה ארוכה של פסקי דין על חומרתן הרבה של עבירות הנשק והסכנה לשלום הציבור וביטחונו הטמונה בהן. ר' לעניין זה את </w:t>
      </w:r>
      <w:hyperlink r:id="rId10" w:history="1">
        <w:r w:rsidR="00AD0ABE" w:rsidRPr="00AD0ABE">
          <w:rPr>
            <w:color w:val="0000FF"/>
            <w:u w:val="single"/>
            <w:rtl/>
          </w:rPr>
          <w:t>ע"פ 1059/21</w:t>
        </w:r>
      </w:hyperlink>
      <w:r>
        <w:rPr>
          <w:rFonts w:hint="cs"/>
          <w:rtl/>
        </w:rPr>
        <w:t>, פלוני נ' מדינת ישראל, אשר ניתן אך לפני זמן קצר ובו נקבע:</w:t>
      </w:r>
    </w:p>
    <w:p w14:paraId="6EC86F3D" w14:textId="77777777" w:rsidR="005901BD" w:rsidRDefault="005901BD" w:rsidP="005901BD">
      <w:pPr>
        <w:spacing w:after="120" w:line="360" w:lineRule="auto"/>
        <w:ind w:left="567" w:right="567"/>
        <w:jc w:val="both"/>
        <w:rPr>
          <w:b/>
          <w:bCs/>
        </w:rPr>
      </w:pPr>
      <w:r>
        <w:rPr>
          <w:rFonts w:hint="cs"/>
          <w:b/>
          <w:bCs/>
          <w:rtl/>
        </w:rPr>
        <w:t xml:space="preserve">אין צורך להכביר במילים ביחס לחומרה היתרה הנודעת לביצוע עבירות בנשק לסוגיהן, אשר הפכו זה מכבר למכת מדינה (ראו למשל: </w:t>
      </w:r>
      <w:hyperlink r:id="rId11" w:history="1">
        <w:r w:rsidR="00AD0ABE" w:rsidRPr="00AD0ABE">
          <w:rPr>
            <w:b/>
            <w:bCs/>
            <w:color w:val="0000FF"/>
            <w:u w:val="single"/>
            <w:rtl/>
          </w:rPr>
          <w:t>ע"פ 5807/20</w:t>
        </w:r>
      </w:hyperlink>
      <w:r w:rsidR="00AD0ABE">
        <w:rPr>
          <w:rFonts w:hint="cs"/>
          <w:b/>
          <w:bCs/>
          <w:rtl/>
        </w:rPr>
        <w:t xml:space="preserve"> </w:t>
      </w:r>
      <w:r>
        <w:rPr>
          <w:rFonts w:hint="cs"/>
          <w:b/>
          <w:bCs/>
          <w:rtl/>
        </w:rPr>
        <w:t xml:space="preserve"> שיבלי נ' מדינת ישראל, [פורסם בנבו] פסקה 8 (30.12.2020) (להלן: ענין שיבלי)). בפסיקה ענפה חזר ועמד בית משפט זה על הסכנה הממשית הגלומה בעבירות אלה לשלום הציבור ולביטחונו ולסדר הציבורי. לאחרונה ממש עמדתי על כך וציינתי בין היתר כי – </w:t>
      </w:r>
    </w:p>
    <w:p w14:paraId="1A605E30" w14:textId="77777777" w:rsidR="005901BD" w:rsidRDefault="005901BD" w:rsidP="005901BD">
      <w:pPr>
        <w:spacing w:after="120" w:line="360" w:lineRule="auto"/>
        <w:ind w:left="1134" w:right="1134"/>
        <w:jc w:val="both"/>
        <w:rPr>
          <w:b/>
          <w:bCs/>
          <w:rtl/>
        </w:rPr>
      </w:pPr>
      <w:r>
        <w:rPr>
          <w:rFonts w:hint="cs"/>
          <w:b/>
          <w:bCs/>
          <w:rtl/>
        </w:rPr>
        <w:t>"בית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w:t>
      </w:r>
    </w:p>
    <w:p w14:paraId="7E0A27FB" w14:textId="77777777" w:rsidR="005901BD" w:rsidRDefault="005901BD" w:rsidP="005901BD">
      <w:pPr>
        <w:spacing w:after="120" w:line="360" w:lineRule="auto"/>
        <w:ind w:left="1134" w:right="1134"/>
        <w:jc w:val="both"/>
        <w:rPr>
          <w:b/>
          <w:bCs/>
          <w:rtl/>
        </w:rPr>
      </w:pPr>
      <w:r>
        <w:rPr>
          <w:rFonts w:hint="cs"/>
          <w:b/>
          <w:bCs/>
          <w:rtl/>
        </w:rPr>
        <w:t>כן עמדה הפסיקה על הסכנות לפרט ולחברה הכרוכות בעבירות בנשק בכלל, ובשימוש בנשק חם לפתרון סכסוכים... חומרה מיוחדת מיוחסת לאותם מקרים בהם השימוש בנשק חם נעשה בסביבת בית מגורים...</w:t>
      </w:r>
    </w:p>
    <w:p w14:paraId="66ACD280" w14:textId="77777777" w:rsidR="005901BD" w:rsidRDefault="005901BD" w:rsidP="005901BD">
      <w:pPr>
        <w:spacing w:after="120" w:line="360" w:lineRule="auto"/>
        <w:ind w:left="1134" w:right="1134"/>
        <w:jc w:val="both"/>
        <w:rPr>
          <w:b/>
          <w:bCs/>
          <w:rtl/>
        </w:rPr>
      </w:pPr>
      <w:r>
        <w:rPr>
          <w:rFonts w:hint="cs"/>
          <w:b/>
          <w:bCs/>
          <w:rtl/>
        </w:rPr>
        <w:t>וכפי שנזדמן לי להעיר לאחרונה, התופעה של החזקת נשק שלא כדין, וכל שכן השימוש בו, מהווים</w:t>
      </w:r>
      <w:r w:rsidR="00AD0ABE">
        <w:rPr>
          <w:rFonts w:hint="cs"/>
          <w:b/>
          <w:bCs/>
          <w:rtl/>
        </w:rPr>
        <w:t xml:space="preserve"> </w:t>
      </w:r>
      <w:r>
        <w:rPr>
          <w:rFonts w:hint="cs"/>
          <w:b/>
          <w:bCs/>
          <w:rtl/>
        </w:rPr>
        <w:t xml:space="preserve"> איום על שלום הציבור ותשתית למגוון רחב של עבירות, ומחייבת הירתמות גם של בתי המשפט על ידי ענישה מחמירה ומרתיעה -</w:t>
      </w:r>
    </w:p>
    <w:p w14:paraId="0F145E55" w14:textId="77777777" w:rsidR="005901BD" w:rsidRDefault="005901BD" w:rsidP="005901BD">
      <w:pPr>
        <w:spacing w:after="120" w:line="360" w:lineRule="auto"/>
        <w:ind w:left="1134" w:right="1134"/>
        <w:jc w:val="both"/>
        <w:rPr>
          <w:b/>
          <w:bCs/>
        </w:rPr>
      </w:pPr>
      <w:r>
        <w:rPr>
          <w:rFonts w:hint="cs"/>
          <w:b/>
          <w:bCs/>
          <w:rtl/>
        </w:rPr>
        <w:t>'התופעה של החזקת נשק שלא כדין על ידי אזרחים מהווה איום על שלום הציבור ועל הסדר הציבורי. היא התשתית ו'הגורם בלתו איין' (</w:t>
      </w:r>
      <w:r>
        <w:rPr>
          <w:b/>
          <w:bCs/>
        </w:rPr>
        <w:t>causa sine qua non</w:t>
      </w:r>
      <w:r>
        <w:rPr>
          <w:rFonts w:hint="cs"/>
          <w:b/>
          <w:bCs/>
          <w:rtl/>
        </w:rPr>
        <w:t xml:space="preserve">) למגוון רחב של עבירות, החל בעבירות איומים ושוד מזוין, המשך בעבירות גרימת חבלה חמורה וכלה בעבירות המתה... </w:t>
      </w:r>
    </w:p>
    <w:p w14:paraId="1B739096" w14:textId="77777777" w:rsidR="005901BD" w:rsidRDefault="005901BD" w:rsidP="005901BD">
      <w:pPr>
        <w:spacing w:after="120" w:line="360" w:lineRule="auto"/>
        <w:ind w:left="1134" w:right="1134"/>
        <w:jc w:val="both"/>
        <w:rPr>
          <w:b/>
          <w:bCs/>
          <w:rtl/>
        </w:rPr>
      </w:pPr>
      <w:r>
        <w:rPr>
          <w:rFonts w:hint="cs"/>
          <w:b/>
          <w:bCs/>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p>
    <w:p w14:paraId="3B7E9CB0" w14:textId="77777777" w:rsidR="005901BD" w:rsidRDefault="005901BD" w:rsidP="005901BD">
      <w:pPr>
        <w:spacing w:after="120" w:line="360" w:lineRule="auto"/>
        <w:ind w:left="1134" w:right="1134"/>
        <w:jc w:val="both"/>
        <w:rPr>
          <w:b/>
          <w:bCs/>
        </w:rPr>
      </w:pPr>
      <w:r>
        <w:rPr>
          <w:rFonts w:hint="cs"/>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hyperlink r:id="rId12" w:history="1">
        <w:r w:rsidR="00AD0ABE" w:rsidRPr="00AD0ABE">
          <w:rPr>
            <w:b/>
            <w:bCs/>
            <w:color w:val="0000FF"/>
            <w:u w:val="single"/>
            <w:rtl/>
          </w:rPr>
          <w:t>ע"פ 4406/19</w:t>
        </w:r>
      </w:hyperlink>
      <w:r>
        <w:rPr>
          <w:rFonts w:hint="cs"/>
          <w:b/>
          <w:bCs/>
          <w:rtl/>
        </w:rPr>
        <w:t xml:space="preserve"> מדינת ישראל נ' סובח [פורסם בנבו] (5.11.2019))." </w:t>
      </w:r>
    </w:p>
    <w:p w14:paraId="034DEFBF" w14:textId="77777777" w:rsidR="005901BD" w:rsidRDefault="005901BD" w:rsidP="005901BD">
      <w:pPr>
        <w:spacing w:after="120" w:line="360" w:lineRule="auto"/>
        <w:ind w:left="1134" w:right="1134"/>
        <w:jc w:val="both"/>
        <w:rPr>
          <w:b/>
          <w:bCs/>
        </w:rPr>
      </w:pPr>
      <w:r>
        <w:rPr>
          <w:rFonts w:hint="cs"/>
          <w:b/>
          <w:bCs/>
          <w:rtl/>
        </w:rPr>
        <w:t>(</w:t>
      </w:r>
      <w:hyperlink r:id="rId13" w:history="1">
        <w:r w:rsidR="00AD0ABE" w:rsidRPr="00AD0ABE">
          <w:rPr>
            <w:b/>
            <w:bCs/>
            <w:color w:val="0000FF"/>
            <w:u w:val="single"/>
            <w:rtl/>
          </w:rPr>
          <w:t>ע"פ 6277/20</w:t>
        </w:r>
      </w:hyperlink>
      <w:r w:rsidR="00AD0ABE">
        <w:rPr>
          <w:rFonts w:hint="cs"/>
          <w:b/>
          <w:bCs/>
          <w:rtl/>
        </w:rPr>
        <w:t xml:space="preserve"> </w:t>
      </w:r>
      <w:r>
        <w:rPr>
          <w:rFonts w:hint="cs"/>
          <w:b/>
          <w:bCs/>
          <w:rtl/>
        </w:rPr>
        <w:t xml:space="preserve"> היילי נ' מדינת ישראל, [פורסם בנבו] פסקאות 37-36, (24.3.2021), והאסמכתאות הרבות הנזכרות שם).</w:t>
      </w:r>
    </w:p>
    <w:p w14:paraId="5FF323C3" w14:textId="77777777" w:rsidR="005901BD" w:rsidRDefault="005901BD" w:rsidP="005901BD">
      <w:pPr>
        <w:spacing w:after="120" w:line="360" w:lineRule="auto"/>
        <w:ind w:left="567" w:right="567"/>
        <w:jc w:val="both"/>
        <w:rPr>
          <w:b/>
          <w:bCs/>
          <w:rtl/>
        </w:rPr>
      </w:pPr>
      <w:r>
        <w:rPr>
          <w:rFonts w:hint="cs"/>
          <w:b/>
          <w:bCs/>
          <w:rtl/>
        </w:rPr>
        <w:t xml:space="preserve">נוכח האמור, אכן ניכרת בפסיקה מגמה עקבית של החמרה בענישה כלפי מבצעי עבירות בנשק - </w:t>
      </w:r>
    </w:p>
    <w:p w14:paraId="0DAFE495" w14:textId="77777777" w:rsidR="005901BD" w:rsidRDefault="005901BD" w:rsidP="005901BD">
      <w:pPr>
        <w:spacing w:after="120" w:line="360" w:lineRule="auto"/>
        <w:ind w:left="1134" w:right="1134"/>
        <w:jc w:val="both"/>
        <w:rPr>
          <w:b/>
          <w:bCs/>
          <w:rtl/>
        </w:rPr>
      </w:pPr>
      <w:r>
        <w:rPr>
          <w:rFonts w:hint="cs"/>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2FE0F276" w14:textId="77777777" w:rsidR="005901BD" w:rsidRDefault="005901BD" w:rsidP="005901BD">
      <w:pPr>
        <w:spacing w:after="120" w:line="360" w:lineRule="auto"/>
        <w:ind w:left="1134" w:right="1134"/>
        <w:jc w:val="both"/>
        <w:rPr>
          <w:b/>
          <w:bCs/>
          <w:rtl/>
        </w:rPr>
      </w:pPr>
      <w:r>
        <w:rPr>
          <w:rFonts w:hint="cs"/>
          <w:b/>
          <w:bCs/>
          <w:rtl/>
        </w:rPr>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p>
    <w:p w14:paraId="63C25389" w14:textId="77777777" w:rsidR="005901BD" w:rsidRDefault="005901BD" w:rsidP="005901BD">
      <w:pPr>
        <w:spacing w:after="120" w:line="360" w:lineRule="auto"/>
        <w:ind w:left="1134" w:right="1134"/>
        <w:jc w:val="both"/>
        <w:rPr>
          <w:b/>
          <w:bCs/>
          <w:rtl/>
        </w:rPr>
      </w:pPr>
      <w:r>
        <w:rPr>
          <w:rFonts w:hint="cs"/>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 (השופט אלרון בענין סובח, בפסקאות 17-16).</w:t>
      </w:r>
    </w:p>
    <w:p w14:paraId="310B913A" w14:textId="77777777" w:rsidR="005901BD" w:rsidRDefault="005901BD" w:rsidP="005901BD">
      <w:pPr>
        <w:spacing w:after="120" w:line="360" w:lineRule="auto"/>
        <w:ind w:left="567" w:right="567"/>
        <w:jc w:val="both"/>
        <w:rPr>
          <w:b/>
          <w:bCs/>
          <w:rtl/>
        </w:rPr>
      </w:pPr>
      <w:r>
        <w:rPr>
          <w:rFonts w:hint="cs"/>
          <w:b/>
          <w:bCs/>
          <w:rtl/>
        </w:rPr>
        <w:t xml:space="preserve">וראו גם: </w:t>
      </w:r>
      <w:hyperlink r:id="rId14" w:history="1">
        <w:r w:rsidR="00AD0ABE" w:rsidRPr="00AD0ABE">
          <w:rPr>
            <w:b/>
            <w:bCs/>
            <w:color w:val="0000FF"/>
            <w:u w:val="single"/>
            <w:rtl/>
          </w:rPr>
          <w:t>ע"פ 5522/20</w:t>
        </w:r>
      </w:hyperlink>
      <w:r>
        <w:rPr>
          <w:rFonts w:hint="cs"/>
          <w:b/>
          <w:bCs/>
          <w:rtl/>
        </w:rPr>
        <w:t xml:space="preserve"> חלייחל נ' מדינת ישראל, [פורסם בנבו] פסקה 8 (24.2.2021); </w:t>
      </w:r>
      <w:hyperlink r:id="rId15" w:history="1">
        <w:r w:rsidR="00AD0ABE" w:rsidRPr="00AD0ABE">
          <w:rPr>
            <w:b/>
            <w:bCs/>
            <w:color w:val="0000FF"/>
            <w:u w:val="single"/>
            <w:rtl/>
          </w:rPr>
          <w:t>ע"פ 147/21</w:t>
        </w:r>
      </w:hyperlink>
      <w:r>
        <w:rPr>
          <w:rFonts w:hint="cs"/>
          <w:b/>
          <w:bCs/>
          <w:rtl/>
        </w:rPr>
        <w:t xml:space="preserve"> מדינת ישראל נ' ביטון, [פורסם בנבו] פסקאות 7, 10 (14.2.2021); ענין שיבלי, פסקה 8; </w:t>
      </w:r>
      <w:hyperlink r:id="rId16" w:history="1">
        <w:r w:rsidR="00AD0ABE" w:rsidRPr="00AD0ABE">
          <w:rPr>
            <w:b/>
            <w:bCs/>
            <w:color w:val="0000FF"/>
            <w:u w:val="single"/>
            <w:rtl/>
          </w:rPr>
          <w:t>ע"פ 1944/20</w:t>
        </w:r>
      </w:hyperlink>
      <w:r>
        <w:rPr>
          <w:rFonts w:hint="cs"/>
          <w:b/>
          <w:bCs/>
          <w:rtl/>
        </w:rPr>
        <w:t xml:space="preserve"> מדינת ישראל נ' אמארה, [פורסם בנבו] פסקה 10 (2.9.2020) (להלן: ענין אמארה). </w:t>
      </w:r>
    </w:p>
    <w:p w14:paraId="23CF2B79" w14:textId="77777777" w:rsidR="005901BD" w:rsidRDefault="005901BD" w:rsidP="005901BD">
      <w:pPr>
        <w:spacing w:after="120" w:line="360" w:lineRule="auto"/>
        <w:jc w:val="both"/>
        <w:rPr>
          <w:rtl/>
        </w:rPr>
      </w:pPr>
      <w:r>
        <w:rPr>
          <w:rFonts w:hint="cs"/>
          <w:rtl/>
        </w:rPr>
        <w:t xml:space="preserve">ור' גם </w:t>
      </w:r>
      <w:hyperlink r:id="rId17" w:history="1">
        <w:r w:rsidR="00AD0ABE" w:rsidRPr="00AD0ABE">
          <w:rPr>
            <w:color w:val="0000FF"/>
            <w:u w:val="single"/>
            <w:rtl/>
          </w:rPr>
          <w:t>ע"פ 3877/16</w:t>
        </w:r>
      </w:hyperlink>
      <w:r>
        <w:rPr>
          <w:rFonts w:hint="cs"/>
          <w:rtl/>
        </w:rPr>
        <w:t xml:space="preserve"> ג'באלי</w:t>
      </w:r>
      <w:r>
        <w:rPr>
          <w:rFonts w:hint="cs"/>
          <w:b/>
          <w:bCs/>
          <w:rtl/>
        </w:rPr>
        <w:t xml:space="preserve"> נ' מדינת ישראל </w:t>
      </w:r>
      <w:r>
        <w:rPr>
          <w:rFonts w:hint="cs"/>
          <w:rtl/>
        </w:rPr>
        <w:t>(פסקה 6 לפסק דינו של כב' הש' חיות, כתוארה אז):</w:t>
      </w:r>
    </w:p>
    <w:p w14:paraId="5DC38CC8" w14:textId="77777777" w:rsidR="005901BD" w:rsidRDefault="005901BD" w:rsidP="005901BD">
      <w:pPr>
        <w:spacing w:after="120" w:line="360" w:lineRule="auto"/>
        <w:ind w:left="567" w:right="567"/>
        <w:jc w:val="both"/>
        <w:rPr>
          <w:rtl/>
        </w:rPr>
      </w:pPr>
      <w:r>
        <w:rPr>
          <w:rFonts w:hint="cs"/>
          <w:b/>
          <w:bCs/>
          <w:rtl/>
        </w:rPr>
        <w:t xml:space="preserve">"בית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עוד נפסק כי חומרתן של העבירות בנשק אינה מסתכמת רק בנזק שאירע בפועל, כי אם </w:t>
      </w:r>
      <w:r>
        <w:rPr>
          <w:rFonts w:hint="cs"/>
          <w:rtl/>
        </w:rPr>
        <w:t>בפוטנציאל הנזק הנובע מאותן עבירות".</w:t>
      </w:r>
    </w:p>
    <w:p w14:paraId="31FCCDF7" w14:textId="77777777" w:rsidR="005901BD" w:rsidRDefault="005901BD" w:rsidP="005901BD">
      <w:pPr>
        <w:spacing w:after="120" w:line="360" w:lineRule="auto"/>
        <w:jc w:val="both"/>
        <w:rPr>
          <w:rtl/>
        </w:rPr>
      </w:pPr>
      <w:r>
        <w:rPr>
          <w:rFonts w:hint="cs"/>
          <w:rtl/>
        </w:rPr>
        <w:t xml:space="preserve">אשר למדיניות הענישה הנוהגת, אפנה למספר פסקי דין שעניינם החזקת תתי מקלע מאולתרים: </w:t>
      </w:r>
      <w:hyperlink r:id="rId18" w:history="1">
        <w:r w:rsidR="00AD0ABE" w:rsidRPr="00AD0ABE">
          <w:rPr>
            <w:color w:val="0000FF"/>
            <w:u w:val="single"/>
            <w:rtl/>
          </w:rPr>
          <w:t>ת"פ 18254-03-16</w:t>
        </w:r>
      </w:hyperlink>
      <w:r>
        <w:rPr>
          <w:rFonts w:hint="cs"/>
          <w:rtl/>
        </w:rPr>
        <w:t xml:space="preserve">, מנסור (כב' השופט ע. קובו מיום 28.09.2021), שם נקבע מתחם עונש הולם שבין 13 חודשי מאסר ועד ל-36 חודשים, </w:t>
      </w:r>
      <w:hyperlink r:id="rId19" w:history="1">
        <w:r w:rsidR="00AD0ABE" w:rsidRPr="00AD0ABE">
          <w:rPr>
            <w:color w:val="0000FF"/>
            <w:u w:val="single"/>
            <w:rtl/>
          </w:rPr>
          <w:t>ת"פ 52225-03-18</w:t>
        </w:r>
      </w:hyperlink>
      <w:r>
        <w:rPr>
          <w:rFonts w:hint="cs"/>
          <w:rtl/>
        </w:rPr>
        <w:t xml:space="preserve"> יחזקאל (כב' השופט בן טולילה מיום 24.02.2019) שם נקבע מתחם עונש הולם שבין 19 חודשים ועד ל-36 חודשים. </w:t>
      </w:r>
      <w:hyperlink r:id="rId20" w:history="1">
        <w:r w:rsidR="00AD0ABE" w:rsidRPr="00AD0ABE">
          <w:rPr>
            <w:color w:val="0000FF"/>
            <w:u w:val="single"/>
            <w:rtl/>
          </w:rPr>
          <w:t>ת"פ 44380-08-16</w:t>
        </w:r>
      </w:hyperlink>
      <w:r>
        <w:rPr>
          <w:rFonts w:hint="cs"/>
          <w:rtl/>
        </w:rPr>
        <w:t xml:space="preserve">, האדי שם נקבע מתחם עונש הולם שבין 14 ל-36 חודשים (כב' השופט קובו מיום 21.10.2018), </w:t>
      </w:r>
      <w:hyperlink r:id="rId21" w:history="1">
        <w:r w:rsidR="00AD0ABE" w:rsidRPr="00AD0ABE">
          <w:rPr>
            <w:color w:val="0000FF"/>
            <w:u w:val="single"/>
            <w:rtl/>
          </w:rPr>
          <w:t>ת"פ 27050-03-20</w:t>
        </w:r>
      </w:hyperlink>
      <w:r>
        <w:rPr>
          <w:rFonts w:hint="cs"/>
          <w:rtl/>
        </w:rPr>
        <w:t xml:space="preserve"> שם נקבע מתחם עונש שבין 15 חודשים ועד 40 חודשים (כב' השופט קובו מיום 09.02.2021).</w:t>
      </w:r>
    </w:p>
    <w:p w14:paraId="4A76597E" w14:textId="77777777" w:rsidR="005901BD" w:rsidRDefault="005901BD" w:rsidP="005901BD">
      <w:pPr>
        <w:spacing w:after="120" w:line="360" w:lineRule="auto"/>
        <w:jc w:val="both"/>
        <w:rPr>
          <w:rtl/>
        </w:rPr>
      </w:pPr>
      <w:r>
        <w:rPr>
          <w:rFonts w:hint="cs"/>
          <w:rtl/>
        </w:rPr>
        <w:t>אכן, ניתן למצוא גם פסיקה מחמירה או מקלה יותר, כפי שהציגו באי כח שני הצדדים, אך המקרים אותם סקרתי משקפים את הקו המרכזי הנוהג בפסיקה.</w:t>
      </w:r>
    </w:p>
    <w:p w14:paraId="39540BAB" w14:textId="77777777" w:rsidR="005901BD" w:rsidRDefault="005901BD" w:rsidP="005901BD">
      <w:pPr>
        <w:spacing w:after="120" w:line="360" w:lineRule="auto"/>
        <w:jc w:val="both"/>
        <w:rPr>
          <w:rtl/>
        </w:rPr>
      </w:pPr>
      <w:r>
        <w:rPr>
          <w:rFonts w:hint="cs"/>
          <w:rtl/>
        </w:rPr>
        <w:t xml:space="preserve">אני ער לכך שבנשק לא היתה ידית דריכה, ועל כן לא ניתן היה לעשות בו שימוש </w:t>
      </w:r>
      <w:r w:rsidRPr="00354FCA">
        <w:rPr>
          <w:rFonts w:hint="cs"/>
          <w:u w:val="single"/>
          <w:rtl/>
        </w:rPr>
        <w:t>מיידי</w:t>
      </w:r>
      <w:r>
        <w:rPr>
          <w:rFonts w:hint="cs"/>
          <w:rtl/>
        </w:rPr>
        <w:t>, אך בחיפוש נתפסו שתי ידיות דריכה, ועל כן משקלו של נתון זה אינו רב.</w:t>
      </w:r>
    </w:p>
    <w:p w14:paraId="6850713E" w14:textId="77777777" w:rsidR="005901BD" w:rsidRDefault="005901BD" w:rsidP="005901BD">
      <w:pPr>
        <w:spacing w:after="120" w:line="360" w:lineRule="auto"/>
        <w:jc w:val="both"/>
        <w:rPr>
          <w:rtl/>
        </w:rPr>
      </w:pPr>
      <w:r>
        <w:rPr>
          <w:rFonts w:hint="cs"/>
          <w:rtl/>
        </w:rPr>
        <w:t>על כך יש להוסיף כי הנאשם השליך את הנשק מביתו כאשר הגיעו אנשי כוחות הביטחון לבצע חיפוש, על מנת שהנשק לא יימצא ובכך שיבש הליכי חקירה. עם זאת, אין להפריז במשקלו של עניין זה, שכן מבלי להקל בו ראש, מדובר במעשה שלא קדם לו תכנון ובפועל לא פגע בחקירה.</w:t>
      </w:r>
    </w:p>
    <w:p w14:paraId="7115345B" w14:textId="77777777" w:rsidR="005901BD" w:rsidRDefault="005901BD" w:rsidP="005901BD">
      <w:pPr>
        <w:spacing w:after="120" w:line="360" w:lineRule="auto"/>
        <w:jc w:val="both"/>
        <w:rPr>
          <w:rtl/>
        </w:rPr>
      </w:pPr>
      <w:r>
        <w:rPr>
          <w:rFonts w:hint="cs"/>
          <w:rtl/>
        </w:rPr>
        <w:t>לאור אלה, מתחם העונש ההולם את המעשים בהם הורשע הנאשם הוא מאסר, לתקופה שבין חמישה עשר חודשים ועד שלוש שנים ועונשים נלווים.</w:t>
      </w:r>
    </w:p>
    <w:p w14:paraId="55868948" w14:textId="77777777" w:rsidR="005901BD" w:rsidRDefault="005901BD" w:rsidP="005901BD">
      <w:pPr>
        <w:spacing w:after="120" w:line="360" w:lineRule="auto"/>
        <w:jc w:val="both"/>
        <w:rPr>
          <w:b/>
          <w:bCs/>
          <w:rtl/>
        </w:rPr>
      </w:pPr>
      <w:r>
        <w:rPr>
          <w:rFonts w:hint="cs"/>
          <w:b/>
          <w:bCs/>
          <w:rtl/>
        </w:rPr>
        <w:t>נתונים אשר אינם קשורים לעבירה</w:t>
      </w:r>
    </w:p>
    <w:p w14:paraId="254D83AC" w14:textId="77777777" w:rsidR="005901BD" w:rsidRDefault="005901BD" w:rsidP="005901BD">
      <w:pPr>
        <w:spacing w:after="120" w:line="360" w:lineRule="auto"/>
        <w:jc w:val="both"/>
        <w:rPr>
          <w:rtl/>
        </w:rPr>
      </w:pPr>
      <w:r>
        <w:rPr>
          <w:rFonts w:hint="cs"/>
          <w:rtl/>
        </w:rPr>
        <w:t>הנאשם יליד 1996. נשוי ואב לילדה בת שנה וחצי. קודם למעצרו בתיק זה עבד בעבודות מזדמנות. לחובתו הרשעה קודמת בעבירה של עסקה בנשק משנת 2014, עת היה קטין, בגינה נדון לששה חודשי מאסר עבודות שירות (אשר בסופו של דבר נשא בחלק ממנו במאסר ממש).</w:t>
      </w:r>
    </w:p>
    <w:p w14:paraId="29C12245" w14:textId="77777777" w:rsidR="005901BD" w:rsidRPr="00932139" w:rsidRDefault="005901BD" w:rsidP="005901BD">
      <w:pPr>
        <w:spacing w:after="120" w:line="360" w:lineRule="auto"/>
        <w:jc w:val="both"/>
        <w:rPr>
          <w:rtl/>
        </w:rPr>
      </w:pPr>
      <w:r w:rsidRPr="00932139">
        <w:rPr>
          <w:rFonts w:hint="cs"/>
          <w:rtl/>
        </w:rPr>
        <w:t>מתסקיר שירות המבחן עולה, כי הנאשם גדל במשפחה נורמטיבית, אך זכה ליחס נוקשה מאביו ובסמוך לבגרותו עזב את בית הוריו ועבר להתגורר עם קרובי משפחתו.</w:t>
      </w:r>
      <w:r>
        <w:rPr>
          <w:rFonts w:hint="cs"/>
          <w:rtl/>
        </w:rPr>
        <w:t xml:space="preserve"> הנאשם סיים 12 שנות לימוד וקיבל תעודת בגרות, אך לצד זאת נקלע לחברה שולית בצעירותו, ועל רקע זה היתה מעורבותו הקודמת בפלילים.</w:t>
      </w:r>
    </w:p>
    <w:p w14:paraId="714C8129" w14:textId="77777777" w:rsidR="005901BD" w:rsidRDefault="005901BD" w:rsidP="005901BD">
      <w:pPr>
        <w:spacing w:after="120" w:line="360" w:lineRule="auto"/>
        <w:jc w:val="both"/>
        <w:rPr>
          <w:rtl/>
        </w:rPr>
      </w:pPr>
      <w:r>
        <w:rPr>
          <w:rFonts w:hint="cs"/>
          <w:rtl/>
        </w:rPr>
        <w:t>להערכת שירות המבחן, למרות מעורבותו הקודמת של הנאשם בפלילים, הוא בעל כוחות לתפקוד נורמטיבי ואין לו דפוסי חשיבה עבריניים, אך הוא אינו מודע לסיכון הכרוך במעשיו. הנאשם קיבל אחריות למעשיו לפני שירות המבחן והסביר אותם במצוקה כלכלית בה היה שרוי בשל משבר הקורונה, וחוסר עזרה כספית ממשפחתו.</w:t>
      </w:r>
    </w:p>
    <w:p w14:paraId="1F0408C5" w14:textId="77777777" w:rsidR="005901BD" w:rsidRDefault="005901BD" w:rsidP="005901BD">
      <w:pPr>
        <w:spacing w:after="120" w:line="360" w:lineRule="auto"/>
        <w:jc w:val="both"/>
        <w:rPr>
          <w:rtl/>
        </w:rPr>
      </w:pPr>
      <w:r>
        <w:rPr>
          <w:rFonts w:hint="cs"/>
          <w:rtl/>
        </w:rPr>
        <w:t xml:space="preserve"> ביחס להערכת הסיכון עולה מהתסקיר, כי להערכת שירות המבחן ברקע המעשים דפוס התנהגות אימפולסיבי של הנאשם, קושי בקבלת גבולות והתנהגות "הישרדותית" אותה סיגל כדפוס התמודדות. מנגד, הנאשם תפקד באופן נורמטיבי מספר שנים והוא מגלה שאיפות לנהל אורח חיים תקין גם בעתיד. לאור אלה, העריך שירות המבחן כי קיים סיכון לביצוע עבירות נשק, אך הסיכון לפגיעה באחרים נראה נמוך, ומנגד קיימים גם גורמי סיכוי לעתיד.</w:t>
      </w:r>
    </w:p>
    <w:p w14:paraId="78D11F3E" w14:textId="77777777" w:rsidR="005901BD" w:rsidRDefault="005901BD" w:rsidP="005901BD">
      <w:pPr>
        <w:spacing w:after="120" w:line="360" w:lineRule="auto"/>
        <w:jc w:val="both"/>
        <w:rPr>
          <w:rtl/>
        </w:rPr>
      </w:pPr>
      <w:r>
        <w:rPr>
          <w:rFonts w:hint="cs"/>
          <w:rtl/>
        </w:rPr>
        <w:t>לסיכום התסקיר, שירות המבחן נמנע מהמלצה טיפולית והמליץ להטיל מאסר ממש, כענישה מוחשית ומציבת גבולות.</w:t>
      </w:r>
    </w:p>
    <w:p w14:paraId="09A877C7" w14:textId="77777777" w:rsidR="005901BD" w:rsidRDefault="005901BD" w:rsidP="005901BD">
      <w:pPr>
        <w:spacing w:after="120" w:line="360" w:lineRule="auto"/>
        <w:jc w:val="both"/>
        <w:rPr>
          <w:b/>
          <w:bCs/>
          <w:rtl/>
        </w:rPr>
      </w:pPr>
      <w:r>
        <w:rPr>
          <w:rFonts w:hint="cs"/>
          <w:b/>
          <w:bCs/>
          <w:rtl/>
        </w:rPr>
        <w:t>דיון והכרעה</w:t>
      </w:r>
    </w:p>
    <w:p w14:paraId="1F07B049" w14:textId="77777777" w:rsidR="005901BD" w:rsidRDefault="005901BD" w:rsidP="005901BD">
      <w:pPr>
        <w:spacing w:after="120" w:line="360" w:lineRule="auto"/>
        <w:jc w:val="both"/>
        <w:rPr>
          <w:rtl/>
        </w:rPr>
      </w:pPr>
      <w:r>
        <w:rPr>
          <w:rFonts w:hint="cs"/>
          <w:rtl/>
        </w:rPr>
        <w:t>לזכות הנאשם זקפתי את הודאתו במיוחס לו, אשר מלמדת על הפנמת הפסול שבמעשה. עוד אביא בחשבון לזכותו, את קשייו האוביקטיביים, כפי שעלו מתסקיר שירות המבחן.</w:t>
      </w:r>
    </w:p>
    <w:p w14:paraId="0502B3B2" w14:textId="77777777" w:rsidR="005901BD" w:rsidRDefault="005901BD" w:rsidP="005901BD">
      <w:pPr>
        <w:spacing w:after="120" w:line="360" w:lineRule="auto"/>
        <w:jc w:val="both"/>
        <w:rPr>
          <w:rtl/>
        </w:rPr>
      </w:pPr>
      <w:r>
        <w:rPr>
          <w:rFonts w:hint="cs"/>
          <w:rtl/>
        </w:rPr>
        <w:t>לחובת הנאשם זקפתי את העובדה שלחובתו הרשעה קודמת בעבירה דומה, אשר אמנם נעברה בעת היותו קטין, אך ניתן היה לקוות שהעונש שהוטל עליו בהליך הקודם יביא להרתעתו.</w:t>
      </w:r>
    </w:p>
    <w:p w14:paraId="53B4589A" w14:textId="77777777" w:rsidR="005901BD" w:rsidRDefault="005901BD" w:rsidP="005901BD">
      <w:pPr>
        <w:spacing w:after="120" w:line="360" w:lineRule="auto"/>
        <w:jc w:val="both"/>
        <w:rPr>
          <w:rtl/>
        </w:rPr>
      </w:pPr>
      <w:r>
        <w:rPr>
          <w:rFonts w:hint="cs"/>
          <w:rtl/>
        </w:rPr>
        <w:t>נתון נוסף אותו אביא בחשבון הוא הערכת שירות המבחן בדבר רמת הסיכון כי הנאשם ישוב ויבצע עבירות דומות והצורך בהרתעתו, ומנגד את ההערכה שיוכל לנהל חיים נורמטיביים.</w:t>
      </w:r>
    </w:p>
    <w:p w14:paraId="48B7FAD7" w14:textId="77777777" w:rsidR="005901BD" w:rsidRDefault="005901BD" w:rsidP="005901BD">
      <w:pPr>
        <w:spacing w:after="120" w:line="360" w:lineRule="auto"/>
        <w:jc w:val="both"/>
      </w:pPr>
      <w:r>
        <w:rPr>
          <w:rFonts w:hint="cs"/>
          <w:rtl/>
        </w:rPr>
        <w:t>לאור אלה, אשית על הנאשם עונש בצידו הנמוך של המתחם, אך לא בתחתיתו.</w:t>
      </w:r>
    </w:p>
    <w:p w14:paraId="551EDD5A" w14:textId="77777777" w:rsidR="005901BD" w:rsidRDefault="005901BD" w:rsidP="005901BD">
      <w:pPr>
        <w:spacing w:after="120" w:line="360" w:lineRule="auto"/>
        <w:jc w:val="both"/>
        <w:rPr>
          <w:b/>
          <w:bCs/>
          <w:rtl/>
        </w:rPr>
      </w:pPr>
      <w:r>
        <w:rPr>
          <w:rFonts w:hint="cs"/>
          <w:b/>
          <w:bCs/>
          <w:rtl/>
        </w:rPr>
        <w:t>לפיכך גוזר על הנאשם את העונשים הבאים:</w:t>
      </w:r>
    </w:p>
    <w:p w14:paraId="1C1E97F8" w14:textId="77777777" w:rsidR="005901BD" w:rsidRDefault="005901BD" w:rsidP="005901BD">
      <w:pPr>
        <w:pStyle w:val="David"/>
        <w:numPr>
          <w:ilvl w:val="0"/>
          <w:numId w:val="1"/>
        </w:numPr>
        <w:spacing w:after="120"/>
        <w:ind w:left="357" w:hanging="357"/>
        <w:rPr>
          <w:rFonts w:ascii="David" w:hAnsi="David"/>
          <w:rtl/>
        </w:rPr>
      </w:pPr>
      <w:r>
        <w:rPr>
          <w:rFonts w:ascii="David" w:hAnsi="David" w:hint="cs"/>
          <w:rtl/>
        </w:rPr>
        <w:t>תשעה עשר</w:t>
      </w:r>
      <w:r>
        <w:rPr>
          <w:rFonts w:ascii="David" w:hAnsi="David"/>
          <w:rtl/>
        </w:rPr>
        <w:t xml:space="preserve"> חודשי מאסר בפועל </w:t>
      </w:r>
      <w:r>
        <w:rPr>
          <w:rFonts w:ascii="David" w:hAnsi="David" w:hint="cs"/>
          <w:rtl/>
        </w:rPr>
        <w:t>בניכוי ימי מעצרו, מיום 16.11.21 עד יום 5.1.21,</w:t>
      </w:r>
      <w:r>
        <w:rPr>
          <w:rFonts w:ascii="David" w:hAnsi="David"/>
          <w:rtl/>
        </w:rPr>
        <w:t xml:space="preserve"> גם אם נתוני שב"ס יראו אחרת.</w:t>
      </w:r>
    </w:p>
    <w:p w14:paraId="5CB8C980" w14:textId="77777777" w:rsidR="005901BD" w:rsidRDefault="005901BD" w:rsidP="005901BD">
      <w:pPr>
        <w:numPr>
          <w:ilvl w:val="0"/>
          <w:numId w:val="1"/>
        </w:numPr>
        <w:spacing w:after="120" w:line="360" w:lineRule="auto"/>
        <w:ind w:left="357" w:hanging="357"/>
        <w:jc w:val="both"/>
        <w:rPr>
          <w:rFonts w:ascii="David" w:hAnsi="David"/>
          <w:rtl/>
        </w:rPr>
      </w:pPr>
      <w:r>
        <w:rPr>
          <w:rFonts w:hint="cs"/>
          <w:rtl/>
        </w:rPr>
        <w:t xml:space="preserve">ששה חודשי מאסר, בו לא יישא אלא אם יעבור תוך שלוש שנים מיום שחרורו מהמאסר עבירה על </w:t>
      </w:r>
      <w:hyperlink r:id="rId22" w:history="1">
        <w:r w:rsidR="00906A11" w:rsidRPr="00906A11">
          <w:rPr>
            <w:rStyle w:val="Hyperlink"/>
            <w:rFonts w:hint="eastAsia"/>
            <w:rtl/>
          </w:rPr>
          <w:t>סעיף</w:t>
        </w:r>
        <w:r w:rsidR="00906A11" w:rsidRPr="00906A11">
          <w:rPr>
            <w:rStyle w:val="Hyperlink"/>
            <w:rtl/>
          </w:rPr>
          <w:t xml:space="preserve"> 144</w:t>
        </w:r>
      </w:hyperlink>
      <w:r>
        <w:rPr>
          <w:rFonts w:hint="cs"/>
          <w:rtl/>
        </w:rPr>
        <w:t xml:space="preserve"> ל</w:t>
      </w:r>
      <w:hyperlink r:id="rId23" w:history="1">
        <w:r w:rsidR="00AD0ABE" w:rsidRPr="00AD0ABE">
          <w:rPr>
            <w:color w:val="0000FF"/>
            <w:u w:val="single"/>
            <w:rtl/>
          </w:rPr>
          <w:t>חוק העונשין</w:t>
        </w:r>
      </w:hyperlink>
      <w:r>
        <w:rPr>
          <w:rFonts w:hint="cs"/>
          <w:rtl/>
        </w:rPr>
        <w:t xml:space="preserve"> שהיא פשע, או כל עבירה אחרת הכרוכה בשימוש בנשק.</w:t>
      </w:r>
    </w:p>
    <w:p w14:paraId="38172D7C" w14:textId="77777777" w:rsidR="005901BD" w:rsidRDefault="005901BD" w:rsidP="005901BD">
      <w:pPr>
        <w:numPr>
          <w:ilvl w:val="0"/>
          <w:numId w:val="1"/>
        </w:numPr>
        <w:spacing w:after="120" w:line="360" w:lineRule="auto"/>
        <w:ind w:left="357" w:hanging="357"/>
        <w:jc w:val="both"/>
      </w:pPr>
      <w:r>
        <w:rPr>
          <w:rFonts w:hint="cs"/>
          <w:rtl/>
        </w:rPr>
        <w:t xml:space="preserve">ארבעה חודשי מאסר, בו לא יישא אלא אם יעבור תוך שלוש שנים מיום שחרורו מהמאסר עבירה על סעיף </w:t>
      </w:r>
      <w:hyperlink r:id="rId24" w:history="1">
        <w:r w:rsidR="00906A11" w:rsidRPr="00906A11">
          <w:rPr>
            <w:rStyle w:val="Hyperlink"/>
            <w:rtl/>
          </w:rPr>
          <w:t>144</w:t>
        </w:r>
      </w:hyperlink>
      <w:r>
        <w:rPr>
          <w:rFonts w:hint="cs"/>
          <w:rtl/>
        </w:rPr>
        <w:t xml:space="preserve"> ל</w:t>
      </w:r>
      <w:hyperlink r:id="rId25" w:history="1">
        <w:r w:rsidR="00AD0ABE" w:rsidRPr="00AD0ABE">
          <w:rPr>
            <w:color w:val="0000FF"/>
            <w:u w:val="single"/>
            <w:rtl/>
          </w:rPr>
          <w:t>חוק העונשין</w:t>
        </w:r>
      </w:hyperlink>
      <w:r>
        <w:rPr>
          <w:rFonts w:hint="cs"/>
          <w:rtl/>
        </w:rPr>
        <w:t xml:space="preserve"> שהיא עוון או עבירה של שיבוש מהלכי משפט.</w:t>
      </w:r>
    </w:p>
    <w:p w14:paraId="6C38BCCB" w14:textId="77777777" w:rsidR="005901BD" w:rsidRDefault="005901BD" w:rsidP="005901BD">
      <w:pPr>
        <w:spacing w:after="120" w:line="360" w:lineRule="auto"/>
        <w:jc w:val="both"/>
        <w:rPr>
          <w:rtl/>
        </w:rPr>
      </w:pPr>
      <w:r>
        <w:rPr>
          <w:rFonts w:hint="cs"/>
          <w:rtl/>
        </w:rPr>
        <w:t>המוצג יחולט והמאשימה רשאית להשמידו לכשפסק הדין יעשה חלוט.</w:t>
      </w:r>
    </w:p>
    <w:p w14:paraId="57AFB447" w14:textId="77777777" w:rsidR="005901BD" w:rsidRDefault="005901BD" w:rsidP="005901BD">
      <w:pPr>
        <w:spacing w:after="120" w:line="360" w:lineRule="auto"/>
        <w:jc w:val="both"/>
        <w:rPr>
          <w:rFonts w:ascii="David" w:hAnsi="David"/>
          <w:b/>
          <w:bCs/>
        </w:rPr>
      </w:pPr>
      <w:r>
        <w:rPr>
          <w:rFonts w:ascii="David" w:hAnsi="David"/>
          <w:b/>
          <w:bCs/>
          <w:rtl/>
        </w:rPr>
        <w:t>הנאשם</w:t>
      </w:r>
      <w:r>
        <w:rPr>
          <w:rFonts w:hint="cs"/>
          <w:b/>
          <w:bCs/>
        </w:rPr>
        <w:t xml:space="preserve"> </w:t>
      </w:r>
      <w:r>
        <w:rPr>
          <w:rFonts w:ascii="David" w:hAnsi="David"/>
          <w:b/>
          <w:bCs/>
          <w:rtl/>
        </w:rPr>
        <w:t>יתאם כניסתו</w:t>
      </w:r>
      <w:r>
        <w:rPr>
          <w:rFonts w:hint="cs"/>
          <w:b/>
          <w:bCs/>
        </w:rPr>
        <w:t xml:space="preserve"> </w:t>
      </w:r>
      <w:r>
        <w:rPr>
          <w:rFonts w:ascii="David" w:hAnsi="David"/>
          <w:b/>
          <w:bCs/>
          <w:rtl/>
        </w:rPr>
        <w:t>למאסר עם</w:t>
      </w:r>
      <w:r>
        <w:rPr>
          <w:rFonts w:hint="cs"/>
          <w:b/>
          <w:bCs/>
        </w:rPr>
        <w:t xml:space="preserve"> </w:t>
      </w:r>
      <w:r>
        <w:rPr>
          <w:rFonts w:ascii="David" w:hAnsi="David"/>
          <w:b/>
          <w:bCs/>
          <w:rtl/>
        </w:rPr>
        <w:t>ענף</w:t>
      </w:r>
      <w:r>
        <w:rPr>
          <w:rFonts w:hint="cs"/>
          <w:b/>
          <w:bCs/>
        </w:rPr>
        <w:t xml:space="preserve"> </w:t>
      </w:r>
      <w:r>
        <w:rPr>
          <w:rFonts w:ascii="David" w:hAnsi="David"/>
          <w:b/>
          <w:bCs/>
          <w:rtl/>
        </w:rPr>
        <w:t>אבחון</w:t>
      </w:r>
      <w:r>
        <w:rPr>
          <w:rFonts w:hint="cs"/>
          <w:b/>
          <w:bCs/>
        </w:rPr>
        <w:t xml:space="preserve"> </w:t>
      </w:r>
      <w:r>
        <w:rPr>
          <w:rFonts w:ascii="David" w:hAnsi="David"/>
          <w:b/>
          <w:bCs/>
          <w:rtl/>
        </w:rPr>
        <w:t>ומיון</w:t>
      </w:r>
      <w:r>
        <w:rPr>
          <w:rFonts w:hint="cs"/>
          <w:b/>
          <w:bCs/>
        </w:rPr>
        <w:t xml:space="preserve"> </w:t>
      </w:r>
      <w:r>
        <w:rPr>
          <w:rFonts w:ascii="David" w:hAnsi="David"/>
          <w:b/>
          <w:bCs/>
          <w:rtl/>
        </w:rPr>
        <w:t>של</w:t>
      </w:r>
      <w:r>
        <w:rPr>
          <w:rFonts w:hint="cs"/>
          <w:b/>
          <w:bCs/>
        </w:rPr>
        <w:t xml:space="preserve"> </w:t>
      </w:r>
      <w:r>
        <w:rPr>
          <w:rFonts w:ascii="David" w:hAnsi="David"/>
          <w:b/>
          <w:bCs/>
          <w:rtl/>
        </w:rPr>
        <w:t>שירות</w:t>
      </w:r>
      <w:r>
        <w:rPr>
          <w:rFonts w:hint="cs"/>
          <w:b/>
          <w:bCs/>
        </w:rPr>
        <w:t xml:space="preserve"> </w:t>
      </w:r>
      <w:r>
        <w:rPr>
          <w:rFonts w:ascii="David" w:hAnsi="David"/>
          <w:b/>
          <w:bCs/>
          <w:rtl/>
        </w:rPr>
        <w:t xml:space="preserve">בתי הסוהר: פקס 08-9193314, דואר אלקטרוני </w:t>
      </w:r>
      <w:hyperlink r:id="rId26" w:history="1">
        <w:r>
          <w:rPr>
            <w:rStyle w:val="Hyperlink"/>
            <w:rFonts w:hint="cs"/>
            <w:b/>
            <w:bCs/>
          </w:rPr>
          <w:t>MaasarN@ips.gov.il</w:t>
        </w:r>
      </w:hyperlink>
      <w:r>
        <w:rPr>
          <w:rFonts w:ascii="David" w:hAnsi="David"/>
          <w:b/>
          <w:bCs/>
          <w:rtl/>
        </w:rPr>
        <w:t>, טלפון : 08-9787377 או 08-9787336.</w:t>
      </w:r>
    </w:p>
    <w:p w14:paraId="0AA3DD71" w14:textId="77777777" w:rsidR="005901BD" w:rsidRDefault="005901BD" w:rsidP="005901BD">
      <w:pPr>
        <w:spacing w:after="120" w:line="360" w:lineRule="auto"/>
        <w:jc w:val="both"/>
        <w:rPr>
          <w:rFonts w:ascii="David" w:hAnsi="David"/>
          <w:b/>
          <w:bCs/>
        </w:rPr>
      </w:pPr>
      <w:r>
        <w:rPr>
          <w:rFonts w:ascii="David" w:hAnsi="David"/>
          <w:b/>
          <w:bCs/>
          <w:rtl/>
        </w:rPr>
        <w:t xml:space="preserve">ככל שלא יקבל הנאשם הנחיה אחרת, עליו להתייצב </w:t>
      </w:r>
      <w:r>
        <w:rPr>
          <w:rFonts w:ascii="David" w:hAnsi="David" w:hint="cs"/>
          <w:b/>
          <w:bCs/>
          <w:rtl/>
        </w:rPr>
        <w:t xml:space="preserve">ביום 5.9.21 </w:t>
      </w:r>
      <w:r>
        <w:rPr>
          <w:rFonts w:ascii="David" w:hAnsi="David"/>
          <w:b/>
          <w:bCs/>
          <w:rtl/>
        </w:rPr>
        <w:t>עד השעה 9:00 במתקן המעצר בכלא ניצן ברמלה עם תעודה מזהה והעתק גזר הדין.</w:t>
      </w:r>
    </w:p>
    <w:p w14:paraId="4B72DCC4" w14:textId="77777777" w:rsidR="005901BD" w:rsidRDefault="005901BD" w:rsidP="005901BD">
      <w:pPr>
        <w:spacing w:after="120" w:line="360" w:lineRule="auto"/>
        <w:jc w:val="both"/>
        <w:rPr>
          <w:rtl/>
        </w:rPr>
      </w:pPr>
    </w:p>
    <w:p w14:paraId="108C2532" w14:textId="77777777" w:rsidR="005901BD" w:rsidRDefault="005901BD" w:rsidP="005901BD">
      <w:pPr>
        <w:spacing w:after="120" w:line="360" w:lineRule="auto"/>
        <w:ind w:left="720" w:hanging="720"/>
        <w:jc w:val="both"/>
        <w:rPr>
          <w:b/>
          <w:bCs/>
          <w:rtl/>
        </w:rPr>
      </w:pPr>
      <w:r>
        <w:rPr>
          <w:rFonts w:hint="cs"/>
          <w:b/>
          <w:bCs/>
          <w:rtl/>
        </w:rPr>
        <w:t>זכות ערעור לבית המשפט המחוזי בירושלים תוך 45 יום.</w:t>
      </w:r>
    </w:p>
    <w:p w14:paraId="6B7BA868" w14:textId="77777777" w:rsidR="005901BD" w:rsidRPr="00B05847" w:rsidRDefault="005901BD" w:rsidP="005901BD">
      <w:pPr>
        <w:spacing w:after="120" w:line="360" w:lineRule="auto"/>
        <w:jc w:val="both"/>
        <w:rPr>
          <w:rtl/>
        </w:rPr>
      </w:pPr>
    </w:p>
    <w:p w14:paraId="01F8954C" w14:textId="77777777" w:rsidR="005901BD" w:rsidRPr="00AD0ABE" w:rsidRDefault="00AD0ABE" w:rsidP="005901BD">
      <w:pPr>
        <w:spacing w:after="120" w:line="360" w:lineRule="auto"/>
        <w:jc w:val="both"/>
        <w:rPr>
          <w:color w:val="FFFFFF"/>
          <w:sz w:val="2"/>
          <w:szCs w:val="2"/>
          <w:rtl/>
        </w:rPr>
      </w:pPr>
      <w:r w:rsidRPr="00AD0ABE">
        <w:rPr>
          <w:color w:val="FFFFFF"/>
          <w:sz w:val="2"/>
          <w:szCs w:val="2"/>
          <w:rtl/>
        </w:rPr>
        <w:t>5129371</w:t>
      </w:r>
    </w:p>
    <w:p w14:paraId="38842D4C" w14:textId="77777777" w:rsidR="005901BD" w:rsidRDefault="00AD0ABE" w:rsidP="005901BD">
      <w:pPr>
        <w:rPr>
          <w:rFonts w:cs="FrankRuehl"/>
          <w:sz w:val="28"/>
          <w:szCs w:val="28"/>
          <w:rtl/>
        </w:rPr>
      </w:pPr>
      <w:bookmarkStart w:id="8" w:name="Nitan"/>
      <w:r w:rsidRPr="00AD0ABE">
        <w:rPr>
          <w:rFonts w:ascii="Arial" w:hAnsi="Arial"/>
          <w:color w:val="FFFFFF"/>
          <w:sz w:val="2"/>
          <w:szCs w:val="2"/>
          <w:rtl/>
        </w:rPr>
        <w:t>54678313</w:t>
      </w:r>
      <w:r>
        <w:rPr>
          <w:rFonts w:ascii="Arial" w:hAnsi="Arial"/>
          <w:rtl/>
        </w:rPr>
        <w:t xml:space="preserve">ניתן היום,  י"ז תמוז תשפ"א, 27 יוני 2021, במעמד הצדדים. </w:t>
      </w:r>
      <w:bookmarkEnd w:id="8"/>
    </w:p>
    <w:p w14:paraId="41CA884A" w14:textId="77777777" w:rsidR="005901BD" w:rsidRDefault="005901BD" w:rsidP="00AD0AB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DB5AE6" w14:textId="77777777" w:rsidR="005901BD" w:rsidRDefault="005901BD" w:rsidP="005901BD">
      <w:pPr>
        <w:jc w:val="center"/>
        <w:rPr>
          <w:rFonts w:ascii="Arial" w:hAnsi="Arial" w:cs="FrankRuehl"/>
          <w:sz w:val="28"/>
          <w:szCs w:val="28"/>
          <w:rtl/>
        </w:rPr>
      </w:pPr>
    </w:p>
    <w:p w14:paraId="273ADF21" w14:textId="77777777" w:rsidR="00AD0ABE" w:rsidRDefault="00AD0ABE" w:rsidP="00AD0ABE">
      <w:pPr>
        <w:rPr>
          <w:rtl/>
        </w:rPr>
      </w:pPr>
    </w:p>
    <w:p w14:paraId="188EC9F6" w14:textId="77777777" w:rsidR="00AD0ABE" w:rsidRDefault="00AD0ABE" w:rsidP="00AD0ABE">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8E69518" w14:textId="77777777" w:rsidR="00906A11" w:rsidRPr="00906A11" w:rsidRDefault="00906A11" w:rsidP="00906A11">
      <w:pPr>
        <w:keepNext/>
        <w:rPr>
          <w:rFonts w:ascii="David" w:hAnsi="David"/>
          <w:color w:val="000000"/>
          <w:sz w:val="22"/>
          <w:szCs w:val="22"/>
          <w:rtl/>
        </w:rPr>
      </w:pPr>
    </w:p>
    <w:p w14:paraId="00F29270" w14:textId="77777777" w:rsidR="00906A11" w:rsidRPr="00906A11" w:rsidRDefault="00906A11" w:rsidP="00906A11">
      <w:pPr>
        <w:keepNext/>
        <w:rPr>
          <w:rFonts w:ascii="David" w:hAnsi="David"/>
          <w:color w:val="000000"/>
          <w:sz w:val="22"/>
          <w:szCs w:val="22"/>
          <w:rtl/>
        </w:rPr>
      </w:pPr>
      <w:r w:rsidRPr="00906A11">
        <w:rPr>
          <w:rFonts w:ascii="David" w:hAnsi="David"/>
          <w:color w:val="000000"/>
          <w:sz w:val="22"/>
          <w:szCs w:val="22"/>
          <w:rtl/>
        </w:rPr>
        <w:t>ירון מינטקביץ 54678313-/</w:t>
      </w:r>
    </w:p>
    <w:p w14:paraId="74E8888F" w14:textId="77777777" w:rsidR="00AD0ABE" w:rsidRPr="00AD0ABE" w:rsidRDefault="00906A11" w:rsidP="00906A11">
      <w:pPr>
        <w:rPr>
          <w:color w:val="0000FF"/>
          <w:u w:val="single"/>
        </w:rPr>
      </w:pPr>
      <w:r w:rsidRPr="00906A11">
        <w:rPr>
          <w:color w:val="000000"/>
          <w:u w:val="single"/>
          <w:rtl/>
        </w:rPr>
        <w:t>נוסח מסמך זה כפוף לשינויי ניסוח ועריכה</w:t>
      </w:r>
    </w:p>
    <w:sectPr w:rsidR="00AD0ABE" w:rsidRPr="00AD0ABE" w:rsidSect="00906A11">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2A9E5" w14:textId="77777777" w:rsidR="00326689" w:rsidRDefault="00326689" w:rsidP="00E91299">
      <w:r>
        <w:separator/>
      </w:r>
    </w:p>
  </w:endnote>
  <w:endnote w:type="continuationSeparator" w:id="0">
    <w:p w14:paraId="036E94E6" w14:textId="77777777" w:rsidR="00326689" w:rsidRDefault="00326689" w:rsidP="00E9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13722" w14:textId="77777777" w:rsidR="00906A11" w:rsidRDefault="00906A11" w:rsidP="00906A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ACC615" w14:textId="77777777" w:rsidR="002875DC" w:rsidRPr="00906A11" w:rsidRDefault="00906A11" w:rsidP="00906A11">
    <w:pPr>
      <w:pStyle w:val="a5"/>
      <w:pBdr>
        <w:top w:val="single" w:sz="4" w:space="1" w:color="auto"/>
        <w:between w:val="single" w:sz="4" w:space="0" w:color="auto"/>
      </w:pBdr>
      <w:spacing w:after="60"/>
      <w:jc w:val="center"/>
      <w:rPr>
        <w:rFonts w:ascii="FrankRuehl" w:hAnsi="FrankRuehl" w:cs="FrankRuehl"/>
        <w:color w:val="000000"/>
      </w:rPr>
    </w:pPr>
    <w:r w:rsidRPr="00906A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32169" w14:textId="77777777" w:rsidR="00906A11" w:rsidRDefault="00906A11" w:rsidP="00906A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2CAC">
      <w:rPr>
        <w:rFonts w:ascii="FrankRuehl" w:hAnsi="FrankRuehl" w:cs="FrankRuehl"/>
        <w:noProof/>
        <w:rtl/>
      </w:rPr>
      <w:t>1</w:t>
    </w:r>
    <w:r>
      <w:rPr>
        <w:rFonts w:ascii="FrankRuehl" w:hAnsi="FrankRuehl" w:cs="FrankRuehl"/>
        <w:rtl/>
      </w:rPr>
      <w:fldChar w:fldCharType="end"/>
    </w:r>
  </w:p>
  <w:p w14:paraId="1715B80A" w14:textId="77777777" w:rsidR="002875DC" w:rsidRPr="00906A11" w:rsidRDefault="00906A11" w:rsidP="00906A11">
    <w:pPr>
      <w:pStyle w:val="a5"/>
      <w:pBdr>
        <w:top w:val="single" w:sz="4" w:space="1" w:color="auto"/>
        <w:between w:val="single" w:sz="4" w:space="0" w:color="auto"/>
      </w:pBdr>
      <w:spacing w:after="60"/>
      <w:jc w:val="center"/>
      <w:rPr>
        <w:rFonts w:ascii="FrankRuehl" w:hAnsi="FrankRuehl" w:cs="FrankRuehl"/>
        <w:color w:val="000000"/>
      </w:rPr>
    </w:pPr>
    <w:r w:rsidRPr="00906A11">
      <w:rPr>
        <w:rFonts w:ascii="FrankRuehl" w:hAnsi="FrankRuehl" w:cs="FrankRuehl"/>
        <w:color w:val="000000"/>
      </w:rPr>
      <w:pict w14:anchorId="702E1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62DE3" w14:textId="77777777" w:rsidR="00326689" w:rsidRDefault="00326689" w:rsidP="00E91299">
      <w:r>
        <w:separator/>
      </w:r>
    </w:p>
  </w:footnote>
  <w:footnote w:type="continuationSeparator" w:id="0">
    <w:p w14:paraId="14DB5C1C" w14:textId="77777777" w:rsidR="00326689" w:rsidRDefault="00326689" w:rsidP="00E91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5ED4E" w14:textId="77777777" w:rsidR="00AD0ABE" w:rsidRPr="00906A11" w:rsidRDefault="00906A11" w:rsidP="00906A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69110-11-20</w:t>
    </w:r>
    <w:r>
      <w:rPr>
        <w:rFonts w:ascii="David" w:hAnsi="David"/>
        <w:color w:val="000000"/>
        <w:sz w:val="22"/>
        <w:szCs w:val="22"/>
        <w:rtl/>
      </w:rPr>
      <w:tab/>
      <w:t xml:space="preserve"> מדינת ישראל נ' פאדי לחאם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84B1" w14:textId="77777777" w:rsidR="00AD0ABE" w:rsidRPr="00906A11" w:rsidRDefault="00906A11" w:rsidP="00906A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69110-11-20</w:t>
    </w:r>
    <w:r>
      <w:rPr>
        <w:rFonts w:ascii="David" w:hAnsi="David"/>
        <w:color w:val="000000"/>
        <w:sz w:val="22"/>
        <w:szCs w:val="22"/>
        <w:rtl/>
      </w:rPr>
      <w:tab/>
      <w:t xml:space="preserve"> מדינת ישראל נ' פאדי לחאם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4138197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01BD"/>
    <w:rsid w:val="000156F9"/>
    <w:rsid w:val="000776E5"/>
    <w:rsid w:val="001F28D3"/>
    <w:rsid w:val="002761A7"/>
    <w:rsid w:val="002875DC"/>
    <w:rsid w:val="00326689"/>
    <w:rsid w:val="00423352"/>
    <w:rsid w:val="004E68EC"/>
    <w:rsid w:val="005901BD"/>
    <w:rsid w:val="00906A11"/>
    <w:rsid w:val="009A4E4C"/>
    <w:rsid w:val="00A16443"/>
    <w:rsid w:val="00AD0ABE"/>
    <w:rsid w:val="00E10AD3"/>
    <w:rsid w:val="00E52CAC"/>
    <w:rsid w:val="00E91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69A12A"/>
  <w15:chartTrackingRefBased/>
  <w15:docId w15:val="{19150EBE-527D-4662-99FB-736B82B5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01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01BD"/>
    <w:pPr>
      <w:tabs>
        <w:tab w:val="center" w:pos="4153"/>
        <w:tab w:val="right" w:pos="8306"/>
      </w:tabs>
    </w:pPr>
  </w:style>
  <w:style w:type="character" w:customStyle="1" w:styleId="a4">
    <w:name w:val="כותרת עליונה תו"/>
    <w:link w:val="a3"/>
    <w:rsid w:val="005901BD"/>
    <w:rPr>
      <w:rFonts w:ascii="Times New Roman" w:eastAsia="Times New Roman" w:hAnsi="Times New Roman" w:cs="David"/>
      <w:sz w:val="24"/>
      <w:szCs w:val="24"/>
    </w:rPr>
  </w:style>
  <w:style w:type="paragraph" w:styleId="a5">
    <w:name w:val="footer"/>
    <w:basedOn w:val="a"/>
    <w:link w:val="a6"/>
    <w:rsid w:val="005901BD"/>
    <w:pPr>
      <w:tabs>
        <w:tab w:val="center" w:pos="4153"/>
        <w:tab w:val="right" w:pos="8306"/>
      </w:tabs>
    </w:pPr>
  </w:style>
  <w:style w:type="character" w:customStyle="1" w:styleId="a6">
    <w:name w:val="כותרת תחתונה תו"/>
    <w:link w:val="a5"/>
    <w:rsid w:val="005901BD"/>
    <w:rPr>
      <w:rFonts w:ascii="Times New Roman" w:eastAsia="Times New Roman" w:hAnsi="Times New Roman" w:cs="David"/>
      <w:sz w:val="24"/>
      <w:szCs w:val="24"/>
    </w:rPr>
  </w:style>
  <w:style w:type="table" w:styleId="a7">
    <w:name w:val="Table Grid"/>
    <w:basedOn w:val="a1"/>
    <w:rsid w:val="005901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01BD"/>
  </w:style>
  <w:style w:type="character" w:styleId="Hyperlink">
    <w:name w:val="Hyperlink"/>
    <w:rsid w:val="005901BD"/>
    <w:rPr>
      <w:color w:val="0000FF"/>
      <w:u w:val="single"/>
    </w:rPr>
  </w:style>
  <w:style w:type="paragraph" w:customStyle="1" w:styleId="David">
    <w:name w:val="סגנון (עברית ושפות אחרות) David מיושר לשני הצדדים מרווח בין שורות..."/>
    <w:basedOn w:val="a"/>
    <w:rsid w:val="005901BD"/>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986954" TargetMode="External"/><Relationship Id="rId18" Type="http://schemas.openxmlformats.org/officeDocument/2006/relationships/hyperlink" Target="http://www.nevo.co.il/case/21974741" TargetMode="External"/><Relationship Id="rId26" Type="http://schemas.openxmlformats.org/officeDocument/2006/relationships/hyperlink" Target="mailto:MaasarN@ips.gov.il" TargetMode="External"/><Relationship Id="rId3" Type="http://schemas.openxmlformats.org/officeDocument/2006/relationships/settings" Target="settings.xml"/><Relationship Id="rId21" Type="http://schemas.openxmlformats.org/officeDocument/2006/relationships/hyperlink" Target="http://www.nevo.co.il/case/26535506" TargetMode="External"/><Relationship Id="rId7" Type="http://schemas.openxmlformats.org/officeDocument/2006/relationships/hyperlink" Target="http://www.nevo.co.il/case/2719594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21474168"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6538254" TargetMode="External"/><Relationship Id="rId20" Type="http://schemas.openxmlformats.org/officeDocument/2006/relationships/hyperlink" Target="http://www.nevo.co.il/case/2186563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34681" TargetMode="External"/><Relationship Id="rId24" Type="http://schemas.openxmlformats.org/officeDocument/2006/relationships/hyperlink" Target="http://www.nevo.co.il/law/70301/14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309272"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case/27404359" TargetMode="External"/><Relationship Id="rId19" Type="http://schemas.openxmlformats.org/officeDocument/2006/relationships/hyperlink" Target="http://www.nevo.co.il/case/23813439"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6905927" TargetMode="External"/><Relationship Id="rId22" Type="http://schemas.openxmlformats.org/officeDocument/2006/relationships/hyperlink" Target="http://www.nevo.co.il/law/70301/14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1853</Words>
  <Characters>9267</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11098</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196725</vt:i4>
      </vt:variant>
      <vt:variant>
        <vt:i4>57</vt:i4>
      </vt:variant>
      <vt:variant>
        <vt:i4>0</vt:i4>
      </vt:variant>
      <vt:variant>
        <vt:i4>5</vt:i4>
      </vt:variant>
      <vt:variant>
        <vt:lpwstr>mailto:MaasarN@ips.gov.il</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6357092</vt:i4>
      </vt:variant>
      <vt:variant>
        <vt:i4>51</vt:i4>
      </vt:variant>
      <vt:variant>
        <vt:i4>0</vt:i4>
      </vt:variant>
      <vt:variant>
        <vt:i4>5</vt:i4>
      </vt:variant>
      <vt:variant>
        <vt:lpwstr>http://www.nevo.co.il/law/70301/144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6357092</vt:i4>
      </vt:variant>
      <vt:variant>
        <vt:i4>45</vt:i4>
      </vt:variant>
      <vt:variant>
        <vt:i4>0</vt:i4>
      </vt:variant>
      <vt:variant>
        <vt:i4>5</vt:i4>
      </vt:variant>
      <vt:variant>
        <vt:lpwstr>http://www.nevo.co.il/law/70301/144</vt:lpwstr>
      </vt:variant>
      <vt:variant>
        <vt:lpwstr/>
      </vt:variant>
      <vt:variant>
        <vt:i4>3276916</vt:i4>
      </vt:variant>
      <vt:variant>
        <vt:i4>42</vt:i4>
      </vt:variant>
      <vt:variant>
        <vt:i4>0</vt:i4>
      </vt:variant>
      <vt:variant>
        <vt:i4>5</vt:i4>
      </vt:variant>
      <vt:variant>
        <vt:lpwstr>http://www.nevo.co.il/case/26535506</vt:lpwstr>
      </vt:variant>
      <vt:variant>
        <vt:lpwstr/>
      </vt:variant>
      <vt:variant>
        <vt:i4>3932277</vt:i4>
      </vt:variant>
      <vt:variant>
        <vt:i4>39</vt:i4>
      </vt:variant>
      <vt:variant>
        <vt:i4>0</vt:i4>
      </vt:variant>
      <vt:variant>
        <vt:i4>5</vt:i4>
      </vt:variant>
      <vt:variant>
        <vt:lpwstr>http://www.nevo.co.il/case/21865631</vt:lpwstr>
      </vt:variant>
      <vt:variant>
        <vt:lpwstr/>
      </vt:variant>
      <vt:variant>
        <vt:i4>3801202</vt:i4>
      </vt:variant>
      <vt:variant>
        <vt:i4>36</vt:i4>
      </vt:variant>
      <vt:variant>
        <vt:i4>0</vt:i4>
      </vt:variant>
      <vt:variant>
        <vt:i4>5</vt:i4>
      </vt:variant>
      <vt:variant>
        <vt:lpwstr>http://www.nevo.co.il/case/23813439</vt:lpwstr>
      </vt:variant>
      <vt:variant>
        <vt:lpwstr/>
      </vt:variant>
      <vt:variant>
        <vt:i4>3866741</vt:i4>
      </vt:variant>
      <vt:variant>
        <vt:i4>33</vt:i4>
      </vt:variant>
      <vt:variant>
        <vt:i4>0</vt:i4>
      </vt:variant>
      <vt:variant>
        <vt:i4>5</vt:i4>
      </vt:variant>
      <vt:variant>
        <vt:lpwstr>http://www.nevo.co.il/case/21974741</vt:lpwstr>
      </vt:variant>
      <vt:variant>
        <vt:lpwstr/>
      </vt:variant>
      <vt:variant>
        <vt:i4>3407987</vt:i4>
      </vt:variant>
      <vt:variant>
        <vt:i4>30</vt:i4>
      </vt:variant>
      <vt:variant>
        <vt:i4>0</vt:i4>
      </vt:variant>
      <vt:variant>
        <vt:i4>5</vt:i4>
      </vt:variant>
      <vt:variant>
        <vt:lpwstr>http://www.nevo.co.il/case/21474168</vt:lpwstr>
      </vt:variant>
      <vt:variant>
        <vt:lpwstr/>
      </vt:variant>
      <vt:variant>
        <vt:i4>3801203</vt:i4>
      </vt:variant>
      <vt:variant>
        <vt:i4>27</vt:i4>
      </vt:variant>
      <vt:variant>
        <vt:i4>0</vt:i4>
      </vt:variant>
      <vt:variant>
        <vt:i4>5</vt:i4>
      </vt:variant>
      <vt:variant>
        <vt:lpwstr>http://www.nevo.co.il/case/26538254</vt:lpwstr>
      </vt:variant>
      <vt:variant>
        <vt:lpwstr/>
      </vt:variant>
      <vt:variant>
        <vt:i4>4128881</vt:i4>
      </vt:variant>
      <vt:variant>
        <vt:i4>24</vt:i4>
      </vt:variant>
      <vt:variant>
        <vt:i4>0</vt:i4>
      </vt:variant>
      <vt:variant>
        <vt:i4>5</vt:i4>
      </vt:variant>
      <vt:variant>
        <vt:lpwstr>http://www.nevo.co.il/case/27309272</vt:lpwstr>
      </vt:variant>
      <vt:variant>
        <vt:lpwstr/>
      </vt:variant>
      <vt:variant>
        <vt:i4>3932283</vt:i4>
      </vt:variant>
      <vt:variant>
        <vt:i4>21</vt:i4>
      </vt:variant>
      <vt:variant>
        <vt:i4>0</vt:i4>
      </vt:variant>
      <vt:variant>
        <vt:i4>5</vt:i4>
      </vt:variant>
      <vt:variant>
        <vt:lpwstr>http://www.nevo.co.il/case/26905927</vt:lpwstr>
      </vt:variant>
      <vt:variant>
        <vt:lpwstr/>
      </vt:variant>
      <vt:variant>
        <vt:i4>3670131</vt:i4>
      </vt:variant>
      <vt:variant>
        <vt:i4>18</vt:i4>
      </vt:variant>
      <vt:variant>
        <vt:i4>0</vt:i4>
      </vt:variant>
      <vt:variant>
        <vt:i4>5</vt:i4>
      </vt:variant>
      <vt:variant>
        <vt:lpwstr>http://www.nevo.co.il/case/26986954</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3604599</vt:i4>
      </vt:variant>
      <vt:variant>
        <vt:i4>12</vt:i4>
      </vt:variant>
      <vt:variant>
        <vt:i4>0</vt:i4>
      </vt:variant>
      <vt:variant>
        <vt:i4>5</vt:i4>
      </vt:variant>
      <vt:variant>
        <vt:lpwstr>http://www.nevo.co.il/case/26934681</vt:lpwstr>
      </vt:variant>
      <vt:variant>
        <vt:lpwstr/>
      </vt:variant>
      <vt:variant>
        <vt:i4>3604592</vt:i4>
      </vt:variant>
      <vt:variant>
        <vt:i4>9</vt:i4>
      </vt:variant>
      <vt:variant>
        <vt:i4>0</vt:i4>
      </vt:variant>
      <vt:variant>
        <vt:i4>5</vt:i4>
      </vt:variant>
      <vt:variant>
        <vt:lpwstr>http://www.nevo.co.il/case/27404359</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3276915</vt:i4>
      </vt:variant>
      <vt:variant>
        <vt:i4>0</vt:i4>
      </vt:variant>
      <vt:variant>
        <vt:i4>0</vt:i4>
      </vt:variant>
      <vt:variant>
        <vt:i4>5</vt:i4>
      </vt:variant>
      <vt:variant>
        <vt:lpwstr>http://www.nevo.co.il/case/27195941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69110</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פאדי לחאם</vt:lpwstr>
  </property>
  <property fmtid="{D5CDD505-2E9C-101B-9397-08002B2CF9AE}" pid="10" name="LAWYER">
    <vt:lpwstr>מנאל אבו עאמר;ראמי עותמאן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20210627</vt:lpwstr>
  </property>
  <property fmtid="{D5CDD505-2E9C-101B-9397-08002B2CF9AE}" pid="14" name="TYPE_N_DATE">
    <vt:lpwstr>38020210627</vt:lpwstr>
  </property>
  <property fmtid="{D5CDD505-2E9C-101B-9397-08002B2CF9AE}" pid="15" name="WORDNUMPAGES">
    <vt:lpwstr>6</vt:lpwstr>
  </property>
  <property fmtid="{D5CDD505-2E9C-101B-9397-08002B2CF9AE}" pid="16" name="TYPE_ABS_DATE">
    <vt:lpwstr>380020210627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27195941;27404359;26934681;25824863;26986954;26905927;27309272;26538254;21474168;21974741;23813439;21865631;26535506</vt:lpwstr>
  </property>
  <property fmtid="{D5CDD505-2E9C-101B-9397-08002B2CF9AE}" pid="36" name="LAWLISTTMP1">
    <vt:lpwstr>70301/144:2</vt:lpwstr>
  </property>
</Properties>
</file>