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8"/>
        <w:gridCol w:w="3664"/>
        <w:gridCol w:w="99"/>
      </w:tblGrid>
      <w:tr w:rsidR="0057413A" w:rsidRPr="001F6C97" w14:paraId="146F60D6" w14:textId="77777777" w:rsidTr="000255C2">
        <w:trPr>
          <w:gridAfter w:val="1"/>
          <w:wAfter w:w="99" w:type="dxa"/>
          <w:trHeight w:hRule="exact" w:val="418"/>
          <w:jc w:val="center"/>
        </w:trPr>
        <w:tc>
          <w:tcPr>
            <w:tcW w:w="8721" w:type="dxa"/>
            <w:gridSpan w:val="4"/>
          </w:tcPr>
          <w:p w14:paraId="711D8475" w14:textId="77777777" w:rsidR="0057413A" w:rsidRPr="001F6C97" w:rsidRDefault="0057413A" w:rsidP="00A40D21">
            <w:pPr>
              <w:pStyle w:val="a3"/>
              <w:jc w:val="center"/>
              <w:rPr>
                <w:rFonts w:ascii="Tahoma" w:hAnsi="Tahoma" w:cs="Tahoma"/>
                <w:color w:val="000080"/>
                <w:rtl/>
              </w:rPr>
            </w:pPr>
            <w:bookmarkStart w:id="0" w:name="FirstLawyer"/>
            <w:bookmarkStart w:id="1" w:name="LastJudge"/>
            <w:r w:rsidRPr="001F6C97">
              <w:rPr>
                <w:rFonts w:ascii="Tahoma" w:hAnsi="Tahoma" w:cs="Tahoma"/>
                <w:b/>
                <w:bCs/>
                <w:color w:val="000080"/>
                <w:rtl/>
              </w:rPr>
              <w:t>בית משפט השלום בירושלים</w:t>
            </w:r>
          </w:p>
        </w:tc>
      </w:tr>
      <w:tr w:rsidR="0057413A" w:rsidRPr="001F6C97" w14:paraId="75394C67" w14:textId="77777777" w:rsidTr="000255C2">
        <w:trPr>
          <w:gridAfter w:val="1"/>
          <w:wAfter w:w="99" w:type="dxa"/>
          <w:trHeight w:val="337"/>
          <w:jc w:val="center"/>
        </w:trPr>
        <w:tc>
          <w:tcPr>
            <w:tcW w:w="5057" w:type="dxa"/>
            <w:gridSpan w:val="3"/>
          </w:tcPr>
          <w:p w14:paraId="0FE2AD9D" w14:textId="77777777" w:rsidR="0057413A" w:rsidRPr="001F6C97" w:rsidRDefault="0057413A" w:rsidP="00A40D21">
            <w:pPr>
              <w:rPr>
                <w:rFonts w:cs="FrankRuehl"/>
                <w:sz w:val="28"/>
                <w:szCs w:val="28"/>
                <w:rtl/>
              </w:rPr>
            </w:pPr>
            <w:r w:rsidRPr="001F6C97">
              <w:rPr>
                <w:rFonts w:cs="FrankRuehl"/>
                <w:sz w:val="28"/>
                <w:szCs w:val="28"/>
                <w:rtl/>
              </w:rPr>
              <w:t>ת"פ</w:t>
            </w:r>
            <w:r w:rsidRPr="001F6C97">
              <w:rPr>
                <w:rFonts w:cs="FrankRuehl" w:hint="cs"/>
                <w:sz w:val="28"/>
                <w:szCs w:val="28"/>
                <w:rtl/>
              </w:rPr>
              <w:t xml:space="preserve"> </w:t>
            </w:r>
            <w:r w:rsidRPr="001F6C97">
              <w:rPr>
                <w:rFonts w:cs="FrankRuehl"/>
                <w:sz w:val="28"/>
                <w:szCs w:val="28"/>
                <w:rtl/>
              </w:rPr>
              <w:t>30350-12-20</w:t>
            </w:r>
            <w:r w:rsidRPr="001F6C97">
              <w:rPr>
                <w:rFonts w:cs="FrankRuehl" w:hint="cs"/>
                <w:sz w:val="28"/>
                <w:szCs w:val="28"/>
                <w:rtl/>
              </w:rPr>
              <w:t xml:space="preserve"> </w:t>
            </w:r>
            <w:r w:rsidRPr="001F6C97">
              <w:rPr>
                <w:rFonts w:cs="FrankRuehl"/>
                <w:sz w:val="28"/>
                <w:szCs w:val="28"/>
                <w:rtl/>
              </w:rPr>
              <w:t>מדינת ישראל נ' עמרו(עציר)</w:t>
            </w:r>
          </w:p>
          <w:p w14:paraId="062B1889" w14:textId="77777777" w:rsidR="0057413A" w:rsidRPr="001F6C97" w:rsidRDefault="0057413A" w:rsidP="00A40D21">
            <w:pPr>
              <w:pStyle w:val="a3"/>
              <w:rPr>
                <w:rFonts w:cs="FrankRuehl"/>
                <w:sz w:val="28"/>
                <w:szCs w:val="28"/>
                <w:rtl/>
              </w:rPr>
            </w:pPr>
          </w:p>
        </w:tc>
        <w:tc>
          <w:tcPr>
            <w:tcW w:w="3664" w:type="dxa"/>
          </w:tcPr>
          <w:p w14:paraId="3E58F199" w14:textId="77777777" w:rsidR="0057413A" w:rsidRPr="001F6C97" w:rsidRDefault="0057413A" w:rsidP="00A40D21">
            <w:pPr>
              <w:pStyle w:val="a3"/>
              <w:jc w:val="right"/>
              <w:rPr>
                <w:rFonts w:cs="FrankRuehl"/>
                <w:sz w:val="28"/>
                <w:szCs w:val="28"/>
                <w:rtl/>
              </w:rPr>
            </w:pPr>
          </w:p>
        </w:tc>
      </w:tr>
      <w:tr w:rsidR="0057413A" w:rsidRPr="001F6C97" w14:paraId="71A61446" w14:textId="77777777" w:rsidTr="000255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234F2BF" w14:textId="77777777" w:rsidR="0057413A" w:rsidRPr="001F6C97" w:rsidRDefault="0057413A" w:rsidP="0057413A">
            <w:pPr>
              <w:jc w:val="both"/>
              <w:rPr>
                <w:rFonts w:ascii="Arial" w:hAnsi="Arial" w:cs="FrankRuehl"/>
                <w:sz w:val="28"/>
                <w:szCs w:val="28"/>
              </w:rPr>
            </w:pPr>
            <w:r w:rsidRPr="001F6C97">
              <w:rPr>
                <w:rFonts w:hint="cs"/>
                <w:rtl/>
              </w:rPr>
              <w:t xml:space="preserve"> </w:t>
            </w:r>
            <w:r w:rsidRPr="001F6C97">
              <w:rPr>
                <w:rFonts w:ascii="Arial" w:hAnsi="Arial" w:cs="FrankRuehl" w:hint="cs"/>
                <w:sz w:val="28"/>
                <w:szCs w:val="28"/>
                <w:rtl/>
              </w:rPr>
              <w:t>ב</w:t>
            </w:r>
            <w:r w:rsidRPr="001F6C97">
              <w:rPr>
                <w:rFonts w:ascii="Arial" w:hAnsi="Arial" w:cs="FrankRuehl"/>
                <w:sz w:val="28"/>
                <w:szCs w:val="28"/>
                <w:rtl/>
              </w:rPr>
              <w:t xml:space="preserve">פני </w:t>
            </w:r>
          </w:p>
        </w:tc>
        <w:tc>
          <w:tcPr>
            <w:tcW w:w="7897" w:type="dxa"/>
            <w:gridSpan w:val="4"/>
            <w:tcBorders>
              <w:top w:val="nil"/>
              <w:left w:val="nil"/>
              <w:bottom w:val="nil"/>
              <w:right w:val="nil"/>
            </w:tcBorders>
            <w:shd w:val="clear" w:color="auto" w:fill="auto"/>
          </w:tcPr>
          <w:p w14:paraId="34514F72" w14:textId="77777777" w:rsidR="0057413A" w:rsidRPr="001F6C97" w:rsidRDefault="0057413A" w:rsidP="0057413A">
            <w:pPr>
              <w:jc w:val="both"/>
              <w:rPr>
                <w:rFonts w:ascii="Arial" w:hAnsi="Arial" w:cs="FrankRuehl"/>
                <w:sz w:val="28"/>
                <w:szCs w:val="28"/>
                <w:rtl/>
              </w:rPr>
            </w:pPr>
            <w:r w:rsidRPr="001F6C97">
              <w:rPr>
                <w:rFonts w:ascii="Arial" w:hAnsi="Arial" w:cs="FrankRuehl" w:hint="cs"/>
                <w:sz w:val="28"/>
                <w:szCs w:val="28"/>
                <w:rtl/>
              </w:rPr>
              <w:t>כבוד סגן הנשיא ירון מינטקביץ</w:t>
            </w:r>
          </w:p>
          <w:p w14:paraId="2E619BE3" w14:textId="77777777" w:rsidR="0057413A" w:rsidRPr="001F6C97" w:rsidRDefault="0057413A" w:rsidP="0057413A">
            <w:pPr>
              <w:jc w:val="both"/>
              <w:rPr>
                <w:rFonts w:ascii="Arial" w:hAnsi="Arial" w:cs="FrankRuehl"/>
                <w:sz w:val="28"/>
                <w:szCs w:val="28"/>
              </w:rPr>
            </w:pPr>
          </w:p>
        </w:tc>
      </w:tr>
      <w:tr w:rsidR="0057413A" w:rsidRPr="001F6C97" w14:paraId="4020B022" w14:textId="77777777" w:rsidTr="000255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B64C635" w14:textId="77777777" w:rsidR="0057413A" w:rsidRPr="001F6C97" w:rsidRDefault="0057413A" w:rsidP="0057413A">
            <w:pPr>
              <w:jc w:val="both"/>
              <w:rPr>
                <w:rFonts w:ascii="Arial" w:hAnsi="Arial" w:cs="FrankRuehl"/>
                <w:sz w:val="28"/>
                <w:szCs w:val="28"/>
              </w:rPr>
            </w:pPr>
            <w:bookmarkStart w:id="2" w:name="FirstAppellant"/>
            <w:r w:rsidRPr="001F6C9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4148DA3" w14:textId="77777777" w:rsidR="0057413A" w:rsidRPr="001F6C97" w:rsidRDefault="0057413A" w:rsidP="00A40D21">
            <w:r w:rsidRPr="001F6C97">
              <w:rPr>
                <w:rFonts w:ascii="Arial" w:hAnsi="Arial" w:cs="FrankRuehl"/>
                <w:sz w:val="28"/>
                <w:szCs w:val="28"/>
                <w:rtl/>
              </w:rPr>
              <w:t>מדינת ישראל</w:t>
            </w:r>
            <w:r w:rsidRPr="001F6C97">
              <w:rPr>
                <w:rFonts w:ascii="Arial" w:hAnsi="Arial" w:cs="FrankRuehl"/>
                <w:sz w:val="28"/>
                <w:szCs w:val="28"/>
                <w:rtl/>
              </w:rPr>
              <w:br/>
            </w:r>
            <w:r w:rsidRPr="001F6C97">
              <w:rPr>
                <w:rFonts w:hint="cs"/>
                <w:rtl/>
              </w:rPr>
              <w:t>ע"י עו"ד שירה גרין</w:t>
            </w:r>
          </w:p>
        </w:tc>
        <w:tc>
          <w:tcPr>
            <w:tcW w:w="3771" w:type="dxa"/>
            <w:gridSpan w:val="3"/>
            <w:tcBorders>
              <w:top w:val="nil"/>
              <w:left w:val="nil"/>
              <w:bottom w:val="nil"/>
              <w:right w:val="nil"/>
            </w:tcBorders>
            <w:shd w:val="clear" w:color="auto" w:fill="auto"/>
          </w:tcPr>
          <w:p w14:paraId="138A6A67" w14:textId="77777777" w:rsidR="0057413A" w:rsidRPr="001F6C97" w:rsidRDefault="0057413A" w:rsidP="0057413A">
            <w:pPr>
              <w:jc w:val="both"/>
              <w:rPr>
                <w:rFonts w:ascii="Arial" w:hAnsi="Arial" w:cs="FrankRuehl"/>
                <w:sz w:val="28"/>
                <w:szCs w:val="28"/>
              </w:rPr>
            </w:pPr>
          </w:p>
        </w:tc>
      </w:tr>
      <w:bookmarkEnd w:id="2"/>
      <w:tr w:rsidR="0057413A" w:rsidRPr="001F6C97" w14:paraId="06B14202" w14:textId="77777777" w:rsidTr="000255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111E377" w14:textId="77777777" w:rsidR="0057413A" w:rsidRPr="001F6C97" w:rsidRDefault="0057413A" w:rsidP="0057413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6502146" w14:textId="77777777" w:rsidR="0057413A" w:rsidRPr="001F6C97" w:rsidRDefault="0057413A" w:rsidP="0057413A">
            <w:pPr>
              <w:jc w:val="both"/>
              <w:rPr>
                <w:rtl/>
              </w:rPr>
            </w:pPr>
          </w:p>
        </w:tc>
        <w:tc>
          <w:tcPr>
            <w:tcW w:w="3771" w:type="dxa"/>
            <w:gridSpan w:val="3"/>
            <w:tcBorders>
              <w:top w:val="nil"/>
              <w:left w:val="nil"/>
              <w:bottom w:val="nil"/>
              <w:right w:val="nil"/>
            </w:tcBorders>
            <w:shd w:val="clear" w:color="auto" w:fill="auto"/>
          </w:tcPr>
          <w:p w14:paraId="2B195A7D" w14:textId="77777777" w:rsidR="0057413A" w:rsidRPr="001F6C97" w:rsidRDefault="0057413A" w:rsidP="0057413A">
            <w:pPr>
              <w:jc w:val="right"/>
              <w:rPr>
                <w:rFonts w:ascii="Arial" w:hAnsi="Arial" w:cs="FrankRuehl"/>
                <w:sz w:val="28"/>
                <w:szCs w:val="28"/>
                <w:rtl/>
              </w:rPr>
            </w:pPr>
            <w:r w:rsidRPr="001F6C97">
              <w:rPr>
                <w:rFonts w:ascii="Arial" w:hAnsi="Arial" w:cs="FrankRuehl" w:hint="cs"/>
                <w:sz w:val="28"/>
                <w:szCs w:val="28"/>
                <w:rtl/>
              </w:rPr>
              <w:t>ה</w:t>
            </w:r>
            <w:r w:rsidRPr="001F6C97">
              <w:rPr>
                <w:rFonts w:ascii="Arial" w:hAnsi="Arial" w:cs="FrankRuehl"/>
                <w:sz w:val="28"/>
                <w:szCs w:val="28"/>
                <w:rtl/>
              </w:rPr>
              <w:t>מאשימה</w:t>
            </w:r>
          </w:p>
        </w:tc>
      </w:tr>
      <w:tr w:rsidR="0057413A" w:rsidRPr="001F6C97" w14:paraId="21579FCE" w14:textId="77777777" w:rsidTr="000255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93DFCF9" w14:textId="77777777" w:rsidR="0057413A" w:rsidRPr="001F6C97" w:rsidRDefault="0057413A" w:rsidP="0057413A">
            <w:pPr>
              <w:jc w:val="both"/>
              <w:rPr>
                <w:rFonts w:ascii="Arial" w:hAnsi="Arial" w:cs="FrankRuehl"/>
                <w:sz w:val="28"/>
                <w:szCs w:val="28"/>
                <w:rtl/>
              </w:rPr>
            </w:pPr>
          </w:p>
        </w:tc>
        <w:tc>
          <w:tcPr>
            <w:tcW w:w="7897" w:type="dxa"/>
            <w:gridSpan w:val="4"/>
            <w:tcBorders>
              <w:top w:val="nil"/>
              <w:left w:val="nil"/>
              <w:bottom w:val="nil"/>
              <w:right w:val="nil"/>
            </w:tcBorders>
            <w:shd w:val="clear" w:color="auto" w:fill="auto"/>
          </w:tcPr>
          <w:p w14:paraId="3A1EC9C7" w14:textId="77777777" w:rsidR="0057413A" w:rsidRPr="001F6C97" w:rsidRDefault="0057413A" w:rsidP="0057413A">
            <w:pPr>
              <w:jc w:val="center"/>
              <w:rPr>
                <w:rFonts w:ascii="Arial" w:hAnsi="Arial" w:cs="FrankRuehl"/>
                <w:b/>
                <w:bCs/>
                <w:sz w:val="28"/>
                <w:szCs w:val="28"/>
                <w:rtl/>
              </w:rPr>
            </w:pPr>
          </w:p>
          <w:p w14:paraId="4A2FB1A8" w14:textId="77777777" w:rsidR="0057413A" w:rsidRPr="001F6C97" w:rsidRDefault="0057413A" w:rsidP="0057413A">
            <w:pPr>
              <w:jc w:val="center"/>
              <w:rPr>
                <w:rFonts w:ascii="Arial" w:hAnsi="Arial" w:cs="FrankRuehl"/>
                <w:b/>
                <w:bCs/>
                <w:sz w:val="28"/>
                <w:szCs w:val="28"/>
                <w:rtl/>
              </w:rPr>
            </w:pPr>
            <w:r w:rsidRPr="001F6C97">
              <w:rPr>
                <w:rFonts w:ascii="Arial" w:hAnsi="Arial" w:cs="FrankRuehl"/>
                <w:b/>
                <w:bCs/>
                <w:sz w:val="28"/>
                <w:szCs w:val="28"/>
                <w:rtl/>
              </w:rPr>
              <w:t>נגד</w:t>
            </w:r>
          </w:p>
          <w:p w14:paraId="22BF561F" w14:textId="77777777" w:rsidR="0057413A" w:rsidRPr="001F6C97" w:rsidRDefault="0057413A" w:rsidP="0057413A">
            <w:pPr>
              <w:jc w:val="both"/>
              <w:rPr>
                <w:rFonts w:ascii="Arial" w:hAnsi="Arial" w:cs="FrankRuehl"/>
                <w:sz w:val="28"/>
                <w:szCs w:val="28"/>
              </w:rPr>
            </w:pPr>
          </w:p>
        </w:tc>
      </w:tr>
      <w:tr w:rsidR="0057413A" w:rsidRPr="001F6C97" w14:paraId="26A235B9" w14:textId="77777777" w:rsidTr="000255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9A72AF" w14:textId="77777777" w:rsidR="0057413A" w:rsidRPr="001F6C97" w:rsidRDefault="0057413A" w:rsidP="00A40D21">
            <w:pPr>
              <w:rPr>
                <w:rFonts w:ascii="Arial" w:hAnsi="Arial" w:cs="FrankRuehl"/>
                <w:sz w:val="28"/>
                <w:szCs w:val="28"/>
                <w:rtl/>
              </w:rPr>
            </w:pPr>
          </w:p>
        </w:tc>
        <w:tc>
          <w:tcPr>
            <w:tcW w:w="4126" w:type="dxa"/>
            <w:tcBorders>
              <w:top w:val="nil"/>
              <w:left w:val="nil"/>
              <w:bottom w:val="nil"/>
              <w:right w:val="nil"/>
            </w:tcBorders>
            <w:shd w:val="clear" w:color="auto" w:fill="auto"/>
          </w:tcPr>
          <w:p w14:paraId="752E7D09" w14:textId="77777777" w:rsidR="0057413A" w:rsidRPr="001F6C97" w:rsidRDefault="0057413A" w:rsidP="00A40D21">
            <w:pPr>
              <w:rPr>
                <w:rtl/>
              </w:rPr>
            </w:pPr>
            <w:r w:rsidRPr="001F6C97">
              <w:rPr>
                <w:rFonts w:ascii="Arial" w:hAnsi="Arial" w:cs="FrankRuehl"/>
                <w:sz w:val="28"/>
                <w:szCs w:val="28"/>
                <w:rtl/>
              </w:rPr>
              <w:t>אחמד עמרו</w:t>
            </w:r>
            <w:r w:rsidRPr="001F6C97">
              <w:rPr>
                <w:rFonts w:ascii="Arial" w:hAnsi="Arial" w:cs="FrankRuehl"/>
                <w:sz w:val="28"/>
                <w:szCs w:val="28"/>
                <w:rtl/>
              </w:rPr>
              <w:br/>
            </w:r>
            <w:r w:rsidRPr="001F6C97">
              <w:rPr>
                <w:rFonts w:hint="cs"/>
                <w:rtl/>
              </w:rPr>
              <w:t>ע"י עו"ד וסים דכוור</w:t>
            </w:r>
          </w:p>
        </w:tc>
        <w:tc>
          <w:tcPr>
            <w:tcW w:w="3771" w:type="dxa"/>
            <w:gridSpan w:val="3"/>
            <w:tcBorders>
              <w:top w:val="nil"/>
              <w:left w:val="nil"/>
              <w:bottom w:val="nil"/>
              <w:right w:val="nil"/>
            </w:tcBorders>
            <w:shd w:val="clear" w:color="auto" w:fill="auto"/>
          </w:tcPr>
          <w:p w14:paraId="137FBDD4" w14:textId="77777777" w:rsidR="0057413A" w:rsidRPr="001F6C97" w:rsidRDefault="0057413A" w:rsidP="0057413A">
            <w:pPr>
              <w:jc w:val="right"/>
              <w:rPr>
                <w:rFonts w:ascii="Arial" w:hAnsi="Arial" w:cs="FrankRuehl"/>
                <w:sz w:val="28"/>
                <w:szCs w:val="28"/>
              </w:rPr>
            </w:pPr>
          </w:p>
        </w:tc>
      </w:tr>
      <w:tr w:rsidR="0057413A" w:rsidRPr="001F6C97" w14:paraId="228E7E32" w14:textId="77777777" w:rsidTr="000255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7F3CD87" w14:textId="77777777" w:rsidR="0057413A" w:rsidRPr="001F6C97" w:rsidRDefault="0057413A" w:rsidP="0057413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F208D49" w14:textId="77777777" w:rsidR="0057413A" w:rsidRPr="001F6C97" w:rsidRDefault="0057413A" w:rsidP="0057413A">
            <w:pPr>
              <w:jc w:val="both"/>
              <w:rPr>
                <w:rtl/>
              </w:rPr>
            </w:pPr>
          </w:p>
        </w:tc>
        <w:tc>
          <w:tcPr>
            <w:tcW w:w="3771" w:type="dxa"/>
            <w:gridSpan w:val="3"/>
            <w:tcBorders>
              <w:top w:val="nil"/>
              <w:left w:val="nil"/>
              <w:bottom w:val="nil"/>
              <w:right w:val="nil"/>
            </w:tcBorders>
            <w:shd w:val="clear" w:color="auto" w:fill="auto"/>
          </w:tcPr>
          <w:p w14:paraId="3ED8E9CF" w14:textId="77777777" w:rsidR="0057413A" w:rsidRPr="001F6C97" w:rsidRDefault="0057413A" w:rsidP="0057413A">
            <w:pPr>
              <w:jc w:val="right"/>
              <w:rPr>
                <w:rFonts w:ascii="Arial" w:hAnsi="Arial" w:cs="FrankRuehl"/>
                <w:sz w:val="28"/>
                <w:szCs w:val="28"/>
              </w:rPr>
            </w:pPr>
            <w:r w:rsidRPr="001F6C97">
              <w:rPr>
                <w:rFonts w:ascii="Arial" w:hAnsi="Arial" w:cs="FrankRuehl" w:hint="cs"/>
                <w:sz w:val="28"/>
                <w:szCs w:val="28"/>
                <w:rtl/>
              </w:rPr>
              <w:t>ה</w:t>
            </w:r>
            <w:r w:rsidRPr="001F6C97">
              <w:rPr>
                <w:rFonts w:ascii="Arial" w:hAnsi="Arial" w:cs="FrankRuehl"/>
                <w:sz w:val="28"/>
                <w:szCs w:val="28"/>
                <w:rtl/>
              </w:rPr>
              <w:t>נאשמים</w:t>
            </w:r>
          </w:p>
        </w:tc>
      </w:tr>
    </w:tbl>
    <w:p w14:paraId="4F8C0F64" w14:textId="77777777" w:rsidR="000255C2" w:rsidRDefault="000255C2" w:rsidP="0057413A">
      <w:pPr>
        <w:rPr>
          <w:rtl/>
        </w:rPr>
      </w:pPr>
    </w:p>
    <w:p w14:paraId="4B375741" w14:textId="77777777" w:rsidR="000255C2" w:rsidRPr="000255C2" w:rsidRDefault="000255C2" w:rsidP="000255C2">
      <w:pPr>
        <w:spacing w:after="120" w:line="240" w:lineRule="exact"/>
        <w:ind w:left="283" w:hanging="283"/>
        <w:jc w:val="both"/>
        <w:rPr>
          <w:rFonts w:ascii="FrankRuehl" w:hAnsi="FrankRuehl" w:cs="FrankRuehl"/>
          <w:rtl/>
        </w:rPr>
      </w:pPr>
    </w:p>
    <w:p w14:paraId="251B2FFB" w14:textId="77777777" w:rsidR="00997C54" w:rsidRPr="00997C54" w:rsidRDefault="00997C54" w:rsidP="00997C54">
      <w:pPr>
        <w:spacing w:before="120" w:after="120" w:line="240" w:lineRule="exact"/>
        <w:ind w:left="283" w:hanging="283"/>
        <w:jc w:val="both"/>
        <w:rPr>
          <w:rFonts w:ascii="FrankRuehl" w:hAnsi="FrankRuehl" w:cs="FrankRuehl"/>
          <w:rtl/>
        </w:rPr>
      </w:pPr>
    </w:p>
    <w:p w14:paraId="1F0C8215" w14:textId="77777777" w:rsidR="00E76BAF" w:rsidRDefault="00E76BAF" w:rsidP="00E76BAF">
      <w:pPr>
        <w:spacing w:after="120" w:line="360" w:lineRule="auto"/>
        <w:jc w:val="both"/>
        <w:rPr>
          <w:rFonts w:ascii="David" w:hAnsi="David"/>
          <w:rtl/>
        </w:rPr>
      </w:pPr>
      <w:bookmarkStart w:id="3" w:name="LawTable"/>
      <w:bookmarkEnd w:id="3"/>
    </w:p>
    <w:p w14:paraId="3DE7278F" w14:textId="77777777" w:rsidR="00E76BAF" w:rsidRPr="00E76BAF" w:rsidRDefault="00E76BAF" w:rsidP="00E76BAF">
      <w:pPr>
        <w:spacing w:before="120" w:after="120" w:line="240" w:lineRule="exact"/>
        <w:ind w:left="283" w:hanging="283"/>
        <w:jc w:val="both"/>
        <w:rPr>
          <w:rFonts w:ascii="FrankRuehl" w:hAnsi="FrankRuehl" w:cs="FrankRuehl"/>
          <w:rtl/>
        </w:rPr>
      </w:pPr>
    </w:p>
    <w:p w14:paraId="67E5812C" w14:textId="77777777" w:rsidR="00E76BAF" w:rsidRPr="00E76BAF" w:rsidRDefault="00E76BAF" w:rsidP="00E76BAF">
      <w:pPr>
        <w:spacing w:before="120" w:after="120" w:line="240" w:lineRule="exact"/>
        <w:ind w:left="283" w:hanging="283"/>
        <w:jc w:val="both"/>
        <w:rPr>
          <w:rFonts w:ascii="FrankRuehl" w:hAnsi="FrankRuehl" w:cs="FrankRuehl"/>
          <w:rtl/>
        </w:rPr>
      </w:pPr>
    </w:p>
    <w:p w14:paraId="6A996839" w14:textId="77777777" w:rsidR="00E76BAF" w:rsidRPr="00E76BAF" w:rsidRDefault="00E76BAF" w:rsidP="00E76BAF">
      <w:pPr>
        <w:spacing w:before="120" w:after="120" w:line="240" w:lineRule="exact"/>
        <w:ind w:left="283" w:hanging="283"/>
        <w:jc w:val="both"/>
        <w:rPr>
          <w:rFonts w:ascii="FrankRuehl" w:hAnsi="FrankRuehl" w:cs="FrankRuehl"/>
          <w:rtl/>
        </w:rPr>
      </w:pPr>
      <w:r w:rsidRPr="00E76BAF">
        <w:rPr>
          <w:rFonts w:ascii="FrankRuehl" w:hAnsi="FrankRuehl" w:cs="FrankRuehl"/>
          <w:rtl/>
        </w:rPr>
        <w:t xml:space="preserve">חקיקה שאוזכרה: </w:t>
      </w:r>
    </w:p>
    <w:p w14:paraId="1A403A7C" w14:textId="77777777" w:rsidR="00E76BAF" w:rsidRPr="00E76BAF" w:rsidRDefault="00E76BAF" w:rsidP="00E76BAF">
      <w:pPr>
        <w:spacing w:before="120" w:after="120" w:line="240" w:lineRule="exact"/>
        <w:ind w:left="283" w:hanging="283"/>
        <w:jc w:val="both"/>
        <w:rPr>
          <w:rFonts w:ascii="FrankRuehl" w:hAnsi="FrankRuehl" w:cs="FrankRuehl"/>
          <w:rtl/>
        </w:rPr>
      </w:pPr>
      <w:hyperlink r:id="rId7" w:history="1">
        <w:r w:rsidRPr="00E76BAF">
          <w:rPr>
            <w:rFonts w:ascii="FrankRuehl" w:hAnsi="FrankRuehl" w:cs="FrankRuehl"/>
            <w:color w:val="0000FF"/>
            <w:rtl/>
          </w:rPr>
          <w:t>חוק העונשין, תשל"ז-1977</w:t>
        </w:r>
      </w:hyperlink>
      <w:r w:rsidRPr="00E76BAF">
        <w:rPr>
          <w:rFonts w:ascii="FrankRuehl" w:hAnsi="FrankRuehl" w:cs="FrankRuehl"/>
          <w:rtl/>
        </w:rPr>
        <w:t xml:space="preserve">: סע'  </w:t>
      </w:r>
      <w:hyperlink r:id="rId8" w:history="1">
        <w:r w:rsidRPr="00E76BAF">
          <w:rPr>
            <w:rFonts w:ascii="FrankRuehl" w:hAnsi="FrankRuehl" w:cs="FrankRuehl"/>
            <w:color w:val="0000FF"/>
            <w:rtl/>
          </w:rPr>
          <w:t>45(ב)</w:t>
        </w:r>
      </w:hyperlink>
      <w:r w:rsidRPr="00E76BAF">
        <w:rPr>
          <w:rFonts w:ascii="FrankRuehl" w:hAnsi="FrankRuehl" w:cs="FrankRuehl"/>
          <w:rtl/>
        </w:rPr>
        <w:t xml:space="preserve">, </w:t>
      </w:r>
      <w:hyperlink r:id="rId9" w:history="1">
        <w:r w:rsidRPr="00E76BAF">
          <w:rPr>
            <w:rFonts w:ascii="FrankRuehl" w:hAnsi="FrankRuehl" w:cs="FrankRuehl"/>
            <w:color w:val="0000FF"/>
            <w:rtl/>
          </w:rPr>
          <w:t>144</w:t>
        </w:r>
      </w:hyperlink>
    </w:p>
    <w:p w14:paraId="2D10707A" w14:textId="77777777" w:rsidR="00E76BAF" w:rsidRPr="00E76BAF" w:rsidRDefault="00E76BAF" w:rsidP="00E76BAF">
      <w:pPr>
        <w:spacing w:after="120" w:line="360" w:lineRule="auto"/>
        <w:jc w:val="both"/>
        <w:rPr>
          <w:rFonts w:ascii="David" w:hAnsi="David"/>
          <w:rtl/>
        </w:rPr>
      </w:pPr>
      <w:bookmarkStart w:id="4" w:name="LawTable_End"/>
      <w:bookmarkEnd w:id="4"/>
    </w:p>
    <w:p w14:paraId="6AB7D275" w14:textId="77777777" w:rsidR="0057413A" w:rsidRPr="00997C54" w:rsidRDefault="0057413A" w:rsidP="00997C54">
      <w:pPr>
        <w:spacing w:after="120" w:line="36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7413A" w14:paraId="38F09F36" w14:textId="77777777" w:rsidTr="0057413A">
        <w:trPr>
          <w:trHeight w:val="355"/>
          <w:jc w:val="center"/>
        </w:trPr>
        <w:tc>
          <w:tcPr>
            <w:tcW w:w="8820" w:type="dxa"/>
            <w:tcBorders>
              <w:top w:val="nil"/>
              <w:left w:val="nil"/>
              <w:bottom w:val="nil"/>
              <w:right w:val="nil"/>
            </w:tcBorders>
            <w:shd w:val="clear" w:color="auto" w:fill="auto"/>
          </w:tcPr>
          <w:p w14:paraId="2911C00D" w14:textId="77777777" w:rsidR="001F6C97" w:rsidRPr="001F6C97" w:rsidRDefault="001F6C97" w:rsidP="001F6C97">
            <w:pPr>
              <w:spacing w:after="120" w:line="360" w:lineRule="auto"/>
              <w:jc w:val="center"/>
              <w:rPr>
                <w:rFonts w:ascii="Arial" w:hAnsi="Arial" w:cs="FrankRuehl"/>
                <w:b/>
                <w:bCs/>
                <w:sz w:val="32"/>
                <w:szCs w:val="32"/>
                <w:u w:val="single"/>
                <w:rtl/>
              </w:rPr>
            </w:pPr>
            <w:bookmarkStart w:id="5" w:name="PsakDin" w:colFirst="0" w:colLast="0"/>
            <w:bookmarkEnd w:id="0"/>
            <w:bookmarkEnd w:id="1"/>
            <w:r w:rsidRPr="001F6C97">
              <w:rPr>
                <w:rFonts w:ascii="Arial" w:hAnsi="Arial" w:cs="FrankRuehl"/>
                <w:b/>
                <w:bCs/>
                <w:sz w:val="32"/>
                <w:szCs w:val="32"/>
                <w:u w:val="single"/>
                <w:rtl/>
              </w:rPr>
              <w:t>גזר דין</w:t>
            </w:r>
          </w:p>
          <w:p w14:paraId="29017BA1" w14:textId="77777777" w:rsidR="0057413A" w:rsidRPr="001F6C97" w:rsidRDefault="0057413A" w:rsidP="001F6C97">
            <w:pPr>
              <w:spacing w:after="120" w:line="360" w:lineRule="auto"/>
              <w:jc w:val="center"/>
              <w:rPr>
                <w:rFonts w:ascii="Arial" w:hAnsi="Arial" w:cs="FrankRuehl"/>
                <w:bCs/>
                <w:sz w:val="32"/>
                <w:szCs w:val="32"/>
                <w:u w:val="single"/>
                <w:rtl/>
              </w:rPr>
            </w:pPr>
          </w:p>
        </w:tc>
      </w:tr>
    </w:tbl>
    <w:bookmarkEnd w:id="5"/>
    <w:p w14:paraId="0218BEA7" w14:textId="77777777" w:rsidR="0057413A" w:rsidRDefault="0057413A" w:rsidP="0057413A">
      <w:pPr>
        <w:spacing w:after="120" w:line="360" w:lineRule="auto"/>
        <w:jc w:val="both"/>
        <w:rPr>
          <w:rFonts w:ascii="David" w:hAnsi="David"/>
          <w:b/>
          <w:bCs/>
        </w:rPr>
      </w:pPr>
      <w:r>
        <w:rPr>
          <w:rFonts w:ascii="David" w:hAnsi="David"/>
          <w:b/>
          <w:bCs/>
          <w:rtl/>
        </w:rPr>
        <w:t>רקע</w:t>
      </w:r>
    </w:p>
    <w:p w14:paraId="0A56AC97" w14:textId="77777777" w:rsidR="0057413A" w:rsidRDefault="0057413A" w:rsidP="0057413A">
      <w:pPr>
        <w:spacing w:after="120" w:line="360" w:lineRule="auto"/>
        <w:jc w:val="both"/>
        <w:rPr>
          <w:rFonts w:ascii="David" w:hAnsi="David"/>
          <w:rtl/>
        </w:rPr>
      </w:pPr>
      <w:bookmarkStart w:id="6" w:name="ABSTRACT_START"/>
      <w:bookmarkEnd w:id="6"/>
      <w:r>
        <w:rPr>
          <w:rFonts w:ascii="David" w:hAnsi="David"/>
          <w:rtl/>
        </w:rPr>
        <w:t>הנאשם הורשע על פי הודאתו בשלוש עבירות שעניינן נסיונות שביצע יחד עם אדם אחר בשם הית'ם</w:t>
      </w:r>
      <w:r>
        <w:rPr>
          <w:rFonts w:ascii="David" w:hAnsi="David" w:hint="cs"/>
          <w:rtl/>
        </w:rPr>
        <w:t xml:space="preserve"> קוואסמה (להלן: </w:t>
      </w:r>
      <w:r w:rsidRPr="00E87DAC">
        <w:rPr>
          <w:rFonts w:ascii="David" w:hAnsi="David" w:hint="cs"/>
          <w:b/>
          <w:bCs/>
          <w:rtl/>
        </w:rPr>
        <w:t>הית'ם</w:t>
      </w:r>
      <w:r>
        <w:rPr>
          <w:rFonts w:ascii="David" w:hAnsi="David" w:hint="cs"/>
          <w:rtl/>
        </w:rPr>
        <w:t>)</w:t>
      </w:r>
      <w:r>
        <w:rPr>
          <w:rFonts w:ascii="David" w:hAnsi="David"/>
          <w:rtl/>
        </w:rPr>
        <w:t xml:space="preserve"> לבצע עסקאות נשק שונות, </w:t>
      </w:r>
      <w:r>
        <w:rPr>
          <w:rFonts w:ascii="David" w:hAnsi="David" w:hint="cs"/>
          <w:rtl/>
        </w:rPr>
        <w:t>אותם ביצע כאשר</w:t>
      </w:r>
      <w:r>
        <w:rPr>
          <w:rFonts w:ascii="David" w:hAnsi="David"/>
          <w:rtl/>
        </w:rPr>
        <w:t xml:space="preserve"> שהה במעצר עד תום ההליכים. הודאת הנאשם ניתנה כתשובה מפיו לכתב האישום, בה הודה בחלק מהאישומים שיוחסו ל</w:t>
      </w:r>
      <w:r>
        <w:rPr>
          <w:rFonts w:ascii="David" w:hAnsi="David" w:hint="cs"/>
          <w:rtl/>
        </w:rPr>
        <w:t xml:space="preserve">ו, </w:t>
      </w:r>
      <w:r>
        <w:rPr>
          <w:rFonts w:ascii="David" w:hAnsi="David"/>
          <w:rtl/>
        </w:rPr>
        <w:t>והמאשימה קיבלה את התשובה והסתפקה בה, שלא במסגרת הסדר דיוני. אסקור את האישומים על פי סדרם הכרונולוגי:</w:t>
      </w:r>
    </w:p>
    <w:p w14:paraId="3A27DEDF" w14:textId="77777777" w:rsidR="0057413A" w:rsidRDefault="0057413A" w:rsidP="0057413A">
      <w:pPr>
        <w:spacing w:after="120" w:line="360" w:lineRule="auto"/>
        <w:jc w:val="both"/>
        <w:rPr>
          <w:rFonts w:ascii="David" w:hAnsi="David"/>
          <w:rtl/>
        </w:rPr>
      </w:pPr>
      <w:bookmarkStart w:id="7" w:name="ABSTRACT_END"/>
      <w:bookmarkEnd w:id="7"/>
      <w:r>
        <w:rPr>
          <w:rFonts w:ascii="David" w:hAnsi="David"/>
          <w:rtl/>
        </w:rPr>
        <w:t xml:space="preserve">על פי האישום </w:t>
      </w:r>
      <w:r>
        <w:rPr>
          <w:rFonts w:ascii="David" w:hAnsi="David"/>
          <w:b/>
          <w:bCs/>
          <w:rtl/>
        </w:rPr>
        <w:t>החמישי</w:t>
      </w:r>
      <w:r>
        <w:rPr>
          <w:rFonts w:ascii="David" w:hAnsi="David"/>
          <w:rtl/>
        </w:rPr>
        <w:t xml:space="preserve">, בסמוך לחודשים יוני-אוגוסט 2020 ביקש הית'ם לקנות לעצמו נשק וביקש מהנאשם שיפנה אותו לאדם שיוכל לספק לו נשק. הנאשם מסר להית'ם את מס' הטלפון של אדם העוסק בסחר בסמים ונשק והית'ם התקשר לאותו אדם, אשר אמר לו כי יוכל למכור לו כלי נשק </w:t>
      </w:r>
      <w:r>
        <w:rPr>
          <w:rFonts w:ascii="David" w:hAnsi="David"/>
          <w:rtl/>
        </w:rPr>
        <w:lastRenderedPageBreak/>
        <w:t>כלשהו בעבור 22,000 ש"ח ויספק לו את הנשק 3-4 ימים לאחר שישלם. בסופו של יום העסקה לא יצאה אל הפועל.</w:t>
      </w:r>
    </w:p>
    <w:p w14:paraId="269DDC75" w14:textId="77777777" w:rsidR="0057413A" w:rsidRDefault="0057413A" w:rsidP="0057413A">
      <w:pPr>
        <w:spacing w:after="120" w:line="360" w:lineRule="auto"/>
        <w:jc w:val="both"/>
        <w:rPr>
          <w:rFonts w:ascii="David" w:hAnsi="David"/>
          <w:rtl/>
        </w:rPr>
      </w:pPr>
      <w:r>
        <w:rPr>
          <w:rFonts w:ascii="David" w:hAnsi="David"/>
          <w:rtl/>
        </w:rPr>
        <w:t>בשל כך הורשע הנאשם בעבירה של קשר לפשע.</w:t>
      </w:r>
    </w:p>
    <w:p w14:paraId="111F3BB0" w14:textId="77777777" w:rsidR="0057413A" w:rsidRDefault="0057413A" w:rsidP="0057413A">
      <w:pPr>
        <w:spacing w:after="120" w:line="360" w:lineRule="auto"/>
        <w:jc w:val="both"/>
        <w:rPr>
          <w:rFonts w:ascii="David" w:hAnsi="David"/>
          <w:rtl/>
        </w:rPr>
      </w:pPr>
      <w:r>
        <w:rPr>
          <w:rFonts w:ascii="David" w:hAnsi="David"/>
          <w:rtl/>
        </w:rPr>
        <w:t xml:space="preserve">על פי האישום </w:t>
      </w:r>
      <w:r>
        <w:rPr>
          <w:rFonts w:ascii="David" w:hAnsi="David"/>
          <w:b/>
          <w:bCs/>
          <w:rtl/>
        </w:rPr>
        <w:t>השלישי</w:t>
      </w:r>
      <w:r>
        <w:rPr>
          <w:rFonts w:ascii="David" w:hAnsi="David"/>
          <w:rtl/>
        </w:rPr>
        <w:t xml:space="preserve">, בסמוך לחודשים יולי-אוגוסט 2020, קשרו הנאשם והית'ם לרכוש תחמושת לרובה מסוג </w:t>
      </w:r>
      <w:r>
        <w:rPr>
          <w:rFonts w:ascii="David" w:hAnsi="David"/>
        </w:rPr>
        <w:t>M16</w:t>
      </w:r>
      <w:r>
        <w:rPr>
          <w:rFonts w:ascii="David" w:hAnsi="David"/>
          <w:rtl/>
        </w:rPr>
        <w:t>, על מנת למכרה בעבור רווח כספי. לשם קידום הקשר, פנה הנאשם לאדם המכונה ענכוש, וביקש ממנו לקשר בין הית'ם ובין סוחרי נשק. ענכוש נתן לנאשם מס' טלפון של אדם בשם מוחמד ואמר לו שעל הית'ם לומר שענכוש הפנה אותו. הנאשם העביר להית'ם את מס' הטלפון של מוחמד והית'ם התקשר אליו במטרה לרכוש ממנו תחמושת, אך בסופו של יום לא בוצעה עסקה.</w:t>
      </w:r>
    </w:p>
    <w:p w14:paraId="764197D7" w14:textId="77777777" w:rsidR="0057413A" w:rsidRDefault="0057413A" w:rsidP="0057413A">
      <w:pPr>
        <w:spacing w:after="120" w:line="360" w:lineRule="auto"/>
        <w:jc w:val="both"/>
        <w:rPr>
          <w:rFonts w:ascii="David" w:hAnsi="David"/>
          <w:rtl/>
        </w:rPr>
      </w:pPr>
      <w:r>
        <w:rPr>
          <w:rFonts w:ascii="David" w:hAnsi="David"/>
          <w:rtl/>
        </w:rPr>
        <w:t>בשל כך הורשע הנאשם בעבירה של קשר לפשע.</w:t>
      </w:r>
    </w:p>
    <w:p w14:paraId="4D6B0931" w14:textId="77777777" w:rsidR="0057413A" w:rsidRDefault="0057413A" w:rsidP="0057413A">
      <w:pPr>
        <w:spacing w:after="120" w:line="360" w:lineRule="auto"/>
        <w:jc w:val="both"/>
        <w:rPr>
          <w:rFonts w:ascii="David" w:hAnsi="David"/>
          <w:rtl/>
        </w:rPr>
      </w:pPr>
      <w:r>
        <w:rPr>
          <w:rFonts w:ascii="David" w:hAnsi="David"/>
          <w:rtl/>
        </w:rPr>
        <w:t xml:space="preserve">על פי האישום </w:t>
      </w:r>
      <w:r>
        <w:rPr>
          <w:rFonts w:ascii="David" w:hAnsi="David"/>
          <w:b/>
          <w:bCs/>
          <w:rtl/>
        </w:rPr>
        <w:t>הראשון</w:t>
      </w:r>
      <w:r>
        <w:rPr>
          <w:rFonts w:ascii="David" w:hAnsi="David"/>
          <w:rtl/>
        </w:rPr>
        <w:t xml:space="preserve">, בסמוך לחודשים אוגוסט-ספטמבר 2020 ביקש הית'ם מהנאשם למצוא מישהו שימכור לו תחמושת לרובה </w:t>
      </w:r>
      <w:r>
        <w:rPr>
          <w:rFonts w:ascii="David" w:hAnsi="David"/>
        </w:rPr>
        <w:t>M16</w:t>
      </w:r>
      <w:r>
        <w:rPr>
          <w:rFonts w:ascii="David" w:hAnsi="David"/>
          <w:rtl/>
        </w:rPr>
        <w:t xml:space="preserve">. הנאשם יצר קשר עם אדם בשם עובדה וביקש לקנות ממנו תחמושת ל </w:t>
      </w:r>
      <w:r>
        <w:rPr>
          <w:rFonts w:ascii="David" w:hAnsi="David"/>
        </w:rPr>
        <w:t>M16</w:t>
      </w:r>
      <w:r>
        <w:rPr>
          <w:rFonts w:ascii="David" w:hAnsi="David"/>
          <w:rtl/>
        </w:rPr>
        <w:t xml:space="preserve"> או רובה </w:t>
      </w:r>
      <w:r>
        <w:rPr>
          <w:rFonts w:ascii="David" w:hAnsi="David"/>
        </w:rPr>
        <w:t>M16</w:t>
      </w:r>
      <w:r>
        <w:rPr>
          <w:rFonts w:ascii="David" w:hAnsi="David"/>
          <w:rtl/>
        </w:rPr>
        <w:t xml:space="preserve"> על מנת למכור אותו ברווח כספי, ועובדה הציע לנאשם למכור לו רובה </w:t>
      </w:r>
      <w:r>
        <w:rPr>
          <w:rFonts w:ascii="David" w:hAnsi="David"/>
        </w:rPr>
        <w:t>M16</w:t>
      </w:r>
      <w:r>
        <w:rPr>
          <w:rFonts w:ascii="David" w:hAnsi="David"/>
          <w:rtl/>
        </w:rPr>
        <w:t xml:space="preserve"> תקני בעבור 70,000 או 80,000 ש"ח, או רובה </w:t>
      </w:r>
      <w:r>
        <w:rPr>
          <w:rFonts w:ascii="David" w:hAnsi="David"/>
        </w:rPr>
        <w:t>M16</w:t>
      </w:r>
      <w:r>
        <w:rPr>
          <w:rFonts w:ascii="David" w:hAnsi="David"/>
          <w:rtl/>
        </w:rPr>
        <w:t xml:space="preserve"> מוסב בעבור 45,000 ש"ח.</w:t>
      </w:r>
    </w:p>
    <w:p w14:paraId="1E4C80D5" w14:textId="77777777" w:rsidR="0057413A" w:rsidRDefault="0057413A" w:rsidP="0057413A">
      <w:pPr>
        <w:spacing w:after="120" w:line="360" w:lineRule="auto"/>
        <w:jc w:val="both"/>
        <w:rPr>
          <w:rFonts w:ascii="David" w:hAnsi="David"/>
          <w:rtl/>
        </w:rPr>
      </w:pPr>
      <w:r>
        <w:rPr>
          <w:rFonts w:ascii="David" w:hAnsi="David"/>
          <w:rtl/>
        </w:rPr>
        <w:t>הנאשם והית'ם שוחחו מספר פעמים עם עובדה במטרה לקדם את עסקת רכישת הנשק והנאשם ניהל עם עובדה מו"מ על מחיר הרובה. בסופו של יום הית'ם התרשם כי עובדה אינו מתכוון למכור את הרובה והעסקה לא יצאה את הפועל.</w:t>
      </w:r>
    </w:p>
    <w:p w14:paraId="77F731A9" w14:textId="77777777" w:rsidR="0057413A" w:rsidRDefault="0057413A" w:rsidP="0057413A">
      <w:pPr>
        <w:spacing w:after="120" w:line="360" w:lineRule="auto"/>
        <w:jc w:val="both"/>
        <w:rPr>
          <w:rFonts w:ascii="David" w:hAnsi="David"/>
          <w:b/>
          <w:bCs/>
          <w:rtl/>
        </w:rPr>
      </w:pPr>
      <w:r>
        <w:rPr>
          <w:rFonts w:ascii="David" w:hAnsi="David"/>
          <w:b/>
          <w:bCs/>
          <w:rtl/>
        </w:rPr>
        <w:t>עמדות הצדדים</w:t>
      </w:r>
    </w:p>
    <w:p w14:paraId="613908C5" w14:textId="77777777" w:rsidR="0057413A" w:rsidRDefault="0057413A" w:rsidP="0057413A">
      <w:pPr>
        <w:spacing w:after="120" w:line="360" w:lineRule="auto"/>
        <w:jc w:val="both"/>
        <w:rPr>
          <w:rFonts w:ascii="David" w:hAnsi="David"/>
          <w:rtl/>
        </w:rPr>
      </w:pPr>
      <w:r>
        <w:rPr>
          <w:rFonts w:ascii="David" w:hAnsi="David"/>
          <w:rtl/>
        </w:rPr>
        <w:t>ב"כ המאשימה עמדה על הערכים המוגנים ונסיבות ביצוע העבירה תוך שהדגישה את הנזק הפוטנציאלי שהיה עלול להיגרם לו היו העסקאות מבוצעות. בנוסף, הפנתה לכך שהמניע של הנאשם היה כלכלי והעבירה בוצעה בעוד הנאשם שוהה במעצר.</w:t>
      </w:r>
    </w:p>
    <w:p w14:paraId="64124874" w14:textId="77777777" w:rsidR="0057413A" w:rsidRDefault="0057413A" w:rsidP="0057413A">
      <w:pPr>
        <w:spacing w:after="120" w:line="360" w:lineRule="auto"/>
        <w:jc w:val="both"/>
        <w:rPr>
          <w:rFonts w:ascii="David" w:hAnsi="David"/>
          <w:rtl/>
        </w:rPr>
      </w:pPr>
      <w:r>
        <w:rPr>
          <w:rFonts w:ascii="David" w:hAnsi="David"/>
          <w:rtl/>
        </w:rPr>
        <w:t xml:space="preserve">באשר למתחם </w:t>
      </w:r>
      <w:r>
        <w:rPr>
          <w:rFonts w:ascii="David" w:hAnsi="David" w:hint="cs"/>
          <w:rtl/>
        </w:rPr>
        <w:t xml:space="preserve">העונש </w:t>
      </w:r>
      <w:r>
        <w:rPr>
          <w:rFonts w:ascii="David" w:hAnsi="David"/>
          <w:rtl/>
        </w:rPr>
        <w:t>טענה</w:t>
      </w:r>
      <w:r>
        <w:rPr>
          <w:rFonts w:ascii="David" w:hAnsi="David" w:hint="cs"/>
          <w:rtl/>
        </w:rPr>
        <w:t>,</w:t>
      </w:r>
      <w:r>
        <w:rPr>
          <w:rFonts w:ascii="David" w:hAnsi="David"/>
          <w:rtl/>
        </w:rPr>
        <w:t xml:space="preserve"> כי מתחם העונש הראוי לכלל האישומים הוא 28-54 חודשי מאסר למרות שניתן לקבוע מתחם נפרד לכל אישום: לאישום מתחם של 18-32 חודשי מאסר, ביחס לאישום השלישי מתחם של 6-12 חודשי מאסר ולאישום החמישי מתחם של 12-22 חודשי מאסר. לסיכום ביקשה לגזור עונש בשליש העליון של המתחם, לא פחות משלוש שנות מאסר, בין היתר לאור עברו הפלילי של הנאשם וריבוי העבירות בהן הורשע. </w:t>
      </w:r>
    </w:p>
    <w:p w14:paraId="2C7270A5" w14:textId="77777777" w:rsidR="0057413A" w:rsidRDefault="0057413A" w:rsidP="0057413A">
      <w:pPr>
        <w:spacing w:after="120" w:line="360" w:lineRule="auto"/>
        <w:jc w:val="both"/>
        <w:rPr>
          <w:rFonts w:ascii="David" w:hAnsi="David"/>
          <w:rtl/>
        </w:rPr>
      </w:pPr>
      <w:r>
        <w:rPr>
          <w:rFonts w:ascii="David" w:hAnsi="David"/>
          <w:rtl/>
        </w:rPr>
        <w:t>ב"כ הנאשם הפנה לגזר הדין של הית'ם וטען כי מעשיו של הנאשם פחותים בהרבה וכי על העונש להלום נתון זה. עוד הפנה לכך שבשעת ביצוע העבירה הנאשם נעדר הרשעות קודמות. לשיטתו, העונש ההולם הוא מספר חודשי מאסר שיצטברו למאסר הממושך שהוא מרצה.</w:t>
      </w:r>
    </w:p>
    <w:p w14:paraId="3D583000" w14:textId="77777777" w:rsidR="0057413A" w:rsidRPr="0057413A" w:rsidRDefault="0057413A" w:rsidP="0057413A">
      <w:pPr>
        <w:spacing w:after="120" w:line="360" w:lineRule="auto"/>
        <w:jc w:val="both"/>
        <w:rPr>
          <w:rFonts w:ascii="David" w:eastAsia="Calibri" w:hAnsi="David"/>
          <w:b/>
          <w:bCs/>
          <w:rtl/>
        </w:rPr>
      </w:pPr>
      <w:r>
        <w:rPr>
          <w:rFonts w:ascii="David" w:hAnsi="David"/>
          <w:b/>
          <w:bCs/>
          <w:rtl/>
        </w:rPr>
        <w:t>מתחם העונש ההולם</w:t>
      </w:r>
    </w:p>
    <w:p w14:paraId="7B364378" w14:textId="77777777" w:rsidR="0057413A" w:rsidRDefault="0057413A" w:rsidP="0057413A">
      <w:pPr>
        <w:spacing w:after="120" w:line="360" w:lineRule="auto"/>
        <w:jc w:val="both"/>
        <w:rPr>
          <w:rFonts w:ascii="David" w:hAnsi="David"/>
          <w:rtl/>
        </w:rPr>
      </w:pPr>
      <w:r>
        <w:rPr>
          <w:rFonts w:ascii="David" w:hAnsi="David"/>
          <w:rtl/>
        </w:rPr>
        <w:t>במקרה אחד (אישום חמישי) הנאשם מסר להית'ם מס' טלפון של אדם שיוכל למכור לו נשק</w:t>
      </w:r>
      <w:r>
        <w:rPr>
          <w:rFonts w:ascii="David" w:hAnsi="David" w:hint="cs"/>
          <w:rtl/>
        </w:rPr>
        <w:t>,</w:t>
      </w:r>
      <w:r>
        <w:rPr>
          <w:rFonts w:ascii="David" w:hAnsi="David"/>
          <w:rtl/>
        </w:rPr>
        <w:t xml:space="preserve"> </w:t>
      </w:r>
      <w:r>
        <w:rPr>
          <w:rFonts w:ascii="David" w:hAnsi="David" w:hint="cs"/>
          <w:rtl/>
        </w:rPr>
        <w:t>א</w:t>
      </w:r>
      <w:r>
        <w:rPr>
          <w:rFonts w:ascii="David" w:hAnsi="David"/>
          <w:rtl/>
        </w:rPr>
        <w:t>ש</w:t>
      </w:r>
      <w:r>
        <w:rPr>
          <w:rFonts w:ascii="David" w:hAnsi="David" w:hint="cs"/>
          <w:rtl/>
        </w:rPr>
        <w:t xml:space="preserve">ר </w:t>
      </w:r>
      <w:r>
        <w:rPr>
          <w:rFonts w:ascii="David" w:hAnsi="David"/>
          <w:rtl/>
        </w:rPr>
        <w:t>טיבו לא ידוע</w:t>
      </w:r>
      <w:r>
        <w:rPr>
          <w:rFonts w:ascii="David" w:hAnsi="David" w:hint="cs"/>
          <w:rtl/>
        </w:rPr>
        <w:t xml:space="preserve"> (אם כי ידוע שמחירו כ- 22,000 ש"ח)</w:t>
      </w:r>
      <w:r>
        <w:rPr>
          <w:rFonts w:ascii="David" w:hAnsi="David"/>
          <w:rtl/>
        </w:rPr>
        <w:t xml:space="preserve">. בשני מקרים אחרים הנאשם קשר עם הית'ם לקנות תחמושת לרובה </w:t>
      </w:r>
      <w:r>
        <w:rPr>
          <w:rFonts w:ascii="David" w:hAnsi="David"/>
        </w:rPr>
        <w:t>M16</w:t>
      </w:r>
      <w:r>
        <w:rPr>
          <w:rFonts w:ascii="David" w:hAnsi="David"/>
          <w:rtl/>
        </w:rPr>
        <w:t xml:space="preserve">, במקרה אחד הדבר היה על מנת למכור את התחמושת בעבור רווח </w:t>
      </w:r>
      <w:r>
        <w:rPr>
          <w:rFonts w:ascii="David" w:hAnsi="David"/>
          <w:rtl/>
        </w:rPr>
        <w:lastRenderedPageBreak/>
        <w:t xml:space="preserve">כספי, ובמקרה השני הרקע לקניה לא פורש בכתב האישום, אך הנאשם ניסה לקנות מאותו אדם גם רובה </w:t>
      </w:r>
      <w:r>
        <w:rPr>
          <w:rFonts w:ascii="David" w:hAnsi="David"/>
        </w:rPr>
        <w:t>M16</w:t>
      </w:r>
      <w:r>
        <w:rPr>
          <w:rFonts w:ascii="David" w:hAnsi="David"/>
          <w:rtl/>
        </w:rPr>
        <w:t>, תקני או מאולתר. בשלושת המקרים, העסקאות לא יצאו אל הפועל ונשק או תחמושת לא החליפו ידיים.</w:t>
      </w:r>
    </w:p>
    <w:p w14:paraId="6BC739C5" w14:textId="77777777" w:rsidR="0057413A" w:rsidRDefault="0057413A" w:rsidP="0057413A">
      <w:pPr>
        <w:spacing w:after="120" w:line="360" w:lineRule="auto"/>
        <w:jc w:val="both"/>
        <w:rPr>
          <w:rFonts w:ascii="David" w:hAnsi="David"/>
          <w:rtl/>
        </w:rPr>
      </w:pPr>
      <w:r>
        <w:rPr>
          <w:rFonts w:ascii="David" w:hAnsi="David"/>
          <w:rtl/>
        </w:rPr>
        <w:t>הנאשם אמנם הורשע בשלוש עבירות של קשר לפשע, אך הרציונלים הנוגעים למניעת עבירות של רכישת נשק, החזקתו והסחר בו יפים, בשינויים המחויבים, גם למקרה זה</w:t>
      </w:r>
      <w:r>
        <w:rPr>
          <w:rFonts w:ascii="David" w:hAnsi="David" w:hint="cs"/>
          <w:rtl/>
        </w:rPr>
        <w:t xml:space="preserve">. </w:t>
      </w:r>
      <w:r>
        <w:rPr>
          <w:rFonts w:ascii="David" w:hAnsi="David"/>
          <w:rtl/>
        </w:rPr>
        <w:t>ר' בהקשר זה ב</w:t>
      </w:r>
      <w:hyperlink r:id="rId10" w:history="1">
        <w:r w:rsidR="001F6C97" w:rsidRPr="001F6C97">
          <w:rPr>
            <w:rFonts w:ascii="David" w:hAnsi="David"/>
            <w:color w:val="0000FF"/>
            <w:u w:val="single"/>
            <w:rtl/>
          </w:rPr>
          <w:t>ע"פ 587/22</w:t>
        </w:r>
      </w:hyperlink>
      <w:r>
        <w:rPr>
          <w:rFonts w:ascii="David" w:hAnsi="David"/>
          <w:rtl/>
        </w:rPr>
        <w:t xml:space="preserve"> אבו נאעסה</w:t>
      </w:r>
      <w:r>
        <w:rPr>
          <w:rFonts w:ascii="David" w:hAnsi="David" w:hint="cs"/>
          <w:rtl/>
        </w:rPr>
        <w:t>, אשר ניתן לפני זמן קצר:</w:t>
      </w:r>
    </w:p>
    <w:p w14:paraId="5500190D" w14:textId="77777777" w:rsidR="0057413A" w:rsidRDefault="0057413A" w:rsidP="0057413A">
      <w:pPr>
        <w:spacing w:after="120" w:line="360" w:lineRule="auto"/>
        <w:ind w:left="567" w:right="567"/>
        <w:jc w:val="both"/>
        <w:rPr>
          <w:rFonts w:ascii="David" w:hAnsi="David"/>
          <w:b/>
          <w:bCs/>
          <w:rtl/>
        </w:rPr>
      </w:pPr>
      <w:r>
        <w:rPr>
          <w:rFonts w:ascii="David" w:hAnsi="David"/>
          <w:b/>
          <w:bCs/>
          <w:rtl/>
        </w:rPr>
        <w:t>רבות נכתב בפסיקת בית משפט זה על חומרתן הרבה של עבירות הנשק, אשר הפכו זה מכבר ל"מכת מדינה" (</w:t>
      </w:r>
      <w:hyperlink r:id="rId11" w:history="1">
        <w:r w:rsidR="001F6C97" w:rsidRPr="001F6C97">
          <w:rPr>
            <w:rFonts w:ascii="David" w:hAnsi="David"/>
            <w:b/>
            <w:bCs/>
            <w:color w:val="0000FF"/>
            <w:u w:val="single"/>
            <w:rtl/>
          </w:rPr>
          <w:t>ע"פ 6028/21</w:t>
        </w:r>
      </w:hyperlink>
      <w:r>
        <w:rPr>
          <w:rFonts w:ascii="David" w:hAnsi="David"/>
          <w:b/>
          <w:bCs/>
          <w:rtl/>
        </w:rPr>
        <w:t xml:space="preserve"> </w:t>
      </w:r>
      <w:r>
        <w:rPr>
          <w:rFonts w:ascii="David" w:hAnsi="David" w:hint="cs"/>
          <w:b/>
          <w:bCs/>
          <w:rtl/>
        </w:rPr>
        <w:t xml:space="preserve">אטרש נ' מדינת ישראל, פסקה 9 [פורסם בנבו] (15.5.2022); </w:t>
      </w:r>
      <w:hyperlink r:id="rId12" w:history="1">
        <w:r w:rsidR="001F6C97" w:rsidRPr="001F6C97">
          <w:rPr>
            <w:rFonts w:ascii="David" w:hAnsi="David"/>
            <w:b/>
            <w:bCs/>
            <w:color w:val="0000FF"/>
            <w:u w:val="single"/>
            <w:rtl/>
          </w:rPr>
          <w:t>ע"פ 642/22</w:t>
        </w:r>
      </w:hyperlink>
      <w:r>
        <w:rPr>
          <w:rFonts w:ascii="David" w:hAnsi="David"/>
          <w:b/>
          <w:bCs/>
          <w:rtl/>
        </w:rPr>
        <w:t xml:space="preserve"> </w:t>
      </w:r>
      <w:r>
        <w:rPr>
          <w:rFonts w:ascii="David" w:hAnsi="David" w:hint="cs"/>
          <w:b/>
          <w:bCs/>
          <w:rtl/>
        </w:rPr>
        <w:t xml:space="preserve">פלוני נ' מדינת ישראל, פסקה 3 [פורסם בנבו] (28.4.2022); </w:t>
      </w:r>
      <w:hyperlink r:id="rId13" w:history="1">
        <w:r w:rsidR="001F6C97" w:rsidRPr="001F6C97">
          <w:rPr>
            <w:rFonts w:ascii="David" w:hAnsi="David"/>
            <w:b/>
            <w:bCs/>
            <w:color w:val="0000FF"/>
            <w:u w:val="single"/>
            <w:rtl/>
          </w:rPr>
          <w:t>ע"פ 8965/18</w:t>
        </w:r>
      </w:hyperlink>
      <w:r>
        <w:rPr>
          <w:rFonts w:ascii="David" w:hAnsi="David"/>
          <w:b/>
          <w:bCs/>
          <w:rtl/>
        </w:rPr>
        <w:t xml:space="preserve"> </w:t>
      </w:r>
      <w:r>
        <w:rPr>
          <w:rFonts w:ascii="David" w:hAnsi="David" w:hint="cs"/>
          <w:b/>
          <w:bCs/>
          <w:rtl/>
        </w:rPr>
        <w:t>מחאג'נה נ' מדינת ישראל, פסקה 47 [פורסם בנבו] (3.11.2019)). למרבה הצער, אנו עדים לנזקי עבירות אלו לעיתים תכופות, בדמות פגיעות בגוף או בנפש, ואף אבדן חיי אדם (</w:t>
      </w:r>
      <w:hyperlink r:id="rId14" w:history="1">
        <w:r w:rsidR="001F6C97" w:rsidRPr="001F6C97">
          <w:rPr>
            <w:rFonts w:ascii="David" w:hAnsi="David"/>
            <w:b/>
            <w:bCs/>
            <w:color w:val="0000FF"/>
            <w:u w:val="single"/>
            <w:rtl/>
          </w:rPr>
          <w:t>ע"פ 8869/21</w:t>
        </w:r>
      </w:hyperlink>
      <w:r>
        <w:rPr>
          <w:rFonts w:ascii="David" w:hAnsi="David"/>
          <w:b/>
          <w:bCs/>
          <w:rtl/>
        </w:rPr>
        <w:t xml:space="preserve"> </w:t>
      </w:r>
      <w:r>
        <w:rPr>
          <w:rFonts w:ascii="David" w:hAnsi="David" w:hint="cs"/>
          <w:b/>
          <w:bCs/>
          <w:rtl/>
        </w:rPr>
        <w:t xml:space="preserve">מדינת ישראל נ' קואסמה, פסקה 11 [פורסם בנבו] (13.3.2022); </w:t>
      </w:r>
      <w:hyperlink r:id="rId15" w:history="1">
        <w:r w:rsidR="001F6C97" w:rsidRPr="001F6C97">
          <w:rPr>
            <w:rFonts w:ascii="David" w:hAnsi="David"/>
            <w:b/>
            <w:bCs/>
            <w:color w:val="0000FF"/>
            <w:u w:val="single"/>
            <w:rtl/>
          </w:rPr>
          <w:t>ע"פ 4456/21</w:t>
        </w:r>
      </w:hyperlink>
      <w:r>
        <w:rPr>
          <w:rFonts w:ascii="David" w:hAnsi="David"/>
          <w:b/>
          <w:bCs/>
          <w:rtl/>
        </w:rPr>
        <w:t xml:space="preserve"> </w:t>
      </w:r>
      <w:r>
        <w:rPr>
          <w:rFonts w:ascii="David" w:hAnsi="David" w:hint="cs"/>
          <w:b/>
          <w:bCs/>
          <w:rtl/>
        </w:rPr>
        <w:t>מדינת ישראל נ' אבו עבסה, פסקה 15 [פורסם בנבו] (23.1.2022) (להלן: עניין אבו עבסה)).</w:t>
      </w:r>
    </w:p>
    <w:p w14:paraId="7FCDE382" w14:textId="77777777" w:rsidR="0057413A" w:rsidRDefault="0057413A" w:rsidP="0057413A">
      <w:pPr>
        <w:spacing w:after="120" w:line="360" w:lineRule="auto"/>
        <w:ind w:left="567" w:right="567"/>
        <w:jc w:val="both"/>
        <w:rPr>
          <w:rFonts w:ascii="David" w:hAnsi="David"/>
          <w:b/>
          <w:bCs/>
          <w:rtl/>
        </w:rPr>
      </w:pPr>
      <w:r>
        <w:rPr>
          <w:rFonts w:ascii="David" w:hAnsi="David"/>
          <w:b/>
          <w:bCs/>
          <w:rtl/>
        </w:rPr>
        <w:t>אך לאחרונה עמד בית משפט זה על הצורך לשרש רעה חולה זו מקרבנו, באמצעות ענישה מחמירה ומרתיעה (</w:t>
      </w:r>
      <w:hyperlink r:id="rId16" w:history="1">
        <w:r w:rsidR="001F6C97" w:rsidRPr="001F6C97">
          <w:rPr>
            <w:rFonts w:ascii="David" w:hAnsi="David"/>
            <w:b/>
            <w:bCs/>
            <w:color w:val="0000FF"/>
            <w:u w:val="single"/>
            <w:rtl/>
          </w:rPr>
          <w:t>ע"פ 147/21</w:t>
        </w:r>
      </w:hyperlink>
      <w:r>
        <w:rPr>
          <w:rFonts w:ascii="David" w:hAnsi="David"/>
          <w:b/>
          <w:bCs/>
          <w:rtl/>
        </w:rPr>
        <w:t xml:space="preserve"> </w:t>
      </w:r>
      <w:r>
        <w:rPr>
          <w:rFonts w:ascii="David" w:hAnsi="David" w:hint="cs"/>
          <w:b/>
          <w:bCs/>
          <w:rtl/>
        </w:rPr>
        <w:t xml:space="preserve">מדינת ישראל נ' ביטון, פסקה 10 [פורסם בנבו] (14.2.2021); </w:t>
      </w:r>
      <w:hyperlink r:id="rId17" w:history="1">
        <w:r w:rsidR="001F6C97" w:rsidRPr="001F6C97">
          <w:rPr>
            <w:rFonts w:ascii="David" w:hAnsi="David"/>
            <w:b/>
            <w:bCs/>
            <w:color w:val="0000FF"/>
            <w:u w:val="single"/>
            <w:rtl/>
          </w:rPr>
          <w:t>ע"פ 4406/19</w:t>
        </w:r>
      </w:hyperlink>
      <w:r>
        <w:rPr>
          <w:rFonts w:ascii="David" w:hAnsi="David"/>
          <w:b/>
          <w:bCs/>
          <w:rtl/>
        </w:rPr>
        <w:t xml:space="preserve"> </w:t>
      </w:r>
      <w:r>
        <w:rPr>
          <w:rFonts w:ascii="David" w:hAnsi="David" w:hint="cs"/>
          <w:b/>
          <w:bCs/>
          <w:rtl/>
        </w:rPr>
        <w:t>מדינת ישראל נ' סובח, פסקאות 17-16 [פורסם בנבו] (5.11.2019)); ובפרט נגד מי אשר נוטלים חלק בהפצת כלי נשק שלא כדין:</w:t>
      </w:r>
    </w:p>
    <w:p w14:paraId="189DDFA0" w14:textId="77777777" w:rsidR="0057413A" w:rsidRDefault="0057413A" w:rsidP="0057413A">
      <w:pPr>
        <w:spacing w:after="120" w:line="360" w:lineRule="auto"/>
        <w:ind w:left="1134" w:right="1134"/>
        <w:jc w:val="both"/>
        <w:rPr>
          <w:rFonts w:ascii="David" w:hAnsi="David"/>
          <w:b/>
          <w:bCs/>
          <w:rtl/>
        </w:rPr>
      </w:pPr>
      <w:r>
        <w:rPr>
          <w:rFonts w:ascii="David" w:hAnsi="David"/>
          <w:b/>
          <w:bCs/>
          <w:rtl/>
        </w:rPr>
        <w:t>"...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 (עניין אבו עבסה, פסקה 15).</w:t>
      </w:r>
    </w:p>
    <w:p w14:paraId="7B98B817" w14:textId="77777777" w:rsidR="0057413A" w:rsidRDefault="0057413A" w:rsidP="0057413A">
      <w:pPr>
        <w:spacing w:after="120" w:line="360" w:lineRule="auto"/>
        <w:jc w:val="both"/>
        <w:rPr>
          <w:rFonts w:cs="FrankRuehl"/>
          <w:sz w:val="22"/>
          <w:szCs w:val="28"/>
        </w:rPr>
      </w:pPr>
      <w:r>
        <w:rPr>
          <w:rFonts w:ascii="David" w:hAnsi="David" w:hint="cs"/>
          <w:rtl/>
        </w:rPr>
        <w:t xml:space="preserve">וכן ר' </w:t>
      </w:r>
      <w:hyperlink r:id="rId18" w:history="1">
        <w:r w:rsidR="001F6C97" w:rsidRPr="001F6C97">
          <w:rPr>
            <w:rFonts w:ascii="David" w:hAnsi="David"/>
            <w:color w:val="0000FF"/>
            <w:u w:val="single"/>
            <w:rtl/>
          </w:rPr>
          <w:t>ע"פ 579/22</w:t>
        </w:r>
      </w:hyperlink>
      <w:r>
        <w:rPr>
          <w:rFonts w:ascii="David" w:hAnsi="David" w:hint="cs"/>
          <w:rtl/>
        </w:rPr>
        <w:t>, אגבאריה, שם נפסק</w:t>
      </w:r>
      <w:r>
        <w:rPr>
          <w:rFonts w:ascii="David" w:hAnsi="David"/>
        </w:rPr>
        <w:t xml:space="preserve"> </w:t>
      </w:r>
      <w:r>
        <w:rPr>
          <w:rFonts w:ascii="David" w:hAnsi="David" w:hint="cs"/>
          <w:rtl/>
        </w:rPr>
        <w:t>אך לפני ימים ספורים:</w:t>
      </w:r>
    </w:p>
    <w:p w14:paraId="2CDB48B0" w14:textId="77777777" w:rsidR="0057413A" w:rsidRPr="00542E73" w:rsidRDefault="0057413A" w:rsidP="0057413A">
      <w:pPr>
        <w:spacing w:after="120" w:line="360" w:lineRule="auto"/>
        <w:ind w:left="567" w:right="567"/>
        <w:jc w:val="both"/>
        <w:rPr>
          <w:rFonts w:ascii="David" w:hAnsi="David"/>
          <w:b/>
          <w:bCs/>
          <w:rtl/>
        </w:rPr>
      </w:pPr>
      <w:r w:rsidRPr="00542E73">
        <w:rPr>
          <w:b/>
          <w:bCs/>
          <w:rtl/>
        </w:rPr>
        <w:t>15.</w:t>
      </w:r>
      <w:r w:rsidRPr="00542E73">
        <w:rPr>
          <w:b/>
          <w:bCs/>
          <w:rtl/>
        </w:rPr>
        <w:tab/>
      </w:r>
      <w:r w:rsidRPr="00542E73">
        <w:rPr>
          <w:rFonts w:ascii="David" w:hAnsi="David"/>
          <w:b/>
          <w:bCs/>
          <w:rtl/>
        </w:rPr>
        <w:t xml:space="preserve">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(ראו: </w:t>
      </w:r>
      <w:hyperlink r:id="rId19" w:history="1">
        <w:r w:rsidR="001F6C97" w:rsidRPr="001F6C97">
          <w:rPr>
            <w:rFonts w:ascii="David" w:hAnsi="David"/>
            <w:b/>
            <w:bCs/>
            <w:color w:val="0000FF"/>
            <w:u w:val="single"/>
            <w:rtl/>
          </w:rPr>
          <w:t>ע"פ 1695/22</w:t>
        </w:r>
      </w:hyperlink>
      <w:r w:rsidRPr="00542E73">
        <w:rPr>
          <w:rFonts w:ascii="David" w:hAnsi="David"/>
          <w:b/>
          <w:bCs/>
          <w:rtl/>
        </w:rPr>
        <w:t xml:space="preserve"> מדינת ישראל נ' גנאים, פסקה 11 [פורסם בנבו] (29.3.2022)), והן מהוות בסיס לביצוע פעילות עבריינית, פשיעה לאומנית ופעולות טרור מסכנות חיים (ראו: </w:t>
      </w:r>
      <w:hyperlink r:id="rId20" w:history="1">
        <w:r w:rsidR="001F6C97" w:rsidRPr="001F6C97">
          <w:rPr>
            <w:rFonts w:ascii="David" w:hAnsi="David"/>
            <w:b/>
            <w:bCs/>
            <w:color w:val="0000FF"/>
            <w:u w:val="single"/>
            <w:rtl/>
          </w:rPr>
          <w:t>ע"פ 309/22</w:t>
        </w:r>
      </w:hyperlink>
      <w:r w:rsidRPr="00542E73">
        <w:rPr>
          <w:rFonts w:ascii="David" w:hAnsi="David"/>
          <w:b/>
          <w:bCs/>
          <w:rtl/>
        </w:rPr>
        <w:t xml:space="preserve"> מדינת ישראל נ' ביאדסה, פסקה 6 [פורסם בנבו] (10.5.2022)). זמינותם ונגישותם של כלי נשק בלתי חוקיים מאפשרות שימוש תדיר בנשק ככלי לפתרון סכסוכים, לעיתים תוך ירי באזורי מגורים, וגביית קורבנות בגוף ובנפש. </w:t>
      </w:r>
    </w:p>
    <w:p w14:paraId="73804500" w14:textId="77777777" w:rsidR="0057413A" w:rsidRPr="00542E73" w:rsidRDefault="0057413A" w:rsidP="0057413A">
      <w:pPr>
        <w:spacing w:after="120" w:line="360" w:lineRule="auto"/>
        <w:ind w:left="567" w:right="567"/>
        <w:jc w:val="both"/>
        <w:rPr>
          <w:rFonts w:ascii="David" w:hAnsi="David"/>
          <w:b/>
          <w:bCs/>
        </w:rPr>
      </w:pPr>
      <w:r w:rsidRPr="00542E73">
        <w:rPr>
          <w:rFonts w:ascii="David" w:hAnsi="David"/>
          <w:b/>
          <w:bCs/>
          <w:rtl/>
        </w:rPr>
        <w:t>16.</w:t>
      </w:r>
      <w:r w:rsidRPr="00542E73">
        <w:rPr>
          <w:rFonts w:ascii="David" w:hAnsi="David"/>
          <w:b/>
          <w:bCs/>
          <w:rtl/>
        </w:rPr>
        <w:tab/>
        <w:t xml:space="preserve">בית משפט זה עמד לא אחת על כך שתרומתם העיקרית של בתי המשפט למיגור תופעת עבריינות הנשק ונגזרותיה היא בהטלת עונשים חמורים ומרתיעים על עברייני הנשק (ראו: </w:t>
      </w:r>
      <w:hyperlink r:id="rId21" w:history="1">
        <w:r w:rsidR="001F6C97" w:rsidRPr="001F6C97">
          <w:rPr>
            <w:rFonts w:ascii="David" w:hAnsi="David"/>
            <w:b/>
            <w:bCs/>
            <w:color w:val="0000FF"/>
            <w:u w:val="single"/>
            <w:rtl/>
          </w:rPr>
          <w:t>ע"פ 147/21</w:t>
        </w:r>
      </w:hyperlink>
      <w:r w:rsidRPr="00542E73">
        <w:rPr>
          <w:rFonts w:ascii="David" w:hAnsi="David"/>
          <w:b/>
          <w:bCs/>
          <w:rtl/>
        </w:rPr>
        <w:t xml:space="preserve"> מדינת ישראל נ' ביטון, פסקה 10 [פורסם בנבו] (</w:t>
      </w:r>
      <w:r w:rsidRPr="00542E73">
        <w:rPr>
          <w:rFonts w:ascii="David" w:hAnsi="David"/>
          <w:b/>
          <w:bCs/>
        </w:rPr>
        <w:t>14.2.2021</w:t>
      </w:r>
      <w:r w:rsidRPr="00542E73">
        <w:rPr>
          <w:rFonts w:ascii="David" w:hAnsi="David"/>
          <w:b/>
          <w:bCs/>
          <w:rtl/>
        </w:rPr>
        <w:t>)). לאחרונה באה מגמה זו לידי ביטוי גם בחקיקה, במסגרת תיקון 140 ל</w:t>
      </w:r>
      <w:hyperlink r:id="rId22" w:history="1">
        <w:r w:rsidR="001F6C97" w:rsidRPr="001F6C97">
          <w:rPr>
            <w:rFonts w:ascii="David" w:hAnsi="David"/>
            <w:b/>
            <w:bCs/>
            <w:color w:val="0000FF"/>
            <w:u w:val="single"/>
            <w:rtl/>
          </w:rPr>
          <w:t>חוק העונשין</w:t>
        </w:r>
      </w:hyperlink>
      <w:r w:rsidRPr="00542E73">
        <w:rPr>
          <w:rFonts w:ascii="David" w:hAnsi="David"/>
          <w:b/>
          <w:bCs/>
          <w:rtl/>
        </w:rPr>
        <w:t xml:space="preserve">, בו נקבעו עונשי מינימום לעבירות נשק, באופן שככלל, העונש שיושת בגין עבירות אלו, לא יפחת מרבע העונש המרבי שנקבע לעבירה (ראו: חוק העונשין (תיקון 140 – הוראת שעה), התשפ"ב-2021, ס"ח 2938). אומנם הוראותיו של תיקון זה אינם חלים בענייננו, אך יש בהן כדי להמחיש את מגמת ההחמרה בענישה על עבירות הנשק גם בהיבט החקיקתי. </w:t>
      </w:r>
    </w:p>
    <w:p w14:paraId="1AE412A1" w14:textId="77777777" w:rsidR="0057413A" w:rsidRDefault="0057413A" w:rsidP="0057413A">
      <w:pPr>
        <w:spacing w:after="120" w:line="360" w:lineRule="auto"/>
        <w:jc w:val="both"/>
        <w:rPr>
          <w:rFonts w:ascii="David" w:hAnsi="David"/>
        </w:rPr>
      </w:pPr>
      <w:r>
        <w:rPr>
          <w:rFonts w:ascii="David" w:hAnsi="David"/>
          <w:rtl/>
        </w:rPr>
        <w:t>עם זאת, יש להביא בחשבון כי בסופו של דבר מעשיו של הנאשם התמצו במחשבות ותכניות, והביטוי החיצוני היחיד שקיבלו היה מספר שיחות טלפון בין הנאשם והית'ם לבין אחרים, אך בסופו של יום הנאשם והית'ם לא רכשו – וממילא לא מכרו - דבר.</w:t>
      </w:r>
    </w:p>
    <w:p w14:paraId="3AAB6741" w14:textId="77777777" w:rsidR="0057413A" w:rsidRDefault="0057413A" w:rsidP="0057413A">
      <w:pPr>
        <w:spacing w:after="120" w:line="360" w:lineRule="auto"/>
        <w:jc w:val="both"/>
        <w:rPr>
          <w:rFonts w:ascii="David" w:hAnsi="David"/>
          <w:b/>
          <w:bCs/>
          <w:rtl/>
        </w:rPr>
      </w:pPr>
      <w:r>
        <w:rPr>
          <w:rFonts w:ascii="David" w:hAnsi="David"/>
          <w:b/>
          <w:bCs/>
          <w:rtl/>
        </w:rPr>
        <w:t>ענשו של הית'ם</w:t>
      </w:r>
    </w:p>
    <w:p w14:paraId="5CA50E5D" w14:textId="77777777" w:rsidR="0057413A" w:rsidRDefault="0057413A" w:rsidP="0057413A">
      <w:pPr>
        <w:spacing w:after="120" w:line="360" w:lineRule="auto"/>
        <w:jc w:val="both"/>
        <w:rPr>
          <w:rFonts w:ascii="David" w:hAnsi="David"/>
          <w:spacing w:val="10"/>
          <w:rtl/>
        </w:rPr>
      </w:pPr>
      <w:r>
        <w:rPr>
          <w:rFonts w:ascii="David" w:hAnsi="David"/>
          <w:rtl/>
        </w:rPr>
        <w:t>שותפו של הנאשם לקשר, הית'ם, נדון בהליך נפרד בבית המשפט המחוזי, והוא הורשע בעבירות נוספות של סחר בנשק, רכישת נשק והחזקת נשק. וכך נקבע בעניינו (</w:t>
      </w:r>
      <w:hyperlink r:id="rId23" w:history="1">
        <w:r w:rsidR="001F6C97" w:rsidRPr="001F6C97">
          <w:rPr>
            <w:rFonts w:ascii="David" w:hAnsi="David"/>
            <w:color w:val="0000FF"/>
            <w:u w:val="single"/>
            <w:rtl/>
          </w:rPr>
          <w:t>ת"פ 36505-12-20</w:t>
        </w:r>
      </w:hyperlink>
      <w:r>
        <w:rPr>
          <w:rFonts w:ascii="David" w:hAnsi="David"/>
          <w:rtl/>
        </w:rPr>
        <w:t>, כב' הש' כהן-לקח, גזר דין מיום 23.3.22):</w:t>
      </w:r>
    </w:p>
    <w:p w14:paraId="4324F940" w14:textId="77777777" w:rsidR="0057413A" w:rsidRDefault="0057413A" w:rsidP="0057413A">
      <w:pPr>
        <w:spacing w:after="120" w:line="360" w:lineRule="auto"/>
        <w:ind w:left="567" w:right="567"/>
        <w:jc w:val="both"/>
        <w:rPr>
          <w:rFonts w:ascii="David" w:hAnsi="David"/>
          <w:b/>
          <w:bCs/>
        </w:rPr>
      </w:pPr>
      <w:r>
        <w:rPr>
          <w:rFonts w:ascii="David" w:hAnsi="David"/>
          <w:b/>
          <w:bCs/>
          <w:rtl/>
        </w:rPr>
        <w:t>בהתחשב בערכים שנפגעו ובעוצמת הפגיעה בערכים אלה; בנסיבות ביצוע כלל העבירות; במדיניות הענישה הנוהגת; ובעקרון ההלימה המהווה עקרון מנחה בענישה; אני סבורה כי</w:t>
      </w:r>
      <w:r>
        <w:rPr>
          <w:rFonts w:ascii="David" w:hAnsi="David"/>
          <w:b/>
          <w:bCs/>
        </w:rPr>
        <w:t xml:space="preserve"> </w:t>
      </w:r>
      <w:r>
        <w:rPr>
          <w:rFonts w:ascii="David" w:hAnsi="David"/>
          <w:b/>
          <w:bCs/>
          <w:rtl/>
        </w:rPr>
        <w:t>מתחם העונש ההולם</w:t>
      </w:r>
      <w:r>
        <w:rPr>
          <w:rFonts w:ascii="David" w:hAnsi="David"/>
          <w:b/>
          <w:bCs/>
        </w:rPr>
        <w:t xml:space="preserve"> </w:t>
      </w:r>
      <w:r>
        <w:rPr>
          <w:rFonts w:ascii="David" w:hAnsi="David"/>
          <w:b/>
          <w:bCs/>
          <w:rtl/>
        </w:rPr>
        <w:t>בגין שבעת האישומים בהם הורשע הנאשם, שכוללים שלוש עבירות של סחר בנשק (שני 16-</w:t>
      </w:r>
      <w:r>
        <w:rPr>
          <w:rFonts w:ascii="David" w:hAnsi="David"/>
          <w:b/>
          <w:bCs/>
        </w:rPr>
        <w:t>M</w:t>
      </w:r>
      <w:r>
        <w:rPr>
          <w:rFonts w:ascii="David" w:hAnsi="David"/>
          <w:b/>
          <w:bCs/>
          <w:rtl/>
        </w:rPr>
        <w:t xml:space="preserve"> מוסבים ורובה עוזי אחד עם שתי מחסניות), שלוש עבירות של רכישה והחזקה של נשק (רובה 16-</w:t>
      </w:r>
      <w:r>
        <w:rPr>
          <w:rFonts w:ascii="David" w:hAnsi="David"/>
          <w:b/>
          <w:bCs/>
        </w:rPr>
        <w:t>M</w:t>
      </w:r>
      <w:r>
        <w:rPr>
          <w:rFonts w:ascii="David" w:hAnsi="David"/>
          <w:b/>
          <w:bCs/>
          <w:rtl/>
        </w:rPr>
        <w:t xml:space="preserve"> עם מחסנית ורצועה, וכן שני 16-</w:t>
      </w:r>
      <w:r>
        <w:rPr>
          <w:rFonts w:ascii="David" w:hAnsi="David"/>
          <w:b/>
          <w:bCs/>
        </w:rPr>
        <w:t>M</w:t>
      </w:r>
      <w:r>
        <w:rPr>
          <w:rFonts w:ascii="David" w:hAnsi="David"/>
          <w:b/>
          <w:bCs/>
          <w:rtl/>
        </w:rPr>
        <w:t xml:space="preserve"> מוסבים שנמכרו לאחרים לאחר רכישתם), שלוש עבירות של קשירת קשר לביצוע פשע מסוג סחר בנשק או בתחמושת, ועבירה אחת של ניסיון לסחר בתחמושת – הנו מ-6 עד 10 שנות מאסר בפועל. </w:t>
      </w:r>
    </w:p>
    <w:p w14:paraId="7C7AE290" w14:textId="77777777" w:rsidR="0057413A" w:rsidRDefault="0057413A" w:rsidP="0057413A">
      <w:pPr>
        <w:spacing w:after="120" w:line="360" w:lineRule="auto"/>
        <w:jc w:val="both"/>
        <w:rPr>
          <w:rFonts w:ascii="David" w:hAnsi="David"/>
          <w:rtl/>
        </w:rPr>
      </w:pPr>
      <w:r>
        <w:rPr>
          <w:rFonts w:ascii="David" w:hAnsi="David"/>
          <w:rtl/>
        </w:rPr>
        <w:t>לצד זאת ציין בית המשפט בעניינו של הית'ם, כי:</w:t>
      </w:r>
    </w:p>
    <w:p w14:paraId="1152B81C" w14:textId="77777777" w:rsidR="0057413A" w:rsidRDefault="0057413A" w:rsidP="0057413A">
      <w:pPr>
        <w:spacing w:after="120" w:line="360" w:lineRule="auto"/>
        <w:ind w:left="567" w:right="567"/>
        <w:jc w:val="both"/>
        <w:rPr>
          <w:rFonts w:ascii="David" w:hAnsi="David"/>
          <w:b/>
          <w:bCs/>
          <w:rtl/>
        </w:rPr>
      </w:pPr>
      <w:r>
        <w:rPr>
          <w:rFonts w:ascii="David" w:hAnsi="David"/>
          <w:b/>
          <w:bCs/>
          <w:rtl/>
        </w:rPr>
        <w:t>למען שלמות התמונה וטרם קביעת המתחם, אציין כי יש לראות בחומרה לא רק את העבירות של סחר ורכישת נשק, אלא גם את העבירה של קשירת קשר לביצוע עבירות אלה. אמנם, במסגרת העבירה של קשירת קשר, המכירה או הרכישה של הנשק לא יוצאות אל הפועל. עם זאת, קשירת הקשר כשלעצמה מקימה פוטנציאל לפגיעה משמעותית בשלום הציבור ובביטחונו. לא פעם הקושרים מעוניינים בהגשמת תכניתם, והעדר מימושה נובע מנסיבות חיצוניות שבלעדיהן התכנית העבריינית הייתה מתממשת. מכאן הסיכון הטמון בעבירה זו.</w:t>
      </w:r>
    </w:p>
    <w:p w14:paraId="2D6DBF26" w14:textId="77777777" w:rsidR="0057413A" w:rsidRDefault="0057413A" w:rsidP="0057413A">
      <w:pPr>
        <w:spacing w:after="120" w:line="360" w:lineRule="auto"/>
        <w:jc w:val="both"/>
        <w:rPr>
          <w:rFonts w:ascii="David" w:hAnsi="David"/>
          <w:rtl/>
        </w:rPr>
      </w:pPr>
      <w:r>
        <w:rPr>
          <w:rFonts w:ascii="David" w:hAnsi="David"/>
          <w:rtl/>
        </w:rPr>
        <w:t xml:space="preserve">בקביעת מתחם העונש אביא בחשבון את מכלול הנתונים האופפים את המקרה, ובהם מצד אחד ריבוי המקרים והרצון לקנות רובה מסוג </w:t>
      </w:r>
      <w:r>
        <w:rPr>
          <w:rFonts w:ascii="David" w:hAnsi="David"/>
        </w:rPr>
        <w:t>M16</w:t>
      </w:r>
      <w:r>
        <w:rPr>
          <w:rFonts w:ascii="David" w:hAnsi="David"/>
          <w:rtl/>
        </w:rPr>
        <w:t xml:space="preserve"> תקני לצורך מכירתו ותחמושת, ומנגד את העובדה שבסופו של יום המעשים התמצו במספר שיחות טלפון ולא מעבר לכך. עוד אביא בחשבון כי מעובדות האישום עולה שעל פי הקשר, הגורם הפעיל בעסקאות אמור היה הית'ם, שהרי הנאשם היה עצור בזמן המעשים ותרומתו לקידום העסקאות (שכאמור לא בוצעו) התמצתה בהשגת מספרי טלפון של סוחרי נשק ושיחות בודדות וכן אביא בחשבון את העונש אשר נגזר על הית'ם, בגין שורת מעשים חמורים בהרבה.</w:t>
      </w:r>
    </w:p>
    <w:p w14:paraId="664AD863" w14:textId="77777777" w:rsidR="0057413A" w:rsidRDefault="0057413A" w:rsidP="0057413A">
      <w:pPr>
        <w:spacing w:after="120" w:line="360" w:lineRule="auto"/>
        <w:jc w:val="both"/>
        <w:rPr>
          <w:rFonts w:ascii="David" w:hAnsi="David"/>
          <w:rtl/>
        </w:rPr>
      </w:pPr>
      <w:r>
        <w:rPr>
          <w:rFonts w:ascii="David" w:hAnsi="David"/>
          <w:rtl/>
        </w:rPr>
        <w:t>בשים לב לאלה, מתחם העונש ההולם את מעשיו של הנאשם הוא מאסר, לתקופה שבין שנה וחצי ועד שלוש שנים.</w:t>
      </w:r>
    </w:p>
    <w:p w14:paraId="605C4805" w14:textId="77777777" w:rsidR="0057413A" w:rsidRDefault="0057413A" w:rsidP="0057413A">
      <w:pPr>
        <w:spacing w:after="120" w:line="360" w:lineRule="auto"/>
        <w:jc w:val="both"/>
        <w:rPr>
          <w:rFonts w:ascii="David" w:hAnsi="David"/>
          <w:b/>
          <w:bCs/>
          <w:rtl/>
        </w:rPr>
      </w:pPr>
      <w:r>
        <w:rPr>
          <w:rFonts w:ascii="David" w:hAnsi="David"/>
          <w:b/>
          <w:bCs/>
          <w:rtl/>
        </w:rPr>
        <w:t>נתונים שאינם קשורים למעשים:</w:t>
      </w:r>
    </w:p>
    <w:p w14:paraId="4F43E3E6" w14:textId="77777777" w:rsidR="0057413A" w:rsidRDefault="0057413A" w:rsidP="0057413A">
      <w:pPr>
        <w:spacing w:after="120" w:line="360" w:lineRule="auto"/>
        <w:jc w:val="both"/>
        <w:rPr>
          <w:rFonts w:ascii="David" w:hAnsi="David"/>
          <w:rtl/>
        </w:rPr>
      </w:pPr>
      <w:r>
        <w:rPr>
          <w:rFonts w:ascii="David" w:hAnsi="David"/>
          <w:rtl/>
        </w:rPr>
        <w:t>הנאשם יליד 1997, רווק.</w:t>
      </w:r>
    </w:p>
    <w:p w14:paraId="7A8AC099" w14:textId="77777777" w:rsidR="0057413A" w:rsidRDefault="0057413A" w:rsidP="0057413A">
      <w:pPr>
        <w:spacing w:after="120" w:line="360" w:lineRule="auto"/>
        <w:jc w:val="both"/>
        <w:rPr>
          <w:rFonts w:ascii="David" w:hAnsi="David"/>
          <w:rtl/>
        </w:rPr>
      </w:pPr>
      <w:r>
        <w:rPr>
          <w:rFonts w:ascii="David" w:hAnsi="David"/>
          <w:rtl/>
        </w:rPr>
        <w:t>בעת ביצוע המעשים (ולמעשה מאז שנת 2017) הנאשם היה עצור עד תום ההליכים, ולאחר ביצועם הורשע ברצח, חטיפה ועבירות נוספות, ונדון ל- 28 שנות מאסר.</w:t>
      </w:r>
    </w:p>
    <w:p w14:paraId="380BA9D0" w14:textId="77777777" w:rsidR="0057413A" w:rsidRDefault="0057413A" w:rsidP="0057413A">
      <w:pPr>
        <w:spacing w:after="120" w:line="360" w:lineRule="auto"/>
        <w:jc w:val="both"/>
        <w:rPr>
          <w:rFonts w:ascii="David" w:hAnsi="David"/>
          <w:b/>
          <w:bCs/>
          <w:rtl/>
        </w:rPr>
      </w:pPr>
      <w:r>
        <w:rPr>
          <w:rFonts w:ascii="David" w:hAnsi="David"/>
          <w:b/>
          <w:bCs/>
          <w:rtl/>
        </w:rPr>
        <w:t>דיון והכרעה</w:t>
      </w:r>
    </w:p>
    <w:p w14:paraId="327E70B2" w14:textId="77777777" w:rsidR="0057413A" w:rsidRDefault="0057413A" w:rsidP="0057413A">
      <w:pPr>
        <w:spacing w:after="120" w:line="360" w:lineRule="auto"/>
        <w:jc w:val="both"/>
        <w:rPr>
          <w:rFonts w:ascii="David" w:hAnsi="David"/>
          <w:rtl/>
        </w:rPr>
      </w:pPr>
      <w:r>
        <w:rPr>
          <w:rFonts w:ascii="David" w:hAnsi="David"/>
          <w:rtl/>
        </w:rPr>
        <w:t>לזכות הנאשם הבאתי בחשבון את הודאתו במיוחס לו, גילו הצעיר והעובדה שבעת ביצוע המעשים לא היו לחובתו הרשעות קודמות. מנגד הבאתי בחשבון, כי זמן קצר לאחר ביצוע המעשים נגזר על הנאשם עונש של 28 שנים בשל החמורות שבעבירות שבספר החוקים, ובעת שביצע את המעשים היה עצור עד תום ההליכים בגין אותן עבירות – והדבר לא הרתיעו מלבצע את עבירות מתוך בית הסוהר.</w:t>
      </w:r>
    </w:p>
    <w:p w14:paraId="37B6383A" w14:textId="77777777" w:rsidR="0057413A" w:rsidRDefault="0057413A" w:rsidP="0057413A">
      <w:pPr>
        <w:spacing w:after="120" w:line="360" w:lineRule="auto"/>
        <w:jc w:val="both"/>
        <w:rPr>
          <w:rFonts w:ascii="David" w:hAnsi="David"/>
          <w:rtl/>
        </w:rPr>
      </w:pPr>
      <w:r>
        <w:rPr>
          <w:rFonts w:ascii="David" w:hAnsi="David"/>
          <w:rtl/>
        </w:rPr>
        <w:t>לאור נתונים אלו, אשית על הנאשם עונש בצידו הנמוך של המתחם, אך לא בתחתיתו. כמו כן, בשים לב למכלול הנתונים האמורים, ובהם תקופת המאסר הארוכה שנגזרה על הנאשם ולכך שברירת המחדל שבדין (</w:t>
      </w:r>
      <w:hyperlink r:id="rId24" w:history="1">
        <w:r w:rsidR="000255C2" w:rsidRPr="000255C2">
          <w:rPr>
            <w:rStyle w:val="Hyperlink"/>
            <w:rFonts w:ascii="David" w:hAnsi="David"/>
            <w:rtl/>
          </w:rPr>
          <w:t>סע' 45(ב)</w:t>
        </w:r>
      </w:hyperlink>
      <w:r>
        <w:rPr>
          <w:rFonts w:ascii="David" w:hAnsi="David"/>
          <w:rtl/>
        </w:rPr>
        <w:t xml:space="preserve"> ל</w:t>
      </w:r>
      <w:hyperlink r:id="rId25" w:history="1">
        <w:r w:rsidR="001F6C97" w:rsidRPr="001F6C97">
          <w:rPr>
            <w:rFonts w:ascii="David" w:hAnsi="David"/>
            <w:color w:val="0000FF"/>
            <w:u w:val="single"/>
            <w:rtl/>
          </w:rPr>
          <w:t>חוק העונשין</w:t>
        </w:r>
      </w:hyperlink>
      <w:r>
        <w:rPr>
          <w:rFonts w:ascii="David" w:hAnsi="David"/>
          <w:rtl/>
        </w:rPr>
        <w:t xml:space="preserve">) היא, כי עונשים </w:t>
      </w:r>
      <w:r>
        <w:rPr>
          <w:rFonts w:ascii="David" w:hAnsi="David" w:hint="cs"/>
          <w:rtl/>
        </w:rPr>
        <w:t>נפרדים</w:t>
      </w:r>
      <w:r>
        <w:rPr>
          <w:rFonts w:ascii="David" w:hAnsi="David"/>
          <w:rtl/>
        </w:rPr>
        <w:t xml:space="preserve"> שהוטלו ירוצו בחופף, אחפוף מחצית מתקופת המאסר אותה אשית על הנאשם לעונש בו הוא נושא עתה.</w:t>
      </w:r>
    </w:p>
    <w:p w14:paraId="6497E18F" w14:textId="77777777" w:rsidR="0057413A" w:rsidRDefault="0057413A" w:rsidP="0057413A">
      <w:pPr>
        <w:spacing w:after="120" w:line="360" w:lineRule="auto"/>
        <w:jc w:val="both"/>
        <w:rPr>
          <w:rFonts w:ascii="David" w:hAnsi="David"/>
          <w:b/>
          <w:bCs/>
          <w:rtl/>
        </w:rPr>
      </w:pPr>
      <w:r>
        <w:rPr>
          <w:rFonts w:ascii="David" w:hAnsi="David"/>
          <w:b/>
          <w:bCs/>
          <w:rtl/>
        </w:rPr>
        <w:t>לפיכך גוזר על הנאשם את העונשים הבאים:</w:t>
      </w:r>
    </w:p>
    <w:p w14:paraId="31B518A5" w14:textId="77777777" w:rsidR="0057413A" w:rsidRDefault="0057413A" w:rsidP="0057413A">
      <w:pPr>
        <w:pStyle w:val="a9"/>
        <w:numPr>
          <w:ilvl w:val="0"/>
          <w:numId w:val="1"/>
        </w:numPr>
        <w:spacing w:after="120" w:line="360" w:lineRule="auto"/>
        <w:ind w:left="357" w:hanging="357"/>
        <w:jc w:val="both"/>
        <w:rPr>
          <w:rFonts w:ascii="David" w:hAnsi="David" w:cs="David"/>
          <w:sz w:val="24"/>
          <w:szCs w:val="24"/>
          <w:rtl/>
        </w:rPr>
      </w:pPr>
      <w:r>
        <w:rPr>
          <w:rFonts w:ascii="David" w:hAnsi="David" w:cs="David"/>
          <w:sz w:val="24"/>
          <w:szCs w:val="24"/>
          <w:rtl/>
        </w:rPr>
        <w:t>שנתיים מאסר בפועל. מתוך תקופה זו, שנה אחת תצטבר לעונש של 28 שנות מאסר שהוטל על הנאשם ב</w:t>
      </w:r>
      <w:hyperlink r:id="rId26" w:history="1">
        <w:r w:rsidR="001F6C97" w:rsidRPr="001F6C97">
          <w:rPr>
            <w:rFonts w:ascii="David" w:hAnsi="David" w:cs="David"/>
            <w:color w:val="0000FF"/>
            <w:sz w:val="24"/>
            <w:szCs w:val="24"/>
            <w:u w:val="single"/>
            <w:rtl/>
          </w:rPr>
          <w:t>תפ"ח 5228-11-17</w:t>
        </w:r>
      </w:hyperlink>
      <w:r>
        <w:rPr>
          <w:rFonts w:ascii="David" w:hAnsi="David" w:cs="David"/>
          <w:sz w:val="24"/>
          <w:szCs w:val="24"/>
          <w:rtl/>
        </w:rPr>
        <w:t xml:space="preserve"> ושנה תחפוף לו.</w:t>
      </w:r>
    </w:p>
    <w:p w14:paraId="0B7F48C9" w14:textId="77777777" w:rsidR="0057413A" w:rsidRDefault="0057413A" w:rsidP="0057413A">
      <w:pPr>
        <w:pStyle w:val="a9"/>
        <w:numPr>
          <w:ilvl w:val="0"/>
          <w:numId w:val="1"/>
        </w:numPr>
        <w:spacing w:after="120" w:line="360" w:lineRule="auto"/>
        <w:ind w:left="357" w:hanging="357"/>
        <w:jc w:val="both"/>
        <w:rPr>
          <w:rFonts w:ascii="David" w:hAnsi="David" w:cs="David"/>
          <w:sz w:val="24"/>
          <w:szCs w:val="24"/>
        </w:rPr>
      </w:pPr>
      <w:r>
        <w:rPr>
          <w:rFonts w:ascii="David" w:hAnsi="David" w:cs="David"/>
          <w:sz w:val="24"/>
          <w:szCs w:val="24"/>
          <w:rtl/>
        </w:rPr>
        <w:t xml:space="preserve">ארבעה חודשי מאסר בו לא יישא אלא אם יעבור תוך שנתיים לאחר שחרורו עבירה של קשר לפשע או כל עבירה על </w:t>
      </w:r>
      <w:hyperlink r:id="rId27" w:history="1">
        <w:r w:rsidR="000255C2" w:rsidRPr="000255C2">
          <w:rPr>
            <w:rStyle w:val="Hyperlink"/>
            <w:rFonts w:ascii="David" w:hAnsi="David" w:cs="David"/>
            <w:sz w:val="24"/>
            <w:szCs w:val="24"/>
            <w:rtl/>
          </w:rPr>
          <w:t>סע' 144</w:t>
        </w:r>
      </w:hyperlink>
      <w:r>
        <w:rPr>
          <w:rFonts w:ascii="David" w:hAnsi="David" w:cs="David"/>
          <w:sz w:val="24"/>
          <w:szCs w:val="24"/>
          <w:rtl/>
        </w:rPr>
        <w:t xml:space="preserve"> ל</w:t>
      </w:r>
      <w:hyperlink r:id="rId28" w:history="1">
        <w:r w:rsidR="001F6C97" w:rsidRPr="001F6C97">
          <w:rPr>
            <w:rFonts w:ascii="David" w:hAnsi="David" w:cs="David"/>
            <w:color w:val="0000FF"/>
            <w:sz w:val="24"/>
            <w:szCs w:val="24"/>
            <w:u w:val="single"/>
            <w:rtl/>
          </w:rPr>
          <w:t>חוק העונשין</w:t>
        </w:r>
      </w:hyperlink>
      <w:r>
        <w:rPr>
          <w:rFonts w:ascii="David" w:hAnsi="David" w:cs="David"/>
          <w:sz w:val="24"/>
          <w:szCs w:val="24"/>
          <w:rtl/>
        </w:rPr>
        <w:t>.</w:t>
      </w:r>
    </w:p>
    <w:p w14:paraId="2D180E81" w14:textId="77777777" w:rsidR="0057413A" w:rsidRPr="001F6C97" w:rsidRDefault="001F6C97" w:rsidP="0057413A">
      <w:pPr>
        <w:spacing w:after="120" w:line="360" w:lineRule="auto"/>
        <w:jc w:val="both"/>
        <w:rPr>
          <w:rFonts w:ascii="David" w:hAnsi="David"/>
          <w:color w:val="FFFFFF"/>
          <w:sz w:val="2"/>
          <w:szCs w:val="2"/>
          <w:rtl/>
        </w:rPr>
      </w:pPr>
      <w:r w:rsidRPr="001F6C97">
        <w:rPr>
          <w:rFonts w:ascii="David" w:hAnsi="David"/>
          <w:color w:val="FFFFFF"/>
          <w:sz w:val="2"/>
          <w:szCs w:val="2"/>
          <w:rtl/>
        </w:rPr>
        <w:t>5129371</w:t>
      </w:r>
    </w:p>
    <w:p w14:paraId="0EF12948" w14:textId="77777777" w:rsidR="0057413A" w:rsidRDefault="001F6C97" w:rsidP="0057413A">
      <w:pPr>
        <w:spacing w:after="120" w:line="360" w:lineRule="auto"/>
        <w:jc w:val="both"/>
        <w:rPr>
          <w:rFonts w:ascii="David" w:hAnsi="David"/>
          <w:rtl/>
        </w:rPr>
      </w:pPr>
      <w:r w:rsidRPr="001F6C97">
        <w:rPr>
          <w:rFonts w:ascii="David" w:hAnsi="David"/>
          <w:color w:val="FFFFFF"/>
          <w:sz w:val="2"/>
          <w:szCs w:val="2"/>
          <w:rtl/>
        </w:rPr>
        <w:t>54678313</w:t>
      </w:r>
      <w:r w:rsidR="0057413A">
        <w:rPr>
          <w:rFonts w:ascii="David" w:hAnsi="David"/>
          <w:rtl/>
        </w:rPr>
        <w:t>זכות ערעור לבית המשפט המחוזי בירושלים תוך 45 יום</w:t>
      </w:r>
      <w:r w:rsidR="0057413A">
        <w:rPr>
          <w:rFonts w:ascii="David" w:hAnsi="David" w:hint="cs"/>
          <w:rtl/>
        </w:rPr>
        <w:t>.</w:t>
      </w:r>
    </w:p>
    <w:p w14:paraId="54C96E65" w14:textId="77777777" w:rsidR="0057413A" w:rsidRDefault="0057413A" w:rsidP="0057413A">
      <w:pPr>
        <w:spacing w:after="120" w:line="360" w:lineRule="auto"/>
        <w:jc w:val="both"/>
        <w:rPr>
          <w:rFonts w:ascii="David" w:hAnsi="David"/>
          <w:rtl/>
        </w:rPr>
      </w:pPr>
    </w:p>
    <w:p w14:paraId="4E9CFE38" w14:textId="77777777" w:rsidR="0057413A" w:rsidRDefault="001F6C97" w:rsidP="0057413A">
      <w:pPr>
        <w:rPr>
          <w:rFonts w:cs="FrankRuehl"/>
          <w:sz w:val="28"/>
          <w:szCs w:val="28"/>
          <w:rtl/>
        </w:rPr>
      </w:pPr>
      <w:bookmarkStart w:id="8" w:name="Nitan"/>
      <w:r>
        <w:rPr>
          <w:rFonts w:ascii="Arial" w:hAnsi="Arial"/>
          <w:rtl/>
        </w:rPr>
        <w:t xml:space="preserve">ניתן היום,  כ' סיוון תשפ"ב, 19 יוני 2022, בנוכחות הצדדים. </w:t>
      </w:r>
      <w:bookmarkEnd w:id="8"/>
    </w:p>
    <w:p w14:paraId="77D188E6" w14:textId="77777777" w:rsidR="0057413A" w:rsidRPr="00542E73" w:rsidRDefault="0057413A" w:rsidP="001F6C9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C7DE899" w14:textId="77777777" w:rsidR="0057413A" w:rsidRPr="000255C2" w:rsidRDefault="000255C2" w:rsidP="0057413A">
      <w:pPr>
        <w:jc w:val="center"/>
        <w:rPr>
          <w:rFonts w:ascii="Arial" w:hAnsi="Arial" w:cs="FrankRuehl"/>
          <w:color w:val="FFFFFF"/>
          <w:sz w:val="2"/>
          <w:szCs w:val="2"/>
          <w:rtl/>
        </w:rPr>
      </w:pPr>
      <w:r w:rsidRPr="000255C2">
        <w:rPr>
          <w:rFonts w:ascii="Arial" w:hAnsi="Arial" w:cs="FrankRuehl"/>
          <w:color w:val="FFFFFF"/>
          <w:sz w:val="2"/>
          <w:szCs w:val="2"/>
          <w:rtl/>
        </w:rPr>
        <w:t>5129371</w:t>
      </w:r>
    </w:p>
    <w:p w14:paraId="455117F6" w14:textId="77777777" w:rsidR="001F6C97" w:rsidRPr="000255C2" w:rsidRDefault="000255C2" w:rsidP="000255C2">
      <w:pPr>
        <w:keepNext/>
        <w:rPr>
          <w:rFonts w:ascii="David" w:hAnsi="David" w:hint="cs"/>
          <w:color w:val="FFFFFF"/>
          <w:sz w:val="2"/>
          <w:szCs w:val="2"/>
          <w:rtl/>
        </w:rPr>
      </w:pPr>
      <w:r w:rsidRPr="000255C2">
        <w:rPr>
          <w:rFonts w:ascii="David" w:hAnsi="David"/>
          <w:color w:val="FFFFFF"/>
          <w:sz w:val="2"/>
          <w:szCs w:val="2"/>
          <w:rtl/>
        </w:rPr>
        <w:t>54678313</w:t>
      </w:r>
    </w:p>
    <w:p w14:paraId="5311252A" w14:textId="77777777" w:rsidR="001F6C97" w:rsidRDefault="001F6C97" w:rsidP="001F6C97">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53CB8C35" w14:textId="77777777" w:rsidR="000255C2" w:rsidRPr="000255C2" w:rsidRDefault="000255C2" w:rsidP="000255C2">
      <w:pPr>
        <w:keepNext/>
        <w:rPr>
          <w:rFonts w:ascii="David" w:hAnsi="David"/>
          <w:color w:val="000000"/>
          <w:sz w:val="22"/>
          <w:szCs w:val="22"/>
          <w:rtl/>
        </w:rPr>
      </w:pPr>
    </w:p>
    <w:p w14:paraId="42CE9FD3" w14:textId="77777777" w:rsidR="000255C2" w:rsidRPr="000255C2" w:rsidRDefault="000255C2" w:rsidP="000255C2">
      <w:pPr>
        <w:keepNext/>
        <w:rPr>
          <w:rFonts w:ascii="David" w:hAnsi="David"/>
          <w:color w:val="000000"/>
          <w:sz w:val="22"/>
          <w:szCs w:val="22"/>
          <w:rtl/>
        </w:rPr>
      </w:pPr>
      <w:r w:rsidRPr="000255C2">
        <w:rPr>
          <w:rFonts w:ascii="David" w:hAnsi="David"/>
          <w:color w:val="000000"/>
          <w:sz w:val="22"/>
          <w:szCs w:val="22"/>
          <w:rtl/>
        </w:rPr>
        <w:t>ירון מינטקביץ 54678313-/</w:t>
      </w:r>
    </w:p>
    <w:p w14:paraId="0BD641F0" w14:textId="77777777" w:rsidR="001F6C97" w:rsidRPr="001F6C97" w:rsidRDefault="000255C2" w:rsidP="000255C2">
      <w:pPr>
        <w:rPr>
          <w:color w:val="0000FF"/>
          <w:u w:val="single"/>
        </w:rPr>
      </w:pPr>
      <w:r w:rsidRPr="000255C2">
        <w:rPr>
          <w:color w:val="000000"/>
          <w:u w:val="single"/>
          <w:rtl/>
        </w:rPr>
        <w:t>נוסח מסמך זה כפוף לשינויי ניסוח ועריכה</w:t>
      </w:r>
    </w:p>
    <w:sectPr w:rsidR="001F6C97" w:rsidRPr="001F6C97" w:rsidSect="000255C2">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6A4B5" w14:textId="77777777" w:rsidR="00E53F94" w:rsidRDefault="00E53F94" w:rsidP="003672E6">
      <w:r>
        <w:separator/>
      </w:r>
    </w:p>
  </w:endnote>
  <w:endnote w:type="continuationSeparator" w:id="0">
    <w:p w14:paraId="4548017C" w14:textId="77777777" w:rsidR="00E53F94" w:rsidRDefault="00E53F94" w:rsidP="00367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F26D5" w14:textId="77777777" w:rsidR="000255C2" w:rsidRDefault="000255C2" w:rsidP="000255C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8F18F79" w14:textId="77777777" w:rsidR="00A40D21" w:rsidRPr="000255C2" w:rsidRDefault="000255C2" w:rsidP="000255C2">
    <w:pPr>
      <w:pStyle w:val="a5"/>
      <w:pBdr>
        <w:top w:val="single" w:sz="4" w:space="1" w:color="auto"/>
        <w:between w:val="single" w:sz="4" w:space="0" w:color="auto"/>
      </w:pBdr>
      <w:spacing w:after="60"/>
      <w:jc w:val="center"/>
      <w:rPr>
        <w:rFonts w:ascii="FrankRuehl" w:hAnsi="FrankRuehl" w:cs="FrankRuehl"/>
        <w:color w:val="000000"/>
      </w:rPr>
    </w:pPr>
    <w:r w:rsidRPr="000255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8CD4F" w14:textId="77777777" w:rsidR="000255C2" w:rsidRDefault="000255C2" w:rsidP="000255C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6072A">
      <w:rPr>
        <w:rFonts w:ascii="FrankRuehl" w:hAnsi="FrankRuehl" w:cs="FrankRuehl"/>
        <w:noProof/>
        <w:rtl/>
      </w:rPr>
      <w:t>1</w:t>
    </w:r>
    <w:r>
      <w:rPr>
        <w:rFonts w:ascii="FrankRuehl" w:hAnsi="FrankRuehl" w:cs="FrankRuehl"/>
        <w:rtl/>
      </w:rPr>
      <w:fldChar w:fldCharType="end"/>
    </w:r>
  </w:p>
  <w:p w14:paraId="502931A1" w14:textId="77777777" w:rsidR="00A40D21" w:rsidRPr="000255C2" w:rsidRDefault="000255C2" w:rsidP="000255C2">
    <w:pPr>
      <w:pStyle w:val="a5"/>
      <w:pBdr>
        <w:top w:val="single" w:sz="4" w:space="1" w:color="auto"/>
        <w:between w:val="single" w:sz="4" w:space="0" w:color="auto"/>
      </w:pBdr>
      <w:spacing w:after="60"/>
      <w:jc w:val="center"/>
      <w:rPr>
        <w:rFonts w:ascii="FrankRuehl" w:hAnsi="FrankRuehl" w:cs="FrankRuehl"/>
        <w:color w:val="000000"/>
      </w:rPr>
    </w:pPr>
    <w:r w:rsidRPr="000255C2">
      <w:rPr>
        <w:rFonts w:ascii="FrankRuehl" w:hAnsi="FrankRuehl" w:cs="FrankRuehl"/>
        <w:color w:val="000000"/>
      </w:rPr>
      <w:pict w14:anchorId="285EB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EDB67" w14:textId="77777777" w:rsidR="00E53F94" w:rsidRDefault="00E53F94" w:rsidP="003672E6">
      <w:r>
        <w:separator/>
      </w:r>
    </w:p>
  </w:footnote>
  <w:footnote w:type="continuationSeparator" w:id="0">
    <w:p w14:paraId="34F2EC4D" w14:textId="77777777" w:rsidR="00E53F94" w:rsidRDefault="00E53F94" w:rsidP="00367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0806A" w14:textId="77777777" w:rsidR="001F6C97" w:rsidRPr="000255C2" w:rsidRDefault="000255C2" w:rsidP="000255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30350-12-20</w:t>
    </w:r>
    <w:r>
      <w:rPr>
        <w:rFonts w:ascii="David" w:hAnsi="David"/>
        <w:color w:val="000000"/>
        <w:sz w:val="22"/>
        <w:szCs w:val="22"/>
        <w:rtl/>
      </w:rPr>
      <w:tab/>
      <w:t xml:space="preserve"> מדינת ישראל נ' אחמד עמרו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7A64B" w14:textId="77777777" w:rsidR="001F6C97" w:rsidRPr="000255C2" w:rsidRDefault="000255C2" w:rsidP="000255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30350-12-20</w:t>
    </w:r>
    <w:r>
      <w:rPr>
        <w:rFonts w:ascii="David" w:hAnsi="David"/>
        <w:color w:val="000000"/>
        <w:sz w:val="22"/>
        <w:szCs w:val="22"/>
        <w:rtl/>
      </w:rPr>
      <w:tab/>
      <w:t xml:space="preserve"> מדינת ישראל נ' אחמד עמרו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65B70"/>
    <w:multiLevelType w:val="hybridMultilevel"/>
    <w:tmpl w:val="4B8CCC92"/>
    <w:lvl w:ilvl="0" w:tplc="F5A69F8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825487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413A"/>
    <w:rsid w:val="000255C2"/>
    <w:rsid w:val="001B5A3B"/>
    <w:rsid w:val="001F6C97"/>
    <w:rsid w:val="003672E6"/>
    <w:rsid w:val="004D7251"/>
    <w:rsid w:val="0057413A"/>
    <w:rsid w:val="00997C54"/>
    <w:rsid w:val="00A40D21"/>
    <w:rsid w:val="00C27586"/>
    <w:rsid w:val="00C6072A"/>
    <w:rsid w:val="00C913FB"/>
    <w:rsid w:val="00DF2E3E"/>
    <w:rsid w:val="00E53F94"/>
    <w:rsid w:val="00E63C93"/>
    <w:rsid w:val="00E70133"/>
    <w:rsid w:val="00E76B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E8FBA9"/>
  <w15:chartTrackingRefBased/>
  <w15:docId w15:val="{3D2C77A4-340B-4E25-83D1-45845368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413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413A"/>
    <w:pPr>
      <w:tabs>
        <w:tab w:val="center" w:pos="4153"/>
        <w:tab w:val="right" w:pos="8306"/>
      </w:tabs>
    </w:pPr>
  </w:style>
  <w:style w:type="character" w:customStyle="1" w:styleId="a4">
    <w:name w:val="כותרת עליונה תו"/>
    <w:link w:val="a3"/>
    <w:rsid w:val="0057413A"/>
    <w:rPr>
      <w:rFonts w:ascii="Times New Roman" w:eastAsia="Times New Roman" w:hAnsi="Times New Roman" w:cs="David"/>
      <w:sz w:val="24"/>
      <w:szCs w:val="24"/>
    </w:rPr>
  </w:style>
  <w:style w:type="paragraph" w:styleId="a5">
    <w:name w:val="footer"/>
    <w:basedOn w:val="a"/>
    <w:link w:val="a6"/>
    <w:rsid w:val="0057413A"/>
    <w:pPr>
      <w:tabs>
        <w:tab w:val="center" w:pos="4153"/>
        <w:tab w:val="right" w:pos="8306"/>
      </w:tabs>
    </w:pPr>
  </w:style>
  <w:style w:type="character" w:customStyle="1" w:styleId="a6">
    <w:name w:val="כותרת תחתונה תו"/>
    <w:link w:val="a5"/>
    <w:rsid w:val="0057413A"/>
    <w:rPr>
      <w:rFonts w:ascii="Times New Roman" w:eastAsia="Times New Roman" w:hAnsi="Times New Roman" w:cs="David"/>
      <w:sz w:val="24"/>
      <w:szCs w:val="24"/>
    </w:rPr>
  </w:style>
  <w:style w:type="table" w:styleId="a7">
    <w:name w:val="Table Grid"/>
    <w:basedOn w:val="a1"/>
    <w:rsid w:val="0057413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7413A"/>
  </w:style>
  <w:style w:type="paragraph" w:styleId="a9">
    <w:name w:val="List Paragraph"/>
    <w:basedOn w:val="a"/>
    <w:qFormat/>
    <w:rsid w:val="0057413A"/>
    <w:pPr>
      <w:spacing w:after="160" w:line="256" w:lineRule="auto"/>
      <w:ind w:left="720"/>
      <w:contextualSpacing/>
    </w:pPr>
    <w:rPr>
      <w:rFonts w:ascii="Calibri" w:eastAsia="Calibri" w:hAnsi="Calibri" w:cs="Arial"/>
      <w:sz w:val="22"/>
      <w:szCs w:val="22"/>
    </w:rPr>
  </w:style>
  <w:style w:type="character" w:styleId="Hyperlink">
    <w:name w:val="Hyperlink"/>
    <w:rsid w:val="00574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246134" TargetMode="External"/><Relationship Id="rId18" Type="http://schemas.openxmlformats.org/officeDocument/2006/relationships/hyperlink" Target="http://www.nevo.co.il/case/28266138" TargetMode="External"/><Relationship Id="rId26" Type="http://schemas.openxmlformats.org/officeDocument/2006/relationships/hyperlink" Target="http://www.nevo.co.il/case/23223475" TargetMode="External"/><Relationship Id="rId3" Type="http://schemas.openxmlformats.org/officeDocument/2006/relationships/settings" Target="settings.xml"/><Relationship Id="rId21" Type="http://schemas.openxmlformats.org/officeDocument/2006/relationships/hyperlink" Target="http://www.nevo.co.il/case/27309272"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case/28274889"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7309272" TargetMode="External"/><Relationship Id="rId20" Type="http://schemas.openxmlformats.org/officeDocument/2006/relationships/hyperlink" Target="http://www.nevo.co.il/case/28243273"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912651" TargetMode="External"/><Relationship Id="rId24" Type="http://schemas.openxmlformats.org/officeDocument/2006/relationships/hyperlink" Target="http://www.nevo.co.il/law/70301/45.b"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7734980" TargetMode="External"/><Relationship Id="rId23" Type="http://schemas.openxmlformats.org/officeDocument/2006/relationships/hyperlink" Target="http://www.nevo.co.il/case/27243964" TargetMode="External"/><Relationship Id="rId28" Type="http://schemas.openxmlformats.org/officeDocument/2006/relationships/hyperlink" Target="http://www.nevo.co.il/law/70301" TargetMode="External"/><Relationship Id="rId10" Type="http://schemas.openxmlformats.org/officeDocument/2006/relationships/hyperlink" Target="http://www.nevo.co.il/case/28268880" TargetMode="External"/><Relationship Id="rId19" Type="http://schemas.openxmlformats.org/officeDocument/2006/relationships/hyperlink" Target="http://www.nevo.co.il/case/28384637"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case/28200855"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44"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45.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1757</Words>
  <Characters>8789</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10525</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6357092</vt:i4>
      </vt:variant>
      <vt:variant>
        <vt:i4>60</vt:i4>
      </vt:variant>
      <vt:variant>
        <vt:i4>0</vt:i4>
      </vt:variant>
      <vt:variant>
        <vt:i4>5</vt:i4>
      </vt:variant>
      <vt:variant>
        <vt:lpwstr>http://www.nevo.co.il/law/70301/144</vt:lpwstr>
      </vt:variant>
      <vt:variant>
        <vt:lpwstr/>
      </vt:variant>
      <vt:variant>
        <vt:i4>3407985</vt:i4>
      </vt:variant>
      <vt:variant>
        <vt:i4>57</vt:i4>
      </vt:variant>
      <vt:variant>
        <vt:i4>0</vt:i4>
      </vt:variant>
      <vt:variant>
        <vt:i4>5</vt:i4>
      </vt:variant>
      <vt:variant>
        <vt:lpwstr>http://www.nevo.co.il/case/23223475</vt:lpwstr>
      </vt:variant>
      <vt:variant>
        <vt:lpwstr/>
      </vt:variant>
      <vt:variant>
        <vt:i4>7995492</vt:i4>
      </vt:variant>
      <vt:variant>
        <vt:i4>54</vt:i4>
      </vt:variant>
      <vt:variant>
        <vt:i4>0</vt:i4>
      </vt:variant>
      <vt:variant>
        <vt:i4>5</vt:i4>
      </vt:variant>
      <vt:variant>
        <vt:lpwstr>http://www.nevo.co.il/law/70301</vt:lpwstr>
      </vt:variant>
      <vt:variant>
        <vt:lpwstr/>
      </vt:variant>
      <vt:variant>
        <vt:i4>131151</vt:i4>
      </vt:variant>
      <vt:variant>
        <vt:i4>51</vt:i4>
      </vt:variant>
      <vt:variant>
        <vt:i4>0</vt:i4>
      </vt:variant>
      <vt:variant>
        <vt:i4>5</vt:i4>
      </vt:variant>
      <vt:variant>
        <vt:lpwstr>http://www.nevo.co.il/law/70301/45.b</vt:lpwstr>
      </vt:variant>
      <vt:variant>
        <vt:lpwstr/>
      </vt:variant>
      <vt:variant>
        <vt:i4>3473534</vt:i4>
      </vt:variant>
      <vt:variant>
        <vt:i4>48</vt:i4>
      </vt:variant>
      <vt:variant>
        <vt:i4>0</vt:i4>
      </vt:variant>
      <vt:variant>
        <vt:i4>5</vt:i4>
      </vt:variant>
      <vt:variant>
        <vt:lpwstr>http://www.nevo.co.il/case/27243964</vt:lpwstr>
      </vt:variant>
      <vt:variant>
        <vt:lpwstr/>
      </vt:variant>
      <vt:variant>
        <vt:i4>7995492</vt:i4>
      </vt:variant>
      <vt:variant>
        <vt:i4>45</vt:i4>
      </vt:variant>
      <vt:variant>
        <vt:i4>0</vt:i4>
      </vt:variant>
      <vt:variant>
        <vt:i4>5</vt:i4>
      </vt:variant>
      <vt:variant>
        <vt:lpwstr>http://www.nevo.co.il/law/70301</vt:lpwstr>
      </vt:variant>
      <vt:variant>
        <vt:lpwstr/>
      </vt:variant>
      <vt:variant>
        <vt:i4>4128881</vt:i4>
      </vt:variant>
      <vt:variant>
        <vt:i4>42</vt:i4>
      </vt:variant>
      <vt:variant>
        <vt:i4>0</vt:i4>
      </vt:variant>
      <vt:variant>
        <vt:i4>5</vt:i4>
      </vt:variant>
      <vt:variant>
        <vt:lpwstr>http://www.nevo.co.il/case/27309272</vt:lpwstr>
      </vt:variant>
      <vt:variant>
        <vt:lpwstr/>
      </vt:variant>
      <vt:variant>
        <vt:i4>3407994</vt:i4>
      </vt:variant>
      <vt:variant>
        <vt:i4>39</vt:i4>
      </vt:variant>
      <vt:variant>
        <vt:i4>0</vt:i4>
      </vt:variant>
      <vt:variant>
        <vt:i4>5</vt:i4>
      </vt:variant>
      <vt:variant>
        <vt:lpwstr>http://www.nevo.co.il/case/28243273</vt:lpwstr>
      </vt:variant>
      <vt:variant>
        <vt:lpwstr/>
      </vt:variant>
      <vt:variant>
        <vt:i4>3539058</vt:i4>
      </vt:variant>
      <vt:variant>
        <vt:i4>36</vt:i4>
      </vt:variant>
      <vt:variant>
        <vt:i4>0</vt:i4>
      </vt:variant>
      <vt:variant>
        <vt:i4>5</vt:i4>
      </vt:variant>
      <vt:variant>
        <vt:lpwstr>http://www.nevo.co.il/case/28384637</vt:lpwstr>
      </vt:variant>
      <vt:variant>
        <vt:lpwstr/>
      </vt:variant>
      <vt:variant>
        <vt:i4>3473531</vt:i4>
      </vt:variant>
      <vt:variant>
        <vt:i4>33</vt:i4>
      </vt:variant>
      <vt:variant>
        <vt:i4>0</vt:i4>
      </vt:variant>
      <vt:variant>
        <vt:i4>5</vt:i4>
      </vt:variant>
      <vt:variant>
        <vt:lpwstr>http://www.nevo.co.il/case/28266138</vt:lpwstr>
      </vt:variant>
      <vt:variant>
        <vt:lpwstr/>
      </vt:variant>
      <vt:variant>
        <vt:i4>3670139</vt:i4>
      </vt:variant>
      <vt:variant>
        <vt:i4>30</vt:i4>
      </vt:variant>
      <vt:variant>
        <vt:i4>0</vt:i4>
      </vt:variant>
      <vt:variant>
        <vt:i4>5</vt:i4>
      </vt:variant>
      <vt:variant>
        <vt:lpwstr>http://www.nevo.co.il/case/25824863</vt:lpwstr>
      </vt:variant>
      <vt:variant>
        <vt:lpwstr/>
      </vt:variant>
      <vt:variant>
        <vt:i4>4128881</vt:i4>
      </vt:variant>
      <vt:variant>
        <vt:i4>27</vt:i4>
      </vt:variant>
      <vt:variant>
        <vt:i4>0</vt:i4>
      </vt:variant>
      <vt:variant>
        <vt:i4>5</vt:i4>
      </vt:variant>
      <vt:variant>
        <vt:lpwstr>http://www.nevo.co.il/case/27309272</vt:lpwstr>
      </vt:variant>
      <vt:variant>
        <vt:lpwstr/>
      </vt:variant>
      <vt:variant>
        <vt:i4>3735673</vt:i4>
      </vt:variant>
      <vt:variant>
        <vt:i4>24</vt:i4>
      </vt:variant>
      <vt:variant>
        <vt:i4>0</vt:i4>
      </vt:variant>
      <vt:variant>
        <vt:i4>5</vt:i4>
      </vt:variant>
      <vt:variant>
        <vt:lpwstr>http://www.nevo.co.il/case/27734980</vt:lpwstr>
      </vt:variant>
      <vt:variant>
        <vt:lpwstr/>
      </vt:variant>
      <vt:variant>
        <vt:i4>3473524</vt:i4>
      </vt:variant>
      <vt:variant>
        <vt:i4>21</vt:i4>
      </vt:variant>
      <vt:variant>
        <vt:i4>0</vt:i4>
      </vt:variant>
      <vt:variant>
        <vt:i4>5</vt:i4>
      </vt:variant>
      <vt:variant>
        <vt:lpwstr>http://www.nevo.co.il/case/28200855</vt:lpwstr>
      </vt:variant>
      <vt:variant>
        <vt:lpwstr/>
      </vt:variant>
      <vt:variant>
        <vt:i4>3473524</vt:i4>
      </vt:variant>
      <vt:variant>
        <vt:i4>18</vt:i4>
      </vt:variant>
      <vt:variant>
        <vt:i4>0</vt:i4>
      </vt:variant>
      <vt:variant>
        <vt:i4>5</vt:i4>
      </vt:variant>
      <vt:variant>
        <vt:lpwstr>http://www.nevo.co.il/case/25246134</vt:lpwstr>
      </vt:variant>
      <vt:variant>
        <vt:lpwstr/>
      </vt:variant>
      <vt:variant>
        <vt:i4>3932275</vt:i4>
      </vt:variant>
      <vt:variant>
        <vt:i4>15</vt:i4>
      </vt:variant>
      <vt:variant>
        <vt:i4>0</vt:i4>
      </vt:variant>
      <vt:variant>
        <vt:i4>5</vt:i4>
      </vt:variant>
      <vt:variant>
        <vt:lpwstr>http://www.nevo.co.il/case/28274889</vt:lpwstr>
      </vt:variant>
      <vt:variant>
        <vt:lpwstr/>
      </vt:variant>
      <vt:variant>
        <vt:i4>3932276</vt:i4>
      </vt:variant>
      <vt:variant>
        <vt:i4>12</vt:i4>
      </vt:variant>
      <vt:variant>
        <vt:i4>0</vt:i4>
      </vt:variant>
      <vt:variant>
        <vt:i4>5</vt:i4>
      </vt:variant>
      <vt:variant>
        <vt:lpwstr>http://www.nevo.co.il/case/27912651</vt:lpwstr>
      </vt:variant>
      <vt:variant>
        <vt:lpwstr/>
      </vt:variant>
      <vt:variant>
        <vt:i4>3145842</vt:i4>
      </vt:variant>
      <vt:variant>
        <vt:i4>9</vt:i4>
      </vt:variant>
      <vt:variant>
        <vt:i4>0</vt:i4>
      </vt:variant>
      <vt:variant>
        <vt:i4>5</vt:i4>
      </vt:variant>
      <vt:variant>
        <vt:lpwstr>http://www.nevo.co.il/case/28268880</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131151</vt:i4>
      </vt:variant>
      <vt:variant>
        <vt:i4>3</vt:i4>
      </vt:variant>
      <vt:variant>
        <vt:i4>0</vt:i4>
      </vt:variant>
      <vt:variant>
        <vt:i4>5</vt:i4>
      </vt:variant>
      <vt:variant>
        <vt:lpwstr>http://www.nevo.co.il/law/70301/45.b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2025-01-19T17:45:00Z</dcterms:created>
  <dcterms:modified xsi:type="dcterms:W3CDTF">2025-01-19T17:45:00Z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30350</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אחמד עמרו</vt:lpwstr>
  </property>
  <property fmtid="{D5CDD505-2E9C-101B-9397-08002B2CF9AE}" pid="10" name="LAWYER">
    <vt:lpwstr>שירה גרין;וסים דכוור</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20220619</vt:lpwstr>
  </property>
  <property fmtid="{D5CDD505-2E9C-101B-9397-08002B2CF9AE}" pid="14" name="TYPE_N_DATE">
    <vt:lpwstr>38020220619</vt:lpwstr>
  </property>
  <property fmtid="{D5CDD505-2E9C-101B-9397-08002B2CF9AE}" pid="15" name="WORDNUMPAGES">
    <vt:lpwstr>5</vt:lpwstr>
  </property>
  <property fmtid="{D5CDD505-2E9C-101B-9397-08002B2CF9AE}" pid="16" name="TYPE_ABS_DATE">
    <vt:lpwstr>380020220619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28268880;27912651;28274889;25246134;28200855;27734980;27309272:2;25824863;28266138;28384637;28243273;27243964;23223475</vt:lpwstr>
  </property>
  <property fmtid="{D5CDD505-2E9C-101B-9397-08002B2CF9AE}" pid="36" name="LAWLISTTMP1">
    <vt:lpwstr>70301/045.b;144</vt:lpwstr>
  </property>
</Properties>
</file>