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427BA" w:rsidRPr="00A427BA" w14:paraId="2F114EFC" w14:textId="77777777" w:rsidTr="00AB48C6">
        <w:trPr>
          <w:trHeight w:hRule="exact" w:val="418"/>
          <w:jc w:val="center"/>
        </w:trPr>
        <w:tc>
          <w:tcPr>
            <w:tcW w:w="8721" w:type="dxa"/>
            <w:gridSpan w:val="2"/>
          </w:tcPr>
          <w:p w14:paraId="1EAEB2E2" w14:textId="77777777" w:rsidR="00A427BA" w:rsidRPr="00A427BA" w:rsidRDefault="00A427BA" w:rsidP="0065013A">
            <w:pPr>
              <w:pStyle w:val="a3"/>
              <w:jc w:val="center"/>
              <w:rPr>
                <w:rFonts w:ascii="Tahoma" w:hAnsi="Tahoma" w:cs="Tahoma"/>
                <w:color w:val="000080"/>
                <w:rtl/>
              </w:rPr>
            </w:pPr>
            <w:bookmarkStart w:id="0" w:name="LastJudge"/>
            <w:r w:rsidRPr="00A427BA">
              <w:rPr>
                <w:rFonts w:ascii="Tahoma" w:hAnsi="Tahoma" w:cs="Tahoma"/>
                <w:b/>
                <w:bCs/>
                <w:color w:val="000080"/>
                <w:rtl/>
              </w:rPr>
              <w:t>בית משפט השלום בירושלים</w:t>
            </w:r>
          </w:p>
        </w:tc>
      </w:tr>
      <w:tr w:rsidR="00A427BA" w:rsidRPr="00A427BA" w14:paraId="4D98632C" w14:textId="77777777" w:rsidTr="00AB48C6">
        <w:trPr>
          <w:trHeight w:val="337"/>
          <w:jc w:val="center"/>
        </w:trPr>
        <w:tc>
          <w:tcPr>
            <w:tcW w:w="5054" w:type="dxa"/>
          </w:tcPr>
          <w:p w14:paraId="460FECF1" w14:textId="77777777" w:rsidR="00A427BA" w:rsidRPr="00A427BA" w:rsidRDefault="00A427BA" w:rsidP="0065013A">
            <w:pPr>
              <w:rPr>
                <w:rFonts w:cs="FrankRuehl"/>
                <w:sz w:val="28"/>
                <w:szCs w:val="28"/>
                <w:rtl/>
              </w:rPr>
            </w:pPr>
            <w:r w:rsidRPr="00A427BA">
              <w:rPr>
                <w:rFonts w:cs="FrankRuehl"/>
                <w:sz w:val="28"/>
                <w:szCs w:val="28"/>
                <w:rtl/>
              </w:rPr>
              <w:t>ת"פ 33420-12-20 מדינת ישראל נ' בשיתי</w:t>
            </w:r>
          </w:p>
          <w:p w14:paraId="6C01B9C2" w14:textId="77777777" w:rsidR="00A427BA" w:rsidRPr="00A427BA" w:rsidRDefault="00A427BA" w:rsidP="0065013A">
            <w:pPr>
              <w:pStyle w:val="a3"/>
              <w:rPr>
                <w:rFonts w:cs="FrankRuehl"/>
                <w:sz w:val="28"/>
                <w:szCs w:val="28"/>
                <w:rtl/>
              </w:rPr>
            </w:pPr>
          </w:p>
        </w:tc>
        <w:tc>
          <w:tcPr>
            <w:tcW w:w="3667" w:type="dxa"/>
          </w:tcPr>
          <w:p w14:paraId="19402A03" w14:textId="77777777" w:rsidR="00A427BA" w:rsidRPr="00A427BA" w:rsidRDefault="00A427BA" w:rsidP="0065013A">
            <w:pPr>
              <w:pStyle w:val="a3"/>
              <w:jc w:val="right"/>
              <w:rPr>
                <w:rFonts w:cs="FrankRuehl"/>
                <w:sz w:val="28"/>
                <w:szCs w:val="28"/>
                <w:rtl/>
              </w:rPr>
            </w:pPr>
          </w:p>
        </w:tc>
      </w:tr>
    </w:tbl>
    <w:p w14:paraId="6A215DA8" w14:textId="77777777" w:rsidR="00A427BA" w:rsidRPr="00A427BA" w:rsidRDefault="00A427BA" w:rsidP="00A427BA">
      <w:pPr>
        <w:pStyle w:val="a3"/>
        <w:rPr>
          <w:rtl/>
        </w:rPr>
      </w:pPr>
      <w:r w:rsidRPr="00A427BA">
        <w:rPr>
          <w:rtl/>
        </w:rPr>
        <w:t xml:space="preserve"> </w:t>
      </w:r>
    </w:p>
    <w:p w14:paraId="1D12EB99" w14:textId="77777777" w:rsidR="00C9037E" w:rsidRPr="00A427BA" w:rsidRDefault="00C9037E" w:rsidP="00162430">
      <w:pPr>
        <w:rPr>
          <w:rFonts w:ascii="Arial (W1)" w:hAnsi="Arial (W1)"/>
          <w:b/>
          <w:bCs/>
          <w:noProof/>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A427BA" w:rsidRPr="00A427BA" w14:paraId="270A6E0E" w14:textId="77777777" w:rsidTr="0065013A">
        <w:trPr>
          <w:trHeight w:val="295"/>
          <w:jc w:val="center"/>
        </w:trPr>
        <w:tc>
          <w:tcPr>
            <w:tcW w:w="743" w:type="dxa"/>
            <w:tcBorders>
              <w:top w:val="nil"/>
              <w:left w:val="nil"/>
              <w:bottom w:val="nil"/>
              <w:right w:val="nil"/>
            </w:tcBorders>
          </w:tcPr>
          <w:p w14:paraId="79E4FFD4" w14:textId="77777777" w:rsidR="00A427BA" w:rsidRPr="00A427BA" w:rsidRDefault="00A427BA" w:rsidP="0065013A">
            <w:pPr>
              <w:jc w:val="both"/>
              <w:rPr>
                <w:rFonts w:ascii="Arial" w:hAnsi="Arial"/>
                <w:b/>
                <w:bCs/>
                <w:sz w:val="26"/>
                <w:szCs w:val="26"/>
              </w:rPr>
            </w:pPr>
            <w:r w:rsidRPr="00A427BA">
              <w:rPr>
                <w:rFonts w:ascii="Arial" w:hAnsi="Arial"/>
                <w:b/>
                <w:bCs/>
                <w:sz w:val="26"/>
                <w:szCs w:val="26"/>
                <w:rtl/>
              </w:rPr>
              <w:t xml:space="preserve">לפני </w:t>
            </w:r>
          </w:p>
        </w:tc>
        <w:tc>
          <w:tcPr>
            <w:tcW w:w="8077" w:type="dxa"/>
            <w:tcBorders>
              <w:top w:val="nil"/>
              <w:left w:val="nil"/>
              <w:bottom w:val="nil"/>
              <w:right w:val="nil"/>
            </w:tcBorders>
          </w:tcPr>
          <w:p w14:paraId="61377182" w14:textId="77777777" w:rsidR="00A427BA" w:rsidRPr="00A427BA" w:rsidRDefault="00A427BA" w:rsidP="0065013A">
            <w:pPr>
              <w:rPr>
                <w:rFonts w:ascii="Arial" w:hAnsi="Arial"/>
                <w:b/>
                <w:bCs/>
                <w:noProof/>
                <w:sz w:val="26"/>
                <w:szCs w:val="26"/>
                <w:highlight w:val="yellow"/>
              </w:rPr>
            </w:pPr>
            <w:r w:rsidRPr="00A427BA">
              <w:rPr>
                <w:rFonts w:ascii="Arial" w:hAnsi="Arial"/>
                <w:b/>
                <w:bCs/>
                <w:sz w:val="26"/>
                <w:szCs w:val="26"/>
                <w:rtl/>
              </w:rPr>
              <w:t>כבוד השופט מוחמד חאג' יחיא</w:t>
            </w:r>
          </w:p>
        </w:tc>
      </w:tr>
    </w:tbl>
    <w:p w14:paraId="562CE328" w14:textId="77777777" w:rsidR="00A427BA" w:rsidRPr="00A427BA" w:rsidRDefault="00A427BA" w:rsidP="00162430">
      <w:pPr>
        <w:rPr>
          <w:rFonts w:ascii="Arial (W1)" w:hAnsi="Arial (W1)"/>
          <w:b/>
          <w:bCs/>
          <w:noProof/>
          <w:sz w:val="26"/>
          <w:szCs w:val="26"/>
        </w:rPr>
      </w:pPr>
    </w:p>
    <w:p w14:paraId="131347BB" w14:textId="77777777" w:rsidR="00A427BA" w:rsidRPr="00A427BA" w:rsidRDefault="00A427BA" w:rsidP="00AB48C6">
      <w:pPr>
        <w:pStyle w:val="ab"/>
        <w:spacing w:after="0" w:line="360" w:lineRule="auto"/>
        <w:ind w:left="85"/>
        <w:jc w:val="both"/>
        <w:rPr>
          <w:rFonts w:ascii="FrankRuehl" w:hAnsi="FrankRuehl" w:cs="FrankRuehl"/>
          <w:sz w:val="28"/>
          <w:szCs w:val="28"/>
        </w:rPr>
      </w:pPr>
    </w:p>
    <w:tbl>
      <w:tblPr>
        <w:bidiVisual/>
        <w:tblW w:w="8756" w:type="dxa"/>
        <w:tblInd w:w="-28" w:type="dxa"/>
        <w:tblLook w:val="01E0" w:firstRow="1" w:lastRow="1" w:firstColumn="1" w:lastColumn="1" w:noHBand="0" w:noVBand="0"/>
      </w:tblPr>
      <w:tblGrid>
        <w:gridCol w:w="2868"/>
        <w:gridCol w:w="5888"/>
      </w:tblGrid>
      <w:tr w:rsidR="00A427BA" w:rsidRPr="00A427BA" w14:paraId="1C2E27AA" w14:textId="77777777" w:rsidTr="00A427BA">
        <w:trPr>
          <w:cantSplit/>
          <w:trHeight w:val="724"/>
        </w:trPr>
        <w:tc>
          <w:tcPr>
            <w:tcW w:w="2868" w:type="dxa"/>
          </w:tcPr>
          <w:p w14:paraId="65B38E5F" w14:textId="77777777" w:rsidR="00A427BA" w:rsidRPr="00A427BA" w:rsidRDefault="00A427BA" w:rsidP="0065013A">
            <w:pPr>
              <w:ind w:left="26"/>
              <w:rPr>
                <w:b/>
                <w:bCs/>
                <w:sz w:val="26"/>
                <w:szCs w:val="26"/>
              </w:rPr>
            </w:pPr>
            <w:bookmarkStart w:id="1" w:name="FirstAppellant"/>
            <w:bookmarkStart w:id="2" w:name="FirstLawyer"/>
          </w:p>
          <w:p w14:paraId="3469D09E" w14:textId="77777777" w:rsidR="00A427BA" w:rsidRPr="00A427BA" w:rsidRDefault="00A427BA" w:rsidP="0065013A">
            <w:pPr>
              <w:ind w:left="26"/>
              <w:rPr>
                <w:rFonts w:ascii="Arial (W1)" w:hAnsi="Arial (W1)"/>
                <w:b/>
                <w:bCs/>
                <w:sz w:val="26"/>
                <w:szCs w:val="26"/>
                <w:rtl/>
              </w:rPr>
            </w:pPr>
            <w:r w:rsidRPr="00A427BA">
              <w:rPr>
                <w:b/>
                <w:bCs/>
                <w:sz w:val="26"/>
                <w:szCs w:val="26"/>
                <w:rtl/>
              </w:rPr>
              <w:t>המאשימה</w:t>
            </w:r>
          </w:p>
        </w:tc>
        <w:tc>
          <w:tcPr>
            <w:tcW w:w="5888" w:type="dxa"/>
          </w:tcPr>
          <w:p w14:paraId="5A750BC6" w14:textId="77777777" w:rsidR="00A427BA" w:rsidRPr="00A427BA" w:rsidRDefault="00A427BA" w:rsidP="0065013A">
            <w:pPr>
              <w:rPr>
                <w:rFonts w:cs="Times New Roman"/>
                <w:sz w:val="26"/>
                <w:szCs w:val="26"/>
              </w:rPr>
            </w:pPr>
          </w:p>
          <w:p w14:paraId="5751849E" w14:textId="77777777" w:rsidR="00A427BA" w:rsidRPr="00A427BA" w:rsidRDefault="00A427BA" w:rsidP="0065013A">
            <w:pPr>
              <w:rPr>
                <w:sz w:val="26"/>
                <w:szCs w:val="26"/>
                <w:rtl/>
              </w:rPr>
            </w:pPr>
            <w:r w:rsidRPr="00A427BA">
              <w:rPr>
                <w:b/>
                <w:bCs/>
                <w:sz w:val="26"/>
                <w:szCs w:val="26"/>
                <w:rtl/>
              </w:rPr>
              <w:t>מדינת ישראל</w:t>
            </w:r>
          </w:p>
          <w:p w14:paraId="6D598B7F" w14:textId="77777777" w:rsidR="00A427BA" w:rsidRPr="00A427BA" w:rsidRDefault="00A427BA" w:rsidP="0065013A">
            <w:pPr>
              <w:rPr>
                <w:sz w:val="26"/>
                <w:szCs w:val="26"/>
                <w:rtl/>
              </w:rPr>
            </w:pPr>
            <w:r w:rsidRPr="00A427BA">
              <w:rPr>
                <w:sz w:val="26"/>
                <w:szCs w:val="26"/>
                <w:rtl/>
              </w:rPr>
              <w:t>ע"י ב"כ עו"ד לירון עופר מפרקליטות מחוז י-ם (פלילי)</w:t>
            </w:r>
          </w:p>
          <w:p w14:paraId="1F4968C5" w14:textId="77777777" w:rsidR="00A427BA" w:rsidRPr="00A427BA" w:rsidRDefault="00A427BA" w:rsidP="0065013A">
            <w:pPr>
              <w:rPr>
                <w:b/>
                <w:bCs/>
                <w:sz w:val="26"/>
                <w:szCs w:val="26"/>
                <w:rtl/>
              </w:rPr>
            </w:pPr>
          </w:p>
          <w:p w14:paraId="5E451B1E" w14:textId="77777777" w:rsidR="00A427BA" w:rsidRPr="00A427BA" w:rsidRDefault="00A427BA" w:rsidP="0065013A">
            <w:pPr>
              <w:rPr>
                <w:b/>
                <w:bCs/>
                <w:sz w:val="26"/>
                <w:szCs w:val="26"/>
                <w:rtl/>
              </w:rPr>
            </w:pPr>
          </w:p>
        </w:tc>
      </w:tr>
      <w:bookmarkEnd w:id="1"/>
      <w:bookmarkEnd w:id="2"/>
      <w:tr w:rsidR="00A427BA" w:rsidRPr="00A427BA" w14:paraId="3B7EF3B5" w14:textId="77777777" w:rsidTr="00A427BA">
        <w:tc>
          <w:tcPr>
            <w:tcW w:w="8756" w:type="dxa"/>
            <w:gridSpan w:val="2"/>
            <w:vAlign w:val="center"/>
          </w:tcPr>
          <w:p w14:paraId="31B46F76" w14:textId="77777777" w:rsidR="00A427BA" w:rsidRPr="00A427BA" w:rsidRDefault="00A427BA" w:rsidP="0065013A">
            <w:pPr>
              <w:jc w:val="center"/>
              <w:rPr>
                <w:rFonts w:ascii="Arial" w:hAnsi="Arial"/>
                <w:b/>
                <w:bCs/>
                <w:sz w:val="26"/>
                <w:szCs w:val="26"/>
                <w:rtl/>
              </w:rPr>
            </w:pPr>
            <w:r w:rsidRPr="00A427BA">
              <w:rPr>
                <w:rFonts w:ascii="Arial" w:hAnsi="Arial"/>
                <w:b/>
                <w:bCs/>
                <w:sz w:val="26"/>
                <w:szCs w:val="26"/>
                <w:rtl/>
              </w:rPr>
              <w:t>נגד</w:t>
            </w:r>
          </w:p>
          <w:p w14:paraId="7224DF60" w14:textId="77777777" w:rsidR="00A427BA" w:rsidRPr="00A427BA" w:rsidRDefault="00A427BA" w:rsidP="0065013A">
            <w:pPr>
              <w:rPr>
                <w:rFonts w:ascii="Arial" w:hAnsi="Arial"/>
                <w:b/>
                <w:bCs/>
                <w:sz w:val="26"/>
                <w:szCs w:val="26"/>
                <w:rtl/>
              </w:rPr>
            </w:pPr>
          </w:p>
          <w:p w14:paraId="0B9A5A18" w14:textId="77777777" w:rsidR="00A427BA" w:rsidRPr="00A427BA" w:rsidRDefault="00A427BA" w:rsidP="0065013A">
            <w:pPr>
              <w:rPr>
                <w:rFonts w:ascii="Arial" w:hAnsi="Arial"/>
                <w:b/>
                <w:bCs/>
                <w:sz w:val="26"/>
                <w:szCs w:val="26"/>
                <w:rtl/>
              </w:rPr>
            </w:pPr>
          </w:p>
        </w:tc>
      </w:tr>
      <w:tr w:rsidR="00A427BA" w:rsidRPr="00A427BA" w14:paraId="14A96A65" w14:textId="77777777" w:rsidTr="00A427BA">
        <w:tc>
          <w:tcPr>
            <w:tcW w:w="2868" w:type="dxa"/>
          </w:tcPr>
          <w:p w14:paraId="105827F2" w14:textId="77777777" w:rsidR="00A427BA" w:rsidRPr="00A427BA" w:rsidRDefault="00A427BA" w:rsidP="0065013A">
            <w:pPr>
              <w:ind w:left="26"/>
              <w:rPr>
                <w:b/>
                <w:bCs/>
                <w:sz w:val="26"/>
                <w:szCs w:val="26"/>
                <w:rtl/>
              </w:rPr>
            </w:pPr>
            <w:r w:rsidRPr="00A427BA">
              <w:rPr>
                <w:b/>
                <w:bCs/>
                <w:sz w:val="26"/>
                <w:szCs w:val="26"/>
                <w:rtl/>
              </w:rPr>
              <w:t>הנאשם</w:t>
            </w:r>
          </w:p>
        </w:tc>
        <w:tc>
          <w:tcPr>
            <w:tcW w:w="5888" w:type="dxa"/>
          </w:tcPr>
          <w:p w14:paraId="21012371" w14:textId="77777777" w:rsidR="00A427BA" w:rsidRPr="00A427BA" w:rsidRDefault="00A427BA" w:rsidP="0065013A">
            <w:pPr>
              <w:rPr>
                <w:b/>
                <w:bCs/>
                <w:sz w:val="26"/>
                <w:szCs w:val="26"/>
                <w:rtl/>
              </w:rPr>
            </w:pPr>
            <w:r w:rsidRPr="00A427BA">
              <w:rPr>
                <w:b/>
                <w:bCs/>
                <w:sz w:val="26"/>
                <w:szCs w:val="26"/>
                <w:rtl/>
              </w:rPr>
              <w:t>אשרף בשיתי</w:t>
            </w:r>
            <w:r w:rsidRPr="00A427BA">
              <w:rPr>
                <w:rFonts w:cs="Times New Roman"/>
                <w:sz w:val="26"/>
                <w:szCs w:val="26"/>
                <w:rtl/>
              </w:rPr>
              <w:t xml:space="preserve"> </w:t>
            </w:r>
          </w:p>
          <w:p w14:paraId="43B96631" w14:textId="77777777" w:rsidR="00A427BA" w:rsidRPr="00A427BA" w:rsidRDefault="00A427BA" w:rsidP="00EE22A4">
            <w:pPr>
              <w:rPr>
                <w:rFonts w:ascii="Arial (W1)" w:hAnsi="Arial (W1)"/>
                <w:sz w:val="26"/>
                <w:szCs w:val="26"/>
              </w:rPr>
            </w:pPr>
            <w:r w:rsidRPr="00A427BA">
              <w:rPr>
                <w:sz w:val="26"/>
                <w:szCs w:val="26"/>
                <w:rtl/>
              </w:rPr>
              <w:t>ע"י ב"כ עו"ד נביל זינאתי</w:t>
            </w:r>
          </w:p>
          <w:p w14:paraId="3A922BDC" w14:textId="77777777" w:rsidR="00A427BA" w:rsidRPr="00A427BA" w:rsidRDefault="00A427BA" w:rsidP="0065013A">
            <w:pPr>
              <w:rPr>
                <w:b/>
                <w:bCs/>
                <w:sz w:val="26"/>
                <w:szCs w:val="26"/>
                <w:rtl/>
              </w:rPr>
            </w:pPr>
          </w:p>
        </w:tc>
      </w:tr>
    </w:tbl>
    <w:p w14:paraId="42636581" w14:textId="77777777" w:rsidR="00A427BA" w:rsidRDefault="00A427BA">
      <w:pPr>
        <w:rPr>
          <w:rFonts w:hint="cs"/>
          <w:rtl/>
        </w:rPr>
      </w:pPr>
    </w:p>
    <w:p w14:paraId="7A39E445" w14:textId="77777777" w:rsidR="00AB48C6" w:rsidRDefault="00AB48C6">
      <w:pPr>
        <w:rPr>
          <w:rFonts w:hint="cs"/>
          <w:rtl/>
        </w:rPr>
      </w:pPr>
    </w:p>
    <w:p w14:paraId="19F7262D" w14:textId="77777777" w:rsidR="00AB48C6" w:rsidRPr="00AB48C6" w:rsidRDefault="00AB48C6" w:rsidP="00AB48C6">
      <w:pPr>
        <w:spacing w:before="120" w:after="120" w:line="240" w:lineRule="exact"/>
        <w:ind w:left="283" w:hanging="283"/>
        <w:jc w:val="both"/>
        <w:rPr>
          <w:rFonts w:ascii="FrankRuehl" w:hAnsi="FrankRuehl" w:cs="FrankRuehl"/>
          <w:rtl/>
        </w:rPr>
      </w:pPr>
    </w:p>
    <w:p w14:paraId="3980509C" w14:textId="77777777" w:rsidR="00167C59" w:rsidRPr="00167C59" w:rsidRDefault="00167C59" w:rsidP="00167C59">
      <w:pPr>
        <w:spacing w:before="120" w:after="120" w:line="240" w:lineRule="exact"/>
        <w:ind w:left="283" w:hanging="283"/>
        <w:jc w:val="both"/>
        <w:rPr>
          <w:rFonts w:ascii="FrankRuehl" w:hAnsi="FrankRuehl" w:cs="FrankRuehl"/>
          <w:rtl/>
        </w:rPr>
      </w:pPr>
    </w:p>
    <w:p w14:paraId="0AA1365C" w14:textId="77777777" w:rsidR="00092598" w:rsidRDefault="00092598" w:rsidP="00092598">
      <w:pPr>
        <w:rPr>
          <w:rtl/>
        </w:rPr>
      </w:pPr>
      <w:bookmarkStart w:id="3" w:name="LawTable"/>
      <w:bookmarkEnd w:id="3"/>
    </w:p>
    <w:p w14:paraId="65AF180C" w14:textId="77777777" w:rsidR="00092598" w:rsidRPr="00092598" w:rsidRDefault="00092598" w:rsidP="00092598">
      <w:pPr>
        <w:spacing w:before="120" w:after="120" w:line="240" w:lineRule="exact"/>
        <w:ind w:left="283" w:hanging="283"/>
        <w:jc w:val="both"/>
        <w:rPr>
          <w:rFonts w:ascii="FrankRuehl" w:hAnsi="FrankRuehl" w:cs="FrankRuehl"/>
          <w:rtl/>
        </w:rPr>
      </w:pPr>
    </w:p>
    <w:p w14:paraId="093A8025" w14:textId="77777777" w:rsidR="00092598" w:rsidRPr="00092598" w:rsidRDefault="00092598" w:rsidP="00092598">
      <w:pPr>
        <w:spacing w:before="120" w:after="120" w:line="240" w:lineRule="exact"/>
        <w:ind w:left="283" w:hanging="283"/>
        <w:jc w:val="both"/>
        <w:rPr>
          <w:rFonts w:ascii="FrankRuehl" w:hAnsi="FrankRuehl" w:cs="FrankRuehl"/>
          <w:rtl/>
        </w:rPr>
      </w:pPr>
    </w:p>
    <w:p w14:paraId="2452C19E" w14:textId="77777777" w:rsidR="00092598" w:rsidRPr="00092598" w:rsidRDefault="00092598" w:rsidP="00092598">
      <w:pPr>
        <w:spacing w:before="120" w:after="120" w:line="240" w:lineRule="exact"/>
        <w:ind w:left="283" w:hanging="283"/>
        <w:jc w:val="both"/>
        <w:rPr>
          <w:rFonts w:ascii="FrankRuehl" w:hAnsi="FrankRuehl" w:cs="FrankRuehl"/>
          <w:rtl/>
        </w:rPr>
      </w:pPr>
      <w:r w:rsidRPr="00092598">
        <w:rPr>
          <w:rFonts w:ascii="FrankRuehl" w:hAnsi="FrankRuehl" w:cs="FrankRuehl"/>
          <w:rtl/>
        </w:rPr>
        <w:t xml:space="preserve">חקיקה שאוזכרה: </w:t>
      </w:r>
    </w:p>
    <w:p w14:paraId="15DA8A64" w14:textId="77777777" w:rsidR="00092598" w:rsidRPr="00092598" w:rsidRDefault="00092598" w:rsidP="00092598">
      <w:pPr>
        <w:spacing w:before="120" w:after="120" w:line="240" w:lineRule="exact"/>
        <w:ind w:left="283" w:hanging="283"/>
        <w:jc w:val="both"/>
        <w:rPr>
          <w:rFonts w:ascii="FrankRuehl" w:hAnsi="FrankRuehl" w:cs="FrankRuehl"/>
          <w:rtl/>
        </w:rPr>
      </w:pPr>
      <w:hyperlink r:id="rId7" w:history="1">
        <w:r w:rsidRPr="00092598">
          <w:rPr>
            <w:rFonts w:ascii="FrankRuehl" w:hAnsi="FrankRuehl" w:cs="FrankRuehl"/>
            <w:color w:val="0000FF"/>
            <w:rtl/>
          </w:rPr>
          <w:t>חוק העונשין, תשל"ז-1977</w:t>
        </w:r>
      </w:hyperlink>
      <w:r w:rsidRPr="00092598">
        <w:rPr>
          <w:rFonts w:ascii="FrankRuehl" w:hAnsi="FrankRuehl" w:cs="FrankRuehl"/>
          <w:rtl/>
        </w:rPr>
        <w:t xml:space="preserve">: סע'  </w:t>
      </w:r>
      <w:hyperlink r:id="rId8" w:history="1">
        <w:r w:rsidRPr="00092598">
          <w:rPr>
            <w:rFonts w:ascii="FrankRuehl" w:hAnsi="FrankRuehl" w:cs="FrankRuehl"/>
            <w:color w:val="0000FF"/>
            <w:rtl/>
          </w:rPr>
          <w:t>40ב</w:t>
        </w:r>
      </w:hyperlink>
      <w:r w:rsidRPr="00092598">
        <w:rPr>
          <w:rFonts w:ascii="FrankRuehl" w:hAnsi="FrankRuehl" w:cs="FrankRuehl"/>
          <w:rtl/>
        </w:rPr>
        <w:t xml:space="preserve">, </w:t>
      </w:r>
      <w:hyperlink r:id="rId9" w:history="1">
        <w:r w:rsidRPr="00092598">
          <w:rPr>
            <w:rFonts w:ascii="FrankRuehl" w:hAnsi="FrankRuehl" w:cs="FrankRuehl"/>
            <w:color w:val="0000FF"/>
            <w:rtl/>
          </w:rPr>
          <w:t>40ג(א)</w:t>
        </w:r>
      </w:hyperlink>
      <w:r w:rsidRPr="00092598">
        <w:rPr>
          <w:rFonts w:ascii="FrankRuehl" w:hAnsi="FrankRuehl" w:cs="FrankRuehl"/>
          <w:rtl/>
        </w:rPr>
        <w:t xml:space="preserve">, </w:t>
      </w:r>
      <w:hyperlink r:id="rId10" w:history="1">
        <w:r w:rsidRPr="00092598">
          <w:rPr>
            <w:rFonts w:ascii="FrankRuehl" w:hAnsi="FrankRuehl" w:cs="FrankRuehl"/>
            <w:color w:val="0000FF"/>
            <w:rtl/>
          </w:rPr>
          <w:t>40ג(ב)</w:t>
        </w:r>
      </w:hyperlink>
      <w:r w:rsidRPr="00092598">
        <w:rPr>
          <w:rFonts w:ascii="FrankRuehl" w:hAnsi="FrankRuehl" w:cs="FrankRuehl"/>
          <w:rtl/>
        </w:rPr>
        <w:t xml:space="preserve">, </w:t>
      </w:r>
      <w:hyperlink r:id="rId11" w:history="1">
        <w:r w:rsidRPr="00092598">
          <w:rPr>
            <w:rFonts w:ascii="FrankRuehl" w:hAnsi="FrankRuehl" w:cs="FrankRuehl"/>
            <w:color w:val="0000FF"/>
            <w:rtl/>
          </w:rPr>
          <w:t>144(א)</w:t>
        </w:r>
      </w:hyperlink>
    </w:p>
    <w:p w14:paraId="7BFBD672" w14:textId="77777777" w:rsidR="00092598" w:rsidRPr="00092598" w:rsidRDefault="00092598" w:rsidP="00092598">
      <w:pPr>
        <w:rPr>
          <w:rtl/>
        </w:rPr>
      </w:pPr>
      <w:bookmarkStart w:id="4" w:name="LawTable_End"/>
      <w:bookmarkEnd w:id="4"/>
    </w:p>
    <w:p w14:paraId="075ED57E" w14:textId="77777777" w:rsidR="00AB48C6" w:rsidRPr="00167C59" w:rsidRDefault="00AB48C6" w:rsidP="00167C59">
      <w:pPr>
        <w:rPr>
          <w:rFonts w:hint="cs"/>
        </w:rPr>
      </w:pPr>
    </w:p>
    <w:tbl>
      <w:tblPr>
        <w:bidiVisual/>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2"/>
      </w:tblGrid>
      <w:tr w:rsidR="00A427BA" w14:paraId="3608A2C2" w14:textId="77777777" w:rsidTr="0065013A">
        <w:trPr>
          <w:trHeight w:val="355"/>
          <w:jc w:val="center"/>
        </w:trPr>
        <w:tc>
          <w:tcPr>
            <w:tcW w:w="8802" w:type="dxa"/>
            <w:tcBorders>
              <w:top w:val="nil"/>
              <w:left w:val="nil"/>
              <w:bottom w:val="nil"/>
              <w:right w:val="nil"/>
            </w:tcBorders>
          </w:tcPr>
          <w:p w14:paraId="5C3102D6" w14:textId="77777777" w:rsidR="00A427BA" w:rsidRPr="00A427BA" w:rsidRDefault="00A427BA" w:rsidP="00A427BA">
            <w:pPr>
              <w:jc w:val="center"/>
              <w:rPr>
                <w:rFonts w:ascii="David" w:hAnsi="David"/>
                <w:b/>
                <w:bCs/>
                <w:sz w:val="32"/>
                <w:szCs w:val="32"/>
                <w:u w:val="single"/>
                <w:rtl/>
              </w:rPr>
            </w:pPr>
            <w:bookmarkStart w:id="5" w:name="PsakDin"/>
            <w:r w:rsidRPr="00A427BA">
              <w:rPr>
                <w:rFonts w:ascii="David" w:hAnsi="David"/>
                <w:b/>
                <w:bCs/>
                <w:sz w:val="32"/>
                <w:szCs w:val="32"/>
                <w:u w:val="single"/>
                <w:rtl/>
              </w:rPr>
              <w:t>גזר דין</w:t>
            </w:r>
          </w:p>
          <w:bookmarkEnd w:id="5"/>
          <w:p w14:paraId="5F46B132" w14:textId="77777777" w:rsidR="00A427BA" w:rsidRPr="00986C67" w:rsidRDefault="00A427BA" w:rsidP="0065013A">
            <w:pPr>
              <w:rPr>
                <w:rFonts w:ascii="David" w:hAnsi="David"/>
                <w:sz w:val="32"/>
                <w:szCs w:val="32"/>
                <w:u w:val="single"/>
                <w:rtl/>
              </w:rPr>
            </w:pPr>
          </w:p>
        </w:tc>
      </w:tr>
    </w:tbl>
    <w:p w14:paraId="0458ACEB" w14:textId="77777777" w:rsidR="00C9037E" w:rsidRDefault="00C9037E" w:rsidP="007C24DB">
      <w:pPr>
        <w:pStyle w:val="ab"/>
        <w:numPr>
          <w:ilvl w:val="0"/>
          <w:numId w:val="3"/>
        </w:numPr>
        <w:spacing w:after="0" w:line="360" w:lineRule="auto"/>
        <w:ind w:left="651" w:hanging="566"/>
        <w:jc w:val="both"/>
        <w:rPr>
          <w:rFonts w:ascii="FrankRuehl" w:hAnsi="FrankRuehl" w:cs="FrankRuehl"/>
          <w:sz w:val="28"/>
          <w:szCs w:val="28"/>
        </w:rPr>
      </w:pPr>
      <w:bookmarkStart w:id="6" w:name="ABSTRACT_START"/>
      <w:bookmarkEnd w:id="0"/>
      <w:bookmarkEnd w:id="6"/>
      <w:r>
        <w:rPr>
          <w:rFonts w:ascii="FrankRuehl" w:hAnsi="FrankRuehl" w:cs="FrankRuehl"/>
          <w:sz w:val="28"/>
          <w:szCs w:val="28"/>
          <w:rtl/>
        </w:rPr>
        <w:t xml:space="preserve">ביום 25.12.2022 הורשע הנאשם, לאחר שמיעת עדויות, בהחזקת נשק, עבירה לפי </w:t>
      </w:r>
      <w:hyperlink r:id="rId12" w:history="1">
        <w:r w:rsidR="00AB48C6" w:rsidRPr="00AB48C6">
          <w:rPr>
            <w:rStyle w:val="Hyperlink"/>
            <w:rFonts w:ascii="FrankRuehl" w:hAnsi="FrankRuehl" w:cs="FrankRuehl"/>
            <w:sz w:val="28"/>
            <w:szCs w:val="28"/>
            <w:rtl/>
          </w:rPr>
          <w:t>סעיף 144(א)</w:t>
        </w:r>
      </w:hyperlink>
      <w:r>
        <w:rPr>
          <w:rFonts w:ascii="FrankRuehl" w:hAnsi="FrankRuehl" w:cs="FrankRuehl"/>
          <w:sz w:val="28"/>
          <w:szCs w:val="28"/>
          <w:rtl/>
        </w:rPr>
        <w:t xml:space="preserve"> רישא וסיפא </w:t>
      </w:r>
      <w:r>
        <w:rPr>
          <w:rFonts w:ascii="Miriam" w:hAnsi="Miriam" w:cs="Miriam"/>
          <w:sz w:val="24"/>
          <w:szCs w:val="24"/>
          <w:rtl/>
        </w:rPr>
        <w:t>ב</w:t>
      </w:r>
      <w:hyperlink r:id="rId13" w:history="1">
        <w:r w:rsidR="00A427BA" w:rsidRPr="00A427BA">
          <w:rPr>
            <w:rFonts w:ascii="Miriam" w:hAnsi="Miriam" w:cs="Miriam"/>
            <w:color w:val="0000FF"/>
            <w:sz w:val="24"/>
            <w:szCs w:val="24"/>
            <w:u w:val="single"/>
            <w:rtl/>
          </w:rPr>
          <w:t>חוק העונשין</w:t>
        </w:r>
      </w:hyperlink>
      <w:r>
        <w:rPr>
          <w:rFonts w:ascii="Miriam" w:hAnsi="Miriam" w:cs="Miriam"/>
          <w:sz w:val="24"/>
          <w:szCs w:val="24"/>
          <w:rtl/>
        </w:rPr>
        <w:t>, התשל"ז-1977</w:t>
      </w:r>
      <w:r>
        <w:rPr>
          <w:rFonts w:ascii="FrankRuehl" w:hAnsi="FrankRuehl" w:cs="FrankRuehl"/>
          <w:sz w:val="28"/>
          <w:szCs w:val="28"/>
          <w:rtl/>
        </w:rPr>
        <w:t xml:space="preserve"> (להלן: "</w:t>
      </w:r>
      <w:r>
        <w:rPr>
          <w:rFonts w:ascii="Miriam" w:hAnsi="Miriam" w:cs="Miriam"/>
          <w:sz w:val="24"/>
          <w:szCs w:val="24"/>
          <w:rtl/>
        </w:rPr>
        <w:t>חוק העונשין</w:t>
      </w:r>
      <w:r>
        <w:rPr>
          <w:rFonts w:ascii="FrankRuehl" w:hAnsi="FrankRuehl" w:cs="FrankRuehl"/>
          <w:sz w:val="28"/>
          <w:szCs w:val="28"/>
          <w:rtl/>
        </w:rPr>
        <w:t>").</w:t>
      </w:r>
    </w:p>
    <w:p w14:paraId="58EE6EF0" w14:textId="77777777" w:rsidR="00C9037E" w:rsidRPr="007C24DB" w:rsidRDefault="00C9037E" w:rsidP="007C24DB">
      <w:pPr>
        <w:pStyle w:val="ab"/>
        <w:spacing w:after="0" w:line="360" w:lineRule="auto"/>
        <w:ind w:left="651"/>
        <w:jc w:val="both"/>
        <w:rPr>
          <w:rFonts w:ascii="FrankRuehl" w:hAnsi="FrankRuehl" w:cs="FrankRuehl"/>
          <w:sz w:val="20"/>
          <w:szCs w:val="20"/>
        </w:rPr>
      </w:pPr>
      <w:bookmarkStart w:id="7" w:name="ABSTRACT_END"/>
      <w:bookmarkEnd w:id="7"/>
    </w:p>
    <w:p w14:paraId="4E22D689" w14:textId="77777777" w:rsidR="00C9037E" w:rsidRDefault="00C9037E" w:rsidP="007C24DB">
      <w:pPr>
        <w:pStyle w:val="ab"/>
        <w:numPr>
          <w:ilvl w:val="0"/>
          <w:numId w:val="3"/>
        </w:numPr>
        <w:spacing w:after="0" w:line="360" w:lineRule="auto"/>
        <w:ind w:left="651" w:hanging="566"/>
        <w:jc w:val="both"/>
        <w:rPr>
          <w:rFonts w:ascii="FrankRuehl" w:hAnsi="FrankRuehl" w:cs="FrankRuehl"/>
          <w:sz w:val="28"/>
          <w:szCs w:val="28"/>
        </w:rPr>
      </w:pPr>
      <w:r>
        <w:rPr>
          <w:rFonts w:ascii="FrankRuehl" w:hAnsi="FrankRuehl" w:cs="FrankRuehl"/>
          <w:sz w:val="28"/>
          <w:szCs w:val="28"/>
          <w:rtl/>
        </w:rPr>
        <w:t xml:space="preserve">לפי האישום וכפי שהוכח במשפט, ממועד שאינו ידוע במדויק ועד יום 30.11.2020, החזיק הנאשם בשתי מכולות הנמצאות בשטח ביתו נשק, חלקים, אביזרים ותחמושת לנשק כמפורט להלן: דמוי רובה סער מסוג </w:t>
      </w:r>
      <w:r>
        <w:rPr>
          <w:rFonts w:ascii="FrankRuehl" w:hAnsi="FrankRuehl" w:cs="FrankRuehl"/>
        </w:rPr>
        <w:t>M</w:t>
      </w:r>
      <w:r>
        <w:rPr>
          <w:rFonts w:ascii="FrankRuehl" w:hAnsi="FrankRuehl" w:cs="FrankRuehl"/>
          <w:sz w:val="28"/>
          <w:szCs w:val="28"/>
        </w:rPr>
        <w:t>-16</w:t>
      </w:r>
      <w:r>
        <w:rPr>
          <w:rFonts w:ascii="FrankRuehl" w:hAnsi="FrankRuehl" w:cs="FrankRuehl"/>
          <w:sz w:val="28"/>
          <w:szCs w:val="28"/>
          <w:rtl/>
        </w:rPr>
        <w:t xml:space="preserve">, כדורי 5.56 המתאימים לנשק מסוג </w:t>
      </w:r>
      <w:r>
        <w:rPr>
          <w:rFonts w:ascii="FrankRuehl" w:hAnsi="FrankRuehl" w:cs="FrankRuehl"/>
        </w:rPr>
        <w:t>M</w:t>
      </w:r>
      <w:r>
        <w:rPr>
          <w:rFonts w:ascii="FrankRuehl" w:hAnsi="FrankRuehl" w:cs="FrankRuehl"/>
          <w:sz w:val="28"/>
          <w:szCs w:val="28"/>
        </w:rPr>
        <w:t>-</w:t>
      </w:r>
      <w:r>
        <w:rPr>
          <w:rFonts w:ascii="FrankRuehl" w:hAnsi="FrankRuehl" w:cs="FrankRuehl"/>
          <w:sz w:val="28"/>
          <w:szCs w:val="28"/>
        </w:rPr>
        <w:lastRenderedPageBreak/>
        <w:t>16</w:t>
      </w:r>
      <w:r>
        <w:rPr>
          <w:rFonts w:ascii="FrankRuehl" w:hAnsi="FrankRuehl" w:cs="FrankRuehl"/>
          <w:sz w:val="28"/>
          <w:szCs w:val="28"/>
          <w:rtl/>
        </w:rPr>
        <w:t>, שתי שקיות מלאות במתפסים לנשק, ידית אחיזה לנשק ודורגלים (להלן: "</w:t>
      </w:r>
      <w:r>
        <w:rPr>
          <w:rFonts w:ascii="Miriam" w:hAnsi="Miriam" w:cs="Miriam"/>
          <w:sz w:val="24"/>
          <w:szCs w:val="24"/>
          <w:rtl/>
        </w:rPr>
        <w:t>הנשק</w:t>
      </w:r>
      <w:r>
        <w:rPr>
          <w:rFonts w:ascii="FrankRuehl" w:hAnsi="FrankRuehl" w:cs="FrankRuehl"/>
          <w:sz w:val="28"/>
          <w:szCs w:val="28"/>
          <w:rtl/>
        </w:rPr>
        <w:t>" ו-"</w:t>
      </w:r>
      <w:r>
        <w:rPr>
          <w:rFonts w:ascii="Miriam" w:hAnsi="Miriam" w:cs="Miriam"/>
          <w:sz w:val="24"/>
          <w:szCs w:val="24"/>
          <w:rtl/>
        </w:rPr>
        <w:t>האמל"ח</w:t>
      </w:r>
      <w:r>
        <w:rPr>
          <w:rFonts w:ascii="FrankRuehl" w:hAnsi="FrankRuehl" w:cs="FrankRuehl"/>
          <w:sz w:val="28"/>
          <w:szCs w:val="28"/>
          <w:rtl/>
        </w:rPr>
        <w:t>").</w:t>
      </w:r>
    </w:p>
    <w:p w14:paraId="298D2E72" w14:textId="77777777" w:rsidR="00C9037E" w:rsidRPr="007C24DB" w:rsidRDefault="00C9037E" w:rsidP="007C24DB">
      <w:pPr>
        <w:pStyle w:val="ab"/>
        <w:spacing w:after="0" w:line="360" w:lineRule="auto"/>
        <w:rPr>
          <w:rFonts w:ascii="FrankRuehl" w:hAnsi="FrankRuehl" w:cs="FrankRuehl"/>
          <w:sz w:val="20"/>
          <w:szCs w:val="20"/>
        </w:rPr>
      </w:pPr>
    </w:p>
    <w:p w14:paraId="283B9BBD" w14:textId="77777777" w:rsidR="00C9037E" w:rsidRDefault="00C9037E" w:rsidP="007C24DB">
      <w:pPr>
        <w:pStyle w:val="ab"/>
        <w:numPr>
          <w:ilvl w:val="0"/>
          <w:numId w:val="3"/>
        </w:numPr>
        <w:spacing w:after="0" w:line="360" w:lineRule="auto"/>
        <w:ind w:left="651" w:hanging="566"/>
        <w:jc w:val="both"/>
        <w:rPr>
          <w:rFonts w:ascii="FrankRuehl" w:hAnsi="FrankRuehl" w:cs="FrankRuehl"/>
          <w:sz w:val="28"/>
          <w:szCs w:val="28"/>
          <w:rtl/>
        </w:rPr>
      </w:pPr>
      <w:r>
        <w:rPr>
          <w:rFonts w:ascii="FrankRuehl" w:hAnsi="FrankRuehl" w:cs="FrankRuehl"/>
          <w:sz w:val="28"/>
          <w:szCs w:val="28"/>
          <w:rtl/>
        </w:rPr>
        <w:t>דיון טיעונים לעונש התקיים ביום 11.6.2023. זה המקום לציין כי אך בבוקר הדיון ולמרות מרחק הזמן (זאת לבקשת ההגנה) בינו לבין מועד הקראת הכרעת הדין, ביקשה ההגנה לראשונה להעביר את עניינו של הנאשם לשירות המבחן. נוכח עיתוי הגשת הבקשה, הוריתי כי הדיון יתקיים במועדו והבקשה תדון בפתחו. כפי שהחלטתי בדיון, נשמעו טיעוני הצדדים לעונש והחלטה בבקשה ניתנה ביום למחרת 12.6.2023. בהחלטה האמורה נדחתה הבקשה לתסקיר. הן נוכח הקושי הנובע מעיתויה, הן מהטעם שטענות ההגנה לעניין נסיבותיו האישיות של הנאשם הועלו היטב בטיעונים לעונש, הן לאור העמדות העונשיות שהוצגו, וזאת אף מאחר והנאשם ממילא אינו נוטל אחריות על מעשיו.</w:t>
      </w:r>
    </w:p>
    <w:p w14:paraId="11D270B6" w14:textId="77777777" w:rsidR="00C9037E" w:rsidRPr="007C24DB" w:rsidRDefault="00C9037E" w:rsidP="007C24DB">
      <w:pPr>
        <w:spacing w:line="360" w:lineRule="auto"/>
        <w:jc w:val="both"/>
        <w:rPr>
          <w:rFonts w:ascii="FrankRuehl" w:hAnsi="FrankRuehl" w:cs="FrankRuehl"/>
          <w:sz w:val="20"/>
          <w:szCs w:val="20"/>
        </w:rPr>
      </w:pPr>
    </w:p>
    <w:p w14:paraId="513AC1CB" w14:textId="77777777" w:rsidR="00C9037E" w:rsidRDefault="00C9037E" w:rsidP="007C24DB">
      <w:pPr>
        <w:spacing w:line="360" w:lineRule="auto"/>
        <w:jc w:val="both"/>
        <w:rPr>
          <w:rFonts w:ascii="Miriam" w:hAnsi="Miriam" w:cs="Miriam"/>
          <w:u w:val="single"/>
        </w:rPr>
      </w:pPr>
      <w:r>
        <w:rPr>
          <w:rFonts w:ascii="Miriam" w:hAnsi="Miriam" w:cs="Miriam"/>
          <w:u w:val="single"/>
          <w:rtl/>
        </w:rPr>
        <w:t>תמצית טענות הצדדים לעונש</w:t>
      </w:r>
    </w:p>
    <w:p w14:paraId="5629741E" w14:textId="77777777" w:rsidR="00C9037E" w:rsidRDefault="00C9037E" w:rsidP="007C24DB">
      <w:pPr>
        <w:spacing w:line="360" w:lineRule="auto"/>
        <w:rPr>
          <w:rFonts w:ascii="FrankRuehl" w:hAnsi="FrankRuehl" w:cs="FrankRuehl"/>
          <w:sz w:val="28"/>
          <w:szCs w:val="28"/>
          <w:rtl/>
        </w:rPr>
      </w:pPr>
    </w:p>
    <w:p w14:paraId="0F5887E8" w14:textId="77777777" w:rsidR="00C9037E" w:rsidRDefault="00C9037E" w:rsidP="007C24DB">
      <w:pPr>
        <w:pStyle w:val="ab"/>
        <w:numPr>
          <w:ilvl w:val="0"/>
          <w:numId w:val="3"/>
        </w:numPr>
        <w:spacing w:after="0" w:line="360" w:lineRule="auto"/>
        <w:ind w:hanging="636"/>
        <w:jc w:val="both"/>
        <w:rPr>
          <w:rFonts w:ascii="FrankRuehl" w:hAnsi="FrankRuehl" w:cs="FrankRuehl"/>
          <w:sz w:val="28"/>
          <w:szCs w:val="28"/>
        </w:rPr>
      </w:pPr>
      <w:r>
        <w:rPr>
          <w:rFonts w:ascii="FrankRuehl" w:hAnsi="FrankRuehl" w:cs="FrankRuehl"/>
          <w:sz w:val="28"/>
          <w:szCs w:val="28"/>
          <w:rtl/>
        </w:rPr>
        <w:t xml:space="preserve">המאשימה טוענת, בין השאר ובעיקר, כי במעשים בהם הורשע הנאשם הוא פגע בערכים המוגנים של שלום הציבור וביטחונו, בסדר החברתי ובשלטון החוק. הנאשם החזיק נשק קטלני שפוטנציאל הנזק הטמון בו הוא גבוה מאוד. הנשק היה עם מחסנית מלאה בכדורים כך שהוא היה זמין ומוכן לשימוש. לנאשם הייתה שליטה על המכולות שבהן נמצא האמל"ח. הימצאות תחמושת נוספת מגבירה את חומרת העבירה. בנסיבות אלו, אף שהעבירה בוצעה לפני תיקון 140 </w:t>
      </w:r>
      <w:r>
        <w:rPr>
          <w:rFonts w:ascii="Miriam" w:hAnsi="Miriam" w:cs="Miriam"/>
          <w:sz w:val="24"/>
          <w:szCs w:val="24"/>
          <w:rtl/>
        </w:rPr>
        <w:t>ב</w:t>
      </w:r>
      <w:hyperlink r:id="rId14" w:history="1">
        <w:r w:rsidR="00A427BA" w:rsidRPr="00A427BA">
          <w:rPr>
            <w:rFonts w:ascii="Miriam" w:hAnsi="Miriam" w:cs="Miriam"/>
            <w:color w:val="0000FF"/>
            <w:sz w:val="24"/>
            <w:szCs w:val="24"/>
            <w:u w:val="single"/>
            <w:rtl/>
          </w:rPr>
          <w:t>חוק העונשין</w:t>
        </w:r>
      </w:hyperlink>
      <w:r>
        <w:rPr>
          <w:rFonts w:ascii="FrankRuehl" w:hAnsi="FrankRuehl" w:cs="FrankRuehl"/>
          <w:sz w:val="28"/>
          <w:szCs w:val="28"/>
          <w:rtl/>
        </w:rPr>
        <w:t>, עותרת המאשימה לקביעת מתחם שינוע בין 26 חודשי מאסר ועד 50 חודשי מאסר בפועל, לצד ענישה נלווית. הנאשם בעל עבר פלילי ולא נטל אחריות על מעשיו. בנסיבותיו, גורסת המאשימה כי יש למקֵם את עונשו "מעט" מעל תחתית המתחם ולהשית עליו 28 חודשי מאסר לצד מאסר מותנה וקנס.</w:t>
      </w:r>
    </w:p>
    <w:p w14:paraId="52627D10" w14:textId="77777777" w:rsidR="00C9037E" w:rsidRDefault="00C9037E" w:rsidP="007C24DB">
      <w:pPr>
        <w:pStyle w:val="ab"/>
        <w:spacing w:after="0" w:line="360" w:lineRule="auto"/>
        <w:jc w:val="both"/>
        <w:rPr>
          <w:rFonts w:ascii="FrankRuehl" w:hAnsi="FrankRuehl" w:cs="FrankRuehl"/>
          <w:sz w:val="28"/>
          <w:szCs w:val="28"/>
        </w:rPr>
      </w:pPr>
    </w:p>
    <w:p w14:paraId="2764A7FB" w14:textId="77777777" w:rsidR="00C9037E" w:rsidRDefault="00C9037E" w:rsidP="007C24DB">
      <w:pPr>
        <w:pStyle w:val="ab"/>
        <w:numPr>
          <w:ilvl w:val="0"/>
          <w:numId w:val="3"/>
        </w:numPr>
        <w:spacing w:after="0" w:line="360" w:lineRule="auto"/>
        <w:ind w:hanging="636"/>
        <w:jc w:val="both"/>
        <w:rPr>
          <w:rFonts w:ascii="FrankRuehl" w:hAnsi="FrankRuehl" w:cs="FrankRuehl"/>
          <w:sz w:val="28"/>
          <w:szCs w:val="28"/>
        </w:rPr>
      </w:pPr>
      <w:r>
        <w:rPr>
          <w:rFonts w:ascii="FrankRuehl" w:hAnsi="FrankRuehl" w:cs="FrankRuehl"/>
          <w:sz w:val="28"/>
          <w:szCs w:val="28"/>
          <w:rtl/>
        </w:rPr>
        <w:t xml:space="preserve">הנאשם – באמצעות בא-כוחו </w:t>
      </w:r>
      <w:r>
        <w:rPr>
          <w:rFonts w:ascii="Miriam" w:hAnsi="Miriam" w:cs="Miriam"/>
          <w:sz w:val="24"/>
          <w:szCs w:val="24"/>
          <w:rtl/>
        </w:rPr>
        <w:t>עו"ד נ' זינאתי</w:t>
      </w:r>
      <w:r>
        <w:rPr>
          <w:rFonts w:ascii="FrankRuehl" w:hAnsi="FrankRuehl" w:cs="FrankRuehl"/>
          <w:sz w:val="28"/>
          <w:szCs w:val="28"/>
          <w:rtl/>
        </w:rPr>
        <w:t xml:space="preserve"> – טוען מנגד, בין השאר ובעיקר, כי מתחם הענישה אליו טוענת המאשימה הוא מחמיר ביותר ואינו הולם את נסיבות ביצוע העבירה. העבירה בוצעה לפני התיקון המוזכר </w:t>
      </w:r>
      <w:r>
        <w:rPr>
          <w:rFonts w:ascii="Miriam" w:hAnsi="Miriam" w:cs="Miriam"/>
          <w:sz w:val="24"/>
          <w:szCs w:val="24"/>
          <w:rtl/>
        </w:rPr>
        <w:t>ב</w:t>
      </w:r>
      <w:hyperlink r:id="rId15" w:history="1">
        <w:r w:rsidR="00A427BA" w:rsidRPr="00A427BA">
          <w:rPr>
            <w:rFonts w:ascii="Miriam" w:hAnsi="Miriam" w:cs="Miriam"/>
            <w:color w:val="0000FF"/>
            <w:sz w:val="24"/>
            <w:szCs w:val="24"/>
            <w:u w:val="single"/>
            <w:rtl/>
          </w:rPr>
          <w:t>חוק העונשין</w:t>
        </w:r>
      </w:hyperlink>
      <w:r>
        <w:rPr>
          <w:rFonts w:ascii="FrankRuehl" w:hAnsi="FrankRuehl" w:cs="FrankRuehl"/>
          <w:sz w:val="28"/>
          <w:szCs w:val="28"/>
          <w:rtl/>
        </w:rPr>
        <w:t xml:space="preserve"> ועל כך יש ליתן את הדעת מבחינת קולת העונש. בנוסף, אין כל אינדיקציה לכך שהנאשם התכוון לעשות שימוש כלשהו בנשק זה ואף לא רמזה המאשימה לקיומו של כל מניע בנדון. הנאשם עצמו, כך לפי הסניגור, החזיק בנשק כהגנה עצמית נוכח תחושת ההפקרות על רקע הפשיעה הגואה </w:t>
      </w:r>
      <w:r>
        <w:rPr>
          <w:rFonts w:ascii="FrankRuehl" w:hAnsi="FrankRuehl" w:cs="FrankRuehl"/>
          <w:sz w:val="28"/>
          <w:szCs w:val="28"/>
          <w:rtl/>
        </w:rPr>
        <w:lastRenderedPageBreak/>
        <w:t>וחוסר הביטחון שפוקד את הארץ בכלל, ובפרט, נוכח מיקום מגוריו (כפר עקב באזור ירושלים) והעדר האכיפה שם, וכדבריו: "</w:t>
      </w:r>
      <w:r>
        <w:rPr>
          <w:rFonts w:ascii="Miriam" w:hAnsi="Miriam" w:cs="Miriam"/>
          <w:sz w:val="24"/>
          <w:szCs w:val="24"/>
          <w:rtl/>
        </w:rPr>
        <w:t>אין דין ואין דיין</w:t>
      </w:r>
      <w:r>
        <w:rPr>
          <w:rFonts w:ascii="FrankRuehl" w:hAnsi="FrankRuehl" w:cs="FrankRuehl"/>
          <w:sz w:val="28"/>
          <w:szCs w:val="28"/>
          <w:rtl/>
        </w:rPr>
        <w:t xml:space="preserve">". אמנם לנאשם קיים עבר פלילי ותעבורתי אך מדובר באירועים רחוקים שאין להם כל זיקה לעבירות נשק. כך שאילולא "השטות" שעשה, הנאשם היה מוגדר כאדם נורמטיבי לחלוטין. הנאשם הוא בן 43 ואב לילדים קטנים, עובד בכבוד לפרנסת משפחתו וגם מעסיק עובדים. מאז שהועמד לדין לא נפתחו נגדו תיקים חדשים והוא שהה לתקופה ממושכת בתנאים מגבילים. הסניגור עתר שוב להעברת עניינו של הנאשם לשירות המבחן, ומכל מקום, הוא עתר לכך שמתחם הענישה ההולמת ינוע בין מאסר שירוצה בעבודות שירות ועד 18 חודשי מאסר בפועל, ואף לדידו ניתן לסטות לקולא מהרף התחתון של המתחם המוצע. </w:t>
      </w:r>
    </w:p>
    <w:p w14:paraId="5B8D0181" w14:textId="77777777" w:rsidR="00C9037E" w:rsidRDefault="00C9037E" w:rsidP="007C24DB">
      <w:pPr>
        <w:spacing w:line="360" w:lineRule="auto"/>
        <w:jc w:val="both"/>
        <w:rPr>
          <w:rFonts w:ascii="FrankRuehl" w:hAnsi="FrankRuehl" w:cs="FrankRuehl"/>
          <w:sz w:val="28"/>
          <w:szCs w:val="28"/>
        </w:rPr>
      </w:pPr>
    </w:p>
    <w:p w14:paraId="4B7F89FB" w14:textId="77777777" w:rsidR="00C9037E" w:rsidRDefault="00C9037E" w:rsidP="007C24DB">
      <w:pPr>
        <w:pStyle w:val="ab"/>
        <w:numPr>
          <w:ilvl w:val="0"/>
          <w:numId w:val="3"/>
        </w:numPr>
        <w:spacing w:after="0" w:line="360" w:lineRule="auto"/>
        <w:ind w:hanging="636"/>
        <w:jc w:val="both"/>
        <w:rPr>
          <w:rFonts w:ascii="FrankRuehl" w:hAnsi="FrankRuehl" w:cs="FrankRuehl"/>
          <w:sz w:val="28"/>
          <w:szCs w:val="28"/>
          <w:rtl/>
        </w:rPr>
      </w:pPr>
      <w:r>
        <w:rPr>
          <w:rFonts w:ascii="FrankRuehl" w:hAnsi="FrankRuehl" w:cs="FrankRuehl"/>
          <w:sz w:val="28"/>
          <w:szCs w:val="28"/>
          <w:rtl/>
        </w:rPr>
        <w:t>גם הנאשם עצמו דיבר לפניי בדיון האחרון. הנאשם טען כי לא עשה דבר מהמיוחס לו. הוא תיאר כי הוא מממן את עלויות הלימודים האקדמיים של ילדיו הבוגרים ויש לו שני ילדים קטינים נוספים. מה גם שהוא נושא בעול הכספי של המשפחה הגדולה, כך שכל יום מאסר יפגע בו.</w:t>
      </w:r>
    </w:p>
    <w:p w14:paraId="76DD2D09" w14:textId="77777777" w:rsidR="00C9037E" w:rsidRDefault="00C9037E" w:rsidP="007C24DB">
      <w:pPr>
        <w:spacing w:line="360" w:lineRule="auto"/>
        <w:jc w:val="both"/>
        <w:rPr>
          <w:rFonts w:ascii="FrankRuehl" w:hAnsi="FrankRuehl" w:cs="FrankRuehl"/>
          <w:sz w:val="20"/>
          <w:szCs w:val="20"/>
          <w:rtl/>
        </w:rPr>
      </w:pPr>
    </w:p>
    <w:p w14:paraId="1E159DB8" w14:textId="77777777" w:rsidR="00C9037E" w:rsidRDefault="00C9037E" w:rsidP="007C24DB">
      <w:pPr>
        <w:spacing w:line="360" w:lineRule="auto"/>
        <w:jc w:val="both"/>
        <w:rPr>
          <w:rFonts w:ascii="Miriam" w:hAnsi="Miriam" w:cs="Miriam"/>
          <w:u w:val="single"/>
        </w:rPr>
      </w:pPr>
      <w:r>
        <w:rPr>
          <w:rFonts w:ascii="Miriam" w:hAnsi="Miriam" w:cs="Miriam"/>
          <w:u w:val="single"/>
          <w:rtl/>
        </w:rPr>
        <w:t>דיון והכרעה</w:t>
      </w:r>
    </w:p>
    <w:p w14:paraId="3E50619A" w14:textId="77777777" w:rsidR="00C9037E" w:rsidRDefault="00C9037E" w:rsidP="007C24DB">
      <w:pPr>
        <w:spacing w:line="360" w:lineRule="auto"/>
        <w:rPr>
          <w:rFonts w:ascii="FrankRuehl" w:hAnsi="FrankRuehl" w:cs="FrankRuehl"/>
          <w:sz w:val="20"/>
          <w:szCs w:val="20"/>
          <w:rtl/>
        </w:rPr>
      </w:pPr>
    </w:p>
    <w:p w14:paraId="2CBD2EE8" w14:textId="77777777" w:rsidR="00C9037E" w:rsidRDefault="00C9037E" w:rsidP="007C24DB">
      <w:pPr>
        <w:pStyle w:val="ab"/>
        <w:numPr>
          <w:ilvl w:val="0"/>
          <w:numId w:val="3"/>
        </w:numPr>
        <w:spacing w:after="0" w:line="360" w:lineRule="auto"/>
        <w:ind w:left="651" w:hanging="566"/>
        <w:jc w:val="both"/>
        <w:rPr>
          <w:rFonts w:ascii="FrankRuehl" w:hAnsi="FrankRuehl" w:cs="FrankRuehl"/>
          <w:sz w:val="28"/>
          <w:szCs w:val="28"/>
        </w:rPr>
      </w:pPr>
      <w:r>
        <w:rPr>
          <w:rFonts w:ascii="FrankRuehl" w:hAnsi="FrankRuehl" w:cs="FrankRuehl"/>
          <w:sz w:val="28"/>
          <w:szCs w:val="28"/>
          <w:rtl/>
        </w:rPr>
        <w:t xml:space="preserve">לפי </w:t>
      </w:r>
      <w:hyperlink r:id="rId16" w:history="1">
        <w:r w:rsidR="00AB48C6" w:rsidRPr="00AB48C6">
          <w:rPr>
            <w:rStyle w:val="Hyperlink"/>
            <w:rFonts w:ascii="FrankRuehl" w:hAnsi="FrankRuehl" w:cs="FrankRuehl"/>
            <w:sz w:val="28"/>
            <w:szCs w:val="28"/>
            <w:rtl/>
          </w:rPr>
          <w:t>סעיף 40ב</w:t>
        </w:r>
      </w:hyperlink>
      <w:r>
        <w:rPr>
          <w:rFonts w:ascii="FrankRuehl" w:hAnsi="FrankRuehl" w:cs="FrankRuehl"/>
          <w:sz w:val="28"/>
          <w:szCs w:val="28"/>
          <w:rtl/>
        </w:rPr>
        <w:t xml:space="preserve"> </w:t>
      </w:r>
      <w:r>
        <w:rPr>
          <w:rFonts w:ascii="Miriam" w:hAnsi="Miriam" w:cs="Miriam"/>
          <w:sz w:val="24"/>
          <w:szCs w:val="24"/>
          <w:rtl/>
        </w:rPr>
        <w:t>ב</w:t>
      </w:r>
      <w:hyperlink r:id="rId17" w:history="1">
        <w:r w:rsidR="00A427BA" w:rsidRPr="00A427BA">
          <w:rPr>
            <w:rFonts w:ascii="Miriam" w:hAnsi="Miriam" w:cs="Miriam"/>
            <w:color w:val="0000FF"/>
            <w:sz w:val="24"/>
            <w:szCs w:val="24"/>
            <w:u w:val="single"/>
            <w:rtl/>
          </w:rPr>
          <w:t>חוק העונשין</w:t>
        </w:r>
      </w:hyperlink>
      <w:r>
        <w:rPr>
          <w:rFonts w:ascii="FrankRuehl" w:hAnsi="FrankRuehl" w:cs="FrankRuehl"/>
          <w:sz w:val="28"/>
          <w:szCs w:val="28"/>
          <w:rtl/>
        </w:rPr>
        <w:t xml:space="preserve">, העיקרון המנחה בענישה הוא קיומו של יחס הולם בין חומרת מעשה העבירה בנסיבותיו ומידת אשמו של הנאשם ובין סוג ומידת העונש המוטל. לפי </w:t>
      </w:r>
      <w:hyperlink r:id="rId18" w:history="1">
        <w:r w:rsidR="00AB48C6" w:rsidRPr="00AB48C6">
          <w:rPr>
            <w:rStyle w:val="Hyperlink"/>
            <w:rFonts w:ascii="FrankRuehl" w:hAnsi="FrankRuehl" w:cs="FrankRuehl"/>
            <w:sz w:val="28"/>
            <w:szCs w:val="28"/>
            <w:rtl/>
          </w:rPr>
          <w:t>סעיף 40ג(א)</w:t>
        </w:r>
      </w:hyperlink>
      <w:r>
        <w:rPr>
          <w:rFonts w:ascii="FrankRuehl" w:hAnsi="FrankRuehl" w:cs="FrankRuehl"/>
          <w:sz w:val="28"/>
          <w:szCs w:val="28"/>
          <w:rtl/>
        </w:rPr>
        <w:t>, לקביעת מתחם העונש ההולם, בית המשפט "</w:t>
      </w:r>
      <w:r>
        <w:rPr>
          <w:rFonts w:ascii="Miriam" w:hAnsi="Miriam" w:cs="Miriam"/>
          <w:sz w:val="24"/>
          <w:szCs w:val="24"/>
          <w:rtl/>
        </w:rPr>
        <w:t>יתחשב בערך החברתי שנפגע מביצוע העבירה, במידת הפגיעה בו, במדיניות הענישה הנהוגה ובנסיבות הקשורות בביצוע העבירה כאמור בסעיף 40ט</w:t>
      </w:r>
      <w:r>
        <w:rPr>
          <w:rFonts w:ascii="FrankRuehl" w:hAnsi="FrankRuehl" w:cs="FrankRuehl"/>
          <w:sz w:val="28"/>
          <w:szCs w:val="28"/>
          <w:rtl/>
        </w:rPr>
        <w:t xml:space="preserve">", ולפי </w:t>
      </w:r>
      <w:hyperlink r:id="rId19" w:history="1">
        <w:r w:rsidR="00AB48C6" w:rsidRPr="00AB48C6">
          <w:rPr>
            <w:rStyle w:val="Hyperlink"/>
            <w:rFonts w:ascii="FrankRuehl" w:hAnsi="FrankRuehl" w:cs="FrankRuehl"/>
            <w:sz w:val="28"/>
            <w:szCs w:val="28"/>
            <w:rtl/>
          </w:rPr>
          <w:t>סעיף 40ג(ב)</w:t>
        </w:r>
      </w:hyperlink>
      <w:r>
        <w:rPr>
          <w:rFonts w:ascii="FrankRuehl" w:hAnsi="FrankRuehl" w:cs="FrankRuehl"/>
          <w:sz w:val="28"/>
          <w:szCs w:val="28"/>
          <w:rtl/>
        </w:rPr>
        <w:t xml:space="preserve"> "</w:t>
      </w:r>
      <w:r>
        <w:rPr>
          <w:rFonts w:ascii="Miriam" w:hAnsi="Miriam" w:cs="Miriam"/>
          <w:sz w:val="24"/>
          <w:szCs w:val="24"/>
          <w:rtl/>
        </w:rPr>
        <w:t>בתוך מתחם העונש ההולם יגזור בית המשפט את העונש המתאים לנאשם, בהתחשב בנסיבות שאינן קשורות בביצוע העבירה...</w:t>
      </w:r>
      <w:r>
        <w:rPr>
          <w:rFonts w:ascii="FrankRuehl" w:hAnsi="FrankRuehl" w:cs="FrankRuehl"/>
          <w:sz w:val="28"/>
          <w:szCs w:val="28"/>
          <w:rtl/>
        </w:rPr>
        <w:t>".</w:t>
      </w:r>
    </w:p>
    <w:p w14:paraId="70BD4B93" w14:textId="77777777" w:rsidR="00C9037E" w:rsidRDefault="00C9037E" w:rsidP="007C24DB">
      <w:pPr>
        <w:pStyle w:val="ab"/>
        <w:spacing w:after="0" w:line="360" w:lineRule="auto"/>
        <w:ind w:left="651"/>
        <w:jc w:val="both"/>
        <w:rPr>
          <w:rFonts w:ascii="FrankRuehl" w:hAnsi="FrankRuehl" w:cs="FrankRuehl"/>
          <w:sz w:val="28"/>
          <w:szCs w:val="28"/>
          <w:rtl/>
        </w:rPr>
      </w:pPr>
    </w:p>
    <w:p w14:paraId="290949AE" w14:textId="77777777" w:rsidR="00C9037E" w:rsidRDefault="00C9037E" w:rsidP="007C24DB">
      <w:pPr>
        <w:pStyle w:val="ab"/>
        <w:numPr>
          <w:ilvl w:val="0"/>
          <w:numId w:val="3"/>
        </w:numPr>
        <w:spacing w:after="0" w:line="360" w:lineRule="auto"/>
        <w:ind w:left="651" w:hanging="566"/>
        <w:jc w:val="both"/>
        <w:rPr>
          <w:rFonts w:ascii="FrankRuehl" w:hAnsi="FrankRuehl" w:cs="FrankRuehl"/>
          <w:sz w:val="28"/>
          <w:szCs w:val="28"/>
        </w:rPr>
      </w:pPr>
      <w:r>
        <w:rPr>
          <w:rFonts w:ascii="Miriam" w:hAnsi="Miriam" w:cs="Miriam"/>
          <w:sz w:val="24"/>
          <w:szCs w:val="24"/>
          <w:rtl/>
        </w:rPr>
        <w:t>הערכים המוגנים</w:t>
      </w:r>
      <w:r>
        <w:rPr>
          <w:rFonts w:ascii="FrankRuehl" w:hAnsi="FrankRuehl" w:cs="FrankRuehl"/>
          <w:sz w:val="28"/>
          <w:szCs w:val="28"/>
          <w:rtl/>
        </w:rPr>
        <w:t>: אין להכביר במילים ביחס לאיסור להחזיק אמצעי לחימה כדוגמת נשקים, שלא כדין. ברי לכל כי מדובר בכלים מסוכנים ועלולים להמית. מלבד הסיכון הממשי הטמון בשימוש בנשק בין לפעילות עבריינית בין למעשי טרור, עצם החזקתו, יכולה להביא לכך שהוא יגיע גם לידיים נוספות זולת המחזיק בו מלכתחילה, דבר שמגביר את עוצמת הסיכונים הנשקפים ממנו כלפי שלום הציבור וביטחונם האישי, שלמות הגוף, הרכוש ועיקרון שלטון החוק והסדר הציבורי. ב</w:t>
      </w:r>
      <w:hyperlink r:id="rId20" w:history="1">
        <w:r w:rsidR="00A427BA" w:rsidRPr="00A427BA">
          <w:rPr>
            <w:rFonts w:ascii="FrankRuehl" w:hAnsi="FrankRuehl" w:cs="FrankRuehl"/>
            <w:color w:val="0000FF"/>
            <w:sz w:val="28"/>
            <w:szCs w:val="28"/>
            <w:u w:val="single"/>
            <w:rtl/>
          </w:rPr>
          <w:t>ע"פ 4945/13</w:t>
        </w:r>
      </w:hyperlink>
      <w:r>
        <w:rPr>
          <w:rFonts w:ascii="FrankRuehl" w:hAnsi="FrankRuehl" w:cs="FrankRuehl"/>
          <w:sz w:val="28"/>
          <w:szCs w:val="28"/>
          <w:rtl/>
        </w:rPr>
        <w:t xml:space="preserve"> </w:t>
      </w:r>
      <w:r>
        <w:rPr>
          <w:rFonts w:ascii="Miriam" w:hAnsi="Miriam" w:cs="Miriam"/>
          <w:sz w:val="24"/>
          <w:szCs w:val="24"/>
          <w:rtl/>
        </w:rPr>
        <w:t>מדינת ישראל נ' סלימאן</w:t>
      </w:r>
      <w:r>
        <w:rPr>
          <w:rFonts w:ascii="FrankRuehl" w:hAnsi="FrankRuehl" w:cs="FrankRuehl"/>
          <w:sz w:val="28"/>
          <w:szCs w:val="28"/>
          <w:rtl/>
        </w:rPr>
        <w:t>, פסקה 4 (19.1.2014), נפסק שם:</w:t>
      </w:r>
    </w:p>
    <w:p w14:paraId="645C54AD" w14:textId="77777777" w:rsidR="00C9037E" w:rsidRPr="00095BA3" w:rsidRDefault="00C9037E" w:rsidP="007C24DB">
      <w:pPr>
        <w:pStyle w:val="ab"/>
        <w:spacing w:after="0" w:line="360" w:lineRule="auto"/>
        <w:rPr>
          <w:rFonts w:ascii="FrankRuehl" w:hAnsi="FrankRuehl" w:cs="FrankRuehl"/>
          <w:sz w:val="20"/>
          <w:szCs w:val="20"/>
        </w:rPr>
      </w:pPr>
    </w:p>
    <w:p w14:paraId="45296117" w14:textId="77777777" w:rsidR="00C9037E" w:rsidRDefault="00C9037E" w:rsidP="007C24DB">
      <w:pPr>
        <w:pStyle w:val="ab"/>
        <w:spacing w:after="0" w:line="240" w:lineRule="auto"/>
        <w:ind w:left="1440" w:right="567"/>
        <w:jc w:val="both"/>
        <w:rPr>
          <w:rFonts w:ascii="FrankRuehl" w:hAnsi="FrankRuehl" w:cs="FrankRuehl"/>
          <w:sz w:val="28"/>
          <w:szCs w:val="28"/>
        </w:rPr>
      </w:pPr>
      <w:r>
        <w:rPr>
          <w:rFonts w:ascii="FrankRuehl" w:hAnsi="FrankRuehl" w:cs="FrankRuehl"/>
          <w:sz w:val="28"/>
          <w:szCs w:val="28"/>
          <w:rtl/>
        </w:rPr>
        <w:t>"הסכנה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w:t>
      </w:r>
      <w:hyperlink r:id="rId21" w:history="1">
        <w:r w:rsidR="00A427BA" w:rsidRPr="00A427BA">
          <w:rPr>
            <w:rFonts w:ascii="FrankRuehl" w:hAnsi="FrankRuehl" w:cs="FrankRuehl"/>
            <w:color w:val="0000FF"/>
            <w:sz w:val="28"/>
            <w:szCs w:val="28"/>
            <w:u w:val="single"/>
            <w:rtl/>
          </w:rPr>
          <w:t>ע"פ 1323/13</w:t>
        </w:r>
      </w:hyperlink>
      <w:r>
        <w:rPr>
          <w:rFonts w:ascii="FrankRuehl" w:hAnsi="FrankRuehl" w:cs="FrankRuehl"/>
          <w:sz w:val="28"/>
          <w:szCs w:val="28"/>
          <w:rtl/>
        </w:rPr>
        <w:t xml:space="preserve"> </w:t>
      </w:r>
      <w:r>
        <w:rPr>
          <w:rFonts w:ascii="Miriam" w:hAnsi="Miriam" w:cs="Miriam"/>
          <w:sz w:val="24"/>
          <w:szCs w:val="24"/>
          <w:rtl/>
        </w:rPr>
        <w:t>חסן נ' מדינת ישראל</w:t>
      </w:r>
      <w:r>
        <w:rPr>
          <w:rFonts w:ascii="FrankRuehl" w:hAnsi="FrankRuehl" w:cs="FrankRuehl"/>
          <w:sz w:val="28"/>
          <w:szCs w:val="28"/>
          <w:rtl/>
        </w:rPr>
        <w:t>, פסקה 12 (5.6.2013)). אכן, "המציאות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 (</w:t>
      </w:r>
      <w:hyperlink r:id="rId22" w:history="1">
        <w:r w:rsidR="00A427BA" w:rsidRPr="00A427BA">
          <w:rPr>
            <w:rFonts w:ascii="FrankRuehl" w:hAnsi="FrankRuehl" w:cs="FrankRuehl"/>
            <w:color w:val="0000FF"/>
            <w:sz w:val="28"/>
            <w:szCs w:val="28"/>
            <w:u w:val="single"/>
            <w:rtl/>
          </w:rPr>
          <w:t>ע"פ 2918/13</w:t>
        </w:r>
      </w:hyperlink>
      <w:r>
        <w:rPr>
          <w:rFonts w:ascii="FrankRuehl" w:hAnsi="FrankRuehl" w:cs="FrankRuehl"/>
          <w:sz w:val="28"/>
          <w:szCs w:val="28"/>
          <w:rtl/>
        </w:rPr>
        <w:t xml:space="preserve"> </w:t>
      </w:r>
      <w:r>
        <w:rPr>
          <w:rFonts w:ascii="Miriam" w:hAnsi="Miriam" w:cs="Miriam"/>
          <w:sz w:val="24"/>
          <w:szCs w:val="24"/>
          <w:rtl/>
        </w:rPr>
        <w:t>דבס נ' מדינת ישראל</w:t>
      </w:r>
      <w:r>
        <w:rPr>
          <w:rFonts w:ascii="FrankRuehl" w:hAnsi="FrankRuehl" w:cs="FrankRuehl"/>
          <w:sz w:val="28"/>
          <w:szCs w:val="28"/>
          <w:rtl/>
        </w:rPr>
        <w:t>, פסקה 8 (18.7.2013))"</w:t>
      </w:r>
    </w:p>
    <w:p w14:paraId="5F7E8CF0" w14:textId="77777777" w:rsidR="00C9037E" w:rsidRDefault="00C9037E" w:rsidP="007C24DB">
      <w:pPr>
        <w:spacing w:line="360" w:lineRule="auto"/>
        <w:ind w:right="567"/>
        <w:jc w:val="both"/>
        <w:rPr>
          <w:rFonts w:ascii="FrankRuehl" w:hAnsi="FrankRuehl" w:cs="FrankRuehl"/>
          <w:sz w:val="28"/>
          <w:szCs w:val="28"/>
          <w:rtl/>
        </w:rPr>
      </w:pPr>
    </w:p>
    <w:p w14:paraId="14F1CE5F" w14:textId="77777777" w:rsidR="00C9037E" w:rsidRDefault="00C9037E" w:rsidP="007C24DB">
      <w:pPr>
        <w:pStyle w:val="ab"/>
        <w:numPr>
          <w:ilvl w:val="0"/>
          <w:numId w:val="3"/>
        </w:numPr>
        <w:spacing w:after="0" w:line="360" w:lineRule="auto"/>
        <w:ind w:left="651" w:right="567" w:hanging="567"/>
        <w:jc w:val="both"/>
        <w:rPr>
          <w:rFonts w:ascii="FrankRuehl" w:hAnsi="FrankRuehl" w:cs="FrankRuehl"/>
          <w:sz w:val="28"/>
          <w:szCs w:val="28"/>
          <w:rtl/>
        </w:rPr>
      </w:pPr>
      <w:r>
        <w:rPr>
          <w:rFonts w:ascii="FrankRuehl" w:hAnsi="FrankRuehl" w:cs="FrankRuehl"/>
          <w:sz w:val="28"/>
          <w:szCs w:val="28"/>
          <w:rtl/>
        </w:rPr>
        <w:t>ב</w:t>
      </w:r>
      <w:hyperlink r:id="rId23" w:history="1">
        <w:r w:rsidR="00A427BA" w:rsidRPr="00A427BA">
          <w:rPr>
            <w:rFonts w:ascii="FrankRuehl" w:hAnsi="FrankRuehl" w:cs="FrankRuehl"/>
            <w:color w:val="0000FF"/>
            <w:sz w:val="28"/>
            <w:szCs w:val="28"/>
            <w:u w:val="single"/>
            <w:rtl/>
          </w:rPr>
          <w:t>ע"פ 3877/16</w:t>
        </w:r>
      </w:hyperlink>
      <w:r>
        <w:rPr>
          <w:rFonts w:ascii="FrankRuehl" w:hAnsi="FrankRuehl" w:cs="FrankRuehl"/>
          <w:sz w:val="28"/>
          <w:szCs w:val="28"/>
          <w:rtl/>
        </w:rPr>
        <w:t xml:space="preserve"> </w:t>
      </w:r>
      <w:r>
        <w:rPr>
          <w:rFonts w:ascii="Miriam" w:hAnsi="Miriam" w:cs="Miriam"/>
          <w:sz w:val="24"/>
          <w:szCs w:val="24"/>
          <w:rtl/>
        </w:rPr>
        <w:t>ג'באלי נ' מדינת ישראל</w:t>
      </w:r>
      <w:r>
        <w:rPr>
          <w:rFonts w:ascii="FrankRuehl" w:hAnsi="FrankRuehl" w:cs="FrankRuehl"/>
          <w:sz w:val="28"/>
          <w:szCs w:val="28"/>
          <w:rtl/>
        </w:rPr>
        <w:t>, פסקה 6 (17.11.2016), נפסק:</w:t>
      </w:r>
    </w:p>
    <w:p w14:paraId="1B86DDAB" w14:textId="77777777" w:rsidR="00C9037E" w:rsidRPr="00095BA3" w:rsidRDefault="00C9037E" w:rsidP="007C24DB">
      <w:pPr>
        <w:pStyle w:val="ab"/>
        <w:spacing w:after="0" w:line="360" w:lineRule="auto"/>
        <w:ind w:left="651" w:right="567"/>
        <w:jc w:val="both"/>
        <w:rPr>
          <w:rFonts w:ascii="FrankRuehl" w:hAnsi="FrankRuehl" w:cs="FrankRuehl"/>
          <w:sz w:val="20"/>
          <w:szCs w:val="20"/>
          <w:rtl/>
        </w:rPr>
      </w:pPr>
    </w:p>
    <w:p w14:paraId="1FF2A3B8" w14:textId="77777777" w:rsidR="00C9037E" w:rsidRDefault="00C9037E" w:rsidP="007C24DB">
      <w:pPr>
        <w:pStyle w:val="ab"/>
        <w:spacing w:after="0" w:line="240" w:lineRule="auto"/>
        <w:ind w:left="1440" w:right="567"/>
        <w:jc w:val="both"/>
        <w:rPr>
          <w:rFonts w:ascii="FrankRuehl" w:hAnsi="FrankRuehl" w:cs="FrankRuehl"/>
          <w:sz w:val="28"/>
          <w:szCs w:val="28"/>
        </w:rPr>
      </w:pPr>
      <w:r>
        <w:rPr>
          <w:rFonts w:ascii="FrankRuehl" w:hAnsi="FrankRuehl" w:cs="FrankRuehl"/>
          <w:sz w:val="28"/>
          <w:szCs w:val="28"/>
          <w:rtl/>
        </w:rPr>
        <w:t>"בית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 (</w:t>
      </w:r>
      <w:hyperlink r:id="rId24" w:history="1">
        <w:r w:rsidR="00A427BA" w:rsidRPr="00A427BA">
          <w:rPr>
            <w:rFonts w:ascii="FrankRuehl" w:hAnsi="FrankRuehl" w:cs="FrankRuehl"/>
            <w:color w:val="0000FF"/>
            <w:sz w:val="28"/>
            <w:szCs w:val="28"/>
            <w:u w:val="single"/>
            <w:rtl/>
          </w:rPr>
          <w:t>ע"פ 5120/11</w:t>
        </w:r>
      </w:hyperlink>
      <w:r>
        <w:rPr>
          <w:rFonts w:ascii="FrankRuehl" w:hAnsi="FrankRuehl" w:cs="FrankRuehl"/>
          <w:sz w:val="28"/>
          <w:szCs w:val="28"/>
          <w:rtl/>
        </w:rPr>
        <w:t xml:space="preserve"> </w:t>
      </w:r>
      <w:r>
        <w:rPr>
          <w:rFonts w:ascii="Miriam" w:hAnsi="Miriam" w:cs="Miriam"/>
          <w:sz w:val="24"/>
          <w:szCs w:val="24"/>
          <w:rtl/>
        </w:rPr>
        <w:t>שתיווי נ' מדינת ישראל</w:t>
      </w:r>
      <w:r>
        <w:rPr>
          <w:rFonts w:ascii="FrankRuehl" w:hAnsi="FrankRuehl" w:cs="FrankRuehl"/>
          <w:sz w:val="28"/>
          <w:szCs w:val="28"/>
          <w:rtl/>
        </w:rPr>
        <w:t xml:space="preserve">, בפסקה 5 (18.12.2011); </w:t>
      </w:r>
      <w:hyperlink r:id="rId25" w:history="1">
        <w:r w:rsidR="00A427BA" w:rsidRPr="00A427BA">
          <w:rPr>
            <w:rFonts w:ascii="FrankRuehl" w:hAnsi="FrankRuehl" w:cs="FrankRuehl"/>
            <w:color w:val="0000FF"/>
            <w:sz w:val="28"/>
            <w:szCs w:val="28"/>
            <w:u w:val="single"/>
            <w:rtl/>
          </w:rPr>
          <w:t>ע"פ 4329/10</w:t>
        </w:r>
      </w:hyperlink>
      <w:r>
        <w:rPr>
          <w:rFonts w:ascii="FrankRuehl" w:hAnsi="FrankRuehl" w:cs="FrankRuehl"/>
          <w:sz w:val="28"/>
          <w:szCs w:val="28"/>
          <w:rtl/>
        </w:rPr>
        <w:t xml:space="preserve"> </w:t>
      </w:r>
      <w:r>
        <w:rPr>
          <w:rFonts w:ascii="Miriam" w:hAnsi="Miriam" w:cs="Miriam"/>
          <w:sz w:val="24"/>
          <w:szCs w:val="24"/>
          <w:rtl/>
        </w:rPr>
        <w:t>פלוני נ' מדינת ישראל</w:t>
      </w:r>
      <w:r>
        <w:rPr>
          <w:rFonts w:ascii="FrankRuehl" w:hAnsi="FrankRuehl" w:cs="FrankRuehl"/>
          <w:sz w:val="28"/>
          <w:szCs w:val="28"/>
          <w:rtl/>
        </w:rPr>
        <w:t xml:space="preserve"> (25.10.2010)). עוד נפסק כי חומרתן של העבירות בנשק אינה מסתכמת רק בנזק שאירע בפועל, כי אם בפוטנציאל הנזק הנובע מאותן עבירות (</w:t>
      </w:r>
      <w:hyperlink r:id="rId26" w:history="1">
        <w:r w:rsidR="00A427BA" w:rsidRPr="00A427BA">
          <w:rPr>
            <w:rFonts w:ascii="FrankRuehl" w:hAnsi="FrankRuehl" w:cs="FrankRuehl"/>
            <w:color w:val="0000FF"/>
            <w:sz w:val="28"/>
            <w:szCs w:val="28"/>
            <w:u w:val="single"/>
            <w:rtl/>
          </w:rPr>
          <w:t>ע"פ 116/13</w:t>
        </w:r>
      </w:hyperlink>
      <w:r>
        <w:rPr>
          <w:rFonts w:ascii="FrankRuehl" w:hAnsi="FrankRuehl" w:cs="FrankRuehl"/>
          <w:sz w:val="28"/>
          <w:szCs w:val="28"/>
          <w:rtl/>
        </w:rPr>
        <w:t xml:space="preserve"> </w:t>
      </w:r>
      <w:r>
        <w:rPr>
          <w:rFonts w:ascii="Miriam" w:hAnsi="Miriam" w:cs="Miriam"/>
          <w:sz w:val="24"/>
          <w:szCs w:val="24"/>
          <w:rtl/>
        </w:rPr>
        <w:t>וקנין נ' מדינת ישראל</w:t>
      </w:r>
      <w:r>
        <w:rPr>
          <w:rFonts w:ascii="FrankRuehl" w:hAnsi="FrankRuehl" w:cs="FrankRuehl"/>
          <w:sz w:val="28"/>
          <w:szCs w:val="28"/>
          <w:rtl/>
        </w:rPr>
        <w:t>, בפסקה 7 (31.7.2013))"</w:t>
      </w:r>
    </w:p>
    <w:p w14:paraId="3A7F7EF8" w14:textId="77777777" w:rsidR="00C9037E" w:rsidRDefault="00C9037E" w:rsidP="007C24DB">
      <w:pPr>
        <w:spacing w:line="360" w:lineRule="auto"/>
        <w:ind w:right="567"/>
        <w:jc w:val="both"/>
        <w:rPr>
          <w:rFonts w:ascii="FrankRuehl" w:hAnsi="FrankRuehl" w:cs="FrankRuehl"/>
          <w:sz w:val="28"/>
          <w:szCs w:val="28"/>
          <w:rtl/>
        </w:rPr>
      </w:pPr>
    </w:p>
    <w:p w14:paraId="4836C19E" w14:textId="77777777" w:rsidR="00C9037E" w:rsidRDefault="00C9037E" w:rsidP="007C24DB">
      <w:pPr>
        <w:pStyle w:val="ab"/>
        <w:numPr>
          <w:ilvl w:val="0"/>
          <w:numId w:val="3"/>
        </w:numPr>
        <w:spacing w:after="0" w:line="360" w:lineRule="auto"/>
        <w:ind w:hanging="636"/>
        <w:jc w:val="both"/>
        <w:rPr>
          <w:rFonts w:ascii="FrankRuehl" w:hAnsi="FrankRuehl" w:cs="FrankRuehl"/>
          <w:sz w:val="28"/>
          <w:szCs w:val="28"/>
          <w:rtl/>
        </w:rPr>
      </w:pPr>
      <w:r>
        <w:rPr>
          <w:rFonts w:ascii="FrankRuehl" w:hAnsi="FrankRuehl" w:cs="FrankRuehl"/>
          <w:sz w:val="28"/>
          <w:szCs w:val="28"/>
          <w:rtl/>
        </w:rPr>
        <w:t>וממש בשנתיים האחרונות בית המשפט העליון, עמד לא אחת, על חומרת התופעה והצורך בהחמרת הענישה; ב</w:t>
      </w:r>
      <w:hyperlink r:id="rId27" w:history="1">
        <w:r w:rsidR="00A427BA" w:rsidRPr="00A427BA">
          <w:rPr>
            <w:rFonts w:ascii="FrankRuehl" w:hAnsi="FrankRuehl" w:cs="FrankRuehl"/>
            <w:color w:val="0000FF"/>
            <w:sz w:val="28"/>
            <w:szCs w:val="28"/>
            <w:u w:val="single"/>
            <w:rtl/>
          </w:rPr>
          <w:t>ע"פ 2251/21</w:t>
        </w:r>
      </w:hyperlink>
      <w:r>
        <w:rPr>
          <w:rFonts w:ascii="FrankRuehl" w:hAnsi="FrankRuehl" w:cs="FrankRuehl"/>
          <w:sz w:val="28"/>
          <w:szCs w:val="28"/>
          <w:rtl/>
        </w:rPr>
        <w:t xml:space="preserve"> </w:t>
      </w:r>
      <w:r>
        <w:rPr>
          <w:rFonts w:ascii="Miriam" w:hAnsi="Miriam" w:cs="Miriam"/>
          <w:sz w:val="24"/>
          <w:szCs w:val="24"/>
          <w:rtl/>
        </w:rPr>
        <w:t>אבו עראר נ' מדינת ישראל</w:t>
      </w:r>
      <w:r>
        <w:rPr>
          <w:rFonts w:ascii="FrankRuehl" w:hAnsi="FrankRuehl" w:cs="FrankRuehl"/>
          <w:sz w:val="28"/>
          <w:szCs w:val="28"/>
          <w:rtl/>
        </w:rPr>
        <w:t xml:space="preserve"> (15.12.2021), שם בפסקה 25, כבוד השופט </w:t>
      </w:r>
      <w:r>
        <w:rPr>
          <w:rFonts w:ascii="Miriam" w:hAnsi="Miriam" w:cs="Miriam"/>
          <w:sz w:val="24"/>
          <w:szCs w:val="24"/>
          <w:rtl/>
        </w:rPr>
        <w:t>ד' מינץ</w:t>
      </w:r>
      <w:r>
        <w:rPr>
          <w:rFonts w:ascii="FrankRuehl" w:hAnsi="FrankRuehl" w:cs="FrankRuehl"/>
          <w:sz w:val="28"/>
          <w:szCs w:val="28"/>
          <w:rtl/>
        </w:rPr>
        <w:t xml:space="preserve"> תיאר את הדברים כהאי לישנא: "</w:t>
      </w:r>
      <w:r>
        <w:rPr>
          <w:rFonts w:ascii="Miriam" w:hAnsi="Miriam" w:cs="Miriam"/>
          <w:sz w:val="24"/>
          <w:szCs w:val="24"/>
          <w:rtl/>
        </w:rPr>
        <w:t>מצויים אנו לעת הזאת במצב חירום של ממש בעניין עבירות נשק</w:t>
      </w:r>
      <w:r>
        <w:rPr>
          <w:rFonts w:ascii="FrankRuehl" w:hAnsi="FrankRuehl" w:cs="FrankRuehl"/>
          <w:sz w:val="28"/>
          <w:szCs w:val="28"/>
          <w:rtl/>
        </w:rPr>
        <w:t xml:space="preserve">" (ראו גם: </w:t>
      </w:r>
      <w:hyperlink r:id="rId28" w:history="1">
        <w:r w:rsidR="00A427BA" w:rsidRPr="00A427BA">
          <w:rPr>
            <w:rFonts w:ascii="FrankRuehl" w:hAnsi="FrankRuehl" w:cs="FrankRuehl"/>
            <w:color w:val="0000FF"/>
            <w:sz w:val="28"/>
            <w:szCs w:val="28"/>
            <w:u w:val="single"/>
            <w:rtl/>
          </w:rPr>
          <w:t>ע"פ 5602/22</w:t>
        </w:r>
      </w:hyperlink>
      <w:r>
        <w:rPr>
          <w:rFonts w:ascii="FrankRuehl" w:hAnsi="FrankRuehl" w:cs="FrankRuehl"/>
          <w:sz w:val="28"/>
          <w:szCs w:val="28"/>
          <w:rtl/>
        </w:rPr>
        <w:t xml:space="preserve"> </w:t>
      </w:r>
      <w:r>
        <w:rPr>
          <w:rFonts w:ascii="Miriam" w:hAnsi="Miriam" w:cs="Miriam"/>
          <w:sz w:val="24"/>
          <w:szCs w:val="24"/>
          <w:rtl/>
        </w:rPr>
        <w:t>מדינת ישראל נ' פלוני</w:t>
      </w:r>
      <w:r>
        <w:rPr>
          <w:rFonts w:ascii="FrankRuehl" w:hAnsi="FrankRuehl" w:cs="FrankRuehl"/>
          <w:sz w:val="28"/>
          <w:szCs w:val="28"/>
          <w:rtl/>
        </w:rPr>
        <w:t xml:space="preserve"> (14.9.2022); </w:t>
      </w:r>
      <w:hyperlink r:id="rId29" w:history="1">
        <w:r w:rsidR="00A427BA" w:rsidRPr="00A427BA">
          <w:rPr>
            <w:rFonts w:ascii="FrankRuehl" w:hAnsi="FrankRuehl" w:cs="FrankRuehl"/>
            <w:color w:val="0000FF"/>
            <w:sz w:val="28"/>
            <w:szCs w:val="28"/>
            <w:u w:val="single"/>
            <w:rtl/>
          </w:rPr>
          <w:t>ע"פ 147/21</w:t>
        </w:r>
      </w:hyperlink>
      <w:r>
        <w:rPr>
          <w:rFonts w:ascii="FrankRuehl" w:hAnsi="FrankRuehl" w:cs="FrankRuehl"/>
          <w:sz w:val="28"/>
          <w:szCs w:val="28"/>
          <w:rtl/>
        </w:rPr>
        <w:t xml:space="preserve"> </w:t>
      </w:r>
      <w:r>
        <w:rPr>
          <w:rFonts w:ascii="Miriam" w:hAnsi="Miriam" w:cs="Miriam"/>
          <w:sz w:val="24"/>
          <w:szCs w:val="24"/>
          <w:rtl/>
        </w:rPr>
        <w:t>מדינת ישראל נ' ביטון</w:t>
      </w:r>
      <w:r>
        <w:rPr>
          <w:rFonts w:ascii="FrankRuehl" w:hAnsi="FrankRuehl" w:cs="FrankRuehl"/>
          <w:sz w:val="28"/>
          <w:szCs w:val="28"/>
          <w:rtl/>
        </w:rPr>
        <w:t xml:space="preserve"> (14.2.2021)).</w:t>
      </w:r>
    </w:p>
    <w:p w14:paraId="77AE95D9" w14:textId="77777777" w:rsidR="00C9037E" w:rsidRDefault="00C9037E" w:rsidP="007C24DB">
      <w:pPr>
        <w:pStyle w:val="ab"/>
        <w:spacing w:after="0" w:line="360" w:lineRule="auto"/>
        <w:jc w:val="both"/>
        <w:rPr>
          <w:rFonts w:ascii="FrankRuehl" w:hAnsi="FrankRuehl" w:cs="FrankRuehl"/>
          <w:sz w:val="28"/>
          <w:szCs w:val="28"/>
        </w:rPr>
      </w:pPr>
    </w:p>
    <w:p w14:paraId="7FB7A2A9" w14:textId="77777777" w:rsidR="00C9037E" w:rsidRDefault="00C9037E" w:rsidP="007C24DB">
      <w:pPr>
        <w:pStyle w:val="ab"/>
        <w:numPr>
          <w:ilvl w:val="0"/>
          <w:numId w:val="3"/>
        </w:numPr>
        <w:spacing w:after="0" w:line="360" w:lineRule="auto"/>
        <w:ind w:hanging="636"/>
        <w:jc w:val="both"/>
        <w:rPr>
          <w:rFonts w:ascii="FrankRuehl" w:hAnsi="FrankRuehl" w:cs="FrankRuehl"/>
          <w:sz w:val="28"/>
          <w:szCs w:val="28"/>
        </w:rPr>
      </w:pPr>
      <w:r>
        <w:rPr>
          <w:rFonts w:ascii="FrankRuehl" w:hAnsi="FrankRuehl" w:cs="FrankRuehl"/>
          <w:sz w:val="28"/>
          <w:szCs w:val="28"/>
          <w:rtl/>
        </w:rPr>
        <w:t xml:space="preserve">מלפני כחודשיים, כבוד השופט </w:t>
      </w:r>
      <w:r>
        <w:rPr>
          <w:rFonts w:ascii="Miriam" w:hAnsi="Miriam" w:cs="Miriam"/>
          <w:sz w:val="24"/>
          <w:szCs w:val="24"/>
          <w:rtl/>
        </w:rPr>
        <w:t>י' אלרון</w:t>
      </w:r>
      <w:r>
        <w:rPr>
          <w:rFonts w:ascii="FrankRuehl" w:hAnsi="FrankRuehl" w:cs="FrankRuehl"/>
          <w:sz w:val="28"/>
          <w:szCs w:val="28"/>
          <w:rtl/>
        </w:rPr>
        <w:t xml:space="preserve"> עמד על חומרת הדברים, ב</w:t>
      </w:r>
      <w:hyperlink r:id="rId30" w:history="1">
        <w:r w:rsidR="00A427BA" w:rsidRPr="00A427BA">
          <w:rPr>
            <w:rFonts w:ascii="FrankRuehl" w:hAnsi="FrankRuehl" w:cs="FrankRuehl"/>
            <w:color w:val="0000FF"/>
            <w:sz w:val="28"/>
            <w:szCs w:val="28"/>
            <w:u w:val="single"/>
            <w:rtl/>
          </w:rPr>
          <w:t>ע"פ 2165/23</w:t>
        </w:r>
      </w:hyperlink>
      <w:r>
        <w:rPr>
          <w:rFonts w:ascii="FrankRuehl" w:hAnsi="FrankRuehl" w:cs="FrankRuehl"/>
          <w:sz w:val="28"/>
          <w:szCs w:val="28"/>
          <w:rtl/>
        </w:rPr>
        <w:t xml:space="preserve"> </w:t>
      </w:r>
      <w:r>
        <w:rPr>
          <w:rFonts w:ascii="Miriam" w:hAnsi="Miriam" w:cs="Miriam"/>
          <w:sz w:val="24"/>
          <w:szCs w:val="24"/>
          <w:rtl/>
        </w:rPr>
        <w:t>מדינת ישראל נ' פלאח</w:t>
      </w:r>
      <w:r>
        <w:rPr>
          <w:rFonts w:ascii="FrankRuehl" w:hAnsi="FrankRuehl" w:cs="FrankRuehl"/>
          <w:sz w:val="28"/>
          <w:szCs w:val="28"/>
          <w:rtl/>
        </w:rPr>
        <w:t>, פסקה 10 (4.5.2023) (להלן: "</w:t>
      </w:r>
      <w:r>
        <w:rPr>
          <w:rFonts w:ascii="Miriam" w:hAnsi="Miriam" w:cs="Miriam"/>
          <w:sz w:val="24"/>
          <w:szCs w:val="24"/>
          <w:rtl/>
        </w:rPr>
        <w:t>עניין פלאח</w:t>
      </w:r>
      <w:r>
        <w:rPr>
          <w:rFonts w:ascii="FrankRuehl" w:hAnsi="FrankRuehl" w:cs="FrankRuehl"/>
          <w:sz w:val="28"/>
          <w:szCs w:val="28"/>
          <w:rtl/>
        </w:rPr>
        <w:t xml:space="preserve">"), בציינו בזו הלשון: </w:t>
      </w:r>
    </w:p>
    <w:p w14:paraId="42E81EE9" w14:textId="77777777" w:rsidR="00C9037E" w:rsidRPr="00095BA3" w:rsidRDefault="00C9037E" w:rsidP="007C24DB">
      <w:pPr>
        <w:pStyle w:val="ab"/>
        <w:rPr>
          <w:rFonts w:ascii="FrankRuehl" w:hAnsi="FrankRuehl" w:cs="FrankRuehl"/>
          <w:sz w:val="20"/>
          <w:szCs w:val="20"/>
        </w:rPr>
      </w:pPr>
    </w:p>
    <w:p w14:paraId="5DF6B1AD" w14:textId="77777777" w:rsidR="00C9037E" w:rsidRDefault="00C9037E" w:rsidP="007C24DB">
      <w:pPr>
        <w:pStyle w:val="ab"/>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"הודגש לא אחת כי יש לנקוט במדיניות ענישה ממשית ומשמעותית, בה ניתן מעמד בכורה מבין שיקולי הענישה לשיקולי הרתעת היחיד והרבים, שמשמעותה הרחקת עברייני הנשק מהחברה לפרק זמן משמעותי, על ידי השמתם מאחורי סורג ובריח"</w:t>
      </w:r>
    </w:p>
    <w:p w14:paraId="5C0B1C4D" w14:textId="77777777" w:rsidR="00C9037E" w:rsidRDefault="00C9037E" w:rsidP="007C24DB">
      <w:pPr>
        <w:pStyle w:val="ab"/>
        <w:spacing w:after="0" w:line="240" w:lineRule="auto"/>
        <w:ind w:left="1440" w:right="567"/>
        <w:jc w:val="both"/>
        <w:rPr>
          <w:rFonts w:ascii="FrankRuehl" w:hAnsi="FrankRuehl" w:cs="FrankRuehl"/>
          <w:sz w:val="28"/>
          <w:szCs w:val="28"/>
        </w:rPr>
      </w:pPr>
      <w:r>
        <w:rPr>
          <w:rFonts w:ascii="FrankRuehl" w:hAnsi="FrankRuehl" w:cs="FrankRuehl"/>
          <w:sz w:val="28"/>
          <w:szCs w:val="28"/>
          <w:rtl/>
        </w:rPr>
        <w:t xml:space="preserve"> </w:t>
      </w:r>
    </w:p>
    <w:p w14:paraId="3149A9BD" w14:textId="77777777" w:rsidR="00C9037E" w:rsidRDefault="00C9037E" w:rsidP="007C24DB">
      <w:pPr>
        <w:pStyle w:val="ab"/>
        <w:numPr>
          <w:ilvl w:val="0"/>
          <w:numId w:val="3"/>
        </w:numPr>
        <w:spacing w:after="0" w:line="360" w:lineRule="auto"/>
        <w:ind w:left="651" w:hanging="567"/>
        <w:jc w:val="both"/>
        <w:rPr>
          <w:rFonts w:ascii="FrankRuehl" w:hAnsi="FrankRuehl" w:cs="FrankRuehl"/>
          <w:sz w:val="28"/>
          <w:szCs w:val="28"/>
        </w:rPr>
      </w:pPr>
      <w:r>
        <w:rPr>
          <w:rFonts w:ascii="Miriam" w:hAnsi="Miriam" w:cs="Miriam"/>
          <w:sz w:val="24"/>
          <w:szCs w:val="24"/>
          <w:rtl/>
        </w:rPr>
        <w:t>נסיבות ביצוע העבירה</w:t>
      </w:r>
      <w:r>
        <w:rPr>
          <w:rFonts w:ascii="FrankRuehl" w:hAnsi="FrankRuehl" w:cs="FrankRuehl"/>
          <w:sz w:val="28"/>
          <w:szCs w:val="28"/>
          <w:rtl/>
        </w:rPr>
        <w:t xml:space="preserve">: הנאשם, כאמור, הורשע לאחר שמיעת עדויות בהחזקת נשק דמוי רובה סער מסוג </w:t>
      </w:r>
      <w:r>
        <w:rPr>
          <w:rFonts w:ascii="FrankRuehl" w:hAnsi="FrankRuehl" w:cs="FrankRuehl"/>
        </w:rPr>
        <w:t>M</w:t>
      </w:r>
      <w:r>
        <w:rPr>
          <w:rFonts w:ascii="FrankRuehl" w:hAnsi="FrankRuehl" w:cs="FrankRuehl"/>
          <w:sz w:val="28"/>
          <w:szCs w:val="28"/>
        </w:rPr>
        <w:t>-16</w:t>
      </w:r>
      <w:r>
        <w:rPr>
          <w:rFonts w:ascii="FrankRuehl" w:hAnsi="FrankRuehl" w:cs="FrankRuehl"/>
          <w:sz w:val="28"/>
          <w:szCs w:val="28"/>
          <w:rtl/>
        </w:rPr>
        <w:t xml:space="preserve">, לצד כדורים המתאימים לנשק זה, שתי שקיות מלאות במתפסים לנשק, ידית אחיזה ודורגלים. מדובר באמל"ח ונשק התקפי לכל דבר ועניין. הסיכונים הגלומים באמצעי לחימה אלה הם גבוהים מאוד, ובפרט, ביחס לרובה </w:t>
      </w:r>
      <w:r>
        <w:rPr>
          <w:rFonts w:ascii="FrankRuehl" w:hAnsi="FrankRuehl" w:cs="FrankRuehl"/>
          <w:sz w:val="20"/>
          <w:szCs w:val="20"/>
        </w:rPr>
        <w:t>M</w:t>
      </w:r>
      <w:r>
        <w:rPr>
          <w:rFonts w:ascii="FrankRuehl" w:hAnsi="FrankRuehl" w:cs="FrankRuehl"/>
          <w:sz w:val="28"/>
          <w:szCs w:val="28"/>
        </w:rPr>
        <w:t>-16</w:t>
      </w:r>
      <w:r>
        <w:rPr>
          <w:rFonts w:ascii="FrankRuehl" w:hAnsi="FrankRuehl" w:cs="FrankRuehl"/>
          <w:sz w:val="28"/>
          <w:szCs w:val="28"/>
          <w:rtl/>
        </w:rPr>
        <w:t xml:space="preserve">, שהוא קטלני ובעל פוטנציאל נזק רב (ראו והשוו: עניין </w:t>
      </w:r>
      <w:r>
        <w:rPr>
          <w:rFonts w:ascii="Miriam" w:hAnsi="Miriam" w:cs="Miriam"/>
          <w:sz w:val="24"/>
          <w:szCs w:val="24"/>
          <w:rtl/>
        </w:rPr>
        <w:t>פלאח</w:t>
      </w:r>
      <w:r>
        <w:rPr>
          <w:rFonts w:ascii="FrankRuehl" w:hAnsi="FrankRuehl" w:cs="FrankRuehl"/>
          <w:sz w:val="28"/>
          <w:szCs w:val="28"/>
          <w:rtl/>
        </w:rPr>
        <w:t xml:space="preserve"> לעיל, פסקה 12). ב</w:t>
      </w:r>
      <w:hyperlink r:id="rId31" w:history="1">
        <w:r w:rsidR="00A427BA" w:rsidRPr="00A427BA">
          <w:rPr>
            <w:rFonts w:ascii="FrankRuehl" w:hAnsi="FrankRuehl" w:cs="FrankRuehl"/>
            <w:color w:val="0000FF"/>
            <w:sz w:val="28"/>
            <w:szCs w:val="28"/>
            <w:u w:val="single"/>
            <w:rtl/>
          </w:rPr>
          <w:t>ע"פ 4077/22</w:t>
        </w:r>
      </w:hyperlink>
      <w:r>
        <w:rPr>
          <w:rFonts w:ascii="FrankRuehl" w:hAnsi="FrankRuehl" w:cs="FrankRuehl"/>
          <w:sz w:val="28"/>
          <w:szCs w:val="28"/>
          <w:rtl/>
        </w:rPr>
        <w:t xml:space="preserve"> </w:t>
      </w:r>
      <w:r>
        <w:rPr>
          <w:rFonts w:ascii="Miriam" w:hAnsi="Miriam" w:cs="Miriam"/>
          <w:sz w:val="24"/>
          <w:szCs w:val="24"/>
          <w:rtl/>
        </w:rPr>
        <w:t>פלוני נ' מדינת ישראל</w:t>
      </w:r>
      <w:r>
        <w:rPr>
          <w:rFonts w:ascii="FrankRuehl" w:hAnsi="FrankRuehl" w:cs="FrankRuehl"/>
          <w:sz w:val="28"/>
          <w:szCs w:val="28"/>
          <w:rtl/>
        </w:rPr>
        <w:t xml:space="preserve">, פסקה 12 (28.7.2022), התייחס בית המשפט לחומרה המוגברת הטמונה בנשקים מסוג רובים ותת-מקלעים במיוחד, כלהלן: </w:t>
      </w:r>
    </w:p>
    <w:p w14:paraId="7201837C" w14:textId="77777777" w:rsidR="00C9037E" w:rsidRPr="00095BA3" w:rsidRDefault="00C9037E" w:rsidP="007C24DB">
      <w:pPr>
        <w:spacing w:line="360" w:lineRule="auto"/>
        <w:jc w:val="both"/>
        <w:rPr>
          <w:rFonts w:ascii="FrankRuehl" w:hAnsi="FrankRuehl" w:cs="FrankRuehl"/>
          <w:sz w:val="20"/>
          <w:szCs w:val="20"/>
        </w:rPr>
      </w:pPr>
    </w:p>
    <w:p w14:paraId="3F1E255B" w14:textId="77777777" w:rsidR="00C9037E" w:rsidRDefault="00C9037E" w:rsidP="007C24DB">
      <w:pPr>
        <w:ind w:left="1440" w:right="567"/>
        <w:jc w:val="both"/>
        <w:rPr>
          <w:rFonts w:ascii="FrankRuehl" w:hAnsi="FrankRuehl" w:cs="FrankRuehl"/>
          <w:sz w:val="28"/>
          <w:szCs w:val="28"/>
          <w:rtl/>
        </w:rPr>
      </w:pPr>
      <w:r>
        <w:rPr>
          <w:rFonts w:ascii="FrankRuehl" w:hAnsi="FrankRuehl" w:cs="FrankRuehl"/>
          <w:sz w:val="28"/>
          <w:szCs w:val="28"/>
          <w:rtl/>
        </w:rPr>
        <w:t xml:space="preserve">"בפסיקתו מן הזמן האחרון, בית משפט זה קבע לא אחת כי את מבצעיהן של עבירות נשק יש להעניש בחומרה יתרה – שכן מדובר בעבירות שהיו למכת מדינה, ושאחריהן בא השימוש הקטלני בנשק אשר מותיר אחריו פצועים ומתים כמעט מדי יום. </w:t>
      </w:r>
      <w:r>
        <w:rPr>
          <w:rFonts w:ascii="Miriam" w:hAnsi="Miriam" w:cs="Miriam"/>
          <w:rtl/>
        </w:rPr>
        <w:t>מדיניות זו חלה ביתר שאת כאשר מדובר במכירה, ברכישה, בנשיאה או בהובלה – שלא כדין – של נשק התקפי בדמות תת-מקלעים ורובים ובשימוש לא חוקי בנשק כאמור</w:t>
      </w:r>
      <w:r>
        <w:rPr>
          <w:rFonts w:ascii="FrankRuehl" w:hAnsi="FrankRuehl" w:cs="FrankRuehl"/>
          <w:sz w:val="28"/>
          <w:szCs w:val="28"/>
          <w:rtl/>
        </w:rPr>
        <w:t>. בטיפולנו בעבירות מסוג זה ובמבצעיהן, להרתעת היחיד והרבים ולהרחקת עברייני הנשק מהחברה על ידי השמתם בין כותלי הכלא לתקופות ממושכות יש מעמד בכורה"</w:t>
      </w:r>
    </w:p>
    <w:p w14:paraId="028BF0E6" w14:textId="77777777" w:rsidR="00C9037E" w:rsidRPr="00095BA3" w:rsidRDefault="00C9037E" w:rsidP="007C24DB">
      <w:pPr>
        <w:pStyle w:val="ab"/>
        <w:spacing w:after="0" w:line="360" w:lineRule="auto"/>
        <w:ind w:left="651"/>
        <w:jc w:val="both"/>
        <w:rPr>
          <w:rFonts w:ascii="FrankRuehl" w:hAnsi="FrankRuehl" w:cs="FrankRuehl"/>
          <w:sz w:val="20"/>
          <w:szCs w:val="20"/>
        </w:rPr>
      </w:pPr>
    </w:p>
    <w:p w14:paraId="4DA55D0E" w14:textId="77777777" w:rsidR="00C9037E" w:rsidRDefault="00C9037E" w:rsidP="007C24DB">
      <w:pPr>
        <w:pStyle w:val="ab"/>
        <w:numPr>
          <w:ilvl w:val="0"/>
          <w:numId w:val="3"/>
        </w:numPr>
        <w:spacing w:after="0" w:line="360" w:lineRule="auto"/>
        <w:ind w:left="651" w:hanging="567"/>
        <w:jc w:val="both"/>
        <w:rPr>
          <w:rFonts w:ascii="FrankRuehl" w:hAnsi="FrankRuehl" w:cs="FrankRuehl"/>
          <w:sz w:val="28"/>
          <w:szCs w:val="28"/>
        </w:rPr>
      </w:pPr>
      <w:r>
        <w:rPr>
          <w:rFonts w:ascii="FrankRuehl" w:hAnsi="FrankRuehl" w:cs="FrankRuehl"/>
          <w:sz w:val="28"/>
          <w:szCs w:val="28"/>
          <w:rtl/>
        </w:rPr>
        <w:t>חומרת הביצוע נעוצה גם בהימצאות וזמינות הכדורים התואמים לנשק לצדו, כאשר לנאשם שליטה על המכולות בהן נמצא האמל"ח. הוכח כי לנאשם המפתחות של מכולות אלו, ובהן הוא מאחסן כלי עבודה, חלקי חילוף, כספים ואחת מהן אף משמשת עבורו כחדר עבודה. יוצא אפוא, כי סוג הנשק, הזמינות שלו לצד זמינות הכדורים לצדו עם כל יתר חלקי האמל"ח, יש בכל אלה כדי לבסס את נסיבות ביצוע העבירה ברמת חומרה גבוהה.</w:t>
      </w:r>
    </w:p>
    <w:p w14:paraId="5BEFB016" w14:textId="77777777" w:rsidR="00C9037E" w:rsidRPr="00095BA3" w:rsidRDefault="00C9037E" w:rsidP="007C24DB">
      <w:pPr>
        <w:pStyle w:val="ab"/>
        <w:spacing w:after="0" w:line="360" w:lineRule="auto"/>
        <w:ind w:left="651"/>
        <w:jc w:val="both"/>
        <w:rPr>
          <w:rFonts w:ascii="FrankRuehl" w:hAnsi="FrankRuehl" w:cs="FrankRuehl"/>
          <w:sz w:val="20"/>
          <w:szCs w:val="20"/>
        </w:rPr>
      </w:pPr>
    </w:p>
    <w:p w14:paraId="15433035" w14:textId="77777777" w:rsidR="00C9037E" w:rsidRDefault="00C9037E" w:rsidP="007C24DB">
      <w:pPr>
        <w:pStyle w:val="ab"/>
        <w:numPr>
          <w:ilvl w:val="0"/>
          <w:numId w:val="3"/>
        </w:numPr>
        <w:spacing w:after="0" w:line="360" w:lineRule="auto"/>
        <w:ind w:left="651" w:hanging="567"/>
        <w:jc w:val="both"/>
        <w:rPr>
          <w:rFonts w:ascii="FrankRuehl" w:hAnsi="FrankRuehl" w:cs="FrankRuehl"/>
          <w:sz w:val="28"/>
          <w:szCs w:val="28"/>
        </w:rPr>
      </w:pPr>
      <w:r>
        <w:rPr>
          <w:rFonts w:ascii="FrankRuehl" w:hAnsi="FrankRuehl" w:cs="FrankRuehl"/>
          <w:sz w:val="28"/>
          <w:szCs w:val="28"/>
          <w:rtl/>
        </w:rPr>
        <w:t>אשר לטענת ההגנה לפיה הנאשם לא התכוון להשתמש בנשק זה וכי המאשימה אף לא רמזה לקיומו של כל מניע, אינני סבור כי יש בזאת כדי להפחית מחומרת העבירה. יש לומר את הדברים בצורה ברורה וצלולה, עצם ההחזקה של הנשק והתחמושת שלא כדין, על פוטנציאל הנזק הגלום בה – התנהגות זו כשלעצמה מבססת את החומרה הגבוהה. ב</w:t>
      </w:r>
      <w:hyperlink r:id="rId32" w:history="1">
        <w:r w:rsidR="00A427BA" w:rsidRPr="00A427BA">
          <w:rPr>
            <w:rFonts w:ascii="FrankRuehl" w:hAnsi="FrankRuehl" w:cs="FrankRuehl"/>
            <w:color w:val="0000FF"/>
            <w:sz w:val="28"/>
            <w:szCs w:val="28"/>
            <w:u w:val="single"/>
            <w:rtl/>
          </w:rPr>
          <w:t>עפ"ג (מחוזי נצ') 2024-04-21</w:t>
        </w:r>
      </w:hyperlink>
      <w:r>
        <w:rPr>
          <w:rFonts w:ascii="FrankRuehl" w:hAnsi="FrankRuehl" w:cs="FrankRuehl"/>
          <w:sz w:val="28"/>
          <w:szCs w:val="28"/>
          <w:rtl/>
        </w:rPr>
        <w:t xml:space="preserve"> </w:t>
      </w:r>
      <w:r>
        <w:rPr>
          <w:rFonts w:ascii="Miriam" w:hAnsi="Miriam" w:cs="Miriam"/>
          <w:sz w:val="24"/>
          <w:szCs w:val="24"/>
          <w:rtl/>
        </w:rPr>
        <w:t>מדינת ישראל נ' מנדורי</w:t>
      </w:r>
      <w:r>
        <w:rPr>
          <w:rFonts w:ascii="FrankRuehl" w:hAnsi="FrankRuehl" w:cs="FrankRuehl"/>
          <w:sz w:val="28"/>
          <w:szCs w:val="28"/>
          <w:rtl/>
        </w:rPr>
        <w:t xml:space="preserve"> (29.6.2021), נפסק בהקשר זה (פסקה 82):</w:t>
      </w:r>
    </w:p>
    <w:p w14:paraId="4D9D3087" w14:textId="77777777" w:rsidR="00C9037E" w:rsidRPr="00095BA3" w:rsidRDefault="00C9037E" w:rsidP="007C24DB">
      <w:pPr>
        <w:pStyle w:val="ab"/>
        <w:rPr>
          <w:rFonts w:ascii="FrankRuehl" w:hAnsi="FrankRuehl" w:cs="FrankRuehl"/>
          <w:sz w:val="20"/>
          <w:szCs w:val="20"/>
        </w:rPr>
      </w:pPr>
    </w:p>
    <w:p w14:paraId="225B8BA1" w14:textId="77777777" w:rsidR="00C9037E" w:rsidRDefault="00C9037E" w:rsidP="007C24DB">
      <w:pPr>
        <w:pStyle w:val="ab"/>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"רואה אני לנכון לציין גם, כי אין לקבל את הטענה שנשמעת חדשות לבקרים, לפיה – הנשק הוחזק מבלי שנעשה בו שימוש. רוצה לומר, עצם החזקת הנשק היא עצמה אקט שראוי להוקעה ומלמד על שימוש שעניינו "החזקה" שיכולה להיות מתמשכת. הדברים נכונים שבעתיים שעה שברי לכולם, כי לנשק אין רגליים וכי הוא לא צץ ו/או צמח פתאום במקום הימצאותו, בטח לא מתוך האדמה ו/או כגשם מהשמיים"</w:t>
      </w:r>
    </w:p>
    <w:p w14:paraId="2D085823" w14:textId="77777777" w:rsidR="00C9037E" w:rsidRPr="00095BA3" w:rsidRDefault="00C9037E" w:rsidP="007C24DB">
      <w:pPr>
        <w:spacing w:line="360" w:lineRule="auto"/>
        <w:jc w:val="both"/>
        <w:rPr>
          <w:rFonts w:ascii="FrankRuehl" w:hAnsi="FrankRuehl" w:cs="FrankRuehl"/>
          <w:sz w:val="20"/>
          <w:szCs w:val="20"/>
        </w:rPr>
      </w:pPr>
    </w:p>
    <w:p w14:paraId="3429F67B" w14:textId="77777777" w:rsidR="00C9037E" w:rsidRDefault="00C9037E" w:rsidP="007C24DB">
      <w:pPr>
        <w:pStyle w:val="ab"/>
        <w:numPr>
          <w:ilvl w:val="0"/>
          <w:numId w:val="3"/>
        </w:numPr>
        <w:spacing w:after="0" w:line="360" w:lineRule="auto"/>
        <w:ind w:left="651" w:hanging="567"/>
        <w:jc w:val="both"/>
        <w:rPr>
          <w:rFonts w:ascii="FrankRuehl" w:hAnsi="FrankRuehl" w:cs="FrankRuehl"/>
          <w:sz w:val="28"/>
          <w:szCs w:val="28"/>
        </w:rPr>
      </w:pPr>
      <w:r>
        <w:rPr>
          <w:rFonts w:ascii="FrankRuehl" w:hAnsi="FrankRuehl" w:cs="FrankRuehl"/>
          <w:sz w:val="28"/>
          <w:szCs w:val="28"/>
          <w:rtl/>
        </w:rPr>
        <w:t xml:space="preserve">אשר לתֵזת ההגנה לפיה הנאשם החזיק את הנשק אך לצורך הגנה עצמית בלבד נוכח תחושת חוסר הביטחון והתסכול מהעדר אכיפה באזור מגוריו ובכלל – גם טענה זו אין בידי לקבל. </w:t>
      </w:r>
      <w:r>
        <w:rPr>
          <w:rFonts w:ascii="Miriam" w:hAnsi="Miriam" w:cs="Miriam"/>
          <w:sz w:val="24"/>
          <w:szCs w:val="24"/>
          <w:rtl/>
        </w:rPr>
        <w:t>ראשית</w:t>
      </w:r>
      <w:r>
        <w:rPr>
          <w:rFonts w:ascii="FrankRuehl" w:hAnsi="FrankRuehl" w:cs="FrankRuehl"/>
          <w:sz w:val="28"/>
          <w:szCs w:val="28"/>
          <w:rtl/>
        </w:rPr>
        <w:t xml:space="preserve"> – הנאשם עצמו לא נטל אחריות על ביצוע המיוחס לו גם לאחר הרשעתו. הנאשם דיבר לפניי בדיון הטיעונים לעונש ומסר: "</w:t>
      </w:r>
      <w:r>
        <w:rPr>
          <w:rFonts w:ascii="Miriam" w:hAnsi="Miriam" w:cs="Miriam"/>
          <w:sz w:val="24"/>
          <w:szCs w:val="24"/>
          <w:rtl/>
        </w:rPr>
        <w:t>אני לא עשיתי אז איך אני יכול לומר על משהו שלא עשיתי</w:t>
      </w:r>
      <w:r>
        <w:rPr>
          <w:rFonts w:ascii="FrankRuehl" w:hAnsi="FrankRuehl" w:cs="FrankRuehl"/>
          <w:sz w:val="28"/>
          <w:szCs w:val="28"/>
          <w:rtl/>
        </w:rPr>
        <w:t xml:space="preserve">". </w:t>
      </w:r>
      <w:r>
        <w:rPr>
          <w:rFonts w:ascii="Miriam" w:hAnsi="Miriam" w:cs="Miriam"/>
          <w:sz w:val="24"/>
          <w:szCs w:val="24"/>
          <w:rtl/>
        </w:rPr>
        <w:t>שנית</w:t>
      </w:r>
      <w:r>
        <w:rPr>
          <w:rFonts w:ascii="FrankRuehl" w:hAnsi="FrankRuehl" w:cs="FrankRuehl"/>
          <w:sz w:val="28"/>
          <w:szCs w:val="28"/>
          <w:rtl/>
        </w:rPr>
        <w:t xml:space="preserve"> – אוי לנו כחברה אם כל אדם ייטול את החוק לידיו ויחליט להתחמש שלא כדין, וכל המוסיף – גורע!</w:t>
      </w:r>
    </w:p>
    <w:p w14:paraId="48E19643" w14:textId="77777777" w:rsidR="00C9037E" w:rsidRPr="00095BA3" w:rsidRDefault="00C9037E" w:rsidP="007C24DB">
      <w:pPr>
        <w:pStyle w:val="ab"/>
        <w:spacing w:after="0" w:line="360" w:lineRule="auto"/>
        <w:ind w:left="651"/>
        <w:jc w:val="both"/>
        <w:rPr>
          <w:rFonts w:ascii="FrankRuehl" w:hAnsi="FrankRuehl" w:cs="FrankRuehl"/>
          <w:sz w:val="20"/>
          <w:szCs w:val="20"/>
        </w:rPr>
      </w:pPr>
    </w:p>
    <w:p w14:paraId="114E706B" w14:textId="77777777" w:rsidR="00C9037E" w:rsidRDefault="00C9037E" w:rsidP="007C24DB">
      <w:pPr>
        <w:pStyle w:val="ab"/>
        <w:numPr>
          <w:ilvl w:val="0"/>
          <w:numId w:val="3"/>
        </w:numPr>
        <w:spacing w:after="0" w:line="360" w:lineRule="auto"/>
        <w:ind w:left="651" w:hanging="567"/>
        <w:jc w:val="both"/>
        <w:rPr>
          <w:rFonts w:ascii="FrankRuehl" w:hAnsi="FrankRuehl" w:cs="FrankRuehl"/>
          <w:sz w:val="28"/>
          <w:szCs w:val="28"/>
        </w:rPr>
      </w:pPr>
      <w:r>
        <w:rPr>
          <w:rFonts w:ascii="Miriam" w:hAnsi="Miriam" w:cs="Miriam"/>
          <w:sz w:val="24"/>
          <w:szCs w:val="24"/>
          <w:rtl/>
        </w:rPr>
        <w:t>מדיניות הענישה הנהוגה</w:t>
      </w:r>
      <w:r>
        <w:rPr>
          <w:rFonts w:ascii="FrankRuehl" w:hAnsi="FrankRuehl" w:cs="FrankRuehl"/>
          <w:sz w:val="28"/>
          <w:szCs w:val="28"/>
          <w:rtl/>
        </w:rPr>
        <w:t>: בחנתי את הפסיקה אליה הפנו הצדדים, לרבות הפסיקה שהציג בא-כוח הנאשם. לאחר בחינתה ובחינת פסיקה רלבנטית, עולה כי מנעד הענישה הוא רחב אך לצד זאת, בשנים האחרונות ניכרת מגמת החמרה בעבירות נשק והדבר בא לידי ביטוי בעונשי מאסר ממושכים. ב</w:t>
      </w:r>
      <w:hyperlink r:id="rId33" w:history="1">
        <w:r w:rsidR="00A427BA" w:rsidRPr="00A427BA">
          <w:rPr>
            <w:rFonts w:ascii="FrankRuehl" w:hAnsi="FrankRuehl" w:cs="FrankRuehl"/>
            <w:color w:val="0000FF"/>
            <w:sz w:val="28"/>
            <w:szCs w:val="28"/>
            <w:u w:val="single"/>
            <w:rtl/>
          </w:rPr>
          <w:t>ע"פ 2482/22</w:t>
        </w:r>
      </w:hyperlink>
      <w:r>
        <w:rPr>
          <w:rFonts w:ascii="FrankRuehl" w:hAnsi="FrankRuehl" w:cs="FrankRuehl"/>
          <w:sz w:val="28"/>
          <w:szCs w:val="28"/>
          <w:rtl/>
        </w:rPr>
        <w:t xml:space="preserve"> </w:t>
      </w:r>
      <w:r>
        <w:rPr>
          <w:rFonts w:ascii="Miriam" w:hAnsi="Miriam" w:cs="Miriam"/>
          <w:sz w:val="24"/>
          <w:szCs w:val="24"/>
          <w:rtl/>
        </w:rPr>
        <w:t>מדינת ישראל נ' קדורה</w:t>
      </w:r>
      <w:r>
        <w:rPr>
          <w:rFonts w:ascii="FrankRuehl" w:hAnsi="FrankRuehl" w:cs="FrankRuehl"/>
          <w:sz w:val="28"/>
          <w:szCs w:val="28"/>
          <w:rtl/>
        </w:rPr>
        <w:t xml:space="preserve"> 14.4.2022, שם בפסקה 6 קבע בית המשפט העליון (מפי כבוד השופט </w:t>
      </w:r>
      <w:r>
        <w:rPr>
          <w:rFonts w:ascii="Miriam" w:hAnsi="Miriam" w:cs="Miriam"/>
          <w:sz w:val="24"/>
          <w:szCs w:val="24"/>
          <w:rtl/>
        </w:rPr>
        <w:t>י' עמית)</w:t>
      </w:r>
      <w:r>
        <w:rPr>
          <w:rFonts w:ascii="FrankRuehl" w:hAnsi="FrankRuehl" w:cs="FrankRuehl"/>
          <w:sz w:val="28"/>
          <w:szCs w:val="28"/>
          <w:rtl/>
        </w:rPr>
        <w:t xml:space="preserve"> בצורה ברורה: </w:t>
      </w:r>
    </w:p>
    <w:p w14:paraId="093B77D1" w14:textId="77777777" w:rsidR="00C9037E" w:rsidRPr="00095BA3" w:rsidRDefault="00C9037E" w:rsidP="007C24DB">
      <w:pPr>
        <w:pStyle w:val="ab"/>
        <w:rPr>
          <w:rFonts w:ascii="FrankRuehl" w:hAnsi="FrankRuehl" w:cs="FrankRuehl"/>
          <w:sz w:val="20"/>
          <w:szCs w:val="20"/>
        </w:rPr>
      </w:pPr>
    </w:p>
    <w:p w14:paraId="49703037" w14:textId="77777777" w:rsidR="00C9037E" w:rsidRDefault="00C9037E" w:rsidP="007C24DB">
      <w:pPr>
        <w:pStyle w:val="ab"/>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"ידע כל מי שמחזיק בנשק בלתי חוקי כי צפוי הוא להיענש בחומרה, בבחינת "אם מחזיקים – למאסר נשלחים""</w:t>
      </w:r>
    </w:p>
    <w:p w14:paraId="6FF69D06" w14:textId="77777777" w:rsidR="00C9037E" w:rsidRDefault="00C9037E" w:rsidP="007C24DB">
      <w:pPr>
        <w:pStyle w:val="ab"/>
        <w:rPr>
          <w:rFonts w:ascii="FrankRuehl" w:hAnsi="FrankRuehl" w:cs="FrankRuehl"/>
          <w:sz w:val="28"/>
          <w:szCs w:val="28"/>
        </w:rPr>
      </w:pPr>
    </w:p>
    <w:p w14:paraId="62F2D05C" w14:textId="77777777" w:rsidR="00C9037E" w:rsidRDefault="00C9037E" w:rsidP="007C24DB">
      <w:pPr>
        <w:pStyle w:val="ab"/>
        <w:numPr>
          <w:ilvl w:val="0"/>
          <w:numId w:val="3"/>
        </w:numPr>
        <w:spacing w:after="0" w:line="360" w:lineRule="auto"/>
        <w:ind w:left="651" w:hanging="567"/>
        <w:jc w:val="both"/>
        <w:rPr>
          <w:rFonts w:ascii="FrankRuehl" w:hAnsi="FrankRuehl" w:cs="FrankRuehl"/>
          <w:sz w:val="28"/>
          <w:szCs w:val="28"/>
          <w:rtl/>
        </w:rPr>
      </w:pPr>
      <w:r>
        <w:rPr>
          <w:rFonts w:ascii="FrankRuehl" w:hAnsi="FrankRuehl" w:cs="FrankRuehl"/>
          <w:sz w:val="28"/>
          <w:szCs w:val="28"/>
          <w:rtl/>
        </w:rPr>
        <w:t>ובפסיקה מלפני כשנה, ב</w:t>
      </w:r>
      <w:hyperlink r:id="rId34" w:history="1">
        <w:r w:rsidR="00A427BA" w:rsidRPr="00A427BA">
          <w:rPr>
            <w:rFonts w:ascii="FrankRuehl" w:hAnsi="FrankRuehl" w:cs="FrankRuehl"/>
            <w:color w:val="0000FF"/>
            <w:sz w:val="28"/>
            <w:szCs w:val="28"/>
            <w:u w:val="single"/>
            <w:rtl/>
          </w:rPr>
          <w:t>ע"פ 309/22</w:t>
        </w:r>
      </w:hyperlink>
      <w:r>
        <w:rPr>
          <w:rFonts w:ascii="FrankRuehl" w:hAnsi="FrankRuehl" w:cs="FrankRuehl"/>
          <w:sz w:val="28"/>
          <w:szCs w:val="28"/>
          <w:rtl/>
        </w:rPr>
        <w:t xml:space="preserve"> </w:t>
      </w:r>
      <w:r>
        <w:rPr>
          <w:rFonts w:ascii="Miriam" w:hAnsi="Miriam" w:cs="Miriam"/>
          <w:sz w:val="24"/>
          <w:szCs w:val="24"/>
          <w:rtl/>
        </w:rPr>
        <w:t>מדינת ישראל נ' ביאדסה</w:t>
      </w:r>
      <w:r>
        <w:rPr>
          <w:rFonts w:ascii="FrankRuehl" w:hAnsi="FrankRuehl" w:cs="FrankRuehl"/>
          <w:sz w:val="28"/>
          <w:szCs w:val="28"/>
          <w:rtl/>
        </w:rPr>
        <w:t>, פסקה 5 (10.5.2022) נפסק כלהלן:</w:t>
      </w:r>
    </w:p>
    <w:p w14:paraId="183049E4" w14:textId="77777777" w:rsidR="00C9037E" w:rsidRPr="00095BA3" w:rsidRDefault="00C9037E" w:rsidP="007C24DB">
      <w:pPr>
        <w:pStyle w:val="ab"/>
        <w:spacing w:after="0" w:line="360" w:lineRule="auto"/>
        <w:rPr>
          <w:rFonts w:ascii="FrankRuehl" w:hAnsi="FrankRuehl" w:cs="FrankRuehl"/>
          <w:sz w:val="20"/>
          <w:szCs w:val="20"/>
          <w:rtl/>
        </w:rPr>
      </w:pPr>
    </w:p>
    <w:p w14:paraId="0F8F7BF5" w14:textId="77777777" w:rsidR="00C9037E" w:rsidRDefault="00C9037E" w:rsidP="007C24DB">
      <w:pPr>
        <w:pStyle w:val="ab"/>
        <w:spacing w:after="0" w:line="240" w:lineRule="auto"/>
        <w:ind w:left="1440" w:right="567"/>
        <w:jc w:val="both"/>
        <w:rPr>
          <w:rFonts w:ascii="FrankRuehl" w:hAnsi="FrankRuehl" w:cs="FrankRuehl"/>
          <w:sz w:val="28"/>
          <w:szCs w:val="28"/>
        </w:rPr>
      </w:pPr>
      <w:r>
        <w:rPr>
          <w:rFonts w:ascii="FrankRuehl" w:hAnsi="FrankRuehl" w:cs="FrankRuehl"/>
          <w:sz w:val="28"/>
          <w:szCs w:val="28"/>
          <w:rtl/>
        </w:rPr>
        <w:t>"בשורה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w:t>
      </w:r>
      <w:hyperlink r:id="rId35" w:history="1">
        <w:r w:rsidR="00A427BA" w:rsidRPr="00A427BA">
          <w:rPr>
            <w:rFonts w:ascii="FrankRuehl" w:hAnsi="FrankRuehl" w:cs="FrankRuehl"/>
            <w:color w:val="0000FF"/>
            <w:sz w:val="28"/>
            <w:szCs w:val="28"/>
            <w:u w:val="single"/>
            <w:rtl/>
          </w:rPr>
          <w:t>ע"פ 1695/22</w:t>
        </w:r>
      </w:hyperlink>
      <w:r>
        <w:rPr>
          <w:rFonts w:ascii="FrankRuehl" w:hAnsi="FrankRuehl" w:cs="FrankRuehl"/>
          <w:sz w:val="28"/>
          <w:szCs w:val="28"/>
          <w:rtl/>
        </w:rPr>
        <w:t xml:space="preserve"> </w:t>
      </w:r>
      <w:r>
        <w:rPr>
          <w:rFonts w:ascii="Miriam" w:hAnsi="Miriam" w:cs="Miriam"/>
          <w:sz w:val="24"/>
          <w:szCs w:val="24"/>
          <w:rtl/>
        </w:rPr>
        <w:t>מדינת ישראל נ' גנאים</w:t>
      </w:r>
      <w:r>
        <w:rPr>
          <w:rFonts w:ascii="FrankRuehl" w:hAnsi="FrankRuehl" w:cs="FrankRuehl"/>
          <w:sz w:val="28"/>
          <w:szCs w:val="28"/>
          <w:rtl/>
        </w:rPr>
        <w:t xml:space="preserve">, פסקה 11 (29.3.2022) (...); </w:t>
      </w:r>
      <w:hyperlink r:id="rId36" w:history="1">
        <w:r w:rsidR="00A427BA" w:rsidRPr="00A427BA">
          <w:rPr>
            <w:rFonts w:ascii="FrankRuehl" w:hAnsi="FrankRuehl" w:cs="FrankRuehl"/>
            <w:color w:val="0000FF"/>
            <w:sz w:val="28"/>
            <w:szCs w:val="28"/>
            <w:u w:val="single"/>
            <w:rtl/>
          </w:rPr>
          <w:t>ע"פ 5522/20</w:t>
        </w:r>
      </w:hyperlink>
      <w:r>
        <w:rPr>
          <w:rFonts w:ascii="FrankRuehl" w:hAnsi="FrankRuehl" w:cs="FrankRuehl"/>
          <w:sz w:val="28"/>
          <w:szCs w:val="28"/>
          <w:rtl/>
        </w:rPr>
        <w:t xml:space="preserve"> </w:t>
      </w:r>
      <w:r>
        <w:rPr>
          <w:rFonts w:ascii="Miriam" w:hAnsi="Miriam" w:cs="Miriam"/>
          <w:sz w:val="24"/>
          <w:szCs w:val="24"/>
          <w:rtl/>
        </w:rPr>
        <w:t>חלייחל נ' מדינת ישראל</w:t>
      </w:r>
      <w:r>
        <w:rPr>
          <w:rFonts w:ascii="FrankRuehl" w:hAnsi="FrankRuehl" w:cs="FrankRuehl"/>
          <w:sz w:val="28"/>
          <w:szCs w:val="28"/>
          <w:rtl/>
        </w:rPr>
        <w:t xml:space="preserve">, פסקה 7 (24.2.2021) (...); </w:t>
      </w:r>
      <w:hyperlink r:id="rId37" w:history="1">
        <w:r w:rsidR="00A427BA" w:rsidRPr="00A427BA">
          <w:rPr>
            <w:rFonts w:ascii="FrankRuehl" w:hAnsi="FrankRuehl" w:cs="FrankRuehl"/>
            <w:color w:val="0000FF"/>
            <w:sz w:val="28"/>
            <w:szCs w:val="28"/>
            <w:u w:val="single"/>
            <w:rtl/>
          </w:rPr>
          <w:t>ע"פ 4406/19</w:t>
        </w:r>
      </w:hyperlink>
      <w:r>
        <w:rPr>
          <w:rFonts w:ascii="FrankRuehl" w:hAnsi="FrankRuehl" w:cs="FrankRuehl"/>
          <w:sz w:val="28"/>
          <w:szCs w:val="28"/>
          <w:rtl/>
        </w:rPr>
        <w:t xml:space="preserve"> </w:t>
      </w:r>
      <w:r>
        <w:rPr>
          <w:rFonts w:ascii="Miriam" w:hAnsi="Miriam" w:cs="Miriam"/>
          <w:sz w:val="24"/>
          <w:szCs w:val="24"/>
          <w:rtl/>
        </w:rPr>
        <w:t>סובח נ' מדינת ישראל</w:t>
      </w:r>
      <w:r>
        <w:rPr>
          <w:rFonts w:ascii="FrankRuehl" w:hAnsi="FrankRuehl" w:cs="FrankRuehl"/>
          <w:sz w:val="28"/>
          <w:szCs w:val="28"/>
          <w:rtl/>
        </w:rPr>
        <w:t>, פסקה 17 (5.11.2019) (...). עבירות אלו חמורות במיוחד, בין היתר משום שהן עשויות לשמש בסיס לביצוע פעילות עבריינית או פעילות טרור (</w:t>
      </w:r>
      <w:hyperlink r:id="rId38" w:history="1">
        <w:r w:rsidR="00A427BA" w:rsidRPr="00A427BA">
          <w:rPr>
            <w:rFonts w:ascii="FrankRuehl" w:hAnsi="FrankRuehl" w:cs="FrankRuehl"/>
            <w:color w:val="0000FF"/>
            <w:sz w:val="28"/>
            <w:szCs w:val="28"/>
            <w:u w:val="single"/>
            <w:rtl/>
          </w:rPr>
          <w:t>ע"פ 8017/20</w:t>
        </w:r>
      </w:hyperlink>
      <w:r>
        <w:rPr>
          <w:rFonts w:ascii="FrankRuehl" w:hAnsi="FrankRuehl" w:cs="FrankRuehl"/>
          <w:sz w:val="28"/>
          <w:szCs w:val="28"/>
          <w:rtl/>
        </w:rPr>
        <w:t xml:space="preserve"> </w:t>
      </w:r>
      <w:r>
        <w:rPr>
          <w:rFonts w:ascii="Miriam" w:hAnsi="Miriam" w:cs="Miriam"/>
          <w:sz w:val="24"/>
          <w:szCs w:val="24"/>
          <w:rtl/>
        </w:rPr>
        <w:t>מדינת ישראל נ' גריפאת</w:t>
      </w:r>
      <w:r>
        <w:rPr>
          <w:rFonts w:ascii="FrankRuehl" w:hAnsi="FrankRuehl" w:cs="FrankRuehl"/>
          <w:sz w:val="28"/>
          <w:szCs w:val="28"/>
          <w:rtl/>
        </w:rPr>
        <w:t xml:space="preserve">, פסקה 6 (22.12.2020); </w:t>
      </w:r>
      <w:hyperlink r:id="rId39" w:history="1">
        <w:r w:rsidR="00A427BA" w:rsidRPr="00A427BA">
          <w:rPr>
            <w:rFonts w:ascii="FrankRuehl" w:hAnsi="FrankRuehl" w:cs="FrankRuehl"/>
            <w:color w:val="0000FF"/>
            <w:sz w:val="28"/>
            <w:szCs w:val="28"/>
            <w:u w:val="single"/>
            <w:rtl/>
          </w:rPr>
          <w:t>ע"פ 135/17</w:t>
        </w:r>
      </w:hyperlink>
      <w:r>
        <w:rPr>
          <w:rFonts w:ascii="FrankRuehl" w:hAnsi="FrankRuehl" w:cs="FrankRuehl"/>
          <w:sz w:val="28"/>
          <w:szCs w:val="28"/>
          <w:rtl/>
        </w:rPr>
        <w:t xml:space="preserve"> </w:t>
      </w:r>
      <w:r>
        <w:rPr>
          <w:rFonts w:ascii="Miriam" w:hAnsi="Miriam" w:cs="Miriam"/>
          <w:sz w:val="24"/>
          <w:szCs w:val="24"/>
          <w:rtl/>
        </w:rPr>
        <w:t>מדינת ישראל נ' בסל</w:t>
      </w:r>
      <w:r>
        <w:rPr>
          <w:rFonts w:ascii="FrankRuehl" w:hAnsi="FrankRuehl" w:cs="FrankRuehl"/>
          <w:sz w:val="28"/>
          <w:szCs w:val="28"/>
          <w:rtl/>
        </w:rPr>
        <w:t>, פסקה 10 (8.3.2017)). אך באחרונה עמד בית משפט זה על כך שעבירות אלו הן בבחינת "מכת מדינה" ועל הצורך בהחמרת הענישה בעניינן:</w:t>
      </w:r>
    </w:p>
    <w:p w14:paraId="0E932E77" w14:textId="77777777" w:rsidR="00C9037E" w:rsidRDefault="00C9037E" w:rsidP="007C24DB">
      <w:pPr>
        <w:pStyle w:val="ab"/>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ידע כל מי שמחזיק בנשק בלתי חוקי כי צפוי הוא להיענש בחומרה, בבחינת 'אם מחזיקים – למאסר נשלחים'" (עניין קדורה, פסקה 6)"</w:t>
      </w:r>
    </w:p>
    <w:p w14:paraId="3F6A3125" w14:textId="77777777" w:rsidR="00C9037E" w:rsidRPr="00095BA3" w:rsidRDefault="00C9037E" w:rsidP="007C24DB">
      <w:pPr>
        <w:pStyle w:val="ab"/>
        <w:spacing w:after="0" w:line="360" w:lineRule="auto"/>
        <w:rPr>
          <w:rFonts w:ascii="FrankRuehl" w:hAnsi="FrankRuehl" w:cs="FrankRuehl"/>
          <w:sz w:val="20"/>
          <w:szCs w:val="20"/>
          <w:rtl/>
        </w:rPr>
      </w:pPr>
    </w:p>
    <w:p w14:paraId="67EC2ED5" w14:textId="77777777" w:rsidR="00C9037E" w:rsidRDefault="00C9037E" w:rsidP="007C24DB">
      <w:pPr>
        <w:pStyle w:val="ab"/>
        <w:numPr>
          <w:ilvl w:val="0"/>
          <w:numId w:val="3"/>
        </w:numPr>
        <w:spacing w:after="0" w:line="360" w:lineRule="auto"/>
        <w:ind w:hanging="494"/>
        <w:jc w:val="both"/>
        <w:rPr>
          <w:rFonts w:ascii="FrankRuehl" w:hAnsi="FrankRuehl" w:cs="FrankRuehl"/>
          <w:sz w:val="28"/>
          <w:szCs w:val="28"/>
          <w:rtl/>
        </w:rPr>
      </w:pPr>
      <w:r>
        <w:rPr>
          <w:rFonts w:ascii="FrankRuehl" w:hAnsi="FrankRuehl" w:cs="FrankRuehl"/>
          <w:sz w:val="28"/>
          <w:szCs w:val="28"/>
          <w:rtl/>
        </w:rPr>
        <w:t xml:space="preserve">נזכיר, העונש שלצד העבירה בה הורשע הנאשם הוא עד שבע שנות מאסר. הצדדים הזכירו בטיעוניהם לעונש את תיקון 140 </w:t>
      </w:r>
      <w:r>
        <w:rPr>
          <w:rFonts w:ascii="Miriam" w:hAnsi="Miriam" w:cs="Miriam"/>
          <w:sz w:val="24"/>
          <w:szCs w:val="24"/>
          <w:rtl/>
        </w:rPr>
        <w:t>ב</w:t>
      </w:r>
      <w:hyperlink r:id="rId40" w:history="1">
        <w:r w:rsidR="00A427BA" w:rsidRPr="00A427BA">
          <w:rPr>
            <w:rFonts w:ascii="Miriam" w:hAnsi="Miriam" w:cs="Miriam"/>
            <w:color w:val="0000FF"/>
            <w:sz w:val="24"/>
            <w:szCs w:val="24"/>
            <w:u w:val="single"/>
            <w:rtl/>
          </w:rPr>
          <w:t>חוק העונשין</w:t>
        </w:r>
      </w:hyperlink>
      <w:r>
        <w:rPr>
          <w:rFonts w:ascii="FrankRuehl" w:hAnsi="FrankRuehl" w:cs="FrankRuehl"/>
          <w:sz w:val="28"/>
          <w:szCs w:val="28"/>
          <w:rtl/>
        </w:rPr>
        <w:t xml:space="preserve">, אשר קובע רף מזערי של רבע מהעונש שלצד העבירה. אין מחלוקת כי הוראה זו אינה חלה בעניינו של הנאשם. ואולם, תכלית ההוראה עולה בקנה אחד עם מגמת ההחמרה בענישה בעבירות נשק נוכח תופעת האלימות הקשה תוך שימוש בנשק, הגואה בחברה הישראלית בכלל ומכּה קשות בחברה הערבית בפרט. יפות כאן מילותיו של כבוד השופט </w:t>
      </w:r>
      <w:r>
        <w:rPr>
          <w:rFonts w:ascii="Miriam" w:hAnsi="Miriam" w:cs="Miriam"/>
          <w:sz w:val="24"/>
          <w:szCs w:val="24"/>
          <w:rtl/>
        </w:rPr>
        <w:t>נ' סולברג</w:t>
      </w:r>
      <w:r>
        <w:rPr>
          <w:rFonts w:ascii="FrankRuehl" w:hAnsi="FrankRuehl" w:cs="FrankRuehl"/>
          <w:sz w:val="28"/>
          <w:szCs w:val="28"/>
          <w:rtl/>
        </w:rPr>
        <w:t xml:space="preserve"> ב</w:t>
      </w:r>
      <w:hyperlink r:id="rId41" w:history="1">
        <w:r w:rsidR="00A427BA" w:rsidRPr="00A427BA">
          <w:rPr>
            <w:rFonts w:ascii="FrankRuehl" w:hAnsi="FrankRuehl" w:cs="FrankRuehl"/>
            <w:color w:val="0000FF"/>
            <w:sz w:val="28"/>
            <w:szCs w:val="28"/>
            <w:u w:val="single"/>
            <w:rtl/>
          </w:rPr>
          <w:t>ע"פ 7831/21</w:t>
        </w:r>
      </w:hyperlink>
      <w:r>
        <w:rPr>
          <w:rFonts w:ascii="FrankRuehl" w:hAnsi="FrankRuehl" w:cs="FrankRuehl"/>
          <w:sz w:val="28"/>
          <w:szCs w:val="28"/>
          <w:rtl/>
        </w:rPr>
        <w:t xml:space="preserve"> </w:t>
      </w:r>
      <w:r>
        <w:rPr>
          <w:rFonts w:ascii="Miriam" w:hAnsi="Miriam" w:cs="Miriam"/>
          <w:sz w:val="24"/>
          <w:szCs w:val="24"/>
          <w:rtl/>
        </w:rPr>
        <w:t>עסליה נ' מדינת ישראל</w:t>
      </w:r>
      <w:r>
        <w:rPr>
          <w:rFonts w:ascii="FrankRuehl" w:hAnsi="FrankRuehl" w:cs="FrankRuehl"/>
          <w:sz w:val="28"/>
          <w:szCs w:val="28"/>
          <w:rtl/>
        </w:rPr>
        <w:t>, פסקה 10 (24.4.2022), לפיהן: "</w:t>
      </w:r>
      <w:r>
        <w:rPr>
          <w:rFonts w:ascii="Miriam" w:hAnsi="Miriam" w:cs="Miriam"/>
          <w:sz w:val="24"/>
          <w:szCs w:val="24"/>
          <w:rtl/>
        </w:rPr>
        <w:t>אין זאת אלא מן הפירות הבאושים של מצבורי הנשק במגזר הערבי, ושאר עבירות הנשק, והיד הקלה על ההדק; רעה חולה זו מחייבת ענישה הולמת</w:t>
      </w:r>
      <w:r>
        <w:rPr>
          <w:rFonts w:ascii="FrankRuehl" w:hAnsi="FrankRuehl" w:cs="FrankRuehl"/>
          <w:sz w:val="28"/>
          <w:szCs w:val="28"/>
          <w:rtl/>
        </w:rPr>
        <w:t xml:space="preserve">" (ראו גם: </w:t>
      </w:r>
      <w:hyperlink r:id="rId42" w:history="1">
        <w:r w:rsidR="00A427BA" w:rsidRPr="00A427BA">
          <w:rPr>
            <w:rFonts w:ascii="FrankRuehl" w:hAnsi="FrankRuehl" w:cs="FrankRuehl"/>
            <w:color w:val="0000FF"/>
            <w:sz w:val="28"/>
            <w:szCs w:val="28"/>
            <w:u w:val="single"/>
            <w:rtl/>
          </w:rPr>
          <w:t>ע"פ 166/22</w:t>
        </w:r>
      </w:hyperlink>
      <w:r>
        <w:rPr>
          <w:rFonts w:ascii="FrankRuehl" w:hAnsi="FrankRuehl" w:cs="FrankRuehl"/>
          <w:sz w:val="28"/>
          <w:szCs w:val="28"/>
          <w:rtl/>
        </w:rPr>
        <w:t xml:space="preserve"> </w:t>
      </w:r>
      <w:r>
        <w:rPr>
          <w:rFonts w:ascii="Miriam" w:hAnsi="Miriam" w:cs="Miriam"/>
          <w:sz w:val="24"/>
          <w:szCs w:val="24"/>
          <w:rtl/>
        </w:rPr>
        <w:t>טאהא נ' מדינת ישראל</w:t>
      </w:r>
      <w:r>
        <w:rPr>
          <w:rFonts w:ascii="FrankRuehl" w:hAnsi="FrankRuehl" w:cs="FrankRuehl"/>
          <w:sz w:val="28"/>
          <w:szCs w:val="28"/>
          <w:rtl/>
        </w:rPr>
        <w:t xml:space="preserve">, פסקה 11 (1.6.2022); </w:t>
      </w:r>
      <w:hyperlink r:id="rId43" w:history="1">
        <w:r w:rsidR="00A427BA" w:rsidRPr="00A427BA">
          <w:rPr>
            <w:rFonts w:ascii="FrankRuehl" w:hAnsi="FrankRuehl" w:cs="FrankRuehl"/>
            <w:color w:val="0000FF"/>
            <w:sz w:val="28"/>
            <w:szCs w:val="28"/>
            <w:u w:val="single"/>
            <w:rtl/>
          </w:rPr>
          <w:t>ע"פ 2733/20</w:t>
        </w:r>
      </w:hyperlink>
      <w:r>
        <w:rPr>
          <w:rFonts w:ascii="FrankRuehl" w:hAnsi="FrankRuehl" w:cs="FrankRuehl"/>
          <w:sz w:val="28"/>
          <w:szCs w:val="28"/>
          <w:rtl/>
        </w:rPr>
        <w:t xml:space="preserve"> </w:t>
      </w:r>
      <w:r>
        <w:rPr>
          <w:rFonts w:ascii="Miriam" w:hAnsi="Miriam" w:cs="Miriam"/>
          <w:sz w:val="24"/>
          <w:szCs w:val="24"/>
          <w:rtl/>
        </w:rPr>
        <w:t>אבו זיאד נ' מדינת ישראל</w:t>
      </w:r>
      <w:r>
        <w:rPr>
          <w:rFonts w:ascii="FrankRuehl" w:hAnsi="FrankRuehl" w:cs="FrankRuehl"/>
          <w:sz w:val="28"/>
          <w:szCs w:val="28"/>
          <w:rtl/>
        </w:rPr>
        <w:t>, פסקה 16 (24.10.2021)).</w:t>
      </w:r>
    </w:p>
    <w:p w14:paraId="6ACD8BC6" w14:textId="77777777" w:rsidR="00C9037E" w:rsidRPr="00095BA3" w:rsidRDefault="00C9037E" w:rsidP="007C24DB">
      <w:pPr>
        <w:spacing w:line="360" w:lineRule="auto"/>
        <w:rPr>
          <w:rFonts w:ascii="FrankRuehl" w:hAnsi="FrankRuehl" w:cs="FrankRuehl"/>
          <w:sz w:val="20"/>
          <w:szCs w:val="20"/>
        </w:rPr>
      </w:pPr>
    </w:p>
    <w:p w14:paraId="6A78286F" w14:textId="77777777" w:rsidR="00C9037E" w:rsidRDefault="00C9037E" w:rsidP="007C24DB">
      <w:pPr>
        <w:pStyle w:val="ab"/>
        <w:numPr>
          <w:ilvl w:val="0"/>
          <w:numId w:val="3"/>
        </w:numPr>
        <w:spacing w:after="0" w:line="360" w:lineRule="auto"/>
        <w:ind w:hanging="636"/>
        <w:jc w:val="both"/>
        <w:rPr>
          <w:rFonts w:ascii="FrankRuehl" w:hAnsi="FrankRuehl" w:cs="FrankRuehl"/>
          <w:sz w:val="28"/>
          <w:szCs w:val="28"/>
        </w:rPr>
      </w:pPr>
      <w:r>
        <w:rPr>
          <w:rFonts w:ascii="FrankRuehl" w:hAnsi="FrankRuehl" w:cs="FrankRuehl"/>
          <w:sz w:val="28"/>
          <w:szCs w:val="28"/>
          <w:rtl/>
        </w:rPr>
        <w:t xml:space="preserve">לקביעת מתחם הענישה ההולם, נתתי את דעתי לפסיקה הרלבנטית, בין היתר, תוך מתן דגש </w:t>
      </w:r>
      <w:r>
        <w:rPr>
          <w:rFonts w:ascii="Miriam" w:hAnsi="Miriam" w:cs="Miriam"/>
          <w:sz w:val="24"/>
          <w:szCs w:val="24"/>
          <w:rtl/>
        </w:rPr>
        <w:t>לסוג הנשק</w:t>
      </w:r>
      <w:r>
        <w:rPr>
          <w:rFonts w:ascii="FrankRuehl" w:hAnsi="FrankRuehl" w:cs="FrankRuehl"/>
          <w:sz w:val="28"/>
          <w:szCs w:val="28"/>
          <w:rtl/>
        </w:rPr>
        <w:t xml:space="preserve"> שנתפס עם התחמושת המתאימה (על רלבנטיות האבחנה בין סוגי הנשק לקביעת המתחם – ראו: </w:t>
      </w:r>
      <w:hyperlink r:id="rId44" w:history="1">
        <w:r w:rsidR="00A427BA" w:rsidRPr="00A427BA">
          <w:rPr>
            <w:rFonts w:ascii="FrankRuehl" w:hAnsi="FrankRuehl" w:cs="FrankRuehl"/>
            <w:color w:val="0000FF"/>
            <w:sz w:val="28"/>
            <w:szCs w:val="28"/>
            <w:u w:val="single"/>
            <w:rtl/>
          </w:rPr>
          <w:t>ע"פ 1323/13</w:t>
        </w:r>
      </w:hyperlink>
      <w:r>
        <w:rPr>
          <w:rFonts w:ascii="FrankRuehl" w:hAnsi="FrankRuehl" w:cs="FrankRuehl"/>
          <w:sz w:val="28"/>
          <w:szCs w:val="28"/>
          <w:rtl/>
        </w:rPr>
        <w:t xml:space="preserve"> </w:t>
      </w:r>
      <w:r>
        <w:rPr>
          <w:rFonts w:ascii="Miriam" w:hAnsi="Miriam" w:cs="Miriam"/>
          <w:sz w:val="24"/>
          <w:szCs w:val="24"/>
          <w:rtl/>
        </w:rPr>
        <w:t>חסן נ' מדינת ישראל</w:t>
      </w:r>
      <w:r>
        <w:rPr>
          <w:rFonts w:ascii="FrankRuehl" w:hAnsi="FrankRuehl" w:cs="FrankRuehl"/>
          <w:sz w:val="28"/>
          <w:szCs w:val="28"/>
          <w:rtl/>
        </w:rPr>
        <w:t xml:space="preserve"> (5.6.2013)). </w:t>
      </w:r>
    </w:p>
    <w:p w14:paraId="1EB40DC2" w14:textId="77777777" w:rsidR="00C9037E" w:rsidRDefault="00C9037E" w:rsidP="007C24DB">
      <w:pPr>
        <w:pStyle w:val="ab"/>
        <w:spacing w:after="0" w:line="360" w:lineRule="auto"/>
        <w:jc w:val="both"/>
        <w:rPr>
          <w:rFonts w:ascii="FrankRuehl" w:hAnsi="FrankRuehl" w:cs="FrankRuehl"/>
          <w:sz w:val="28"/>
          <w:szCs w:val="28"/>
        </w:rPr>
      </w:pPr>
      <w:r>
        <w:rPr>
          <w:rFonts w:ascii="FrankRuehl" w:hAnsi="FrankRuehl" w:cs="FrankRuehl"/>
          <w:sz w:val="28"/>
          <w:szCs w:val="28"/>
          <w:rtl/>
        </w:rPr>
        <w:t xml:space="preserve">ראו והשוו (כמובן עם השינויים </w:t>
      </w:r>
      <w:r>
        <w:rPr>
          <w:rFonts w:ascii="FrankRuehl" w:hAnsi="FrankRuehl" w:cs="FrankRuehl"/>
          <w:sz w:val="28"/>
          <w:szCs w:val="28"/>
          <w:u w:val="single"/>
          <w:rtl/>
        </w:rPr>
        <w:t>המחוייבים</w:t>
      </w:r>
      <w:r>
        <w:rPr>
          <w:rFonts w:ascii="FrankRuehl" w:hAnsi="FrankRuehl" w:cs="FrankRuehl"/>
          <w:sz w:val="28"/>
          <w:szCs w:val="28"/>
          <w:rtl/>
        </w:rPr>
        <w:t xml:space="preserve">) לפי סדר ערכאה ופרסום: </w:t>
      </w:r>
    </w:p>
    <w:p w14:paraId="7C80805F" w14:textId="77777777" w:rsidR="00C9037E" w:rsidRDefault="00A427BA" w:rsidP="007C24DB">
      <w:pPr>
        <w:pStyle w:val="ab"/>
        <w:numPr>
          <w:ilvl w:val="0"/>
          <w:numId w:val="4"/>
        </w:numPr>
        <w:spacing w:after="0" w:line="240" w:lineRule="auto"/>
        <w:ind w:left="1077" w:hanging="357"/>
        <w:jc w:val="both"/>
        <w:rPr>
          <w:rFonts w:ascii="FrankRuehl" w:hAnsi="FrankRuehl" w:cs="FrankRuehl"/>
          <w:sz w:val="28"/>
          <w:szCs w:val="28"/>
        </w:rPr>
      </w:pPr>
      <w:hyperlink r:id="rId45" w:history="1">
        <w:r w:rsidRPr="00A427BA">
          <w:rPr>
            <w:rFonts w:ascii="FrankRuehl" w:hAnsi="FrankRuehl" w:cs="FrankRuehl"/>
            <w:color w:val="0000FF"/>
            <w:sz w:val="28"/>
            <w:szCs w:val="28"/>
            <w:u w:val="single"/>
            <w:rtl/>
          </w:rPr>
          <w:t>ע"פ 2165/23</w:t>
        </w:r>
      </w:hyperlink>
      <w:r w:rsidR="00C9037E">
        <w:rPr>
          <w:rFonts w:ascii="FrankRuehl" w:hAnsi="FrankRuehl" w:cs="FrankRuehl"/>
          <w:sz w:val="28"/>
          <w:szCs w:val="28"/>
          <w:rtl/>
        </w:rPr>
        <w:t xml:space="preserve"> </w:t>
      </w:r>
      <w:r w:rsidR="00C9037E">
        <w:rPr>
          <w:rFonts w:ascii="Miriam" w:hAnsi="Miriam" w:cs="Miriam"/>
          <w:sz w:val="24"/>
          <w:szCs w:val="24"/>
          <w:rtl/>
        </w:rPr>
        <w:t>מדינת ישראל נ' בלאל</w:t>
      </w:r>
      <w:r w:rsidR="00C9037E">
        <w:rPr>
          <w:rFonts w:ascii="FrankRuehl" w:hAnsi="FrankRuehl" w:cs="FrankRuehl"/>
          <w:sz w:val="28"/>
          <w:szCs w:val="28"/>
          <w:rtl/>
        </w:rPr>
        <w:t xml:space="preserve"> (4.5.2023);</w:t>
      </w:r>
    </w:p>
    <w:p w14:paraId="68C9C5DA" w14:textId="77777777" w:rsidR="00C9037E" w:rsidRDefault="00A427BA" w:rsidP="007C24DB">
      <w:pPr>
        <w:pStyle w:val="ab"/>
        <w:numPr>
          <w:ilvl w:val="0"/>
          <w:numId w:val="4"/>
        </w:numPr>
        <w:spacing w:after="0" w:line="240" w:lineRule="auto"/>
        <w:ind w:left="1077" w:hanging="357"/>
        <w:jc w:val="both"/>
        <w:rPr>
          <w:rFonts w:ascii="FrankRuehl" w:hAnsi="FrankRuehl" w:cs="FrankRuehl"/>
          <w:sz w:val="28"/>
          <w:szCs w:val="28"/>
        </w:rPr>
      </w:pPr>
      <w:hyperlink r:id="rId46" w:history="1">
        <w:r w:rsidRPr="00A427BA">
          <w:rPr>
            <w:rFonts w:ascii="FrankRuehl" w:hAnsi="FrankRuehl" w:cs="FrankRuehl"/>
            <w:color w:val="0000FF"/>
            <w:sz w:val="28"/>
            <w:szCs w:val="28"/>
            <w:u w:val="single"/>
            <w:rtl/>
          </w:rPr>
          <w:t>ע"פ 4077/22</w:t>
        </w:r>
      </w:hyperlink>
      <w:r w:rsidR="00C9037E">
        <w:rPr>
          <w:rFonts w:ascii="FrankRuehl" w:hAnsi="FrankRuehl" w:cs="FrankRuehl"/>
          <w:sz w:val="28"/>
          <w:szCs w:val="28"/>
          <w:rtl/>
        </w:rPr>
        <w:t xml:space="preserve"> </w:t>
      </w:r>
      <w:r w:rsidR="00C9037E">
        <w:rPr>
          <w:rFonts w:ascii="Miriam" w:hAnsi="Miriam" w:cs="Miriam"/>
          <w:sz w:val="24"/>
          <w:szCs w:val="24"/>
          <w:rtl/>
        </w:rPr>
        <w:t>פלוני נ' מדינת ישראל</w:t>
      </w:r>
      <w:r w:rsidR="00C9037E">
        <w:rPr>
          <w:rFonts w:ascii="FrankRuehl" w:hAnsi="FrankRuehl" w:cs="FrankRuehl"/>
          <w:sz w:val="28"/>
          <w:szCs w:val="28"/>
          <w:rtl/>
        </w:rPr>
        <w:t xml:space="preserve"> (28.7.2022);</w:t>
      </w:r>
    </w:p>
    <w:p w14:paraId="1FB83A74" w14:textId="77777777" w:rsidR="00C9037E" w:rsidRDefault="00A427BA" w:rsidP="007C24DB">
      <w:pPr>
        <w:pStyle w:val="ab"/>
        <w:numPr>
          <w:ilvl w:val="0"/>
          <w:numId w:val="4"/>
        </w:numPr>
        <w:spacing w:after="0" w:line="240" w:lineRule="auto"/>
        <w:ind w:left="1077" w:hanging="357"/>
        <w:jc w:val="both"/>
        <w:rPr>
          <w:rFonts w:ascii="FrankRuehl" w:hAnsi="FrankRuehl" w:cs="FrankRuehl"/>
          <w:sz w:val="28"/>
          <w:szCs w:val="28"/>
        </w:rPr>
      </w:pPr>
      <w:hyperlink r:id="rId47" w:history="1">
        <w:r w:rsidRPr="00A427BA">
          <w:rPr>
            <w:rFonts w:ascii="FrankRuehl" w:hAnsi="FrankRuehl" w:cs="FrankRuehl"/>
            <w:color w:val="0000FF"/>
            <w:sz w:val="28"/>
            <w:szCs w:val="28"/>
            <w:u w:val="single"/>
            <w:rtl/>
          </w:rPr>
          <w:t>ע"פ 166/22</w:t>
        </w:r>
      </w:hyperlink>
      <w:r w:rsidR="00C9037E">
        <w:rPr>
          <w:rFonts w:ascii="FrankRuehl" w:hAnsi="FrankRuehl" w:cs="FrankRuehl"/>
          <w:sz w:val="28"/>
          <w:szCs w:val="28"/>
          <w:rtl/>
        </w:rPr>
        <w:t xml:space="preserve"> </w:t>
      </w:r>
      <w:r w:rsidR="00C9037E">
        <w:rPr>
          <w:rFonts w:ascii="Miriam" w:hAnsi="Miriam" w:cs="Miriam"/>
          <w:sz w:val="24"/>
          <w:szCs w:val="24"/>
          <w:rtl/>
        </w:rPr>
        <w:t>טאהא נ' מדינת ישראל</w:t>
      </w:r>
      <w:r w:rsidR="00C9037E">
        <w:rPr>
          <w:rFonts w:ascii="FrankRuehl" w:hAnsi="FrankRuehl" w:cs="FrankRuehl"/>
          <w:sz w:val="28"/>
          <w:szCs w:val="28"/>
          <w:rtl/>
        </w:rPr>
        <w:t xml:space="preserve"> (1.6.2022);</w:t>
      </w:r>
    </w:p>
    <w:p w14:paraId="79A72A16" w14:textId="77777777" w:rsidR="00C9037E" w:rsidRDefault="00A427BA" w:rsidP="007C24DB">
      <w:pPr>
        <w:pStyle w:val="ab"/>
        <w:numPr>
          <w:ilvl w:val="0"/>
          <w:numId w:val="4"/>
        </w:numPr>
        <w:spacing w:after="0" w:line="240" w:lineRule="auto"/>
        <w:ind w:left="1077" w:hanging="357"/>
        <w:jc w:val="both"/>
        <w:rPr>
          <w:rFonts w:ascii="FrankRuehl" w:hAnsi="FrankRuehl" w:cs="FrankRuehl"/>
          <w:sz w:val="28"/>
          <w:szCs w:val="28"/>
        </w:rPr>
      </w:pPr>
      <w:hyperlink r:id="rId48" w:history="1">
        <w:r w:rsidRPr="00A427BA">
          <w:rPr>
            <w:rFonts w:ascii="FrankRuehl" w:hAnsi="FrankRuehl" w:cs="FrankRuehl"/>
            <w:color w:val="0000FF"/>
            <w:sz w:val="28"/>
            <w:szCs w:val="28"/>
            <w:u w:val="single"/>
            <w:rtl/>
          </w:rPr>
          <w:t>ע"פ 1695/22</w:t>
        </w:r>
      </w:hyperlink>
      <w:r w:rsidR="00C9037E">
        <w:rPr>
          <w:rFonts w:ascii="FrankRuehl" w:hAnsi="FrankRuehl" w:cs="FrankRuehl"/>
          <w:sz w:val="28"/>
          <w:szCs w:val="28"/>
          <w:rtl/>
        </w:rPr>
        <w:t xml:space="preserve"> </w:t>
      </w:r>
      <w:r w:rsidR="00C9037E">
        <w:rPr>
          <w:rFonts w:ascii="Miriam" w:hAnsi="Miriam" w:cs="Miriam"/>
          <w:sz w:val="24"/>
          <w:szCs w:val="24"/>
          <w:rtl/>
        </w:rPr>
        <w:t>מדינת ישראל נ' גנאים</w:t>
      </w:r>
      <w:r w:rsidR="00C9037E">
        <w:rPr>
          <w:rFonts w:ascii="FrankRuehl" w:hAnsi="FrankRuehl" w:cs="FrankRuehl"/>
          <w:sz w:val="28"/>
          <w:szCs w:val="28"/>
          <w:rtl/>
        </w:rPr>
        <w:t xml:space="preserve"> (29.3.2022);</w:t>
      </w:r>
    </w:p>
    <w:p w14:paraId="1D0685CE" w14:textId="77777777" w:rsidR="00C9037E" w:rsidRDefault="00A427BA" w:rsidP="007C24DB">
      <w:pPr>
        <w:pStyle w:val="ab"/>
        <w:numPr>
          <w:ilvl w:val="0"/>
          <w:numId w:val="4"/>
        </w:numPr>
        <w:spacing w:after="0" w:line="240" w:lineRule="auto"/>
        <w:ind w:left="1077" w:hanging="357"/>
        <w:jc w:val="both"/>
        <w:rPr>
          <w:rFonts w:ascii="FrankRuehl" w:hAnsi="FrankRuehl" w:cs="FrankRuehl"/>
          <w:sz w:val="28"/>
          <w:szCs w:val="28"/>
        </w:rPr>
      </w:pPr>
      <w:hyperlink r:id="rId49" w:history="1">
        <w:r w:rsidRPr="00A427BA">
          <w:rPr>
            <w:rFonts w:ascii="FrankRuehl" w:hAnsi="FrankRuehl" w:cs="FrankRuehl"/>
            <w:color w:val="0000FF"/>
            <w:sz w:val="28"/>
            <w:szCs w:val="28"/>
            <w:u w:val="single"/>
            <w:rtl/>
          </w:rPr>
          <w:t>ע"פ 8320/21</w:t>
        </w:r>
      </w:hyperlink>
      <w:r w:rsidR="00C9037E">
        <w:rPr>
          <w:rFonts w:ascii="FrankRuehl" w:hAnsi="FrankRuehl" w:cs="FrankRuehl"/>
          <w:sz w:val="28"/>
          <w:szCs w:val="28"/>
          <w:rtl/>
        </w:rPr>
        <w:t xml:space="preserve"> </w:t>
      </w:r>
      <w:r w:rsidR="00C9037E">
        <w:rPr>
          <w:rFonts w:ascii="Miriam" w:hAnsi="Miriam" w:cs="Miriam"/>
          <w:sz w:val="24"/>
          <w:szCs w:val="24"/>
          <w:rtl/>
        </w:rPr>
        <w:t>מדינת ישראל נ' בסילה</w:t>
      </w:r>
      <w:r w:rsidR="00C9037E">
        <w:rPr>
          <w:rFonts w:ascii="FrankRuehl" w:hAnsi="FrankRuehl" w:cs="FrankRuehl"/>
          <w:sz w:val="28"/>
          <w:szCs w:val="28"/>
          <w:rtl/>
        </w:rPr>
        <w:t xml:space="preserve"> (28.12.2021);</w:t>
      </w:r>
    </w:p>
    <w:p w14:paraId="1E47F466" w14:textId="77777777" w:rsidR="00C9037E" w:rsidRDefault="00A427BA" w:rsidP="007C24DB">
      <w:pPr>
        <w:pStyle w:val="ab"/>
        <w:numPr>
          <w:ilvl w:val="0"/>
          <w:numId w:val="4"/>
        </w:numPr>
        <w:spacing w:after="0" w:line="240" w:lineRule="auto"/>
        <w:ind w:left="1077" w:hanging="357"/>
        <w:jc w:val="both"/>
        <w:rPr>
          <w:rFonts w:ascii="FrankRuehl" w:hAnsi="FrankRuehl" w:cs="FrankRuehl"/>
          <w:sz w:val="28"/>
          <w:szCs w:val="28"/>
        </w:rPr>
      </w:pPr>
      <w:hyperlink r:id="rId50" w:history="1">
        <w:r w:rsidRPr="00A427BA">
          <w:rPr>
            <w:rFonts w:ascii="FrankRuehl" w:hAnsi="FrankRuehl" w:cs="FrankRuehl"/>
            <w:color w:val="0000FF"/>
            <w:sz w:val="28"/>
            <w:szCs w:val="28"/>
            <w:u w:val="single"/>
            <w:rtl/>
          </w:rPr>
          <w:t>ע"פ 8678/19</w:t>
        </w:r>
      </w:hyperlink>
      <w:r w:rsidR="00C9037E">
        <w:rPr>
          <w:rFonts w:ascii="FrankRuehl" w:hAnsi="FrankRuehl" w:cs="FrankRuehl"/>
          <w:sz w:val="28"/>
          <w:szCs w:val="28"/>
          <w:rtl/>
        </w:rPr>
        <w:t xml:space="preserve"> </w:t>
      </w:r>
      <w:r w:rsidR="00C9037E">
        <w:rPr>
          <w:rFonts w:ascii="Miriam" w:hAnsi="Miriam" w:cs="Miriam"/>
          <w:sz w:val="24"/>
          <w:szCs w:val="24"/>
          <w:rtl/>
        </w:rPr>
        <w:t>אבו כף נ' מדינת ישראל</w:t>
      </w:r>
      <w:r w:rsidR="00C9037E">
        <w:rPr>
          <w:rFonts w:ascii="FrankRuehl" w:hAnsi="FrankRuehl" w:cs="FrankRuehl"/>
          <w:sz w:val="28"/>
          <w:szCs w:val="28"/>
          <w:rtl/>
        </w:rPr>
        <w:t xml:space="preserve"> (5.3.2020);</w:t>
      </w:r>
    </w:p>
    <w:p w14:paraId="4977A83F" w14:textId="77777777" w:rsidR="00C9037E" w:rsidRDefault="00A427BA" w:rsidP="007C24DB">
      <w:pPr>
        <w:pStyle w:val="ab"/>
        <w:numPr>
          <w:ilvl w:val="0"/>
          <w:numId w:val="4"/>
        </w:numPr>
        <w:spacing w:after="0" w:line="240" w:lineRule="auto"/>
        <w:ind w:left="1077" w:hanging="357"/>
        <w:jc w:val="both"/>
        <w:rPr>
          <w:rFonts w:ascii="FrankRuehl" w:hAnsi="FrankRuehl" w:cs="FrankRuehl"/>
          <w:sz w:val="28"/>
          <w:szCs w:val="28"/>
        </w:rPr>
      </w:pPr>
      <w:hyperlink r:id="rId51" w:history="1">
        <w:r w:rsidRPr="00A427BA">
          <w:rPr>
            <w:rFonts w:ascii="FrankRuehl" w:hAnsi="FrankRuehl" w:cs="FrankRuehl"/>
            <w:color w:val="0000FF"/>
            <w:sz w:val="28"/>
            <w:szCs w:val="28"/>
            <w:u w:val="single"/>
            <w:rtl/>
          </w:rPr>
          <w:t>עפ"ג (מחוזי נצ') 2024-04-21</w:t>
        </w:r>
      </w:hyperlink>
      <w:r w:rsidR="00C9037E">
        <w:rPr>
          <w:rFonts w:ascii="FrankRuehl" w:hAnsi="FrankRuehl" w:cs="FrankRuehl"/>
          <w:sz w:val="28"/>
          <w:szCs w:val="28"/>
          <w:rtl/>
        </w:rPr>
        <w:t xml:space="preserve"> </w:t>
      </w:r>
      <w:r w:rsidR="00C9037E">
        <w:rPr>
          <w:rFonts w:ascii="Miriam" w:hAnsi="Miriam" w:cs="Miriam"/>
          <w:sz w:val="24"/>
          <w:szCs w:val="24"/>
          <w:rtl/>
        </w:rPr>
        <w:t>מדינת ישראל נ' מנדורי</w:t>
      </w:r>
      <w:r w:rsidR="00C9037E">
        <w:rPr>
          <w:rFonts w:ascii="FrankRuehl" w:hAnsi="FrankRuehl" w:cs="FrankRuehl"/>
          <w:sz w:val="28"/>
          <w:szCs w:val="28"/>
          <w:rtl/>
        </w:rPr>
        <w:t xml:space="preserve"> (29.6.2021);</w:t>
      </w:r>
    </w:p>
    <w:p w14:paraId="0E7E65C3" w14:textId="77777777" w:rsidR="00C9037E" w:rsidRDefault="00C9037E" w:rsidP="007C24DB">
      <w:pPr>
        <w:pStyle w:val="ab"/>
        <w:numPr>
          <w:ilvl w:val="0"/>
          <w:numId w:val="4"/>
        </w:numPr>
        <w:spacing w:after="0" w:line="240" w:lineRule="auto"/>
        <w:ind w:left="1077" w:hanging="357"/>
        <w:jc w:val="both"/>
        <w:rPr>
          <w:rFonts w:ascii="FrankRuehl" w:hAnsi="FrankRuehl" w:cs="FrankRuehl"/>
          <w:sz w:val="28"/>
          <w:szCs w:val="28"/>
        </w:rPr>
      </w:pPr>
      <w:r>
        <w:rPr>
          <w:rFonts w:ascii="FrankRuehl" w:hAnsi="FrankRuehl" w:cs="FrankRuehl"/>
          <w:sz w:val="28"/>
          <w:szCs w:val="28"/>
          <w:rtl/>
        </w:rPr>
        <w:t xml:space="preserve">עפ"ג (מחוזי מר') 10916-12-21 </w:t>
      </w:r>
      <w:r>
        <w:rPr>
          <w:rFonts w:ascii="Miriam" w:hAnsi="Miriam" w:cs="Miriam"/>
          <w:sz w:val="24"/>
          <w:szCs w:val="24"/>
          <w:rtl/>
        </w:rPr>
        <w:t>מדינת ישראל נ' אבו אלחסאן</w:t>
      </w:r>
      <w:r>
        <w:rPr>
          <w:rFonts w:ascii="FrankRuehl" w:hAnsi="FrankRuehl" w:cs="FrankRuehl"/>
          <w:sz w:val="28"/>
          <w:szCs w:val="28"/>
          <w:rtl/>
        </w:rPr>
        <w:t xml:space="preserve"> (7.2.2022); </w:t>
      </w:r>
    </w:p>
    <w:p w14:paraId="22129A65" w14:textId="77777777" w:rsidR="00C9037E" w:rsidRDefault="00A427BA" w:rsidP="007C24DB">
      <w:pPr>
        <w:pStyle w:val="ab"/>
        <w:numPr>
          <w:ilvl w:val="0"/>
          <w:numId w:val="4"/>
        </w:numPr>
        <w:spacing w:after="0" w:line="240" w:lineRule="auto"/>
        <w:ind w:left="1077" w:hanging="357"/>
        <w:jc w:val="both"/>
        <w:rPr>
          <w:rFonts w:ascii="FrankRuehl" w:hAnsi="FrankRuehl" w:cs="FrankRuehl"/>
          <w:sz w:val="28"/>
          <w:szCs w:val="28"/>
        </w:rPr>
      </w:pPr>
      <w:hyperlink r:id="rId52" w:history="1">
        <w:r w:rsidRPr="00A427BA">
          <w:rPr>
            <w:rFonts w:ascii="FrankRuehl" w:hAnsi="FrankRuehl" w:cs="FrankRuehl"/>
            <w:color w:val="0000FF"/>
            <w:sz w:val="28"/>
            <w:szCs w:val="28"/>
            <w:u w:val="single"/>
            <w:rtl/>
          </w:rPr>
          <w:t>ת"פ (מחוזי ב"ש) 54607-07-19</w:t>
        </w:r>
      </w:hyperlink>
      <w:r w:rsidR="00C9037E">
        <w:rPr>
          <w:rFonts w:ascii="FrankRuehl" w:hAnsi="FrankRuehl" w:cs="FrankRuehl"/>
          <w:sz w:val="28"/>
          <w:szCs w:val="28"/>
          <w:rtl/>
        </w:rPr>
        <w:t xml:space="preserve"> </w:t>
      </w:r>
      <w:r w:rsidR="00C9037E">
        <w:rPr>
          <w:rFonts w:ascii="Miriam" w:hAnsi="Miriam" w:cs="Miriam"/>
          <w:sz w:val="24"/>
          <w:szCs w:val="24"/>
          <w:rtl/>
        </w:rPr>
        <w:t>מדינת ישראל נ' ג'בור</w:t>
      </w:r>
      <w:r w:rsidR="00C9037E">
        <w:rPr>
          <w:rFonts w:ascii="FrankRuehl" w:hAnsi="FrankRuehl" w:cs="FrankRuehl"/>
          <w:sz w:val="28"/>
          <w:szCs w:val="28"/>
          <w:rtl/>
        </w:rPr>
        <w:t xml:space="preserve"> (12.1.2020);</w:t>
      </w:r>
    </w:p>
    <w:p w14:paraId="3EB9E324" w14:textId="77777777" w:rsidR="00C9037E" w:rsidRDefault="00A427BA" w:rsidP="007C24DB">
      <w:pPr>
        <w:pStyle w:val="ab"/>
        <w:numPr>
          <w:ilvl w:val="0"/>
          <w:numId w:val="4"/>
        </w:numPr>
        <w:spacing w:after="0" w:line="240" w:lineRule="auto"/>
        <w:ind w:left="1077" w:hanging="357"/>
        <w:jc w:val="both"/>
        <w:rPr>
          <w:rFonts w:ascii="FrankRuehl" w:hAnsi="FrankRuehl" w:cs="FrankRuehl"/>
          <w:sz w:val="28"/>
          <w:szCs w:val="28"/>
        </w:rPr>
      </w:pPr>
      <w:hyperlink r:id="rId53" w:history="1">
        <w:r w:rsidRPr="00A427BA">
          <w:rPr>
            <w:rFonts w:ascii="FrankRuehl" w:hAnsi="FrankRuehl" w:cs="FrankRuehl"/>
            <w:color w:val="0000FF"/>
            <w:sz w:val="28"/>
            <w:szCs w:val="28"/>
            <w:u w:val="single"/>
            <w:rtl/>
          </w:rPr>
          <w:t>ת"פ (שלום י-ם) 17030-02-22</w:t>
        </w:r>
      </w:hyperlink>
      <w:r w:rsidR="00C9037E">
        <w:rPr>
          <w:rFonts w:ascii="FrankRuehl" w:hAnsi="FrankRuehl" w:cs="FrankRuehl"/>
          <w:sz w:val="28"/>
          <w:szCs w:val="28"/>
          <w:rtl/>
        </w:rPr>
        <w:t xml:space="preserve"> </w:t>
      </w:r>
      <w:r w:rsidR="00C9037E">
        <w:rPr>
          <w:rFonts w:ascii="Miriam" w:hAnsi="Miriam" w:cs="Miriam"/>
          <w:sz w:val="24"/>
          <w:szCs w:val="24"/>
          <w:rtl/>
        </w:rPr>
        <w:t>מדינת ישראל נ' מקיה</w:t>
      </w:r>
      <w:r w:rsidR="00C9037E">
        <w:rPr>
          <w:rFonts w:ascii="FrankRuehl" w:hAnsi="FrankRuehl" w:cs="FrankRuehl"/>
          <w:sz w:val="28"/>
          <w:szCs w:val="28"/>
          <w:rtl/>
        </w:rPr>
        <w:t xml:space="preserve"> (23.5.2023);</w:t>
      </w:r>
    </w:p>
    <w:p w14:paraId="7C4BBCBB" w14:textId="77777777" w:rsidR="00C9037E" w:rsidRDefault="00A427BA" w:rsidP="007C24DB">
      <w:pPr>
        <w:pStyle w:val="ab"/>
        <w:numPr>
          <w:ilvl w:val="0"/>
          <w:numId w:val="4"/>
        </w:numPr>
        <w:spacing w:after="0" w:line="240" w:lineRule="auto"/>
        <w:ind w:left="1077" w:hanging="357"/>
        <w:jc w:val="both"/>
        <w:rPr>
          <w:rFonts w:ascii="FrankRuehl" w:hAnsi="FrankRuehl" w:cs="FrankRuehl"/>
          <w:sz w:val="28"/>
          <w:szCs w:val="28"/>
        </w:rPr>
      </w:pPr>
      <w:hyperlink r:id="rId54" w:history="1">
        <w:r w:rsidRPr="00A427BA">
          <w:rPr>
            <w:rFonts w:ascii="FrankRuehl" w:hAnsi="FrankRuehl" w:cs="FrankRuehl"/>
            <w:color w:val="0000FF"/>
            <w:sz w:val="28"/>
            <w:szCs w:val="28"/>
            <w:u w:val="single"/>
            <w:rtl/>
          </w:rPr>
          <w:t>ת"פ (שלום ב"ש) 22297-11-20</w:t>
        </w:r>
      </w:hyperlink>
      <w:r w:rsidR="00C9037E">
        <w:rPr>
          <w:rFonts w:ascii="FrankRuehl" w:hAnsi="FrankRuehl" w:cs="FrankRuehl"/>
          <w:sz w:val="28"/>
          <w:szCs w:val="28"/>
          <w:rtl/>
        </w:rPr>
        <w:t xml:space="preserve"> </w:t>
      </w:r>
      <w:r w:rsidR="00C9037E">
        <w:rPr>
          <w:rFonts w:ascii="Miriam" w:hAnsi="Miriam" w:cs="Miriam"/>
          <w:sz w:val="24"/>
          <w:szCs w:val="24"/>
          <w:rtl/>
        </w:rPr>
        <w:t>מדינת ישראל נ' עובייד</w:t>
      </w:r>
      <w:r w:rsidR="00C9037E">
        <w:rPr>
          <w:rFonts w:ascii="FrankRuehl" w:hAnsi="FrankRuehl" w:cs="FrankRuehl"/>
          <w:sz w:val="28"/>
          <w:szCs w:val="28"/>
          <w:rtl/>
        </w:rPr>
        <w:t xml:space="preserve"> (27.4.2021);</w:t>
      </w:r>
    </w:p>
    <w:p w14:paraId="00945E47" w14:textId="77777777" w:rsidR="00C9037E" w:rsidRDefault="00A427BA" w:rsidP="007C24DB">
      <w:pPr>
        <w:pStyle w:val="ab"/>
        <w:numPr>
          <w:ilvl w:val="0"/>
          <w:numId w:val="4"/>
        </w:numPr>
        <w:spacing w:after="0" w:line="240" w:lineRule="auto"/>
        <w:ind w:left="1077" w:hanging="357"/>
        <w:jc w:val="both"/>
        <w:rPr>
          <w:rFonts w:ascii="FrankRuehl" w:hAnsi="FrankRuehl" w:cs="FrankRuehl"/>
          <w:sz w:val="28"/>
          <w:szCs w:val="28"/>
        </w:rPr>
      </w:pPr>
      <w:hyperlink r:id="rId55" w:history="1">
        <w:r w:rsidRPr="00A427BA">
          <w:rPr>
            <w:rFonts w:ascii="FrankRuehl" w:hAnsi="FrankRuehl" w:cs="FrankRuehl"/>
            <w:color w:val="0000FF"/>
            <w:sz w:val="28"/>
            <w:szCs w:val="28"/>
            <w:u w:val="single"/>
            <w:rtl/>
          </w:rPr>
          <w:t>ת"פ (שלום ב"ש) 23707-03-19</w:t>
        </w:r>
      </w:hyperlink>
      <w:r w:rsidR="00C9037E">
        <w:rPr>
          <w:rFonts w:ascii="FrankRuehl" w:hAnsi="FrankRuehl" w:cs="FrankRuehl"/>
          <w:sz w:val="28"/>
          <w:szCs w:val="28"/>
          <w:rtl/>
        </w:rPr>
        <w:t xml:space="preserve"> </w:t>
      </w:r>
      <w:r w:rsidR="00C9037E">
        <w:rPr>
          <w:rFonts w:ascii="Miriam" w:hAnsi="Miriam" w:cs="Miriam"/>
          <w:sz w:val="24"/>
          <w:szCs w:val="24"/>
          <w:rtl/>
        </w:rPr>
        <w:t>מדינת ישראל נ' עתאיקה</w:t>
      </w:r>
      <w:r w:rsidR="00C9037E">
        <w:rPr>
          <w:rFonts w:ascii="FrankRuehl" w:hAnsi="FrankRuehl" w:cs="FrankRuehl"/>
          <w:sz w:val="28"/>
          <w:szCs w:val="28"/>
          <w:rtl/>
        </w:rPr>
        <w:t xml:space="preserve"> (28.7.2020).</w:t>
      </w:r>
    </w:p>
    <w:p w14:paraId="56F18582" w14:textId="77777777" w:rsidR="00C9037E" w:rsidRDefault="00C9037E" w:rsidP="007C24DB">
      <w:pPr>
        <w:pStyle w:val="ab"/>
        <w:spacing w:after="0" w:line="360" w:lineRule="auto"/>
        <w:jc w:val="both"/>
        <w:rPr>
          <w:rFonts w:ascii="FrankRuehl" w:hAnsi="FrankRuehl" w:cs="FrankRuehl"/>
          <w:sz w:val="28"/>
          <w:szCs w:val="28"/>
        </w:rPr>
      </w:pPr>
    </w:p>
    <w:p w14:paraId="0A9BC384" w14:textId="77777777" w:rsidR="00C9037E" w:rsidRDefault="00C9037E" w:rsidP="007C24DB">
      <w:pPr>
        <w:pStyle w:val="ab"/>
        <w:numPr>
          <w:ilvl w:val="0"/>
          <w:numId w:val="3"/>
        </w:numPr>
        <w:spacing w:after="0" w:line="360" w:lineRule="auto"/>
        <w:ind w:hanging="636"/>
        <w:jc w:val="both"/>
        <w:rPr>
          <w:rFonts w:ascii="FrankRuehl" w:hAnsi="FrankRuehl" w:cs="FrankRuehl"/>
          <w:sz w:val="28"/>
          <w:szCs w:val="28"/>
        </w:rPr>
      </w:pPr>
      <w:r>
        <w:rPr>
          <w:rFonts w:ascii="FrankRuehl" w:hAnsi="FrankRuehl" w:cs="FrankRuehl"/>
          <w:sz w:val="28"/>
          <w:szCs w:val="28"/>
          <w:rtl/>
        </w:rPr>
        <w:t xml:space="preserve">לאחר שנתתי את דעתי לכל האמור לעיל, קובע בזאת כי מתחם הענישה ההולמת ביחס לעבירה מושא האישום </w:t>
      </w:r>
      <w:r>
        <w:rPr>
          <w:rFonts w:ascii="Miriam" w:hAnsi="Miriam" w:cs="Miriam"/>
          <w:sz w:val="24"/>
          <w:szCs w:val="24"/>
          <w:rtl/>
        </w:rPr>
        <w:t>נע בין 22 חודשי מאסר בפועל עד 50 חודשי מאסר בפועל</w:t>
      </w:r>
      <w:r>
        <w:rPr>
          <w:rFonts w:ascii="Miriam" w:hAnsi="Miriam" w:cs="Miriam"/>
          <w:rtl/>
        </w:rPr>
        <w:t>.</w:t>
      </w:r>
    </w:p>
    <w:p w14:paraId="14A8647D" w14:textId="77777777" w:rsidR="00C9037E" w:rsidRPr="00095BA3" w:rsidRDefault="00C9037E" w:rsidP="007C24DB">
      <w:pPr>
        <w:pStyle w:val="ab"/>
        <w:spacing w:after="0" w:line="360" w:lineRule="auto"/>
        <w:rPr>
          <w:rFonts w:ascii="FrankRuehl" w:hAnsi="FrankRuehl" w:cs="FrankRuehl"/>
          <w:sz w:val="20"/>
          <w:szCs w:val="20"/>
        </w:rPr>
      </w:pPr>
    </w:p>
    <w:p w14:paraId="1B23D878" w14:textId="77777777" w:rsidR="00C9037E" w:rsidRDefault="00C9037E" w:rsidP="007C24DB">
      <w:pPr>
        <w:pStyle w:val="ab"/>
        <w:numPr>
          <w:ilvl w:val="0"/>
          <w:numId w:val="3"/>
        </w:numPr>
        <w:spacing w:after="0" w:line="360" w:lineRule="auto"/>
        <w:ind w:hanging="636"/>
        <w:jc w:val="both"/>
        <w:rPr>
          <w:rFonts w:ascii="FrankRuehl" w:hAnsi="FrankRuehl" w:cs="FrankRuehl"/>
          <w:sz w:val="28"/>
          <w:szCs w:val="28"/>
        </w:rPr>
      </w:pPr>
      <w:r>
        <w:rPr>
          <w:rFonts w:ascii="Miriam" w:hAnsi="Miriam" w:cs="Miriam"/>
          <w:sz w:val="24"/>
          <w:szCs w:val="24"/>
          <w:rtl/>
        </w:rPr>
        <w:t>נסיבות שאינן קשורות בביצוע העבירה</w:t>
      </w:r>
      <w:r>
        <w:rPr>
          <w:rFonts w:ascii="FrankRuehl" w:hAnsi="FrankRuehl" w:cs="FrankRuehl"/>
          <w:sz w:val="28"/>
          <w:szCs w:val="28"/>
          <w:rtl/>
        </w:rPr>
        <w:t>: הנאשם בן 43. נשוי, אב משפחה ועובד לפרנסתו. הוא בעל מוסך שמעסיק גם עובדים. הנאשם תיאר כי הוא מממן לימודים אקדמיים לילדיו הבוגרים, ויש לו גם ילדים קטינים. נתתי את דעתי לנסיבות אלו. כמו כן, נתתי את דעתי לכך שהוא מפרנס גם את משפחתו הגדולה, כך שכל עונש שיושת עליו, בין במאסר בין בעבודות שירות, עלול לפגוע בפרנסת המשפחה.</w:t>
      </w:r>
    </w:p>
    <w:p w14:paraId="49342AE4" w14:textId="77777777" w:rsidR="00C9037E" w:rsidRPr="00095BA3" w:rsidRDefault="00C9037E" w:rsidP="007C24DB">
      <w:pPr>
        <w:pStyle w:val="ab"/>
        <w:spacing w:after="0" w:line="360" w:lineRule="auto"/>
        <w:rPr>
          <w:rFonts w:ascii="FrankRuehl" w:hAnsi="FrankRuehl" w:cs="FrankRuehl"/>
          <w:sz w:val="20"/>
          <w:szCs w:val="20"/>
        </w:rPr>
      </w:pPr>
    </w:p>
    <w:p w14:paraId="715E489D" w14:textId="77777777" w:rsidR="00C9037E" w:rsidRDefault="00C9037E" w:rsidP="007C24DB">
      <w:pPr>
        <w:pStyle w:val="ab"/>
        <w:numPr>
          <w:ilvl w:val="0"/>
          <w:numId w:val="3"/>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בנדון, נתתי את דעתי גם לכך, זאת לאחר עיון בתיק, לתקופת המעצר של הנאשם מאחורי סורג ובריח במסגרת הליך זה (כחודש וחצי), ולאחר מכן – תקופת מעצר הבית מאז </w:t>
      </w:r>
      <w:bookmarkStart w:id="8" w:name="Nitan"/>
      <w:r w:rsidR="00A427BA">
        <w:rPr>
          <w:rFonts w:ascii="FrankRuehl" w:hAnsi="FrankRuehl" w:cs="FrankRuehl"/>
          <w:sz w:val="28"/>
          <w:szCs w:val="28"/>
          <w:rtl/>
        </w:rPr>
        <w:t xml:space="preserve">שחרורו ממעצר ועד היום, כאשר במהלך אותה תקופה חלו הקלות בתנאים המגבילים </w:t>
      </w:r>
      <w:bookmarkEnd w:id="8"/>
      <w:r>
        <w:rPr>
          <w:rFonts w:ascii="FrankRuehl" w:hAnsi="FrankRuehl" w:cs="FrankRuehl"/>
          <w:sz w:val="28"/>
          <w:szCs w:val="28"/>
          <w:rtl/>
        </w:rPr>
        <w:t>ביניהן היתר לצאת לעבודה.</w:t>
      </w:r>
    </w:p>
    <w:p w14:paraId="49149C6E" w14:textId="77777777" w:rsidR="00C9037E" w:rsidRPr="00095BA3" w:rsidRDefault="00C9037E" w:rsidP="007C24DB">
      <w:pPr>
        <w:pStyle w:val="ab"/>
        <w:rPr>
          <w:rFonts w:ascii="FrankRuehl" w:hAnsi="FrankRuehl" w:cs="FrankRuehl"/>
          <w:sz w:val="20"/>
          <w:szCs w:val="20"/>
        </w:rPr>
      </w:pPr>
    </w:p>
    <w:p w14:paraId="36C2094B" w14:textId="77777777" w:rsidR="00C9037E" w:rsidRDefault="00C9037E" w:rsidP="007C24DB">
      <w:pPr>
        <w:pStyle w:val="ab"/>
        <w:numPr>
          <w:ilvl w:val="0"/>
          <w:numId w:val="3"/>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כאמור, בשום שלב בהליך, לרבות גם בטיעונים לעונש, הנאשם עצמו לא נטל אחריות. ללא ספק, זכותו של הנאשם לנהל את ההליך, להוכיח את חפותו וגם להמשיך להאמין בה. ברם, כאמור, הוכחה אשמתו ואין הוא זכאי להקלה בעונשו מטעם של נטילת אחריות. </w:t>
      </w:r>
    </w:p>
    <w:p w14:paraId="4CEB5A36" w14:textId="77777777" w:rsidR="00C9037E" w:rsidRPr="00095BA3" w:rsidRDefault="00C9037E" w:rsidP="007C24DB">
      <w:pPr>
        <w:pStyle w:val="ab"/>
        <w:spacing w:after="0" w:line="360" w:lineRule="auto"/>
        <w:rPr>
          <w:rFonts w:ascii="FrankRuehl" w:hAnsi="FrankRuehl" w:cs="FrankRuehl"/>
          <w:sz w:val="20"/>
          <w:szCs w:val="20"/>
        </w:rPr>
      </w:pPr>
    </w:p>
    <w:p w14:paraId="7BF0ACE5" w14:textId="77777777" w:rsidR="00C9037E" w:rsidRDefault="00C9037E" w:rsidP="007C24DB">
      <w:pPr>
        <w:pStyle w:val="ab"/>
        <w:numPr>
          <w:ilvl w:val="0"/>
          <w:numId w:val="3"/>
        </w:numPr>
        <w:spacing w:after="0" w:line="360" w:lineRule="auto"/>
        <w:ind w:hanging="636"/>
        <w:jc w:val="both"/>
        <w:rPr>
          <w:rFonts w:ascii="FrankRuehl" w:hAnsi="FrankRuehl" w:cs="FrankRuehl"/>
          <w:sz w:val="28"/>
          <w:szCs w:val="28"/>
          <w:rtl/>
        </w:rPr>
      </w:pPr>
      <w:r>
        <w:rPr>
          <w:rFonts w:ascii="FrankRuehl" w:hAnsi="FrankRuehl" w:cs="FrankRuehl"/>
          <w:sz w:val="28"/>
          <w:szCs w:val="28"/>
          <w:rtl/>
        </w:rPr>
        <w:t>עוד בנדון, כעולה מראיות המאשימה לעונש (תדפיס הרישום הפלילי של הנאשם – מא/1) לנאשם יש עבר פלילי. הנאשם הורשע בחודש 12/2019 בשימוש ברכב ללא הרשות ונטישה באותו מקום. בהליך האמור הושת עליו מאסר מותנה. בחודש 12/2008 הוא הורשע בהפרעה לשוטר במילוי תפקידו, ואז הסתיים ההליך ללא הרשעה תוך ביצוע שעות לתועלת הציבור. עוד עולה מראיות המאשימה, כי לנאשם רשומות למעלה מ-10 הרשעות תעבורה, כאשר האחרונות שביניהן היו בשנים 2015, 2014 ו-2013.</w:t>
      </w:r>
    </w:p>
    <w:p w14:paraId="5B25C0E1" w14:textId="77777777" w:rsidR="00C9037E" w:rsidRPr="00095BA3" w:rsidRDefault="00C9037E" w:rsidP="007C24DB">
      <w:pPr>
        <w:pStyle w:val="ab"/>
        <w:spacing w:after="0" w:line="360" w:lineRule="auto"/>
        <w:rPr>
          <w:rFonts w:ascii="FrankRuehl" w:hAnsi="FrankRuehl" w:cs="FrankRuehl"/>
          <w:sz w:val="20"/>
          <w:szCs w:val="20"/>
        </w:rPr>
      </w:pPr>
    </w:p>
    <w:p w14:paraId="526562F6" w14:textId="77777777" w:rsidR="00C9037E" w:rsidRDefault="00C9037E" w:rsidP="007C24DB">
      <w:pPr>
        <w:pStyle w:val="ab"/>
        <w:numPr>
          <w:ilvl w:val="0"/>
          <w:numId w:val="3"/>
        </w:numPr>
        <w:spacing w:after="0" w:line="360" w:lineRule="auto"/>
        <w:ind w:hanging="636"/>
        <w:jc w:val="both"/>
        <w:rPr>
          <w:rFonts w:ascii="FrankRuehl" w:hAnsi="FrankRuehl" w:cs="FrankRuehl"/>
          <w:sz w:val="28"/>
          <w:szCs w:val="28"/>
          <w:rtl/>
        </w:rPr>
      </w:pPr>
      <w:r>
        <w:rPr>
          <w:rFonts w:ascii="FrankRuehl" w:hAnsi="FrankRuehl" w:cs="FrankRuehl"/>
          <w:sz w:val="28"/>
          <w:szCs w:val="28"/>
          <w:rtl/>
        </w:rPr>
        <w:t>נכון הדבר, עברו הפלילי של הנאשם אינו רלבנטי לעבירות נשק. ברם, מסת ההרשעות העולה מרישומו הפלילי, יש בה להצביע על קושי של ממש אצל הנאשם בשמירה על הנורמה והחוק. למרות שבהליך הראשון נגדו בוטלה ההרשעה, וזה שלאחריו הושת עליו רק מאסר מותנה – חרף נורות "האזהרה" הללו, הוא ביצע את אשר ביצע כאמור, והדבר בא לידי ביטוי בהרשעתו הנוכחית, שהיא החמורה מבין כל ההרשעות. מכאן, אין אלא להסיק כי מתחייבת בנסיבות העניין ענישה שתיתן ביטוי לפן ההרתעתי יותר מאשר הפן השיקומי, ואשר גם מתחייבת מהפסיקה העקבית של בית המשפט העליון בדבר הצורך בהחמרת ענישה.</w:t>
      </w:r>
    </w:p>
    <w:p w14:paraId="16924E70" w14:textId="77777777" w:rsidR="00C9037E" w:rsidRPr="00095BA3" w:rsidRDefault="00C9037E" w:rsidP="007C24DB">
      <w:pPr>
        <w:spacing w:line="360" w:lineRule="auto"/>
        <w:jc w:val="both"/>
        <w:rPr>
          <w:rFonts w:ascii="FrankRuehl" w:hAnsi="FrankRuehl" w:cs="FrankRuehl"/>
          <w:sz w:val="20"/>
          <w:szCs w:val="20"/>
        </w:rPr>
      </w:pPr>
    </w:p>
    <w:p w14:paraId="05D7D4B7" w14:textId="77777777" w:rsidR="00C9037E" w:rsidRDefault="00C9037E" w:rsidP="007C24DB">
      <w:pPr>
        <w:pStyle w:val="ab"/>
        <w:numPr>
          <w:ilvl w:val="0"/>
          <w:numId w:val="3"/>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בשקלול של כל האמור, ולאחר מתן הדעת לנסיבות האישיות של הנאשם, סביר בעיניי למקֵם את עונשו </w:t>
      </w:r>
      <w:r>
        <w:rPr>
          <w:rFonts w:ascii="Miriam" w:hAnsi="Miriam" w:cs="Miriam"/>
          <w:sz w:val="24"/>
          <w:szCs w:val="24"/>
          <w:rtl/>
        </w:rPr>
        <w:t>בתוך</w:t>
      </w:r>
      <w:r>
        <w:rPr>
          <w:rFonts w:ascii="FrankRuehl" w:hAnsi="FrankRuehl" w:cs="FrankRuehl"/>
          <w:sz w:val="28"/>
          <w:szCs w:val="28"/>
          <w:rtl/>
        </w:rPr>
        <w:t xml:space="preserve"> השליש התחתון של המתחם.</w:t>
      </w:r>
    </w:p>
    <w:p w14:paraId="44082288" w14:textId="77777777" w:rsidR="00C9037E" w:rsidRPr="00095BA3" w:rsidRDefault="00C9037E" w:rsidP="007C24DB">
      <w:pPr>
        <w:spacing w:line="360" w:lineRule="auto"/>
        <w:jc w:val="both"/>
        <w:rPr>
          <w:rFonts w:ascii="FrankRuehl" w:hAnsi="FrankRuehl" w:cs="FrankRuehl"/>
          <w:sz w:val="20"/>
          <w:szCs w:val="20"/>
          <w:rtl/>
        </w:rPr>
      </w:pPr>
    </w:p>
    <w:p w14:paraId="0721A223" w14:textId="77777777" w:rsidR="00C9037E" w:rsidRDefault="00C9037E" w:rsidP="007C24DB">
      <w:pPr>
        <w:spacing w:line="360" w:lineRule="auto"/>
        <w:jc w:val="both"/>
        <w:rPr>
          <w:rFonts w:ascii="Miriam" w:hAnsi="Miriam" w:cs="Miriam"/>
          <w:u w:val="single"/>
          <w:rtl/>
        </w:rPr>
      </w:pPr>
      <w:r>
        <w:rPr>
          <w:rFonts w:ascii="Miriam" w:hAnsi="Miriam" w:cs="Miriam"/>
          <w:u w:val="single"/>
          <w:rtl/>
        </w:rPr>
        <w:t>סיכום</w:t>
      </w:r>
    </w:p>
    <w:p w14:paraId="3055CD51" w14:textId="77777777" w:rsidR="00C9037E" w:rsidRPr="00095BA3" w:rsidRDefault="00C9037E" w:rsidP="007C24DB">
      <w:pPr>
        <w:spacing w:line="360" w:lineRule="auto"/>
        <w:jc w:val="both"/>
        <w:rPr>
          <w:rFonts w:ascii="FrankRuehl" w:hAnsi="FrankRuehl" w:cs="FrankRuehl"/>
          <w:sz w:val="20"/>
          <w:szCs w:val="20"/>
          <w:rtl/>
        </w:rPr>
      </w:pPr>
    </w:p>
    <w:p w14:paraId="66B26388" w14:textId="77777777" w:rsidR="00C9037E" w:rsidRDefault="00C9037E" w:rsidP="007C24DB">
      <w:pPr>
        <w:pStyle w:val="ab"/>
        <w:numPr>
          <w:ilvl w:val="0"/>
          <w:numId w:val="3"/>
        </w:numPr>
        <w:spacing w:after="0" w:line="360" w:lineRule="auto"/>
        <w:ind w:left="509" w:hanging="425"/>
        <w:jc w:val="both"/>
        <w:rPr>
          <w:rFonts w:ascii="FrankRuehl" w:hAnsi="FrankRuehl" w:cs="FrankRuehl"/>
          <w:sz w:val="28"/>
          <w:szCs w:val="28"/>
        </w:rPr>
      </w:pPr>
      <w:r>
        <w:rPr>
          <w:rFonts w:ascii="FrankRuehl" w:hAnsi="FrankRuehl" w:cs="FrankRuehl"/>
          <w:sz w:val="28"/>
          <w:szCs w:val="28"/>
          <w:rtl/>
        </w:rPr>
        <w:t>לאור האמור, משית על הנאשם את העונשים הבאים:</w:t>
      </w:r>
    </w:p>
    <w:p w14:paraId="64A140B4" w14:textId="77777777" w:rsidR="00C9037E" w:rsidRPr="00095BA3" w:rsidRDefault="00C9037E" w:rsidP="007C24DB">
      <w:pPr>
        <w:pStyle w:val="ab"/>
        <w:spacing w:after="0" w:line="360" w:lineRule="auto"/>
        <w:jc w:val="both"/>
        <w:rPr>
          <w:rFonts w:ascii="FrankRuehl" w:hAnsi="FrankRuehl" w:cs="FrankRuehl"/>
          <w:sz w:val="20"/>
          <w:szCs w:val="20"/>
          <w:rtl/>
        </w:rPr>
      </w:pPr>
    </w:p>
    <w:p w14:paraId="193C339A" w14:textId="77777777" w:rsidR="00C9037E" w:rsidRDefault="00C9037E" w:rsidP="007C24DB">
      <w:pPr>
        <w:pStyle w:val="ab"/>
        <w:numPr>
          <w:ilvl w:val="0"/>
          <w:numId w:val="5"/>
        </w:numPr>
        <w:spacing w:after="0" w:line="360" w:lineRule="auto"/>
        <w:jc w:val="both"/>
        <w:rPr>
          <w:rFonts w:ascii="FrankRuehl" w:hAnsi="FrankRuehl" w:cs="FrankRuehl"/>
          <w:sz w:val="28"/>
          <w:szCs w:val="28"/>
        </w:rPr>
      </w:pPr>
      <w:r>
        <w:rPr>
          <w:rFonts w:ascii="FrankRuehl" w:hAnsi="FrankRuehl" w:cs="FrankRuehl"/>
          <w:sz w:val="28"/>
          <w:szCs w:val="28"/>
          <w:rtl/>
        </w:rPr>
        <w:t xml:space="preserve">25 (עשרים וחמישה) חודשי מאסר בפועל, לריצוי ממש. מתקופה זו ינוכו ימי מעצרו של הנאשם מאחורי סורג ובריח במסגרת הליך זה (הכל לפי נתוני שירות בתי הסוהר). </w:t>
      </w:r>
      <w:r>
        <w:rPr>
          <w:rFonts w:ascii="FrankRuehl" w:hAnsi="FrankRuehl" w:cs="FrankRuehl"/>
          <w:sz w:val="28"/>
          <w:szCs w:val="28"/>
          <w:u w:val="single"/>
          <w:rtl/>
        </w:rPr>
        <w:t>תחילת ריצוי העונש 7.9.2023</w:t>
      </w:r>
      <w:r>
        <w:rPr>
          <w:rFonts w:ascii="FrankRuehl" w:hAnsi="FrankRuehl" w:cs="FrankRuehl"/>
          <w:sz w:val="28"/>
          <w:szCs w:val="28"/>
          <w:rtl/>
        </w:rPr>
        <w:t>.</w:t>
      </w:r>
    </w:p>
    <w:p w14:paraId="3594583D" w14:textId="77777777" w:rsidR="00C9037E" w:rsidRPr="00095BA3" w:rsidRDefault="00C9037E" w:rsidP="007C24DB">
      <w:pPr>
        <w:spacing w:line="360" w:lineRule="auto"/>
        <w:rPr>
          <w:rFonts w:ascii="FrankRuehl" w:hAnsi="FrankRuehl" w:cs="FrankRuehl"/>
          <w:sz w:val="20"/>
          <w:szCs w:val="20"/>
          <w:rtl/>
        </w:rPr>
      </w:pPr>
    </w:p>
    <w:p w14:paraId="1709E5F8" w14:textId="77777777" w:rsidR="00C9037E" w:rsidRDefault="00C9037E" w:rsidP="007C24DB">
      <w:pPr>
        <w:pStyle w:val="ab"/>
        <w:numPr>
          <w:ilvl w:val="0"/>
          <w:numId w:val="5"/>
        </w:numPr>
        <w:spacing w:after="0" w:line="360" w:lineRule="auto"/>
        <w:jc w:val="both"/>
        <w:rPr>
          <w:rFonts w:ascii="FrankRuehl" w:hAnsi="FrankRuehl" w:cs="FrankRuehl"/>
          <w:sz w:val="28"/>
          <w:szCs w:val="28"/>
        </w:rPr>
      </w:pPr>
      <w:r>
        <w:rPr>
          <w:rFonts w:ascii="FrankRuehl" w:hAnsi="FrankRuehl" w:cs="FrankRuehl"/>
          <w:sz w:val="28"/>
          <w:szCs w:val="28"/>
          <w:rtl/>
        </w:rPr>
        <w:t>5 (חמישה) חודשי מאסר, שירוצו ככל שהנאשם יעבור עבירת נשק, לרבות העבירה שבה הוא הורשע, תוך שלוש שנים מיום סיום ריצוי עונש המאסר בפועל.</w:t>
      </w:r>
    </w:p>
    <w:p w14:paraId="71C80B58" w14:textId="77777777" w:rsidR="00C9037E" w:rsidRDefault="00C9037E" w:rsidP="007C24DB">
      <w:pPr>
        <w:spacing w:line="360" w:lineRule="auto"/>
        <w:jc w:val="both"/>
        <w:rPr>
          <w:rFonts w:ascii="FrankRuehl" w:hAnsi="FrankRuehl" w:cs="FrankRuehl"/>
          <w:sz w:val="20"/>
          <w:szCs w:val="20"/>
          <w:rtl/>
        </w:rPr>
      </w:pPr>
    </w:p>
    <w:p w14:paraId="22682E46" w14:textId="77777777" w:rsidR="00C9037E" w:rsidRDefault="00C9037E" w:rsidP="007C24DB">
      <w:pPr>
        <w:pStyle w:val="ab"/>
        <w:numPr>
          <w:ilvl w:val="0"/>
          <w:numId w:val="3"/>
        </w:numPr>
        <w:spacing w:after="0" w:line="360" w:lineRule="auto"/>
        <w:ind w:hanging="636"/>
        <w:jc w:val="both"/>
        <w:rPr>
          <w:rFonts w:ascii="FrankRuehl" w:hAnsi="FrankRuehl" w:cs="FrankRuehl"/>
          <w:sz w:val="28"/>
          <w:szCs w:val="28"/>
          <w:lang w:eastAsia="he-IL"/>
        </w:rPr>
      </w:pPr>
      <w:r>
        <w:rPr>
          <w:rFonts w:ascii="FrankRuehl" w:hAnsi="FrankRuehl" w:cs="FrankRuehl"/>
          <w:sz w:val="28"/>
          <w:szCs w:val="28"/>
          <w:rtl/>
        </w:rPr>
        <w:t xml:space="preserve">הנאשם יתייצב לריצוי עונשו </w:t>
      </w:r>
      <w:r>
        <w:rPr>
          <w:rFonts w:ascii="FrankRuehl" w:hAnsi="FrankRuehl" w:cs="FrankRuehl"/>
          <w:sz w:val="28"/>
          <w:szCs w:val="28"/>
          <w:u w:val="single"/>
          <w:rtl/>
        </w:rPr>
        <w:t>ביום 7.9.2023 בשעה 10:00</w:t>
      </w:r>
      <w:r>
        <w:rPr>
          <w:rFonts w:ascii="FrankRuehl" w:hAnsi="FrankRuehl" w:cs="FrankRuehl"/>
          <w:sz w:val="28"/>
          <w:szCs w:val="28"/>
          <w:rtl/>
        </w:rPr>
        <w:t xml:space="preserve">. </w:t>
      </w:r>
      <w:r>
        <w:rPr>
          <w:rFonts w:ascii="FrankRuehl" w:hAnsi="FrankRuehl" w:cs="FrankRuehl"/>
          <w:sz w:val="28"/>
          <w:szCs w:val="28"/>
          <w:rtl/>
          <w:lang w:eastAsia="he-IL"/>
        </w:rPr>
        <w:t>הנאשם</w:t>
      </w:r>
      <w:r>
        <w:rPr>
          <w:rFonts w:ascii="FrankRuehl" w:hAnsi="FrankRuehl" w:cs="FrankRuehl"/>
          <w:sz w:val="28"/>
          <w:szCs w:val="28"/>
          <w:lang w:eastAsia="he-IL"/>
        </w:rPr>
        <w:t xml:space="preserve"> </w:t>
      </w:r>
      <w:r>
        <w:rPr>
          <w:rFonts w:ascii="FrankRuehl" w:hAnsi="FrankRuehl" w:cs="FrankRuehl"/>
          <w:sz w:val="28"/>
          <w:szCs w:val="28"/>
          <w:rtl/>
          <w:lang w:eastAsia="he-IL"/>
        </w:rPr>
        <w:t>יתאם את כניסתו למאסר עם</w:t>
      </w:r>
      <w:r>
        <w:rPr>
          <w:rFonts w:ascii="FrankRuehl" w:hAnsi="FrankRuehl" w:cs="FrankRuehl"/>
          <w:sz w:val="28"/>
          <w:szCs w:val="28"/>
          <w:lang w:eastAsia="he-IL"/>
        </w:rPr>
        <w:t xml:space="preserve"> </w:t>
      </w:r>
      <w:r>
        <w:rPr>
          <w:rFonts w:ascii="FrankRuehl" w:hAnsi="FrankRuehl" w:cs="FrankRuehl"/>
          <w:sz w:val="28"/>
          <w:szCs w:val="28"/>
          <w:rtl/>
          <w:lang w:eastAsia="he-IL"/>
        </w:rPr>
        <w:t>ענף</w:t>
      </w:r>
      <w:r>
        <w:rPr>
          <w:rFonts w:ascii="FrankRuehl" w:hAnsi="FrankRuehl" w:cs="FrankRuehl"/>
          <w:sz w:val="28"/>
          <w:szCs w:val="28"/>
          <w:lang w:eastAsia="he-IL"/>
        </w:rPr>
        <w:t xml:space="preserve"> </w:t>
      </w:r>
      <w:r>
        <w:rPr>
          <w:rFonts w:ascii="FrankRuehl" w:hAnsi="FrankRuehl" w:cs="FrankRuehl"/>
          <w:sz w:val="28"/>
          <w:szCs w:val="28"/>
          <w:rtl/>
          <w:lang w:eastAsia="he-IL"/>
        </w:rPr>
        <w:t>אבחון</w:t>
      </w:r>
      <w:r>
        <w:rPr>
          <w:rFonts w:ascii="FrankRuehl" w:hAnsi="FrankRuehl" w:cs="FrankRuehl"/>
          <w:sz w:val="28"/>
          <w:szCs w:val="28"/>
          <w:lang w:eastAsia="he-IL"/>
        </w:rPr>
        <w:t xml:space="preserve"> </w:t>
      </w:r>
      <w:r>
        <w:rPr>
          <w:rFonts w:ascii="FrankRuehl" w:hAnsi="FrankRuehl" w:cs="FrankRuehl"/>
          <w:sz w:val="28"/>
          <w:szCs w:val="28"/>
          <w:rtl/>
          <w:lang w:eastAsia="he-IL"/>
        </w:rPr>
        <w:t>ומיון</w:t>
      </w:r>
      <w:r>
        <w:rPr>
          <w:rFonts w:ascii="FrankRuehl" w:hAnsi="FrankRuehl" w:cs="FrankRuehl"/>
          <w:sz w:val="28"/>
          <w:szCs w:val="28"/>
          <w:lang w:eastAsia="he-IL"/>
        </w:rPr>
        <w:t xml:space="preserve"> </w:t>
      </w:r>
      <w:r>
        <w:rPr>
          <w:rFonts w:ascii="FrankRuehl" w:hAnsi="FrankRuehl" w:cs="FrankRuehl"/>
          <w:sz w:val="28"/>
          <w:szCs w:val="28"/>
          <w:rtl/>
          <w:lang w:eastAsia="he-IL"/>
        </w:rPr>
        <w:t>של</w:t>
      </w:r>
      <w:r>
        <w:rPr>
          <w:rFonts w:ascii="FrankRuehl" w:hAnsi="FrankRuehl" w:cs="FrankRuehl"/>
          <w:sz w:val="28"/>
          <w:szCs w:val="28"/>
          <w:lang w:eastAsia="he-IL"/>
        </w:rPr>
        <w:t xml:space="preserve"> </w:t>
      </w:r>
      <w:r>
        <w:rPr>
          <w:rFonts w:ascii="FrankRuehl" w:hAnsi="FrankRuehl" w:cs="FrankRuehl"/>
          <w:sz w:val="28"/>
          <w:szCs w:val="28"/>
          <w:rtl/>
          <w:lang w:eastAsia="he-IL"/>
        </w:rPr>
        <w:t>שירות</w:t>
      </w:r>
      <w:r>
        <w:rPr>
          <w:rFonts w:ascii="FrankRuehl" w:hAnsi="FrankRuehl" w:cs="FrankRuehl"/>
          <w:sz w:val="28"/>
          <w:szCs w:val="28"/>
          <w:lang w:eastAsia="he-IL"/>
        </w:rPr>
        <w:t xml:space="preserve"> </w:t>
      </w:r>
      <w:r>
        <w:rPr>
          <w:rFonts w:ascii="FrankRuehl" w:hAnsi="FrankRuehl" w:cs="FrankRuehl"/>
          <w:sz w:val="28"/>
          <w:szCs w:val="28"/>
          <w:rtl/>
          <w:lang w:eastAsia="he-IL"/>
        </w:rPr>
        <w:t xml:space="preserve">בתי הסוהר: פקס 08-9193314, דואר אלקטרוני </w:t>
      </w:r>
      <w:r>
        <w:rPr>
          <w:rFonts w:ascii="FrankRuehl" w:hAnsi="FrankRuehl" w:cs="FrankRuehl"/>
          <w:sz w:val="24"/>
          <w:szCs w:val="24"/>
          <w:lang w:eastAsia="he-IL"/>
        </w:rPr>
        <w:t>MaasarN@ips.gov.il</w:t>
      </w:r>
      <w:r>
        <w:rPr>
          <w:rFonts w:ascii="FrankRuehl" w:hAnsi="FrankRuehl" w:cs="FrankRuehl"/>
          <w:sz w:val="28"/>
          <w:szCs w:val="28"/>
          <w:rtl/>
          <w:lang w:eastAsia="he-IL"/>
        </w:rPr>
        <w:t>, טלפון: 074-7831077 או 074-7831078. ככל שלא יקבל הנאשם הנחיה אחרת, עליו להתייצב במועד המוזכר במתקן המעצר בכלא ניצן ברמלה עם תעודה מזהה והעתק של גזר הדין.</w:t>
      </w:r>
    </w:p>
    <w:p w14:paraId="11C3FE49" w14:textId="77777777" w:rsidR="00C9037E" w:rsidRPr="00095BA3" w:rsidRDefault="00C9037E" w:rsidP="007C24DB">
      <w:pPr>
        <w:spacing w:line="360" w:lineRule="auto"/>
        <w:jc w:val="both"/>
        <w:rPr>
          <w:rFonts w:ascii="FrankRuehl" w:hAnsi="FrankRuehl" w:cs="FrankRuehl"/>
          <w:sz w:val="20"/>
          <w:szCs w:val="20"/>
          <w:rtl/>
        </w:rPr>
      </w:pPr>
    </w:p>
    <w:p w14:paraId="26FEFB9B" w14:textId="77777777" w:rsidR="00C9037E" w:rsidRDefault="00C9037E" w:rsidP="007C24DB">
      <w:pPr>
        <w:pStyle w:val="ab"/>
        <w:numPr>
          <w:ilvl w:val="0"/>
          <w:numId w:val="3"/>
        </w:numPr>
        <w:spacing w:after="0" w:line="360" w:lineRule="auto"/>
        <w:ind w:hanging="636"/>
        <w:jc w:val="both"/>
        <w:rPr>
          <w:rFonts w:ascii="FrankRuehl" w:hAnsi="FrankRuehl" w:cs="FrankRuehl"/>
          <w:sz w:val="28"/>
          <w:szCs w:val="28"/>
          <w:rtl/>
        </w:rPr>
      </w:pPr>
      <w:r>
        <w:rPr>
          <w:rFonts w:ascii="FrankRuehl" w:hAnsi="FrankRuehl" w:cs="FrankRuehl"/>
          <w:sz w:val="28"/>
          <w:szCs w:val="28"/>
          <w:rtl/>
        </w:rPr>
        <w:t>ניתן בזאת צו חילוט או השמדה של הנשק והתחמושת שנתפסו במסגרת החקירה מושא הליך זה, זאת לפי שיקול דעת של הקצין המוסמך לכך לפי דין.</w:t>
      </w:r>
    </w:p>
    <w:p w14:paraId="1F072EEB" w14:textId="77777777" w:rsidR="00C9037E" w:rsidRPr="00095BA3" w:rsidRDefault="00C9037E" w:rsidP="007C24DB">
      <w:pPr>
        <w:spacing w:line="360" w:lineRule="auto"/>
        <w:jc w:val="both"/>
        <w:rPr>
          <w:rFonts w:ascii="FrankRuehl" w:hAnsi="FrankRuehl" w:cs="FrankRuehl"/>
          <w:sz w:val="20"/>
          <w:szCs w:val="20"/>
          <w:rtl/>
        </w:rPr>
      </w:pPr>
    </w:p>
    <w:p w14:paraId="719FBD64" w14:textId="77777777" w:rsidR="00C9037E" w:rsidRDefault="00C9037E" w:rsidP="007C24DB">
      <w:pPr>
        <w:spacing w:line="360" w:lineRule="auto"/>
        <w:rPr>
          <w:rFonts w:ascii="FrankRuehl" w:hAnsi="FrankRuehl" w:cs="FrankRuehl"/>
          <w:sz w:val="28"/>
          <w:szCs w:val="28"/>
        </w:rPr>
      </w:pPr>
      <w:r>
        <w:rPr>
          <w:rFonts w:ascii="FrankRuehl" w:hAnsi="FrankRuehl" w:cs="FrankRuehl"/>
          <w:sz w:val="28"/>
          <w:szCs w:val="28"/>
          <w:rtl/>
        </w:rPr>
        <w:t>זכות ערעור לבית המשפט המחוזי בירושלים תוך 45 יום.</w:t>
      </w:r>
    </w:p>
    <w:p w14:paraId="1831A53C" w14:textId="77777777" w:rsidR="00C9037E" w:rsidRPr="00A427BA" w:rsidRDefault="00A427BA" w:rsidP="007C24DB">
      <w:pPr>
        <w:spacing w:line="360" w:lineRule="auto"/>
        <w:rPr>
          <w:rFonts w:ascii="FrankRuehl" w:hAnsi="FrankRuehl" w:cs="FrankRuehl"/>
          <w:color w:val="FFFFFF"/>
          <w:sz w:val="2"/>
          <w:szCs w:val="2"/>
          <w:rtl/>
        </w:rPr>
      </w:pPr>
      <w:r w:rsidRPr="00A427BA">
        <w:rPr>
          <w:rFonts w:ascii="FrankRuehl" w:hAnsi="FrankRuehl" w:cs="FrankRuehl"/>
          <w:color w:val="FFFFFF"/>
          <w:sz w:val="2"/>
          <w:szCs w:val="2"/>
          <w:rtl/>
        </w:rPr>
        <w:t>5129371</w:t>
      </w:r>
    </w:p>
    <w:p w14:paraId="439CA4AC" w14:textId="77777777" w:rsidR="00C9037E" w:rsidRPr="000F2247" w:rsidRDefault="00A427BA" w:rsidP="00095BA3">
      <w:pPr>
        <w:rPr>
          <w:rFonts w:ascii="Arial" w:hAnsi="Arial"/>
          <w:b/>
          <w:bCs/>
          <w:sz w:val="26"/>
          <w:szCs w:val="26"/>
          <w:rtl/>
        </w:rPr>
      </w:pPr>
      <w:r w:rsidRPr="00A427BA">
        <w:rPr>
          <w:rFonts w:ascii="FrankRuehl" w:hAnsi="FrankRuehl" w:cs="FrankRuehl"/>
          <w:color w:val="FFFFFF"/>
          <w:sz w:val="2"/>
          <w:szCs w:val="2"/>
          <w:u w:val="single"/>
          <w:rtl/>
        </w:rPr>
        <w:t>54678313</w:t>
      </w:r>
      <w:r w:rsidR="00C9037E">
        <w:rPr>
          <w:rFonts w:ascii="FrankRuehl" w:hAnsi="FrankRuehl" w:cs="FrankRuehl"/>
          <w:sz w:val="28"/>
          <w:szCs w:val="28"/>
          <w:u w:val="single"/>
          <w:rtl/>
        </w:rPr>
        <w:t>המזכירות – להודיע לשב"ס</w:t>
      </w:r>
      <w:r w:rsidR="00C9037E">
        <w:rPr>
          <w:rFonts w:ascii="FrankRuehl" w:hAnsi="FrankRuehl" w:cs="FrankRuehl"/>
          <w:sz w:val="28"/>
          <w:szCs w:val="28"/>
          <w:rtl/>
        </w:rPr>
        <w:t>.</w:t>
      </w:r>
    </w:p>
    <w:p w14:paraId="6B6624F6" w14:textId="77777777" w:rsidR="00C9037E" w:rsidRPr="000F2247" w:rsidRDefault="00C9037E">
      <w:pPr>
        <w:rPr>
          <w:rFonts w:ascii="Arial" w:hAnsi="Arial"/>
          <w:b/>
          <w:bCs/>
          <w:sz w:val="26"/>
          <w:szCs w:val="26"/>
          <w:rtl/>
        </w:rPr>
      </w:pPr>
    </w:p>
    <w:p w14:paraId="48A4E056" w14:textId="77777777" w:rsidR="00C9037E" w:rsidRDefault="00C9037E" w:rsidP="00ED4465">
      <w:pPr>
        <w:spacing w:line="360" w:lineRule="auto"/>
        <w:jc w:val="both"/>
        <w:rPr>
          <w:rFonts w:ascii="Arial" w:hAnsi="Arial"/>
          <w:b/>
          <w:bCs/>
          <w:sz w:val="26"/>
          <w:szCs w:val="26"/>
          <w:rtl/>
        </w:rPr>
      </w:pPr>
      <w:r w:rsidRPr="000F2247">
        <w:rPr>
          <w:rFonts w:ascii="Arial" w:hAnsi="Arial"/>
          <w:b/>
          <w:bCs/>
          <w:sz w:val="26"/>
          <w:szCs w:val="26"/>
          <w:rtl/>
        </w:rPr>
        <w:t xml:space="preserve">ניתן היום,  </w:t>
      </w:r>
      <w:r>
        <w:rPr>
          <w:rFonts w:ascii="Arial" w:hAnsi="Arial"/>
          <w:b/>
          <w:bCs/>
          <w:sz w:val="26"/>
          <w:szCs w:val="26"/>
          <w:rtl/>
        </w:rPr>
        <w:t>י"ז תמוז תשפ"ג</w:t>
      </w:r>
      <w:r w:rsidRPr="000F2247">
        <w:rPr>
          <w:rFonts w:ascii="Arial" w:hAnsi="Arial"/>
          <w:b/>
          <w:bCs/>
          <w:sz w:val="26"/>
          <w:szCs w:val="26"/>
          <w:rtl/>
        </w:rPr>
        <w:t xml:space="preserve">, </w:t>
      </w:r>
      <w:r>
        <w:rPr>
          <w:rFonts w:ascii="Arial" w:hAnsi="Arial"/>
          <w:b/>
          <w:bCs/>
          <w:sz w:val="26"/>
          <w:szCs w:val="26"/>
          <w:rtl/>
        </w:rPr>
        <w:t>06 יולי 2023, בנוכחות הצדדים</w:t>
      </w:r>
      <w:r w:rsidRPr="000F2247">
        <w:rPr>
          <w:rFonts w:ascii="Arial" w:hAnsi="Arial"/>
          <w:b/>
          <w:bCs/>
          <w:sz w:val="26"/>
          <w:szCs w:val="26"/>
          <w:rtl/>
        </w:rPr>
        <w:t>.</w:t>
      </w:r>
    </w:p>
    <w:p w14:paraId="783F1D87" w14:textId="77777777" w:rsidR="00C9037E" w:rsidRPr="000F2247" w:rsidRDefault="00C9037E" w:rsidP="00FD7CF9">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t xml:space="preserve">         </w:t>
      </w:r>
    </w:p>
    <w:p w14:paraId="285CBF87" w14:textId="77777777" w:rsidR="00C9037E" w:rsidRPr="000F2247" w:rsidRDefault="00C9037E" w:rsidP="00A427BA">
      <w:pPr>
        <w:jc w:val="center"/>
        <w:rPr>
          <w:rFonts w:hint="cs"/>
          <w:rtl/>
        </w:rP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92C5EB6" w14:textId="77777777" w:rsidR="00C9037E" w:rsidRPr="00A427BA" w:rsidRDefault="00C9037E" w:rsidP="00A427BA">
      <w:pPr>
        <w:keepNext/>
        <w:rPr>
          <w:rFonts w:ascii="David" w:hAnsi="David"/>
          <w:color w:val="000000"/>
          <w:sz w:val="22"/>
          <w:szCs w:val="22"/>
          <w:rtl/>
        </w:rPr>
      </w:pPr>
    </w:p>
    <w:p w14:paraId="063A163B" w14:textId="77777777" w:rsidR="00A427BA" w:rsidRPr="00A427BA" w:rsidRDefault="00A427BA" w:rsidP="00A427BA">
      <w:pPr>
        <w:keepNext/>
        <w:rPr>
          <w:rFonts w:ascii="David" w:hAnsi="David"/>
          <w:color w:val="000000"/>
          <w:sz w:val="22"/>
          <w:szCs w:val="22"/>
          <w:rtl/>
        </w:rPr>
      </w:pPr>
      <w:r w:rsidRPr="00A427BA">
        <w:rPr>
          <w:rFonts w:ascii="David" w:hAnsi="David"/>
          <w:color w:val="000000"/>
          <w:sz w:val="22"/>
          <w:szCs w:val="22"/>
          <w:rtl/>
        </w:rPr>
        <w:t>מוחמד חאג' יחיא 54678313</w:t>
      </w:r>
    </w:p>
    <w:p w14:paraId="7D738C0E" w14:textId="77777777" w:rsidR="00A427BA" w:rsidRDefault="00A427BA" w:rsidP="00A427BA">
      <w:pPr>
        <w:rPr>
          <w:rFonts w:ascii="Arial" w:hAnsi="Arial"/>
          <w:b/>
          <w:bCs/>
          <w:sz w:val="26"/>
          <w:szCs w:val="26"/>
          <w:rtl/>
        </w:rPr>
      </w:pPr>
      <w:r w:rsidRPr="00A427BA">
        <w:rPr>
          <w:rFonts w:ascii="Arial" w:hAnsi="Arial"/>
          <w:b/>
          <w:bCs/>
          <w:color w:val="000000"/>
          <w:sz w:val="26"/>
          <w:szCs w:val="26"/>
          <w:rtl/>
        </w:rPr>
        <w:t>נוסח מסמך זה כפוף לשינויי ניסוח ועריכה</w:t>
      </w:r>
    </w:p>
    <w:p w14:paraId="54D0DEE2" w14:textId="77777777" w:rsidR="00A427BA" w:rsidRDefault="00A427BA" w:rsidP="00A427BA">
      <w:pPr>
        <w:rPr>
          <w:rFonts w:ascii="Arial" w:hAnsi="Arial"/>
          <w:b/>
          <w:bCs/>
          <w:sz w:val="26"/>
          <w:szCs w:val="26"/>
          <w:rtl/>
        </w:rPr>
      </w:pPr>
    </w:p>
    <w:p w14:paraId="6C037039" w14:textId="77777777" w:rsidR="00A427BA" w:rsidRDefault="00A427BA" w:rsidP="00A427BA">
      <w:pPr>
        <w:jc w:val="center"/>
        <w:rPr>
          <w:rFonts w:ascii="Arial" w:hAnsi="Arial"/>
          <w:b/>
          <w:bCs/>
          <w:color w:val="0000FF"/>
          <w:sz w:val="26"/>
          <w:u w:val="single"/>
          <w:rtl/>
        </w:rPr>
      </w:pPr>
      <w:hyperlink r:id="rId56" w:history="1">
        <w:r>
          <w:rPr>
            <w:rFonts w:ascii="Arial" w:hAnsi="Arial"/>
            <w:b/>
            <w:bCs/>
            <w:color w:val="0000FF"/>
            <w:sz w:val="26"/>
            <w:u w:val="single"/>
            <w:rtl/>
          </w:rPr>
          <w:t>בעניין עריכה ושינויים במסמכי פסיקה, חקיקה ועוד באתר נבו – הקש כאן</w:t>
        </w:r>
      </w:hyperlink>
    </w:p>
    <w:p w14:paraId="5AF518AA" w14:textId="77777777" w:rsidR="00A427BA" w:rsidRPr="00A427BA" w:rsidRDefault="00A427BA" w:rsidP="00A427BA">
      <w:pPr>
        <w:jc w:val="center"/>
        <w:rPr>
          <w:rFonts w:ascii="Arial" w:hAnsi="Arial"/>
          <w:b/>
          <w:bCs/>
          <w:color w:val="0000FF"/>
          <w:sz w:val="26"/>
          <w:u w:val="single"/>
          <w:rtl/>
        </w:rPr>
      </w:pPr>
    </w:p>
    <w:sectPr w:rsidR="00A427BA" w:rsidRPr="00A427BA" w:rsidSect="00A427BA">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8021D" w14:textId="77777777" w:rsidR="00E549FA" w:rsidRDefault="00E549FA">
      <w:r>
        <w:separator/>
      </w:r>
    </w:p>
  </w:endnote>
  <w:endnote w:type="continuationSeparator" w:id="0">
    <w:p w14:paraId="5CE46091" w14:textId="77777777" w:rsidR="00E549FA" w:rsidRDefault="00E5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5CBC0" w14:textId="77777777" w:rsidR="00A427BA" w:rsidRDefault="00A427BA" w:rsidP="00A427B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86673CC" w14:textId="77777777" w:rsidR="00C9037E" w:rsidRPr="00A427BA" w:rsidRDefault="00A427BA" w:rsidP="00A427BA">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A5B7D" w14:textId="77777777" w:rsidR="00A427BA" w:rsidRDefault="00A427BA" w:rsidP="00A427B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1224">
      <w:rPr>
        <w:rFonts w:ascii="FrankRuehl" w:hAnsi="FrankRuehl" w:cs="FrankRuehl"/>
        <w:noProof/>
        <w:rtl/>
      </w:rPr>
      <w:t>1</w:t>
    </w:r>
    <w:r>
      <w:rPr>
        <w:rFonts w:ascii="FrankRuehl" w:hAnsi="FrankRuehl" w:cs="FrankRuehl"/>
        <w:rtl/>
      </w:rPr>
      <w:fldChar w:fldCharType="end"/>
    </w:r>
  </w:p>
  <w:p w14:paraId="29E4B5EF" w14:textId="77777777" w:rsidR="00C9037E" w:rsidRPr="00A427BA" w:rsidRDefault="00A427BA" w:rsidP="00A427BA">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156CA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78A85" w14:textId="77777777" w:rsidR="00E549FA" w:rsidRDefault="00E549FA">
      <w:r>
        <w:separator/>
      </w:r>
    </w:p>
  </w:footnote>
  <w:footnote w:type="continuationSeparator" w:id="0">
    <w:p w14:paraId="68554EC5" w14:textId="77777777" w:rsidR="00E549FA" w:rsidRDefault="00E54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E14B4" w14:textId="77777777" w:rsidR="00A427BA" w:rsidRPr="00A427BA" w:rsidRDefault="00A427BA" w:rsidP="00A427B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33420-12-20</w:t>
    </w:r>
    <w:r>
      <w:rPr>
        <w:rFonts w:ascii="David" w:hAnsi="David"/>
        <w:color w:val="000000"/>
        <w:sz w:val="22"/>
        <w:szCs w:val="22"/>
        <w:rtl/>
      </w:rPr>
      <w:tab/>
      <w:t xml:space="preserve"> מדינת ישראל נ' אשרף בשיתי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1402C" w14:textId="77777777" w:rsidR="00C9037E" w:rsidRPr="00A427BA" w:rsidRDefault="00A427BA" w:rsidP="00A427B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33420-12-20</w:t>
    </w:r>
    <w:r>
      <w:rPr>
        <w:rFonts w:ascii="David" w:hAnsi="David"/>
        <w:color w:val="000000"/>
        <w:sz w:val="22"/>
        <w:szCs w:val="22"/>
        <w:rtl/>
      </w:rPr>
      <w:tab/>
      <w:t xml:space="preserve"> מדינת ישראל נ' אשרף בשיתי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5445D"/>
    <w:multiLevelType w:val="hybridMultilevel"/>
    <w:tmpl w:val="2FAC4E62"/>
    <w:lvl w:ilvl="0" w:tplc="6BCCE6E2">
      <w:numFmt w:val="bullet"/>
      <w:lvlText w:val=""/>
      <w:lvlJc w:val="left"/>
      <w:pPr>
        <w:ind w:left="1080" w:hanging="360"/>
      </w:pPr>
      <w:rPr>
        <w:rFonts w:ascii="Symbol" w:eastAsia="Times New Roman"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C942045"/>
    <w:multiLevelType w:val="hybridMultilevel"/>
    <w:tmpl w:val="749ACA2E"/>
    <w:lvl w:ilvl="0" w:tplc="011E531E">
      <w:start w:val="1"/>
      <w:numFmt w:val="decimal"/>
      <w:lvlText w:val="%1)"/>
      <w:lvlJc w:val="left"/>
      <w:pPr>
        <w:ind w:left="720" w:hanging="360"/>
      </w:pPr>
      <w:rPr>
        <w:rFonts w:ascii="FrankRuehl" w:hAnsi="FrankRuehl" w:cs="FrankRuehl" w:hint="default"/>
        <w:b w:val="0"/>
        <w:bCs w:val="0"/>
        <w:sz w:val="26"/>
        <w:szCs w:val="26"/>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1E502C74"/>
    <w:multiLevelType w:val="hybridMultilevel"/>
    <w:tmpl w:val="A3C68132"/>
    <w:lvl w:ilvl="0" w:tplc="2ED6544E">
      <w:start w:val="1"/>
      <w:numFmt w:val="hebrew1"/>
      <w:lvlText w:val="%1)"/>
      <w:lvlJc w:val="left"/>
      <w:pPr>
        <w:ind w:left="1230" w:hanging="51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565488147">
    <w:abstractNumId w:val="4"/>
  </w:num>
  <w:num w:numId="2" w16cid:durableId="1566522791">
    <w:abstractNumId w:val="1"/>
  </w:num>
  <w:num w:numId="3" w16cid:durableId="15857988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8032183">
    <w:abstractNumId w:val="0"/>
  </w:num>
  <w:num w:numId="5" w16cid:durableId="15927430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752B"/>
    <w:rsid w:val="00031F8A"/>
    <w:rsid w:val="000445B6"/>
    <w:rsid w:val="000454A8"/>
    <w:rsid w:val="00054FC4"/>
    <w:rsid w:val="0006726A"/>
    <w:rsid w:val="00092598"/>
    <w:rsid w:val="00095BA3"/>
    <w:rsid w:val="000F2247"/>
    <w:rsid w:val="00100577"/>
    <w:rsid w:val="001352F8"/>
    <w:rsid w:val="00162430"/>
    <w:rsid w:val="00167C59"/>
    <w:rsid w:val="00212125"/>
    <w:rsid w:val="00224AC0"/>
    <w:rsid w:val="002B7D23"/>
    <w:rsid w:val="002D6C61"/>
    <w:rsid w:val="00354FDE"/>
    <w:rsid w:val="00367565"/>
    <w:rsid w:val="003D7D8A"/>
    <w:rsid w:val="003E0C9F"/>
    <w:rsid w:val="003F52D9"/>
    <w:rsid w:val="004215DC"/>
    <w:rsid w:val="00431224"/>
    <w:rsid w:val="004902D6"/>
    <w:rsid w:val="00507694"/>
    <w:rsid w:val="00534781"/>
    <w:rsid w:val="0059274D"/>
    <w:rsid w:val="005C7B0B"/>
    <w:rsid w:val="00633FED"/>
    <w:rsid w:val="0065013A"/>
    <w:rsid w:val="00683ABD"/>
    <w:rsid w:val="00684E84"/>
    <w:rsid w:val="006C2095"/>
    <w:rsid w:val="006D7B12"/>
    <w:rsid w:val="00706644"/>
    <w:rsid w:val="00747891"/>
    <w:rsid w:val="00757983"/>
    <w:rsid w:val="007C24DB"/>
    <w:rsid w:val="007D46DD"/>
    <w:rsid w:val="00821F29"/>
    <w:rsid w:val="00822550"/>
    <w:rsid w:val="00832D73"/>
    <w:rsid w:val="008819B4"/>
    <w:rsid w:val="008E23F7"/>
    <w:rsid w:val="00947B38"/>
    <w:rsid w:val="0095097C"/>
    <w:rsid w:val="009705CC"/>
    <w:rsid w:val="00986C67"/>
    <w:rsid w:val="009A730D"/>
    <w:rsid w:val="009E35A7"/>
    <w:rsid w:val="009E49A1"/>
    <w:rsid w:val="009F504D"/>
    <w:rsid w:val="00A427BA"/>
    <w:rsid w:val="00A504C4"/>
    <w:rsid w:val="00AB48C6"/>
    <w:rsid w:val="00B05847"/>
    <w:rsid w:val="00B22E0A"/>
    <w:rsid w:val="00BC55DA"/>
    <w:rsid w:val="00BD67E7"/>
    <w:rsid w:val="00BE0015"/>
    <w:rsid w:val="00C02463"/>
    <w:rsid w:val="00C45023"/>
    <w:rsid w:val="00C55E62"/>
    <w:rsid w:val="00C572E8"/>
    <w:rsid w:val="00C71E3C"/>
    <w:rsid w:val="00C9037E"/>
    <w:rsid w:val="00D202F4"/>
    <w:rsid w:val="00D3203D"/>
    <w:rsid w:val="00E549FA"/>
    <w:rsid w:val="00E70F9C"/>
    <w:rsid w:val="00ED4465"/>
    <w:rsid w:val="00EE22A4"/>
    <w:rsid w:val="00F75AFC"/>
    <w:rsid w:val="00FC54FC"/>
    <w:rsid w:val="00FD7CF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10696A"/>
  <w15:chartTrackingRefBased/>
  <w15:docId w15:val="{86828C2A-ADEB-40B1-97D2-037BD4F1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aa">
    <w:name w:val="Placeholder Text"/>
    <w:semiHidden/>
    <w:rsid w:val="003D7D8A"/>
    <w:rPr>
      <w:color w:val="808080"/>
    </w:rPr>
  </w:style>
  <w:style w:type="paragraph" w:styleId="ab">
    <w:name w:val="List Paragraph"/>
    <w:basedOn w:val="a"/>
    <w:qFormat/>
    <w:rsid w:val="007C24DB"/>
    <w:pPr>
      <w:spacing w:after="160" w:line="252" w:lineRule="auto"/>
      <w:ind w:left="720"/>
      <w:contextualSpacing/>
    </w:pPr>
    <w:rPr>
      <w:rFonts w:ascii="Calibri" w:hAnsi="Calibri" w:cs="Arial"/>
      <w:sz w:val="22"/>
      <w:szCs w:val="22"/>
    </w:rPr>
  </w:style>
  <w:style w:type="character" w:styleId="Hyperlink">
    <w:name w:val="Hyperlink"/>
    <w:locked/>
    <w:rsid w:val="00A427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0c.a" TargetMode="External"/><Relationship Id="rId26" Type="http://schemas.openxmlformats.org/officeDocument/2006/relationships/hyperlink" Target="http://www.nevo.co.il/case/5568354" TargetMode="External"/><Relationship Id="rId39" Type="http://schemas.openxmlformats.org/officeDocument/2006/relationships/hyperlink" Target="http://www.nevo.co.il/case/22006503" TargetMode="External"/><Relationship Id="rId21" Type="http://schemas.openxmlformats.org/officeDocument/2006/relationships/hyperlink" Target="http://www.nevo.co.il/case/6473037" TargetMode="External"/><Relationship Id="rId34" Type="http://schemas.openxmlformats.org/officeDocument/2006/relationships/hyperlink" Target="http://www.nevo.co.il/case/28243273" TargetMode="External"/><Relationship Id="rId42" Type="http://schemas.openxmlformats.org/officeDocument/2006/relationships/hyperlink" Target="http://www.nevo.co.il/case/28229995" TargetMode="External"/><Relationship Id="rId47" Type="http://schemas.openxmlformats.org/officeDocument/2006/relationships/hyperlink" Target="http://www.nevo.co.il/case/28229995" TargetMode="External"/><Relationship Id="rId50" Type="http://schemas.openxmlformats.org/officeDocument/2006/relationships/hyperlink" Target="http://www.nevo.co.il/case/26318034" TargetMode="External"/><Relationship Id="rId55" Type="http://schemas.openxmlformats.org/officeDocument/2006/relationships/hyperlink" Target="http://www.nevo.co.il/case/25526664"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b" TargetMode="External"/><Relationship Id="rId29" Type="http://schemas.openxmlformats.org/officeDocument/2006/relationships/hyperlink" Target="http://www.nevo.co.il/case/27309272"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5995135" TargetMode="External"/><Relationship Id="rId32" Type="http://schemas.openxmlformats.org/officeDocument/2006/relationships/hyperlink" Target="http://www.nevo.co.il/case/27510949" TargetMode="External"/><Relationship Id="rId37" Type="http://schemas.openxmlformats.org/officeDocument/2006/relationships/hyperlink" Target="http://www.nevo.co.il/case/25824863"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9486731" TargetMode="External"/><Relationship Id="rId53" Type="http://schemas.openxmlformats.org/officeDocument/2006/relationships/hyperlink" Target="http://www.nevo.co.il/case/28301477"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40c.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950458" TargetMode="External"/><Relationship Id="rId27" Type="http://schemas.openxmlformats.org/officeDocument/2006/relationships/hyperlink" Target="http://www.nevo.co.il/case/27513376" TargetMode="External"/><Relationship Id="rId30" Type="http://schemas.openxmlformats.org/officeDocument/2006/relationships/hyperlink" Target="http://www.nevo.co.il/case/29486731" TargetMode="External"/><Relationship Id="rId35" Type="http://schemas.openxmlformats.org/officeDocument/2006/relationships/hyperlink" Target="http://www.nevo.co.il/case/28384637" TargetMode="External"/><Relationship Id="rId43" Type="http://schemas.openxmlformats.org/officeDocument/2006/relationships/hyperlink" Target="http://www.nevo.co.il/case/26630169" TargetMode="External"/><Relationship Id="rId48" Type="http://schemas.openxmlformats.org/officeDocument/2006/relationships/hyperlink" Target="http://www.nevo.co.il/case/28384637"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40b" TargetMode="External"/><Relationship Id="rId51" Type="http://schemas.openxmlformats.org/officeDocument/2006/relationships/hyperlink" Target="http://www.nevo.co.il/case/27510949"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950172" TargetMode="External"/><Relationship Id="rId33" Type="http://schemas.openxmlformats.org/officeDocument/2006/relationships/hyperlink" Target="http://www.nevo.co.il/case/28513828" TargetMode="External"/><Relationship Id="rId38" Type="http://schemas.openxmlformats.org/officeDocument/2006/relationships/hyperlink" Target="http://www.nevo.co.il/case/27171364" TargetMode="External"/><Relationship Id="rId46" Type="http://schemas.openxmlformats.org/officeDocument/2006/relationships/hyperlink" Target="http://www.nevo.co.il/case/28697227" TargetMode="External"/><Relationship Id="rId59" Type="http://schemas.openxmlformats.org/officeDocument/2006/relationships/footer" Target="footer1.xml"/><Relationship Id="rId20" Type="http://schemas.openxmlformats.org/officeDocument/2006/relationships/hyperlink" Target="http://www.nevo.co.il/case/7791493" TargetMode="External"/><Relationship Id="rId41" Type="http://schemas.openxmlformats.org/officeDocument/2006/relationships/hyperlink" Target="http://www.nevo.co.il/case/28096677" TargetMode="External"/><Relationship Id="rId54" Type="http://schemas.openxmlformats.org/officeDocument/2006/relationships/hyperlink" Target="http://www.nevo.co.il/case/27142643"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1474168" TargetMode="External"/><Relationship Id="rId28" Type="http://schemas.openxmlformats.org/officeDocument/2006/relationships/hyperlink" Target="http://www.nevo.co.il/case/28883087" TargetMode="External"/><Relationship Id="rId36" Type="http://schemas.openxmlformats.org/officeDocument/2006/relationships/hyperlink" Target="http://www.nevo.co.il/case/26905927" TargetMode="External"/><Relationship Id="rId49" Type="http://schemas.openxmlformats.org/officeDocument/2006/relationships/hyperlink" Target="http://www.nevo.co.il/case/28152132" TargetMode="External"/><Relationship Id="rId57" Type="http://schemas.openxmlformats.org/officeDocument/2006/relationships/header" Target="header1.xml"/><Relationship Id="rId10" Type="http://schemas.openxmlformats.org/officeDocument/2006/relationships/hyperlink" Target="http://www.nevo.co.il/law/70301/40c.b" TargetMode="External"/><Relationship Id="rId31" Type="http://schemas.openxmlformats.org/officeDocument/2006/relationships/hyperlink" Target="http://www.nevo.co.il/case/28697227" TargetMode="External"/><Relationship Id="rId44" Type="http://schemas.openxmlformats.org/officeDocument/2006/relationships/hyperlink" Target="http://www.nevo.co.il/case/6473037" TargetMode="External"/><Relationship Id="rId52" Type="http://schemas.openxmlformats.org/officeDocument/2006/relationships/hyperlink" Target="http://www.nevo.co.il/case/25890687"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3026</Words>
  <Characters>15134</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18124</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3604597</vt:i4>
      </vt:variant>
      <vt:variant>
        <vt:i4>144</vt:i4>
      </vt:variant>
      <vt:variant>
        <vt:i4>0</vt:i4>
      </vt:variant>
      <vt:variant>
        <vt:i4>5</vt:i4>
      </vt:variant>
      <vt:variant>
        <vt:lpwstr>http://www.nevo.co.il/case/25526664</vt:lpwstr>
      </vt:variant>
      <vt:variant>
        <vt:lpwstr/>
      </vt:variant>
      <vt:variant>
        <vt:i4>3473521</vt:i4>
      </vt:variant>
      <vt:variant>
        <vt:i4>141</vt:i4>
      </vt:variant>
      <vt:variant>
        <vt:i4>0</vt:i4>
      </vt:variant>
      <vt:variant>
        <vt:i4>5</vt:i4>
      </vt:variant>
      <vt:variant>
        <vt:lpwstr>http://www.nevo.co.il/case/27142643</vt:lpwstr>
      </vt:variant>
      <vt:variant>
        <vt:lpwstr/>
      </vt:variant>
      <vt:variant>
        <vt:i4>3604600</vt:i4>
      </vt:variant>
      <vt:variant>
        <vt:i4>138</vt:i4>
      </vt:variant>
      <vt:variant>
        <vt:i4>0</vt:i4>
      </vt:variant>
      <vt:variant>
        <vt:i4>5</vt:i4>
      </vt:variant>
      <vt:variant>
        <vt:lpwstr>http://www.nevo.co.il/case/28301477</vt:lpwstr>
      </vt:variant>
      <vt:variant>
        <vt:lpwstr/>
      </vt:variant>
      <vt:variant>
        <vt:i4>3276926</vt:i4>
      </vt:variant>
      <vt:variant>
        <vt:i4>135</vt:i4>
      </vt:variant>
      <vt:variant>
        <vt:i4>0</vt:i4>
      </vt:variant>
      <vt:variant>
        <vt:i4>5</vt:i4>
      </vt:variant>
      <vt:variant>
        <vt:lpwstr>http://www.nevo.co.il/case/25890687</vt:lpwstr>
      </vt:variant>
      <vt:variant>
        <vt:lpwstr/>
      </vt:variant>
      <vt:variant>
        <vt:i4>3342459</vt:i4>
      </vt:variant>
      <vt:variant>
        <vt:i4>132</vt:i4>
      </vt:variant>
      <vt:variant>
        <vt:i4>0</vt:i4>
      </vt:variant>
      <vt:variant>
        <vt:i4>5</vt:i4>
      </vt:variant>
      <vt:variant>
        <vt:lpwstr>http://www.nevo.co.il/case/27510949</vt:lpwstr>
      </vt:variant>
      <vt:variant>
        <vt:lpwstr/>
      </vt:variant>
      <vt:variant>
        <vt:i4>3801203</vt:i4>
      </vt:variant>
      <vt:variant>
        <vt:i4>129</vt:i4>
      </vt:variant>
      <vt:variant>
        <vt:i4>0</vt:i4>
      </vt:variant>
      <vt:variant>
        <vt:i4>5</vt:i4>
      </vt:variant>
      <vt:variant>
        <vt:lpwstr>http://www.nevo.co.il/case/26318034</vt:lpwstr>
      </vt:variant>
      <vt:variant>
        <vt:lpwstr/>
      </vt:variant>
      <vt:variant>
        <vt:i4>3276920</vt:i4>
      </vt:variant>
      <vt:variant>
        <vt:i4>126</vt:i4>
      </vt:variant>
      <vt:variant>
        <vt:i4>0</vt:i4>
      </vt:variant>
      <vt:variant>
        <vt:i4>5</vt:i4>
      </vt:variant>
      <vt:variant>
        <vt:lpwstr>http://www.nevo.co.il/case/28152132</vt:lpwstr>
      </vt:variant>
      <vt:variant>
        <vt:lpwstr/>
      </vt:variant>
      <vt:variant>
        <vt:i4>3539058</vt:i4>
      </vt:variant>
      <vt:variant>
        <vt:i4>123</vt:i4>
      </vt:variant>
      <vt:variant>
        <vt:i4>0</vt:i4>
      </vt:variant>
      <vt:variant>
        <vt:i4>5</vt:i4>
      </vt:variant>
      <vt:variant>
        <vt:lpwstr>http://www.nevo.co.il/case/28384637</vt:lpwstr>
      </vt:variant>
      <vt:variant>
        <vt:lpwstr/>
      </vt:variant>
      <vt:variant>
        <vt:i4>3145847</vt:i4>
      </vt:variant>
      <vt:variant>
        <vt:i4>120</vt:i4>
      </vt:variant>
      <vt:variant>
        <vt:i4>0</vt:i4>
      </vt:variant>
      <vt:variant>
        <vt:i4>5</vt:i4>
      </vt:variant>
      <vt:variant>
        <vt:lpwstr>http://www.nevo.co.il/case/28229995</vt:lpwstr>
      </vt:variant>
      <vt:variant>
        <vt:lpwstr/>
      </vt:variant>
      <vt:variant>
        <vt:i4>3211383</vt:i4>
      </vt:variant>
      <vt:variant>
        <vt:i4>117</vt:i4>
      </vt:variant>
      <vt:variant>
        <vt:i4>0</vt:i4>
      </vt:variant>
      <vt:variant>
        <vt:i4>5</vt:i4>
      </vt:variant>
      <vt:variant>
        <vt:lpwstr>http://www.nevo.co.il/case/28697227</vt:lpwstr>
      </vt:variant>
      <vt:variant>
        <vt:lpwstr/>
      </vt:variant>
      <vt:variant>
        <vt:i4>3342450</vt:i4>
      </vt:variant>
      <vt:variant>
        <vt:i4>114</vt:i4>
      </vt:variant>
      <vt:variant>
        <vt:i4>0</vt:i4>
      </vt:variant>
      <vt:variant>
        <vt:i4>5</vt:i4>
      </vt:variant>
      <vt:variant>
        <vt:lpwstr>http://www.nevo.co.il/case/29486731</vt:lpwstr>
      </vt:variant>
      <vt:variant>
        <vt:lpwstr/>
      </vt:variant>
      <vt:variant>
        <vt:i4>3539056</vt:i4>
      </vt:variant>
      <vt:variant>
        <vt:i4>111</vt:i4>
      </vt:variant>
      <vt:variant>
        <vt:i4>0</vt:i4>
      </vt:variant>
      <vt:variant>
        <vt:i4>5</vt:i4>
      </vt:variant>
      <vt:variant>
        <vt:lpwstr>http://www.nevo.co.il/case/6473037</vt:lpwstr>
      </vt:variant>
      <vt:variant>
        <vt:lpwstr/>
      </vt:variant>
      <vt:variant>
        <vt:i4>3276912</vt:i4>
      </vt:variant>
      <vt:variant>
        <vt:i4>108</vt:i4>
      </vt:variant>
      <vt:variant>
        <vt:i4>0</vt:i4>
      </vt:variant>
      <vt:variant>
        <vt:i4>5</vt:i4>
      </vt:variant>
      <vt:variant>
        <vt:lpwstr>http://www.nevo.co.il/case/26630169</vt:lpwstr>
      </vt:variant>
      <vt:variant>
        <vt:lpwstr/>
      </vt:variant>
      <vt:variant>
        <vt:i4>3145847</vt:i4>
      </vt:variant>
      <vt:variant>
        <vt:i4>105</vt:i4>
      </vt:variant>
      <vt:variant>
        <vt:i4>0</vt:i4>
      </vt:variant>
      <vt:variant>
        <vt:i4>5</vt:i4>
      </vt:variant>
      <vt:variant>
        <vt:lpwstr>http://www.nevo.co.il/case/28229995</vt:lpwstr>
      </vt:variant>
      <vt:variant>
        <vt:lpwstr/>
      </vt:variant>
      <vt:variant>
        <vt:i4>3342451</vt:i4>
      </vt:variant>
      <vt:variant>
        <vt:i4>102</vt:i4>
      </vt:variant>
      <vt:variant>
        <vt:i4>0</vt:i4>
      </vt:variant>
      <vt:variant>
        <vt:i4>5</vt:i4>
      </vt:variant>
      <vt:variant>
        <vt:lpwstr>http://www.nevo.co.il/case/28096677</vt:lpwstr>
      </vt:variant>
      <vt:variant>
        <vt:lpwstr/>
      </vt:variant>
      <vt:variant>
        <vt:i4>7995492</vt:i4>
      </vt:variant>
      <vt:variant>
        <vt:i4>99</vt:i4>
      </vt:variant>
      <vt:variant>
        <vt:i4>0</vt:i4>
      </vt:variant>
      <vt:variant>
        <vt:i4>5</vt:i4>
      </vt:variant>
      <vt:variant>
        <vt:lpwstr>http://www.nevo.co.il/law/70301</vt:lpwstr>
      </vt:variant>
      <vt:variant>
        <vt:lpwstr/>
      </vt:variant>
      <vt:variant>
        <vt:i4>3407987</vt:i4>
      </vt:variant>
      <vt:variant>
        <vt:i4>96</vt:i4>
      </vt:variant>
      <vt:variant>
        <vt:i4>0</vt:i4>
      </vt:variant>
      <vt:variant>
        <vt:i4>5</vt:i4>
      </vt:variant>
      <vt:variant>
        <vt:lpwstr>http://www.nevo.co.il/case/22006503</vt:lpwstr>
      </vt:variant>
      <vt:variant>
        <vt:lpwstr/>
      </vt:variant>
      <vt:variant>
        <vt:i4>3407991</vt:i4>
      </vt:variant>
      <vt:variant>
        <vt:i4>93</vt:i4>
      </vt:variant>
      <vt:variant>
        <vt:i4>0</vt:i4>
      </vt:variant>
      <vt:variant>
        <vt:i4>5</vt:i4>
      </vt:variant>
      <vt:variant>
        <vt:lpwstr>http://www.nevo.co.il/case/27171364</vt:lpwstr>
      </vt:variant>
      <vt:variant>
        <vt:lpwstr/>
      </vt:variant>
      <vt:variant>
        <vt:i4>3670139</vt:i4>
      </vt:variant>
      <vt:variant>
        <vt:i4>90</vt:i4>
      </vt:variant>
      <vt:variant>
        <vt:i4>0</vt:i4>
      </vt:variant>
      <vt:variant>
        <vt:i4>5</vt:i4>
      </vt:variant>
      <vt:variant>
        <vt:lpwstr>http://www.nevo.co.il/case/25824863</vt:lpwstr>
      </vt:variant>
      <vt:variant>
        <vt:lpwstr/>
      </vt:variant>
      <vt:variant>
        <vt:i4>3932283</vt:i4>
      </vt:variant>
      <vt:variant>
        <vt:i4>87</vt:i4>
      </vt:variant>
      <vt:variant>
        <vt:i4>0</vt:i4>
      </vt:variant>
      <vt:variant>
        <vt:i4>5</vt:i4>
      </vt:variant>
      <vt:variant>
        <vt:lpwstr>http://www.nevo.co.il/case/26905927</vt:lpwstr>
      </vt:variant>
      <vt:variant>
        <vt:lpwstr/>
      </vt:variant>
      <vt:variant>
        <vt:i4>3539058</vt:i4>
      </vt:variant>
      <vt:variant>
        <vt:i4>84</vt:i4>
      </vt:variant>
      <vt:variant>
        <vt:i4>0</vt:i4>
      </vt:variant>
      <vt:variant>
        <vt:i4>5</vt:i4>
      </vt:variant>
      <vt:variant>
        <vt:lpwstr>http://www.nevo.co.il/case/28384637</vt:lpwstr>
      </vt:variant>
      <vt:variant>
        <vt:lpwstr/>
      </vt:variant>
      <vt:variant>
        <vt:i4>3407994</vt:i4>
      </vt:variant>
      <vt:variant>
        <vt:i4>81</vt:i4>
      </vt:variant>
      <vt:variant>
        <vt:i4>0</vt:i4>
      </vt:variant>
      <vt:variant>
        <vt:i4>5</vt:i4>
      </vt:variant>
      <vt:variant>
        <vt:lpwstr>http://www.nevo.co.il/case/28243273</vt:lpwstr>
      </vt:variant>
      <vt:variant>
        <vt:lpwstr/>
      </vt:variant>
      <vt:variant>
        <vt:i4>3539061</vt:i4>
      </vt:variant>
      <vt:variant>
        <vt:i4>78</vt:i4>
      </vt:variant>
      <vt:variant>
        <vt:i4>0</vt:i4>
      </vt:variant>
      <vt:variant>
        <vt:i4>5</vt:i4>
      </vt:variant>
      <vt:variant>
        <vt:lpwstr>http://www.nevo.co.il/case/28513828</vt:lpwstr>
      </vt:variant>
      <vt:variant>
        <vt:lpwstr/>
      </vt:variant>
      <vt:variant>
        <vt:i4>3342459</vt:i4>
      </vt:variant>
      <vt:variant>
        <vt:i4>75</vt:i4>
      </vt:variant>
      <vt:variant>
        <vt:i4>0</vt:i4>
      </vt:variant>
      <vt:variant>
        <vt:i4>5</vt:i4>
      </vt:variant>
      <vt:variant>
        <vt:lpwstr>http://www.nevo.co.il/case/27510949</vt:lpwstr>
      </vt:variant>
      <vt:variant>
        <vt:lpwstr/>
      </vt:variant>
      <vt:variant>
        <vt:i4>3211383</vt:i4>
      </vt:variant>
      <vt:variant>
        <vt:i4>72</vt:i4>
      </vt:variant>
      <vt:variant>
        <vt:i4>0</vt:i4>
      </vt:variant>
      <vt:variant>
        <vt:i4>5</vt:i4>
      </vt:variant>
      <vt:variant>
        <vt:lpwstr>http://www.nevo.co.il/case/28697227</vt:lpwstr>
      </vt:variant>
      <vt:variant>
        <vt:lpwstr/>
      </vt:variant>
      <vt:variant>
        <vt:i4>3342450</vt:i4>
      </vt:variant>
      <vt:variant>
        <vt:i4>69</vt:i4>
      </vt:variant>
      <vt:variant>
        <vt:i4>0</vt:i4>
      </vt:variant>
      <vt:variant>
        <vt:i4>5</vt:i4>
      </vt:variant>
      <vt:variant>
        <vt:lpwstr>http://www.nevo.co.il/case/29486731</vt:lpwstr>
      </vt:variant>
      <vt:variant>
        <vt:lpwstr/>
      </vt:variant>
      <vt:variant>
        <vt:i4>4128881</vt:i4>
      </vt:variant>
      <vt:variant>
        <vt:i4>66</vt:i4>
      </vt:variant>
      <vt:variant>
        <vt:i4>0</vt:i4>
      </vt:variant>
      <vt:variant>
        <vt:i4>5</vt:i4>
      </vt:variant>
      <vt:variant>
        <vt:lpwstr>http://www.nevo.co.il/case/27309272</vt:lpwstr>
      </vt:variant>
      <vt:variant>
        <vt:lpwstr/>
      </vt:variant>
      <vt:variant>
        <vt:i4>3211380</vt:i4>
      </vt:variant>
      <vt:variant>
        <vt:i4>63</vt:i4>
      </vt:variant>
      <vt:variant>
        <vt:i4>0</vt:i4>
      </vt:variant>
      <vt:variant>
        <vt:i4>5</vt:i4>
      </vt:variant>
      <vt:variant>
        <vt:lpwstr>http://www.nevo.co.il/case/28883087</vt:lpwstr>
      </vt:variant>
      <vt:variant>
        <vt:lpwstr/>
      </vt:variant>
      <vt:variant>
        <vt:i4>3342449</vt:i4>
      </vt:variant>
      <vt:variant>
        <vt:i4>60</vt:i4>
      </vt:variant>
      <vt:variant>
        <vt:i4>0</vt:i4>
      </vt:variant>
      <vt:variant>
        <vt:i4>5</vt:i4>
      </vt:variant>
      <vt:variant>
        <vt:lpwstr>http://www.nevo.co.il/case/27513376</vt:lpwstr>
      </vt:variant>
      <vt:variant>
        <vt:lpwstr/>
      </vt:variant>
      <vt:variant>
        <vt:i4>3407996</vt:i4>
      </vt:variant>
      <vt:variant>
        <vt:i4>57</vt:i4>
      </vt:variant>
      <vt:variant>
        <vt:i4>0</vt:i4>
      </vt:variant>
      <vt:variant>
        <vt:i4>5</vt:i4>
      </vt:variant>
      <vt:variant>
        <vt:lpwstr>http://www.nevo.co.il/case/5568354</vt:lpwstr>
      </vt:variant>
      <vt:variant>
        <vt:lpwstr/>
      </vt:variant>
      <vt:variant>
        <vt:i4>3342458</vt:i4>
      </vt:variant>
      <vt:variant>
        <vt:i4>54</vt:i4>
      </vt:variant>
      <vt:variant>
        <vt:i4>0</vt:i4>
      </vt:variant>
      <vt:variant>
        <vt:i4>5</vt:i4>
      </vt:variant>
      <vt:variant>
        <vt:lpwstr>http://www.nevo.co.il/case/5950172</vt:lpwstr>
      </vt:variant>
      <vt:variant>
        <vt:lpwstr/>
      </vt:variant>
      <vt:variant>
        <vt:i4>3670139</vt:i4>
      </vt:variant>
      <vt:variant>
        <vt:i4>51</vt:i4>
      </vt:variant>
      <vt:variant>
        <vt:i4>0</vt:i4>
      </vt:variant>
      <vt:variant>
        <vt:i4>5</vt:i4>
      </vt:variant>
      <vt:variant>
        <vt:lpwstr>http://www.nevo.co.il/case/5995135</vt:lpwstr>
      </vt:variant>
      <vt:variant>
        <vt:lpwstr/>
      </vt:variant>
      <vt:variant>
        <vt:i4>3407987</vt:i4>
      </vt:variant>
      <vt:variant>
        <vt:i4>48</vt:i4>
      </vt:variant>
      <vt:variant>
        <vt:i4>0</vt:i4>
      </vt:variant>
      <vt:variant>
        <vt:i4>5</vt:i4>
      </vt:variant>
      <vt:variant>
        <vt:lpwstr>http://www.nevo.co.il/case/21474168</vt:lpwstr>
      </vt:variant>
      <vt:variant>
        <vt:lpwstr/>
      </vt:variant>
      <vt:variant>
        <vt:i4>4128888</vt:i4>
      </vt:variant>
      <vt:variant>
        <vt:i4>45</vt:i4>
      </vt:variant>
      <vt:variant>
        <vt:i4>0</vt:i4>
      </vt:variant>
      <vt:variant>
        <vt:i4>5</vt:i4>
      </vt:variant>
      <vt:variant>
        <vt:lpwstr>http://www.nevo.co.il/case/6950458</vt:lpwstr>
      </vt:variant>
      <vt:variant>
        <vt:lpwstr/>
      </vt:variant>
      <vt:variant>
        <vt:i4>3539056</vt:i4>
      </vt:variant>
      <vt:variant>
        <vt:i4>42</vt:i4>
      </vt:variant>
      <vt:variant>
        <vt:i4>0</vt:i4>
      </vt:variant>
      <vt:variant>
        <vt:i4>5</vt:i4>
      </vt:variant>
      <vt:variant>
        <vt:lpwstr>http://www.nevo.co.il/case/6473037</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4915202</vt:i4>
      </vt:variant>
      <vt:variant>
        <vt:i4>36</vt:i4>
      </vt:variant>
      <vt:variant>
        <vt:i4>0</vt:i4>
      </vt:variant>
      <vt:variant>
        <vt:i4>5</vt:i4>
      </vt:variant>
      <vt:variant>
        <vt:lpwstr>http://www.nevo.co.il/law/70301/40c.b</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2023-07-06T11:43:00Z</cp:lastPrinted>
  <dcterms:created xsi:type="dcterms:W3CDTF">2025-01-19T17:45:00Z</dcterms:created>
  <dcterms:modified xsi:type="dcterms:W3CDTF">2025-01-19T17:45:00Z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33420</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אשרף בשיתי</vt:lpwstr>
  </property>
  <property fmtid="{D5CDD505-2E9C-101B-9397-08002B2CF9AE}" pid="10" name="LAWYER">
    <vt:lpwstr>לירון עופר;נביל זינאתי</vt:lpwstr>
  </property>
  <property fmtid="{D5CDD505-2E9C-101B-9397-08002B2CF9AE}" pid="11" name="JUDGE">
    <vt:lpwstr>מוחמד חאג' יחיא</vt:lpwstr>
  </property>
  <property fmtid="{D5CDD505-2E9C-101B-9397-08002B2CF9AE}" pid="12" name="CITY">
    <vt:lpwstr>י-ם</vt:lpwstr>
  </property>
  <property fmtid="{D5CDD505-2E9C-101B-9397-08002B2CF9AE}" pid="13" name="TYPE_N_DATE">
    <vt:lpwstr>3801900001</vt:lpwstr>
  </property>
  <property fmtid="{D5CDD505-2E9C-101B-9397-08002B2CF9AE}" pid="14" name="WORDNUMPAGES">
    <vt:lpwstr>10</vt:lpwstr>
  </property>
  <property fmtid="{D5CDD505-2E9C-101B-9397-08002B2CF9AE}" pid="15" name="ISABSTRACT">
    <vt:lpwstr>Y</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CASESLISTTMP1">
    <vt:lpwstr>7791493;6473037:2;6950458;21474168;5995135;5950172;5568354;27513376;28883087;27309272;29486731:2;28697227:2;27510949:2;28513828;28243273;28384637:2;26905927;25824863;27171364;22006503;28096677;28229995:2;26630169;28152132;26318034;25890687;28301477</vt:lpwstr>
  </property>
  <property fmtid="{D5CDD505-2E9C-101B-9397-08002B2CF9AE}" pid="34" name="CASESLISTTMP2">
    <vt:lpwstr>27142643;25526664</vt:lpwstr>
  </property>
  <property fmtid="{D5CDD505-2E9C-101B-9397-08002B2CF9AE}" pid="35" name="LAWLISTTMP1">
    <vt:lpwstr>70301/144.a;040b;040c.a;040c.b</vt:lpwstr>
  </property>
</Properties>
</file>