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3"/>
        <w:gridCol w:w="3666"/>
        <w:gridCol w:w="99"/>
      </w:tblGrid>
      <w:tr w:rsidR="00F30E6B" w:rsidRPr="00106A33" w14:paraId="34F5288C" w14:textId="77777777" w:rsidTr="00FB1E05">
        <w:trPr>
          <w:gridAfter w:val="1"/>
          <w:wAfter w:w="99" w:type="dxa"/>
          <w:trHeight w:hRule="exact" w:val="418"/>
          <w:jc w:val="center"/>
        </w:trPr>
        <w:tc>
          <w:tcPr>
            <w:tcW w:w="8721" w:type="dxa"/>
            <w:gridSpan w:val="4"/>
          </w:tcPr>
          <w:p w14:paraId="225BC083" w14:textId="77777777" w:rsidR="00F30E6B" w:rsidRPr="00106A33" w:rsidRDefault="00F30E6B" w:rsidP="005922D9">
            <w:pPr>
              <w:pStyle w:val="a3"/>
              <w:jc w:val="center"/>
              <w:rPr>
                <w:rFonts w:ascii="Tahoma" w:hAnsi="Tahoma" w:cs="Tahoma"/>
                <w:color w:val="000080"/>
                <w:rtl/>
              </w:rPr>
            </w:pPr>
            <w:bookmarkStart w:id="0" w:name="LastJudge"/>
            <w:r w:rsidRPr="00106A33">
              <w:rPr>
                <w:rFonts w:ascii="Tahoma" w:hAnsi="Tahoma" w:cs="Tahoma"/>
                <w:b/>
                <w:bCs/>
                <w:color w:val="000080"/>
                <w:rtl/>
              </w:rPr>
              <w:t>בית משפט השלום בבאר שבע</w:t>
            </w:r>
          </w:p>
        </w:tc>
      </w:tr>
      <w:tr w:rsidR="00F30E6B" w:rsidRPr="00106A33" w14:paraId="75DF1483" w14:textId="77777777" w:rsidTr="00FB1E05">
        <w:trPr>
          <w:gridAfter w:val="1"/>
          <w:wAfter w:w="99" w:type="dxa"/>
          <w:trHeight w:val="337"/>
          <w:jc w:val="center"/>
        </w:trPr>
        <w:tc>
          <w:tcPr>
            <w:tcW w:w="5055" w:type="dxa"/>
            <w:gridSpan w:val="3"/>
          </w:tcPr>
          <w:p w14:paraId="3C215D39" w14:textId="77777777" w:rsidR="00F30E6B" w:rsidRPr="00106A33" w:rsidRDefault="00F30E6B" w:rsidP="005922D9">
            <w:pPr>
              <w:rPr>
                <w:rFonts w:cs="FrankRuehl"/>
                <w:sz w:val="28"/>
                <w:szCs w:val="28"/>
                <w:rtl/>
              </w:rPr>
            </w:pPr>
            <w:r w:rsidRPr="00106A33">
              <w:rPr>
                <w:rFonts w:cs="FrankRuehl"/>
                <w:sz w:val="28"/>
                <w:szCs w:val="28"/>
                <w:rtl/>
              </w:rPr>
              <w:t>ת"פ</w:t>
            </w:r>
            <w:r w:rsidRPr="00106A33">
              <w:rPr>
                <w:rFonts w:cs="FrankRuehl" w:hint="cs"/>
                <w:sz w:val="28"/>
                <w:szCs w:val="28"/>
                <w:rtl/>
              </w:rPr>
              <w:t xml:space="preserve"> </w:t>
            </w:r>
            <w:r w:rsidRPr="00106A33">
              <w:rPr>
                <w:rFonts w:cs="FrankRuehl"/>
                <w:sz w:val="28"/>
                <w:szCs w:val="28"/>
                <w:rtl/>
              </w:rPr>
              <w:t>54807-01-21</w:t>
            </w:r>
            <w:r w:rsidRPr="00106A33">
              <w:rPr>
                <w:rFonts w:cs="FrankRuehl" w:hint="cs"/>
                <w:sz w:val="28"/>
                <w:szCs w:val="28"/>
                <w:rtl/>
              </w:rPr>
              <w:t xml:space="preserve"> </w:t>
            </w:r>
            <w:r w:rsidRPr="00106A33">
              <w:rPr>
                <w:rFonts w:cs="FrankRuehl"/>
                <w:sz w:val="28"/>
                <w:szCs w:val="28"/>
                <w:rtl/>
              </w:rPr>
              <w:t>מדינת ישראל נ' אלבחירי</w:t>
            </w:r>
          </w:p>
          <w:p w14:paraId="67022FCB" w14:textId="77777777" w:rsidR="00F30E6B" w:rsidRPr="00106A33" w:rsidRDefault="00F30E6B" w:rsidP="005922D9">
            <w:pPr>
              <w:pStyle w:val="a3"/>
              <w:rPr>
                <w:rFonts w:cs="FrankRuehl"/>
                <w:sz w:val="28"/>
                <w:szCs w:val="28"/>
                <w:rtl/>
              </w:rPr>
            </w:pPr>
          </w:p>
        </w:tc>
        <w:tc>
          <w:tcPr>
            <w:tcW w:w="3666" w:type="dxa"/>
          </w:tcPr>
          <w:p w14:paraId="59F061A6" w14:textId="77777777" w:rsidR="00F30E6B" w:rsidRPr="00106A33" w:rsidRDefault="00F30E6B" w:rsidP="005922D9">
            <w:pPr>
              <w:pStyle w:val="a3"/>
              <w:jc w:val="right"/>
              <w:rPr>
                <w:rFonts w:cs="FrankRuehl"/>
                <w:sz w:val="28"/>
                <w:szCs w:val="28"/>
                <w:rtl/>
              </w:rPr>
            </w:pPr>
          </w:p>
        </w:tc>
      </w:tr>
      <w:tr w:rsidR="00F30E6B" w:rsidRPr="00106A33" w14:paraId="7DA0C1BA" w14:textId="77777777" w:rsidTr="00FB1E0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0A22E56C" w14:textId="77777777" w:rsidR="00F30E6B" w:rsidRPr="00106A33" w:rsidRDefault="00F30E6B" w:rsidP="00F30E6B">
            <w:pPr>
              <w:jc w:val="both"/>
              <w:rPr>
                <w:rFonts w:ascii="David" w:hAnsi="David"/>
                <w:sz w:val="26"/>
                <w:szCs w:val="26"/>
              </w:rPr>
            </w:pPr>
            <w:r w:rsidRPr="00106A33">
              <w:rPr>
                <w:rFonts w:hint="cs"/>
                <w:rtl/>
              </w:rPr>
              <w:t xml:space="preserve"> </w:t>
            </w:r>
            <w:r w:rsidRPr="00106A33">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77C80F36" w14:textId="77777777" w:rsidR="00F30E6B" w:rsidRPr="00106A33" w:rsidRDefault="00F30E6B" w:rsidP="005922D9">
            <w:pPr>
              <w:rPr>
                <w:rFonts w:ascii="David" w:hAnsi="David"/>
                <w:b/>
                <w:bCs/>
                <w:sz w:val="26"/>
                <w:szCs w:val="26"/>
                <w:rtl/>
              </w:rPr>
            </w:pPr>
            <w:r w:rsidRPr="00106A33">
              <w:rPr>
                <w:rFonts w:ascii="David" w:hAnsi="David"/>
                <w:b/>
                <w:bCs/>
                <w:sz w:val="26"/>
                <w:szCs w:val="26"/>
                <w:rtl/>
              </w:rPr>
              <w:t>כבוד השופטת  אחינעם צוריאל</w:t>
            </w:r>
          </w:p>
          <w:p w14:paraId="50FC868C" w14:textId="77777777" w:rsidR="00F30E6B" w:rsidRPr="00106A33" w:rsidRDefault="00F30E6B" w:rsidP="005922D9">
            <w:pPr>
              <w:rPr>
                <w:rFonts w:ascii="David" w:hAnsi="David"/>
                <w:sz w:val="26"/>
                <w:szCs w:val="26"/>
                <w:rtl/>
              </w:rPr>
            </w:pPr>
          </w:p>
          <w:p w14:paraId="02C2937D" w14:textId="77777777" w:rsidR="00F30E6B" w:rsidRPr="00106A33" w:rsidRDefault="00F30E6B" w:rsidP="00F30E6B">
            <w:pPr>
              <w:jc w:val="both"/>
              <w:rPr>
                <w:rFonts w:ascii="David" w:hAnsi="David"/>
                <w:sz w:val="26"/>
                <w:szCs w:val="26"/>
              </w:rPr>
            </w:pPr>
          </w:p>
        </w:tc>
      </w:tr>
      <w:tr w:rsidR="00F30E6B" w:rsidRPr="00106A33" w14:paraId="3F569804" w14:textId="77777777" w:rsidTr="00FB1E0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B34F9EE" w14:textId="77777777" w:rsidR="00F30E6B" w:rsidRPr="00106A33" w:rsidRDefault="00F30E6B" w:rsidP="00F30E6B">
            <w:pPr>
              <w:jc w:val="both"/>
              <w:rPr>
                <w:rFonts w:ascii="David" w:hAnsi="David"/>
                <w:sz w:val="26"/>
                <w:szCs w:val="26"/>
              </w:rPr>
            </w:pPr>
            <w:bookmarkStart w:id="1" w:name="FirstAppellant"/>
            <w:r w:rsidRPr="00106A33">
              <w:rPr>
                <w:rFonts w:ascii="David" w:hAnsi="David"/>
                <w:sz w:val="26"/>
                <w:szCs w:val="26"/>
                <w:rtl/>
              </w:rPr>
              <w:t>בעניין:</w:t>
            </w:r>
          </w:p>
        </w:tc>
        <w:tc>
          <w:tcPr>
            <w:tcW w:w="3219" w:type="dxa"/>
            <w:tcBorders>
              <w:top w:val="nil"/>
              <w:left w:val="nil"/>
              <w:bottom w:val="nil"/>
              <w:right w:val="nil"/>
            </w:tcBorders>
            <w:shd w:val="clear" w:color="auto" w:fill="auto"/>
          </w:tcPr>
          <w:p w14:paraId="5A64E585" w14:textId="77777777" w:rsidR="00F30E6B" w:rsidRPr="00106A33" w:rsidRDefault="00F30E6B" w:rsidP="00F30E6B">
            <w:pPr>
              <w:suppressLineNumbers/>
            </w:pPr>
            <w:r w:rsidRPr="00106A33">
              <w:rPr>
                <w:rFonts w:ascii="Arial" w:hAnsi="Arial" w:hint="cs"/>
                <w:b/>
                <w:bCs/>
                <w:sz w:val="26"/>
                <w:szCs w:val="26"/>
                <w:rtl/>
              </w:rPr>
              <w:t>ה</w:t>
            </w:r>
            <w:r w:rsidRPr="00106A33">
              <w:rPr>
                <w:rFonts w:ascii="Arial" w:hAnsi="Arial"/>
                <w:b/>
                <w:bCs/>
                <w:sz w:val="26"/>
                <w:szCs w:val="26"/>
                <w:rtl/>
              </w:rPr>
              <w:t>מאשימה</w:t>
            </w:r>
          </w:p>
          <w:p w14:paraId="6BC5F2C9" w14:textId="77777777" w:rsidR="00F30E6B" w:rsidRPr="00106A33" w:rsidRDefault="00F30E6B" w:rsidP="005922D9">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23FFF033" w14:textId="77777777" w:rsidR="00F30E6B" w:rsidRPr="00106A33" w:rsidRDefault="00F30E6B" w:rsidP="00F30E6B">
            <w:pPr>
              <w:suppressLineNumbers/>
            </w:pPr>
            <w:r w:rsidRPr="00106A33">
              <w:rPr>
                <w:rFonts w:ascii="Arial" w:hAnsi="Arial"/>
                <w:b/>
                <w:bCs/>
                <w:sz w:val="26"/>
                <w:szCs w:val="26"/>
                <w:rtl/>
              </w:rPr>
              <w:t>מדינת ישראל</w:t>
            </w:r>
          </w:p>
          <w:p w14:paraId="2CAE8CA6" w14:textId="77777777" w:rsidR="00F30E6B" w:rsidRPr="00106A33" w:rsidRDefault="00F30E6B" w:rsidP="005922D9">
            <w:pPr>
              <w:rPr>
                <w:rFonts w:ascii="David" w:hAnsi="David"/>
                <w:sz w:val="26"/>
                <w:szCs w:val="26"/>
              </w:rPr>
            </w:pPr>
          </w:p>
        </w:tc>
      </w:tr>
      <w:bookmarkEnd w:id="1"/>
      <w:tr w:rsidR="00F30E6B" w:rsidRPr="00106A33" w14:paraId="77778933" w14:textId="77777777" w:rsidTr="00FB1E0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812B7E1" w14:textId="77777777" w:rsidR="00F30E6B" w:rsidRPr="00106A33" w:rsidRDefault="00F30E6B" w:rsidP="00F30E6B">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01251832" w14:textId="77777777" w:rsidR="00F30E6B" w:rsidRPr="00106A33" w:rsidRDefault="00F30E6B" w:rsidP="00F30E6B">
            <w:pPr>
              <w:jc w:val="center"/>
              <w:rPr>
                <w:rFonts w:ascii="David" w:hAnsi="David"/>
                <w:b/>
                <w:bCs/>
                <w:sz w:val="26"/>
                <w:szCs w:val="26"/>
                <w:rtl/>
              </w:rPr>
            </w:pPr>
          </w:p>
          <w:p w14:paraId="071DE78C" w14:textId="77777777" w:rsidR="00F30E6B" w:rsidRPr="00106A33" w:rsidRDefault="00F30E6B" w:rsidP="00F30E6B">
            <w:pPr>
              <w:jc w:val="center"/>
              <w:rPr>
                <w:rFonts w:ascii="David" w:hAnsi="David"/>
                <w:b/>
                <w:bCs/>
                <w:sz w:val="26"/>
                <w:szCs w:val="26"/>
                <w:rtl/>
              </w:rPr>
            </w:pPr>
            <w:r w:rsidRPr="00106A33">
              <w:rPr>
                <w:rFonts w:ascii="David" w:hAnsi="David"/>
                <w:b/>
                <w:bCs/>
                <w:sz w:val="26"/>
                <w:szCs w:val="26"/>
                <w:rtl/>
              </w:rPr>
              <w:t>נגד</w:t>
            </w:r>
          </w:p>
          <w:p w14:paraId="21488DE0" w14:textId="77777777" w:rsidR="00F30E6B" w:rsidRPr="00106A33" w:rsidRDefault="00F30E6B" w:rsidP="00F30E6B">
            <w:pPr>
              <w:jc w:val="both"/>
              <w:rPr>
                <w:rFonts w:ascii="David" w:hAnsi="David"/>
                <w:sz w:val="26"/>
                <w:szCs w:val="26"/>
              </w:rPr>
            </w:pPr>
          </w:p>
        </w:tc>
      </w:tr>
      <w:tr w:rsidR="00F30E6B" w:rsidRPr="00106A33" w14:paraId="35BE5041" w14:textId="77777777" w:rsidTr="00FB1E0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FD76246" w14:textId="77777777" w:rsidR="00F30E6B" w:rsidRPr="00106A33" w:rsidRDefault="00F30E6B" w:rsidP="005922D9">
            <w:pPr>
              <w:rPr>
                <w:rFonts w:ascii="David" w:hAnsi="David"/>
                <w:sz w:val="26"/>
                <w:szCs w:val="26"/>
                <w:rtl/>
              </w:rPr>
            </w:pPr>
          </w:p>
        </w:tc>
        <w:tc>
          <w:tcPr>
            <w:tcW w:w="3219" w:type="dxa"/>
            <w:tcBorders>
              <w:top w:val="nil"/>
              <w:left w:val="nil"/>
              <w:bottom w:val="nil"/>
              <w:right w:val="nil"/>
            </w:tcBorders>
            <w:shd w:val="clear" w:color="auto" w:fill="auto"/>
          </w:tcPr>
          <w:p w14:paraId="44E1F983" w14:textId="77777777" w:rsidR="00F30E6B" w:rsidRPr="00106A33" w:rsidRDefault="00F30E6B" w:rsidP="005922D9">
            <w:pPr>
              <w:rPr>
                <w:rFonts w:ascii="Arial" w:hAnsi="Arial"/>
                <w:b/>
                <w:bCs/>
                <w:sz w:val="26"/>
                <w:szCs w:val="26"/>
                <w:rtl/>
              </w:rPr>
            </w:pPr>
            <w:r w:rsidRPr="00106A33">
              <w:rPr>
                <w:rFonts w:ascii="Arial" w:hAnsi="Arial"/>
                <w:b/>
                <w:bCs/>
                <w:sz w:val="26"/>
                <w:szCs w:val="26"/>
                <w:rtl/>
              </w:rPr>
              <w:t>הנאשמים</w:t>
            </w:r>
          </w:p>
        </w:tc>
        <w:tc>
          <w:tcPr>
            <w:tcW w:w="4678" w:type="dxa"/>
            <w:gridSpan w:val="3"/>
            <w:tcBorders>
              <w:top w:val="nil"/>
              <w:left w:val="nil"/>
              <w:bottom w:val="nil"/>
              <w:right w:val="nil"/>
            </w:tcBorders>
            <w:shd w:val="clear" w:color="auto" w:fill="auto"/>
            <w:vAlign w:val="center"/>
          </w:tcPr>
          <w:p w14:paraId="2C2DE784" w14:textId="77777777" w:rsidR="00F30E6B" w:rsidRPr="00106A33" w:rsidRDefault="00F30E6B" w:rsidP="00F30E6B">
            <w:pPr>
              <w:suppressLineNumbers/>
            </w:pPr>
            <w:r w:rsidRPr="00106A33">
              <w:rPr>
                <w:rFonts w:ascii="Arial" w:hAnsi="Arial"/>
                <w:b/>
                <w:bCs/>
                <w:sz w:val="26"/>
                <w:szCs w:val="26"/>
                <w:rtl/>
              </w:rPr>
              <w:t>זהר אלבחירי</w:t>
            </w:r>
          </w:p>
          <w:p w14:paraId="78176D05" w14:textId="77777777" w:rsidR="00F30E6B" w:rsidRPr="00106A33" w:rsidRDefault="00F30E6B" w:rsidP="005922D9">
            <w:pPr>
              <w:rPr>
                <w:rFonts w:ascii="David" w:hAnsi="David"/>
                <w:sz w:val="26"/>
                <w:szCs w:val="26"/>
              </w:rPr>
            </w:pPr>
          </w:p>
        </w:tc>
      </w:tr>
    </w:tbl>
    <w:p w14:paraId="611995C4" w14:textId="77777777" w:rsidR="00FB1E05" w:rsidRDefault="00FB1E05" w:rsidP="00106A33">
      <w:pPr>
        <w:rPr>
          <w:sz w:val="26"/>
          <w:szCs w:val="26"/>
          <w:rtl/>
        </w:rPr>
      </w:pPr>
    </w:p>
    <w:p w14:paraId="2D937D56" w14:textId="77777777" w:rsidR="00FB1E05" w:rsidRPr="00FB1E05" w:rsidRDefault="00FB1E05" w:rsidP="00FB1E05">
      <w:pPr>
        <w:spacing w:after="120" w:line="240" w:lineRule="exact"/>
        <w:ind w:left="283" w:hanging="283"/>
        <w:jc w:val="both"/>
        <w:rPr>
          <w:rFonts w:ascii="FrankRuehl" w:hAnsi="FrankRuehl" w:cs="FrankRuehl"/>
          <w:rtl/>
        </w:rPr>
      </w:pPr>
    </w:p>
    <w:p w14:paraId="0E3C0CC2" w14:textId="77777777" w:rsidR="00E22E95" w:rsidRPr="00E22E95" w:rsidRDefault="00E22E95" w:rsidP="00E22E95">
      <w:pPr>
        <w:spacing w:before="120" w:after="120" w:line="240" w:lineRule="exact"/>
        <w:ind w:left="283" w:hanging="283"/>
        <w:jc w:val="both"/>
        <w:rPr>
          <w:rFonts w:ascii="FrankRuehl" w:hAnsi="FrankRuehl" w:cs="FrankRuehl"/>
          <w:rtl/>
        </w:rPr>
      </w:pPr>
    </w:p>
    <w:p w14:paraId="30C23104" w14:textId="77777777" w:rsidR="009A255E" w:rsidRDefault="009A255E" w:rsidP="009A255E">
      <w:pPr>
        <w:rPr>
          <w:sz w:val="26"/>
          <w:szCs w:val="26"/>
          <w:rtl/>
        </w:rPr>
      </w:pPr>
      <w:bookmarkStart w:id="2" w:name="LawTable"/>
      <w:bookmarkEnd w:id="2"/>
    </w:p>
    <w:p w14:paraId="24DF2552" w14:textId="77777777" w:rsidR="009A255E" w:rsidRPr="009A255E" w:rsidRDefault="009A255E" w:rsidP="009A255E">
      <w:pPr>
        <w:spacing w:before="120" w:after="120" w:line="240" w:lineRule="exact"/>
        <w:ind w:left="283" w:hanging="283"/>
        <w:jc w:val="both"/>
        <w:rPr>
          <w:rFonts w:ascii="FrankRuehl" w:hAnsi="FrankRuehl" w:cs="FrankRuehl"/>
          <w:rtl/>
        </w:rPr>
      </w:pPr>
    </w:p>
    <w:p w14:paraId="1FA77D7A" w14:textId="77777777" w:rsidR="009A255E" w:rsidRPr="009A255E" w:rsidRDefault="009A255E" w:rsidP="009A255E">
      <w:pPr>
        <w:spacing w:before="120" w:after="120" w:line="240" w:lineRule="exact"/>
        <w:ind w:left="283" w:hanging="283"/>
        <w:jc w:val="both"/>
        <w:rPr>
          <w:rFonts w:ascii="FrankRuehl" w:hAnsi="FrankRuehl" w:cs="FrankRuehl"/>
          <w:rtl/>
        </w:rPr>
      </w:pPr>
    </w:p>
    <w:p w14:paraId="77857E1E" w14:textId="77777777" w:rsidR="009A255E" w:rsidRPr="009A255E" w:rsidRDefault="009A255E" w:rsidP="009A255E">
      <w:pPr>
        <w:spacing w:before="120" w:after="120" w:line="240" w:lineRule="exact"/>
        <w:ind w:left="283" w:hanging="283"/>
        <w:jc w:val="both"/>
        <w:rPr>
          <w:rFonts w:ascii="FrankRuehl" w:hAnsi="FrankRuehl" w:cs="FrankRuehl"/>
          <w:rtl/>
        </w:rPr>
      </w:pPr>
      <w:r w:rsidRPr="009A255E">
        <w:rPr>
          <w:rFonts w:ascii="FrankRuehl" w:hAnsi="FrankRuehl" w:cs="FrankRuehl"/>
          <w:rtl/>
        </w:rPr>
        <w:t xml:space="preserve">חקיקה שאוזכרה: </w:t>
      </w:r>
    </w:p>
    <w:p w14:paraId="57444C11" w14:textId="77777777" w:rsidR="009A255E" w:rsidRPr="009A255E" w:rsidRDefault="009A255E" w:rsidP="009A255E">
      <w:pPr>
        <w:spacing w:before="120" w:after="120" w:line="240" w:lineRule="exact"/>
        <w:ind w:left="283" w:hanging="283"/>
        <w:jc w:val="both"/>
        <w:rPr>
          <w:rFonts w:ascii="FrankRuehl" w:hAnsi="FrankRuehl" w:cs="FrankRuehl"/>
          <w:rtl/>
        </w:rPr>
      </w:pPr>
      <w:hyperlink r:id="rId7" w:history="1">
        <w:r w:rsidRPr="009A255E">
          <w:rPr>
            <w:rFonts w:ascii="FrankRuehl" w:hAnsi="FrankRuehl" w:cs="FrankRuehl"/>
            <w:color w:val="0000FF"/>
            <w:rtl/>
          </w:rPr>
          <w:t>חוק העונשין, תשל"ז-1977</w:t>
        </w:r>
      </w:hyperlink>
      <w:r w:rsidRPr="009A255E">
        <w:rPr>
          <w:rFonts w:ascii="FrankRuehl" w:hAnsi="FrankRuehl" w:cs="FrankRuehl"/>
          <w:rtl/>
        </w:rPr>
        <w:t xml:space="preserve">: סע'  </w:t>
      </w:r>
      <w:hyperlink r:id="rId8" w:history="1">
        <w:r w:rsidRPr="009A255E">
          <w:rPr>
            <w:rFonts w:ascii="FrankRuehl" w:hAnsi="FrankRuehl" w:cs="FrankRuehl"/>
            <w:color w:val="0000FF"/>
            <w:rtl/>
          </w:rPr>
          <w:t>40 ט</w:t>
        </w:r>
      </w:hyperlink>
      <w:r w:rsidRPr="009A255E">
        <w:rPr>
          <w:rFonts w:ascii="FrankRuehl" w:hAnsi="FrankRuehl" w:cs="FrankRuehl"/>
          <w:rtl/>
        </w:rPr>
        <w:t xml:space="preserve">, </w:t>
      </w:r>
      <w:hyperlink r:id="rId9" w:history="1">
        <w:r w:rsidRPr="009A255E">
          <w:rPr>
            <w:rFonts w:ascii="FrankRuehl" w:hAnsi="FrankRuehl" w:cs="FrankRuehl"/>
            <w:color w:val="0000FF"/>
            <w:rtl/>
          </w:rPr>
          <w:t>144(א)</w:t>
        </w:r>
      </w:hyperlink>
      <w:r w:rsidRPr="009A255E">
        <w:rPr>
          <w:rFonts w:ascii="FrankRuehl" w:hAnsi="FrankRuehl" w:cs="FrankRuehl"/>
          <w:rtl/>
        </w:rPr>
        <w:t xml:space="preserve">, </w:t>
      </w:r>
      <w:hyperlink r:id="rId10" w:history="1">
        <w:r w:rsidRPr="009A255E">
          <w:rPr>
            <w:rFonts w:ascii="FrankRuehl" w:hAnsi="FrankRuehl" w:cs="FrankRuehl"/>
            <w:color w:val="0000FF"/>
            <w:rtl/>
          </w:rPr>
          <w:t>144(ז)</w:t>
        </w:r>
      </w:hyperlink>
    </w:p>
    <w:p w14:paraId="72271C16" w14:textId="77777777" w:rsidR="009A255E" w:rsidRPr="009A255E" w:rsidRDefault="009A255E" w:rsidP="009A255E">
      <w:pPr>
        <w:rPr>
          <w:sz w:val="26"/>
          <w:szCs w:val="26"/>
          <w:rtl/>
        </w:rPr>
      </w:pPr>
      <w:bookmarkStart w:id="3" w:name="LawTable_End"/>
      <w:bookmarkEnd w:id="3"/>
    </w:p>
    <w:p w14:paraId="616D781E" w14:textId="77777777" w:rsidR="00F30E6B" w:rsidRPr="00E22E95" w:rsidRDefault="00F30E6B" w:rsidP="00E22E95">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30E6B" w14:paraId="05AE2829" w14:textId="77777777" w:rsidTr="00F30E6B">
        <w:trPr>
          <w:trHeight w:val="355"/>
          <w:jc w:val="center"/>
        </w:trPr>
        <w:tc>
          <w:tcPr>
            <w:tcW w:w="8820" w:type="dxa"/>
            <w:tcBorders>
              <w:top w:val="nil"/>
              <w:left w:val="nil"/>
              <w:bottom w:val="nil"/>
              <w:right w:val="nil"/>
            </w:tcBorders>
            <w:shd w:val="clear" w:color="auto" w:fill="auto"/>
          </w:tcPr>
          <w:p w14:paraId="3FA6081E" w14:textId="77777777" w:rsidR="00106A33" w:rsidRPr="00106A33" w:rsidRDefault="00106A33" w:rsidP="00106A33">
            <w:pPr>
              <w:jc w:val="center"/>
              <w:rPr>
                <w:rFonts w:ascii="David" w:hAnsi="David"/>
                <w:b/>
                <w:bCs/>
                <w:sz w:val="32"/>
                <w:szCs w:val="32"/>
                <w:u w:val="single"/>
                <w:rtl/>
              </w:rPr>
            </w:pPr>
            <w:bookmarkStart w:id="4" w:name="PsakDin" w:colFirst="0" w:colLast="0"/>
            <w:bookmarkEnd w:id="0"/>
            <w:r w:rsidRPr="00106A33">
              <w:rPr>
                <w:rFonts w:ascii="David" w:hAnsi="David"/>
                <w:b/>
                <w:bCs/>
                <w:sz w:val="32"/>
                <w:szCs w:val="32"/>
                <w:u w:val="single"/>
                <w:rtl/>
              </w:rPr>
              <w:t>גזר דין</w:t>
            </w:r>
          </w:p>
          <w:p w14:paraId="5F922BFB" w14:textId="77777777" w:rsidR="00F30E6B" w:rsidRPr="00106A33" w:rsidRDefault="00F30E6B" w:rsidP="00106A33">
            <w:pPr>
              <w:jc w:val="center"/>
              <w:rPr>
                <w:rFonts w:ascii="David" w:hAnsi="David"/>
                <w:bCs/>
                <w:sz w:val="32"/>
                <w:szCs w:val="32"/>
                <w:u w:val="single"/>
                <w:rtl/>
              </w:rPr>
            </w:pPr>
          </w:p>
        </w:tc>
      </w:tr>
      <w:bookmarkEnd w:id="4"/>
    </w:tbl>
    <w:p w14:paraId="0547568F" w14:textId="77777777" w:rsidR="00F30E6B" w:rsidRPr="000F2247" w:rsidRDefault="00F30E6B" w:rsidP="00F30E6B">
      <w:pPr>
        <w:rPr>
          <w:rFonts w:ascii="Arial" w:hAnsi="Arial"/>
          <w:b/>
          <w:bCs/>
          <w:sz w:val="26"/>
          <w:szCs w:val="26"/>
          <w:rtl/>
        </w:rPr>
      </w:pPr>
    </w:p>
    <w:p w14:paraId="1CD05F21" w14:textId="77777777" w:rsidR="00F30E6B" w:rsidRPr="0039534F" w:rsidRDefault="00F30E6B" w:rsidP="00F30E6B">
      <w:pPr>
        <w:spacing w:after="160" w:line="360" w:lineRule="auto"/>
        <w:rPr>
          <w:rFonts w:ascii="David" w:hAnsi="David"/>
          <w:b/>
          <w:bCs/>
          <w:u w:val="single"/>
          <w:rtl/>
        </w:rPr>
      </w:pPr>
      <w:r w:rsidRPr="0039534F">
        <w:rPr>
          <w:rFonts w:ascii="David" w:hAnsi="David"/>
          <w:b/>
          <w:bCs/>
          <w:u w:val="single"/>
          <w:rtl/>
        </w:rPr>
        <w:t>רקע</w:t>
      </w:r>
    </w:p>
    <w:p w14:paraId="00DE2ACA" w14:textId="77777777" w:rsidR="00F30E6B" w:rsidRPr="0039534F" w:rsidRDefault="00F30E6B" w:rsidP="00F30E6B">
      <w:pPr>
        <w:numPr>
          <w:ilvl w:val="0"/>
          <w:numId w:val="4"/>
        </w:numPr>
        <w:spacing w:after="160" w:line="360" w:lineRule="auto"/>
        <w:contextualSpacing/>
        <w:rPr>
          <w:rFonts w:ascii="David" w:hAnsi="David"/>
          <w:rtl/>
        </w:rPr>
      </w:pPr>
      <w:bookmarkStart w:id="5" w:name="ABSTRACT_START"/>
      <w:bookmarkEnd w:id="5"/>
      <w:r w:rsidRPr="0039534F">
        <w:rPr>
          <w:rFonts w:ascii="David" w:hAnsi="David"/>
          <w:rtl/>
        </w:rPr>
        <w:t xml:space="preserve">הנאשם הורשע עפ"י הודאתו ביום 9.6.21 בעובדות כתב האישום המתוקן בעבירה של החזקת נשק שלא כדין לפי </w:t>
      </w:r>
      <w:hyperlink r:id="rId11" w:history="1">
        <w:r w:rsidR="00FB1E05" w:rsidRPr="00FB1E05">
          <w:rPr>
            <w:rStyle w:val="Hyperlink"/>
            <w:rFonts w:ascii="David" w:hAnsi="David"/>
            <w:rtl/>
          </w:rPr>
          <w:t>סעיף 144(א)</w:t>
        </w:r>
      </w:hyperlink>
      <w:r w:rsidRPr="0039534F">
        <w:rPr>
          <w:rFonts w:ascii="David" w:hAnsi="David"/>
          <w:rtl/>
        </w:rPr>
        <w:t xml:space="preserve"> ל</w:t>
      </w:r>
      <w:hyperlink r:id="rId12" w:history="1">
        <w:r w:rsidR="00106A33" w:rsidRPr="00106A33">
          <w:rPr>
            <w:rFonts w:ascii="David" w:hAnsi="David"/>
            <w:color w:val="0000FF"/>
            <w:u w:val="single"/>
            <w:rtl/>
          </w:rPr>
          <w:t>חוק העונשין</w:t>
        </w:r>
      </w:hyperlink>
      <w:r w:rsidRPr="0039534F">
        <w:rPr>
          <w:rFonts w:ascii="David" w:hAnsi="David"/>
          <w:rtl/>
        </w:rPr>
        <w:t xml:space="preserve">, תשל"ז – 1977 (להלן: חוק העונשין), ובעבירה של החזקת תחמושת שלא כדין, לפי </w:t>
      </w:r>
      <w:hyperlink r:id="rId13" w:history="1">
        <w:r w:rsidR="00FB1E05" w:rsidRPr="00FB1E05">
          <w:rPr>
            <w:rStyle w:val="Hyperlink"/>
            <w:rFonts w:ascii="David" w:hAnsi="David"/>
            <w:rtl/>
          </w:rPr>
          <w:t>סעיף 144(א)</w:t>
        </w:r>
      </w:hyperlink>
      <w:r w:rsidRPr="0039534F">
        <w:rPr>
          <w:rFonts w:ascii="David" w:hAnsi="David"/>
          <w:rtl/>
        </w:rPr>
        <w:t xml:space="preserve"> סיפא לחוק העונשין.</w:t>
      </w:r>
    </w:p>
    <w:p w14:paraId="661C4AE4" w14:textId="77777777" w:rsidR="00F30E6B" w:rsidRPr="0039534F" w:rsidRDefault="00F30E6B" w:rsidP="00F30E6B">
      <w:pPr>
        <w:numPr>
          <w:ilvl w:val="0"/>
          <w:numId w:val="4"/>
        </w:numPr>
        <w:spacing w:after="160" w:line="360" w:lineRule="auto"/>
        <w:contextualSpacing/>
        <w:rPr>
          <w:rFonts w:ascii="David" w:hAnsi="David"/>
          <w:rtl/>
        </w:rPr>
      </w:pPr>
      <w:r w:rsidRPr="0039534F">
        <w:rPr>
          <w:rFonts w:ascii="David" w:hAnsi="David"/>
          <w:rtl/>
        </w:rPr>
        <w:t xml:space="preserve">עפ"י עובדות כתב האישום המתוקן, ביום 17.1.21 החזיק הנאשם בביתו שבפזורת לקיה, במזוודת מתכת מעל ארון המטבח באקדח חצי אוטומטי מסוג </w:t>
      </w:r>
      <w:r w:rsidRPr="0039534F">
        <w:rPr>
          <w:rFonts w:ascii="David" w:hAnsi="David"/>
        </w:rPr>
        <w:t>FN</w:t>
      </w:r>
      <w:r w:rsidRPr="0039534F">
        <w:rPr>
          <w:rFonts w:ascii="David" w:hAnsi="David"/>
          <w:rtl/>
        </w:rPr>
        <w:t xml:space="preserve">, מודל </w:t>
      </w:r>
      <w:r w:rsidRPr="0039534F">
        <w:rPr>
          <w:rFonts w:ascii="David" w:hAnsi="David"/>
        </w:rPr>
        <w:t>HP-35</w:t>
      </w:r>
      <w:r w:rsidRPr="0039534F">
        <w:rPr>
          <w:rFonts w:ascii="David" w:hAnsi="David"/>
          <w:rtl/>
        </w:rPr>
        <w:t xml:space="preserve"> מספר סידורי </w:t>
      </w:r>
      <w:r w:rsidRPr="0039534F">
        <w:rPr>
          <w:rFonts w:ascii="David" w:hAnsi="David"/>
        </w:rPr>
        <w:t>FA01244</w:t>
      </w:r>
      <w:r w:rsidRPr="0039534F">
        <w:rPr>
          <w:rFonts w:ascii="David" w:hAnsi="David"/>
          <w:rtl/>
        </w:rPr>
        <w:t>, שבתוכו מחסנית, מחסנית אקדח נוספת וכן בחמש קופסאות תחמושת שהכילו 213 כדורי 9 מ"מ.</w:t>
      </w:r>
    </w:p>
    <w:p w14:paraId="6671FFEB" w14:textId="77777777" w:rsidR="00F30E6B" w:rsidRPr="0039534F" w:rsidRDefault="00F30E6B" w:rsidP="00F30E6B">
      <w:pPr>
        <w:numPr>
          <w:ilvl w:val="0"/>
          <w:numId w:val="4"/>
        </w:numPr>
        <w:spacing w:after="160" w:line="360" w:lineRule="auto"/>
        <w:contextualSpacing/>
        <w:rPr>
          <w:rFonts w:ascii="David" w:hAnsi="David"/>
          <w:rtl/>
        </w:rPr>
      </w:pPr>
      <w:bookmarkStart w:id="6" w:name="ABSTRACT_END"/>
      <w:bookmarkEnd w:id="6"/>
      <w:r w:rsidRPr="0039534F">
        <w:rPr>
          <w:rFonts w:ascii="David" w:hAnsi="David"/>
          <w:rtl/>
        </w:rPr>
        <w:t>בין הצדדים לא גובש הסדר לעניין העונש, אך הוסכם כי הנאשם יעתור לקבלת תסקיר שירות מבחן והמאשימה תשאיר הדבר לשיקול דעת בית המשפט. בעקבות הסדר הטיעון הורה בית המשפט לשירות המבחן לערוך תסקיר בעניינו של הנאשם.</w:t>
      </w:r>
    </w:p>
    <w:p w14:paraId="3E73BFAD" w14:textId="77777777" w:rsidR="00F30E6B" w:rsidRPr="0039534F" w:rsidRDefault="00F30E6B" w:rsidP="00F30E6B">
      <w:pPr>
        <w:numPr>
          <w:ilvl w:val="0"/>
          <w:numId w:val="4"/>
        </w:numPr>
        <w:spacing w:after="160" w:line="360" w:lineRule="auto"/>
        <w:contextualSpacing/>
        <w:rPr>
          <w:rFonts w:ascii="David" w:hAnsi="David"/>
          <w:rtl/>
        </w:rPr>
      </w:pPr>
      <w:r w:rsidRPr="0039534F">
        <w:rPr>
          <w:rFonts w:ascii="David" w:hAnsi="David"/>
          <w:b/>
          <w:bCs/>
          <w:rtl/>
        </w:rPr>
        <w:t>מתסקיר שירות המבחן</w:t>
      </w:r>
      <w:r w:rsidRPr="0039534F">
        <w:rPr>
          <w:rFonts w:ascii="David" w:hAnsi="David"/>
          <w:rtl/>
        </w:rPr>
        <w:t xml:space="preserve"> עולה כי הנאשם נעדר עבר פלילי, וסיים 12 שנות לימוד. הנאשם נשוי ואב לארבעה ילדים בטווח הגילאים שנתיים עד תשע, כאשר שניים מילדיו סובלים </w:t>
      </w:r>
      <w:r w:rsidRPr="0039534F">
        <w:rPr>
          <w:rFonts w:ascii="David" w:hAnsi="David"/>
          <w:rtl/>
        </w:rPr>
        <w:lastRenderedPageBreak/>
        <w:t xml:space="preserve">מבעיות רפואיות בכליות ובלב. מזה כשנתיים וחצי הינו עצמאי, בעל חנות למוצרי עישון ונרגילות. </w:t>
      </w:r>
    </w:p>
    <w:p w14:paraId="798D1980" w14:textId="77777777" w:rsidR="00F30E6B" w:rsidRPr="0039534F" w:rsidRDefault="00F30E6B" w:rsidP="00F30E6B">
      <w:pPr>
        <w:spacing w:after="160" w:line="360" w:lineRule="auto"/>
        <w:ind w:left="720"/>
        <w:contextualSpacing/>
        <w:rPr>
          <w:rFonts w:ascii="David" w:hAnsi="David"/>
          <w:rtl/>
        </w:rPr>
      </w:pPr>
      <w:r w:rsidRPr="0039534F">
        <w:rPr>
          <w:rFonts w:ascii="David" w:hAnsi="David"/>
          <w:rtl/>
        </w:rPr>
        <w:t>יצויין כי בשל טעות סופר, תסקיר שירות המבחן ציין בראשיתו כי הנאשם הורשע בביצוע עבירות החזקת סם שלא לצריכה עצמית והסתייעות ברכב לעבור עבירה. עם זאת, ניכר באופן ברור מהמשך התסקיר בעניינו, כי שירות המבחן מתייחס לעבירות החזקת הנשק בהן הורשע הנאשם, ולא לעבירות אחרות, ובכך התמקד התסקיר.</w:t>
      </w:r>
    </w:p>
    <w:p w14:paraId="3518328B" w14:textId="77777777" w:rsidR="00F30E6B" w:rsidRPr="0039534F" w:rsidRDefault="00F30E6B" w:rsidP="00F30E6B">
      <w:pPr>
        <w:spacing w:after="160" w:line="360" w:lineRule="auto"/>
        <w:ind w:left="720"/>
        <w:contextualSpacing/>
        <w:rPr>
          <w:rFonts w:ascii="David" w:hAnsi="David"/>
          <w:rtl/>
        </w:rPr>
      </w:pPr>
      <w:r w:rsidRPr="0039534F">
        <w:rPr>
          <w:rFonts w:ascii="David" w:hAnsi="David"/>
          <w:rtl/>
        </w:rPr>
        <w:t xml:space="preserve">אשר לביצוע העבירות, עולה מהתסקיר כי הנאשם לוקח אחריות חלקית. לדבריו, במסגרת עבודתו בחנות הכיר חברה שולית אשר הפעילה עליו לחץ חברתי לרכוש את הנשק. </w:t>
      </w:r>
    </w:p>
    <w:p w14:paraId="7C57DFD3" w14:textId="77777777" w:rsidR="00F30E6B" w:rsidRPr="0039534F" w:rsidRDefault="00F30E6B" w:rsidP="00F30E6B">
      <w:pPr>
        <w:spacing w:after="160" w:line="360" w:lineRule="auto"/>
        <w:ind w:left="720"/>
        <w:contextualSpacing/>
        <w:rPr>
          <w:rFonts w:ascii="David" w:hAnsi="David"/>
          <w:rtl/>
        </w:rPr>
      </w:pPr>
      <w:r w:rsidRPr="0039534F">
        <w:rPr>
          <w:rFonts w:ascii="David" w:hAnsi="David"/>
          <w:rtl/>
        </w:rPr>
        <w:t>בסופו של יום, ולאחר שהנאשם הביע נכונות להשתלב בקבוצה טיפולית, שירות המבחן בא בהמלצה להטיל עליו צו מבחן למשך שנה במסגרתו יופנה לקבוצה טיפולית, וכן המליץ על ענישה מוחשית בדמות עבודות שירות ומאסר מותנה.</w:t>
      </w:r>
    </w:p>
    <w:p w14:paraId="52329FFB" w14:textId="77777777" w:rsidR="00F30E6B" w:rsidRPr="0039534F" w:rsidRDefault="00F30E6B" w:rsidP="00F30E6B">
      <w:pPr>
        <w:spacing w:after="160" w:line="360" w:lineRule="auto"/>
        <w:rPr>
          <w:rFonts w:ascii="David" w:hAnsi="David"/>
          <w:rtl/>
        </w:rPr>
      </w:pPr>
    </w:p>
    <w:p w14:paraId="7B30439C" w14:textId="77777777" w:rsidR="00F30E6B" w:rsidRPr="0039534F" w:rsidRDefault="00F30E6B" w:rsidP="00F30E6B">
      <w:pPr>
        <w:spacing w:after="160" w:line="360" w:lineRule="auto"/>
        <w:rPr>
          <w:rFonts w:ascii="David" w:hAnsi="David"/>
          <w:b/>
          <w:bCs/>
          <w:u w:val="single"/>
          <w:rtl/>
        </w:rPr>
      </w:pPr>
      <w:r w:rsidRPr="0039534F">
        <w:rPr>
          <w:rFonts w:ascii="David" w:hAnsi="David"/>
          <w:b/>
          <w:bCs/>
          <w:u w:val="single"/>
          <w:rtl/>
        </w:rPr>
        <w:t>טענות הצדדים</w:t>
      </w:r>
    </w:p>
    <w:p w14:paraId="059EB94D" w14:textId="77777777" w:rsidR="00F30E6B" w:rsidRPr="0039534F" w:rsidRDefault="00F30E6B" w:rsidP="00F30E6B">
      <w:pPr>
        <w:numPr>
          <w:ilvl w:val="0"/>
          <w:numId w:val="4"/>
        </w:numPr>
        <w:spacing w:after="160" w:line="360" w:lineRule="auto"/>
        <w:contextualSpacing/>
        <w:rPr>
          <w:rFonts w:ascii="David" w:hAnsi="David"/>
          <w:rtl/>
        </w:rPr>
      </w:pPr>
      <w:r w:rsidRPr="0039534F">
        <w:rPr>
          <w:rFonts w:ascii="David" w:hAnsi="David"/>
          <w:rtl/>
        </w:rPr>
        <w:t>בטיעוניה לעונש הדגישה ב"כ המאשימה את חומרת העבירות ואת הסיכון הטמון בהן לשלום הציבור ובטחונו. ב"כ המאשימה הפנתה למדיניות הענישה הנהוגה, להנחיית פרקליט המדינה 9.16 "</w:t>
      </w:r>
      <w:r w:rsidRPr="0039534F">
        <w:rPr>
          <w:rFonts w:ascii="David" w:hAnsi="David"/>
          <w:b/>
          <w:bCs/>
          <w:rtl/>
        </w:rPr>
        <w:t xml:space="preserve">מדיניות ענישה בעבירות נשק ומטעני חבלה", </w:t>
      </w:r>
      <w:r w:rsidRPr="0039534F">
        <w:rPr>
          <w:rFonts w:ascii="David" w:hAnsi="David"/>
          <w:rtl/>
        </w:rPr>
        <w:t>וכן לדברי ההסבר לתיקון מס' 140 ל</w:t>
      </w:r>
      <w:hyperlink r:id="rId14" w:history="1">
        <w:r w:rsidR="00106A33" w:rsidRPr="00106A33">
          <w:rPr>
            <w:rFonts w:ascii="David" w:hAnsi="David"/>
            <w:color w:val="0000FF"/>
            <w:u w:val="single"/>
            <w:rtl/>
          </w:rPr>
          <w:t>חוק העונשין</w:t>
        </w:r>
      </w:hyperlink>
      <w:r w:rsidRPr="0039534F">
        <w:rPr>
          <w:rFonts w:ascii="David" w:hAnsi="David"/>
          <w:rtl/>
        </w:rPr>
        <w:t>, על אף שהדגישה כי התיקון לא חל בעניינו של הנאשם. עם זאת, ביקשה המאשימה לקבוע מתחם ענישה לאור התיקון לחוק וברוחו. לעמדתה, ענישה בגין עבירות נשק צריכה לכלול רכיב עונשי של מאסר בפועל, אף אם מדובר בעבירה ראשונה. לאור האמור, טענה המאשימה כי מתחם העונש ההולם את העבירות בהן הורשע הנאשם נע בין 18 ל-36 חודשי מאסר בפועל בצירוף ענישה נלווית, ואשר לעונש המתאים לנאשם, עתרה  ב"כ המאשימה, למקם את עונשו בחלקו הנמוך של המתחם, אך לא בתחתיתו.</w:t>
      </w:r>
    </w:p>
    <w:p w14:paraId="35377BBE" w14:textId="77777777" w:rsidR="00F30E6B" w:rsidRPr="0039534F" w:rsidRDefault="00F30E6B" w:rsidP="00F30E6B">
      <w:pPr>
        <w:numPr>
          <w:ilvl w:val="0"/>
          <w:numId w:val="4"/>
        </w:numPr>
        <w:spacing w:after="160" w:line="360" w:lineRule="auto"/>
        <w:contextualSpacing/>
        <w:rPr>
          <w:rFonts w:ascii="David" w:hAnsi="David"/>
          <w:rtl/>
        </w:rPr>
      </w:pPr>
      <w:r w:rsidRPr="0039534F">
        <w:rPr>
          <w:rFonts w:ascii="David" w:hAnsi="David"/>
          <w:b/>
          <w:bCs/>
          <w:rtl/>
        </w:rPr>
        <w:t>ב"כ הנאשם</w:t>
      </w:r>
      <w:r w:rsidRPr="0039534F">
        <w:rPr>
          <w:rFonts w:ascii="David" w:hAnsi="David"/>
          <w:rtl/>
        </w:rPr>
        <w:t xml:space="preserve"> הפנה לפסיקה הנוהגת ולענישה הכוללת מאסר לריצוי בעבודות שירות, והדגיש כי נסיבות ביצוע העבירות בהן הורשע הנאשם אינן עולות בקנה אחד עם הפסיקה אליה הפנתה המאשימה. כמו כן, הגיש סיכום מידע רפואי בנוגע לאחד מילדיו של הנאשם (סומן נ/1), ועתר לאמץ את המלצת שירות המבחן בשל הודיית הנאשם במיוחס לו, החיסכון בזמן השיפוטי והיותו נעדר עבר פלילי.</w:t>
      </w:r>
    </w:p>
    <w:p w14:paraId="2C92E76A" w14:textId="77777777" w:rsidR="00F30E6B" w:rsidRPr="0039534F" w:rsidRDefault="00F30E6B" w:rsidP="00F30E6B">
      <w:pPr>
        <w:shd w:val="clear" w:color="auto" w:fill="FFFFFF"/>
        <w:spacing w:line="360" w:lineRule="atLeast"/>
        <w:jc w:val="both"/>
        <w:rPr>
          <w:rFonts w:cs="Times New Roman"/>
          <w:color w:val="000000"/>
        </w:rPr>
      </w:pPr>
      <w:r w:rsidRPr="0039534F">
        <w:rPr>
          <w:rFonts w:ascii="David" w:hAnsi="David"/>
          <w:b/>
          <w:bCs/>
          <w:color w:val="000000"/>
          <w:u w:val="single"/>
          <w:rtl/>
        </w:rPr>
        <w:t>דברי הנאשם</w:t>
      </w:r>
      <w:r w:rsidRPr="0039534F">
        <w:rPr>
          <w:rFonts w:ascii="David" w:hAnsi="David"/>
          <w:color w:val="000000"/>
          <w:rtl/>
        </w:rPr>
        <w:t>:</w:t>
      </w:r>
    </w:p>
    <w:p w14:paraId="1AC49A9D" w14:textId="77777777" w:rsidR="00F30E6B" w:rsidRPr="0039534F" w:rsidRDefault="00106A33" w:rsidP="00F30E6B">
      <w:pPr>
        <w:shd w:val="clear" w:color="auto" w:fill="FFFFFF"/>
        <w:spacing w:line="360" w:lineRule="atLeast"/>
        <w:jc w:val="both"/>
        <w:rPr>
          <w:rFonts w:cs="Times New Roman"/>
          <w:color w:val="000000"/>
          <w:rtl/>
        </w:rPr>
      </w:pPr>
      <w:r>
        <w:rPr>
          <w:rFonts w:ascii="David" w:hAnsi="David"/>
          <w:color w:val="000000"/>
          <w:rtl/>
        </w:rPr>
        <w:t xml:space="preserve"> </w:t>
      </w:r>
    </w:p>
    <w:p w14:paraId="036C28FE" w14:textId="77777777" w:rsidR="00F30E6B" w:rsidRPr="0039534F" w:rsidRDefault="00F30E6B" w:rsidP="00F30E6B">
      <w:pPr>
        <w:numPr>
          <w:ilvl w:val="0"/>
          <w:numId w:val="4"/>
        </w:numPr>
        <w:shd w:val="clear" w:color="auto" w:fill="FFFFFF"/>
        <w:spacing w:line="360" w:lineRule="atLeast"/>
        <w:contextualSpacing/>
        <w:rPr>
          <w:rFonts w:ascii="David" w:hAnsi="David"/>
          <w:color w:val="000000"/>
          <w:rtl/>
        </w:rPr>
      </w:pPr>
      <w:r w:rsidRPr="0039534F">
        <w:rPr>
          <w:rFonts w:ascii="David" w:hAnsi="David"/>
          <w:color w:val="000000"/>
          <w:rtl/>
        </w:rPr>
        <w:t>בדבריו לבית המשפט הודה הנאשם בטעות שעשה, הצטער על ביצוע העבירה וציין את מעורבותו בטיפול בילדיו החולים.</w:t>
      </w:r>
    </w:p>
    <w:p w14:paraId="676D5557" w14:textId="77777777" w:rsidR="00F30E6B" w:rsidRPr="0039534F" w:rsidRDefault="00F30E6B" w:rsidP="00F30E6B">
      <w:pPr>
        <w:spacing w:after="160" w:line="360" w:lineRule="auto"/>
        <w:rPr>
          <w:rFonts w:ascii="David" w:hAnsi="David"/>
          <w:rtl/>
        </w:rPr>
      </w:pPr>
    </w:p>
    <w:p w14:paraId="686FC5DE" w14:textId="77777777" w:rsidR="00F30E6B" w:rsidRPr="0039534F" w:rsidRDefault="00F30E6B" w:rsidP="00F30E6B">
      <w:pPr>
        <w:spacing w:after="160" w:line="360" w:lineRule="auto"/>
        <w:rPr>
          <w:rFonts w:ascii="David" w:hAnsi="David"/>
          <w:b/>
          <w:bCs/>
          <w:u w:val="single"/>
          <w:rtl/>
        </w:rPr>
      </w:pPr>
      <w:r w:rsidRPr="0039534F">
        <w:rPr>
          <w:rFonts w:ascii="David" w:hAnsi="David"/>
          <w:b/>
          <w:bCs/>
          <w:u w:val="single"/>
          <w:rtl/>
        </w:rPr>
        <w:t>קביעת מתחם העונש ההולם:</w:t>
      </w:r>
    </w:p>
    <w:p w14:paraId="2306B8A1" w14:textId="77777777" w:rsidR="00F30E6B" w:rsidRPr="0039534F" w:rsidRDefault="00F30E6B" w:rsidP="00F30E6B">
      <w:pPr>
        <w:numPr>
          <w:ilvl w:val="0"/>
          <w:numId w:val="4"/>
        </w:numPr>
        <w:spacing w:after="160" w:line="360" w:lineRule="auto"/>
        <w:contextualSpacing/>
        <w:jc w:val="both"/>
        <w:rPr>
          <w:rFonts w:ascii="David" w:hAnsi="David"/>
          <w:rtl/>
        </w:rPr>
      </w:pPr>
      <w:r w:rsidRPr="0039534F">
        <w:rPr>
          <w:rFonts w:ascii="David" w:hAnsi="David"/>
          <w:rtl/>
        </w:rPr>
        <w:lastRenderedPageBreak/>
        <w:t>מתחם העונש ההולם למעשה העבירה נקבע בהתאם לעיקרון ההלימה ולפיו נדרש יחס הולם בין חומרת מעשה העבירה בנסיבותיו ומידת אשמו של הנאשם, לבין סוג ומידת העונש המוטל עליו. ביישום עיקרון ההלימה וקביעת מתחם העונש במקרה קונקרטי, בית המשפט יתחשב בשלושת אלה:  הערך החברתי שנפגע ומידת הפגיעה בו, מדיניות הענישה הנוהגת ונסיבות הקשורות בביצוע העבירה.</w:t>
      </w:r>
    </w:p>
    <w:p w14:paraId="53E5D04E" w14:textId="77777777" w:rsidR="00F30E6B" w:rsidRPr="0039534F" w:rsidRDefault="00F30E6B" w:rsidP="00F30E6B">
      <w:pPr>
        <w:spacing w:after="160" w:line="360" w:lineRule="auto"/>
        <w:ind w:left="720"/>
        <w:rPr>
          <w:rFonts w:ascii="David" w:hAnsi="David"/>
          <w:rtl/>
        </w:rPr>
      </w:pPr>
      <w:r w:rsidRPr="0039534F">
        <w:rPr>
          <w:rFonts w:ascii="David" w:hAnsi="David"/>
          <w:rtl/>
        </w:rPr>
        <w:t xml:space="preserve">כתב האישום מתאר מסכת עבריינית אחת של החזקת נשק ותחמושת, ועל כן יש לראות בהם </w:t>
      </w:r>
      <w:r w:rsidRPr="0039534F">
        <w:rPr>
          <w:rFonts w:ascii="David" w:hAnsi="David"/>
          <w:b/>
          <w:bCs/>
          <w:rtl/>
        </w:rPr>
        <w:t>אירוע אחד</w:t>
      </w:r>
      <w:r w:rsidRPr="0039534F">
        <w:rPr>
          <w:rFonts w:ascii="David" w:hAnsi="David"/>
          <w:rtl/>
        </w:rPr>
        <w:t xml:space="preserve"> אשר יש לקבוע בגינו מתחם עונש הולם אחד.</w:t>
      </w:r>
    </w:p>
    <w:p w14:paraId="327515AE" w14:textId="77777777" w:rsidR="00F30E6B" w:rsidRPr="0039534F" w:rsidRDefault="00F30E6B" w:rsidP="00F30E6B">
      <w:pPr>
        <w:spacing w:after="160" w:line="360" w:lineRule="auto"/>
        <w:ind w:left="720"/>
        <w:rPr>
          <w:rFonts w:ascii="David" w:hAnsi="David"/>
          <w:rtl/>
        </w:rPr>
      </w:pPr>
      <w:r w:rsidRPr="0039534F">
        <w:rPr>
          <w:rFonts w:ascii="David" w:hAnsi="David"/>
          <w:rtl/>
        </w:rPr>
        <w:t>עבירות הנשק למיניהן, ובכללן, העבירות בהן הורשע הנאשם, טומנות בחובן את הסיכון לשלום הציבור ולביטחונו. במקרים רבים, עבירות הנשק מקדימות ביצוע מעשים פליליים חמורים ומסוכנים. ניסיון החיים</w:t>
      </w:r>
      <w:r w:rsidRPr="0039534F">
        <w:rPr>
          <w:rFonts w:ascii="David" w:hAnsi="David"/>
          <w:rtl/>
        </w:rPr>
        <w:softHyphen/>
      </w:r>
      <w:r w:rsidRPr="0039534F">
        <w:rPr>
          <w:rFonts w:ascii="David" w:hAnsi="David"/>
        </w:rPr>
        <w:t xml:space="preserve"> </w:t>
      </w:r>
      <w:r w:rsidRPr="0039534F">
        <w:rPr>
          <w:rFonts w:ascii="David" w:hAnsi="David"/>
          <w:rtl/>
        </w:rPr>
        <w:t>מלמדנו כי נשק המוחזק שלא כדין עלול במהרה למצוא את דרכו לידיים</w:t>
      </w:r>
      <w:r w:rsidRPr="0039534F">
        <w:rPr>
          <w:rFonts w:ascii="David" w:hAnsi="David"/>
          <w:rtl/>
        </w:rPr>
        <w:softHyphen/>
      </w:r>
      <w:r w:rsidRPr="0039534F">
        <w:rPr>
          <w:rFonts w:ascii="David" w:hAnsi="David"/>
        </w:rPr>
        <w:t xml:space="preserve"> </w:t>
      </w:r>
      <w:r w:rsidRPr="0039534F">
        <w:rPr>
          <w:rFonts w:ascii="David" w:hAnsi="David"/>
          <w:rtl/>
        </w:rPr>
        <w:t>עוינות אשר יעשו בו שימוש למטרות פליליות או ביטחוניות. עם זאת, יודגש, כי אין חומרת העבירה של החזקת נשק טמונה בכוונותיו של המחזיק בנשק, אלא בהחזקה עצמה ובסיכון  הפוטנציאלי שגלום</w:t>
      </w:r>
      <w:r w:rsidRPr="0039534F">
        <w:rPr>
          <w:rFonts w:ascii="David" w:hAnsi="David"/>
          <w:rtl/>
        </w:rPr>
        <w:softHyphen/>
      </w:r>
      <w:r w:rsidRPr="0039534F">
        <w:rPr>
          <w:rFonts w:ascii="David" w:hAnsi="David"/>
        </w:rPr>
        <w:t xml:space="preserve"> </w:t>
      </w:r>
      <w:r w:rsidRPr="0039534F">
        <w:rPr>
          <w:rFonts w:ascii="David" w:hAnsi="David"/>
          <w:rtl/>
        </w:rPr>
        <w:t>בה. לא פעם, סכסוך של מה בכך עלול להסלים במהירות לאירוע קטלני אך ורק בשל קיומו של נשק בהישג יד</w:t>
      </w:r>
      <w:r w:rsidRPr="0039534F">
        <w:rPr>
          <w:rFonts w:ascii="David" w:hAnsi="David"/>
        </w:rPr>
        <w:t>.</w:t>
      </w:r>
    </w:p>
    <w:p w14:paraId="50CD89C7" w14:textId="77777777" w:rsidR="00F30E6B" w:rsidRPr="0039534F" w:rsidRDefault="00F30E6B" w:rsidP="00F30E6B">
      <w:pPr>
        <w:spacing w:line="330" w:lineRule="atLeast"/>
        <w:ind w:left="720"/>
        <w:jc w:val="both"/>
        <w:rPr>
          <w:rFonts w:ascii="David" w:hAnsi="David"/>
          <w:color w:val="000000"/>
          <w:spacing w:val="10"/>
        </w:rPr>
      </w:pPr>
      <w:r w:rsidRPr="0039534F">
        <w:rPr>
          <w:rFonts w:ascii="David" w:hAnsi="David"/>
          <w:color w:val="000000"/>
          <w:spacing w:val="10"/>
          <w:shd w:val="clear" w:color="auto" w:fill="FFFFFF"/>
          <w:rtl/>
        </w:rPr>
        <w:t>בעניין זה, יפים הדברים שקבע כבוד השופט</w:t>
      </w:r>
      <w:r w:rsidR="00106A33">
        <w:rPr>
          <w:rFonts w:ascii="David" w:hAnsi="David"/>
          <w:color w:val="000000"/>
          <w:spacing w:val="10"/>
          <w:shd w:val="clear" w:color="auto" w:fill="FFFFFF"/>
          <w:rtl/>
        </w:rPr>
        <w:t xml:space="preserve"> </w:t>
      </w:r>
      <w:r w:rsidRPr="0039534F">
        <w:rPr>
          <w:rFonts w:ascii="David" w:hAnsi="David"/>
          <w:color w:val="000000"/>
          <w:shd w:val="clear" w:color="auto" w:fill="FFFFFF"/>
          <w:rtl/>
        </w:rPr>
        <w:t>מ' מזוז</w:t>
      </w:r>
      <w:r w:rsidR="00106A33">
        <w:rPr>
          <w:rFonts w:ascii="David" w:hAnsi="David"/>
          <w:color w:val="000000"/>
          <w:spacing w:val="10"/>
          <w:shd w:val="clear" w:color="auto" w:fill="FFFFFF"/>
          <w:rtl/>
        </w:rPr>
        <w:t xml:space="preserve"> </w:t>
      </w:r>
      <w:r w:rsidRPr="0039534F">
        <w:rPr>
          <w:rFonts w:ascii="David" w:hAnsi="David"/>
          <w:color w:val="000000"/>
          <w:spacing w:val="10"/>
          <w:shd w:val="clear" w:color="auto" w:fill="FFFFFF"/>
          <w:rtl/>
        </w:rPr>
        <w:t>ב</w:t>
      </w:r>
      <w:hyperlink r:id="rId15" w:history="1">
        <w:r w:rsidR="00106A33" w:rsidRPr="00106A33">
          <w:rPr>
            <w:rFonts w:ascii="David" w:hAnsi="David"/>
            <w:color w:val="0000FF"/>
            <w:spacing w:val="10"/>
            <w:u w:val="single"/>
            <w:rtl/>
          </w:rPr>
          <w:t>ע"פ 4406/19</w:t>
        </w:r>
      </w:hyperlink>
      <w:r w:rsidR="00106A33">
        <w:rPr>
          <w:rFonts w:ascii="David" w:hAnsi="David"/>
          <w:spacing w:val="10"/>
          <w:rtl/>
        </w:rPr>
        <w:t xml:space="preserve"> </w:t>
      </w:r>
      <w:r w:rsidRPr="0039534F">
        <w:rPr>
          <w:rFonts w:ascii="David" w:hAnsi="David"/>
          <w:spacing w:val="10"/>
          <w:rtl/>
        </w:rPr>
        <w:t>‏</w:t>
      </w:r>
      <w:r w:rsidRPr="0039534F">
        <w:rPr>
          <w:rFonts w:ascii="David" w:hAnsi="David"/>
          <w:color w:val="000000"/>
          <w:rtl/>
        </w:rPr>
        <w:t>מדינת ישראל נ' סובח</w:t>
      </w:r>
      <w:r w:rsidR="00106A33">
        <w:rPr>
          <w:rFonts w:ascii="David" w:hAnsi="David"/>
          <w:color w:val="000000"/>
          <w:spacing w:val="10"/>
          <w:shd w:val="clear" w:color="auto" w:fill="FFFFFF"/>
          <w:rtl/>
        </w:rPr>
        <w:t xml:space="preserve"> </w:t>
      </w:r>
      <w:r w:rsidRPr="0039534F">
        <w:rPr>
          <w:rFonts w:ascii="David" w:hAnsi="David"/>
          <w:color w:val="000000"/>
          <w:shd w:val="clear" w:color="auto" w:fill="FFFFFF"/>
          <w:rtl/>
        </w:rPr>
        <w:t>[פורסם בנבו]</w:t>
      </w:r>
      <w:r w:rsidR="00106A33">
        <w:rPr>
          <w:rFonts w:ascii="David" w:hAnsi="David"/>
          <w:color w:val="000000"/>
          <w:shd w:val="clear" w:color="auto" w:fill="FFFFFF"/>
          <w:rtl/>
        </w:rPr>
        <w:t xml:space="preserve"> </w:t>
      </w:r>
      <w:r w:rsidRPr="0039534F">
        <w:rPr>
          <w:rFonts w:ascii="David" w:hAnsi="David"/>
          <w:color w:val="000000"/>
          <w:spacing w:val="10"/>
          <w:shd w:val="clear" w:color="auto" w:fill="FFFFFF"/>
          <w:rtl/>
        </w:rPr>
        <w:t xml:space="preserve">(5.11.2019): </w:t>
      </w:r>
    </w:p>
    <w:p w14:paraId="782B81C3" w14:textId="77777777" w:rsidR="00F30E6B" w:rsidRPr="0039534F" w:rsidRDefault="00106A33" w:rsidP="00F30E6B">
      <w:pPr>
        <w:spacing w:line="330" w:lineRule="atLeast"/>
        <w:jc w:val="both"/>
        <w:rPr>
          <w:rFonts w:ascii="David" w:hAnsi="David"/>
          <w:color w:val="000000"/>
          <w:spacing w:val="10"/>
          <w:rtl/>
        </w:rPr>
      </w:pPr>
      <w:r>
        <w:rPr>
          <w:rFonts w:ascii="David" w:hAnsi="David"/>
          <w:color w:val="000000"/>
          <w:spacing w:val="10"/>
          <w:shd w:val="clear" w:color="auto" w:fill="FFFFFF"/>
          <w:rtl/>
        </w:rPr>
        <w:t xml:space="preserve"> </w:t>
      </w:r>
    </w:p>
    <w:p w14:paraId="381E1A50" w14:textId="77777777" w:rsidR="00F30E6B" w:rsidRPr="0039534F" w:rsidRDefault="00F30E6B" w:rsidP="00F30E6B">
      <w:pPr>
        <w:spacing w:line="360" w:lineRule="auto"/>
        <w:ind w:left="1642" w:right="1282"/>
        <w:jc w:val="both"/>
        <w:rPr>
          <w:rFonts w:ascii="David" w:hAnsi="David"/>
          <w:b/>
          <w:bCs/>
          <w:i/>
          <w:iCs/>
          <w:color w:val="000000"/>
          <w:spacing w:val="10"/>
          <w:rtl/>
        </w:rPr>
      </w:pPr>
      <w:r w:rsidRPr="0039534F">
        <w:rPr>
          <w:rFonts w:ascii="David" w:hAnsi="David"/>
          <w:b/>
          <w:bCs/>
          <w:i/>
          <w:iCs/>
          <w:color w:val="000000"/>
          <w:spacing w:val="10"/>
          <w:rtl/>
        </w:rPr>
        <w:t>"התופעה של החזקת נשק שלא כדין על ידי אזרחים מהווה איום על שלום הציבור ועל הסדר הציבורי. היא התשתית ו'הגורם בלעדו איין</w:t>
      </w:r>
      <w:r w:rsidRPr="0039534F">
        <w:rPr>
          <w:rFonts w:ascii="David" w:hAnsi="David"/>
          <w:b/>
          <w:bCs/>
          <w:i/>
          <w:iCs/>
          <w:color w:val="000000"/>
          <w:spacing w:val="10"/>
        </w:rPr>
        <w:t>(causa sine qua non)</w:t>
      </w:r>
      <w:r w:rsidR="00106A33">
        <w:rPr>
          <w:rFonts w:ascii="David" w:hAnsi="David"/>
          <w:b/>
          <w:bCs/>
          <w:i/>
          <w:iCs/>
          <w:color w:val="000000"/>
          <w:spacing w:val="10"/>
        </w:rPr>
        <w:t xml:space="preserve"> </w:t>
      </w:r>
      <w:r w:rsidRPr="0039534F">
        <w:rPr>
          <w:rFonts w:ascii="David" w:hAnsi="David"/>
          <w:b/>
          <w:bCs/>
          <w:i/>
          <w:iCs/>
          <w:color w:val="000000"/>
          <w:spacing w:val="10"/>
          <w:rtl/>
        </w:rPr>
        <w:t>' למגוון רחב של עבירות, החל בעבירות איומים ושוד מזוין, המשך בעבירות גרימת חבלה חמורה וכלה בעבירות המתה. לעתים קרובות הנשק הבלתי חוקי נרכש מלכתחילה למטרות עבירה, ואף אם הנשק נרכש למטרות 'הגנה עצמית', הזמינות של הנשק מעודדת את השימוש בו לביצוע עבירות שונות ולהחרפת תוצאותיהן.</w:t>
      </w:r>
    </w:p>
    <w:p w14:paraId="75E44E4B" w14:textId="77777777" w:rsidR="00F30E6B" w:rsidRPr="0039534F" w:rsidRDefault="00106A33" w:rsidP="00F30E6B">
      <w:pPr>
        <w:spacing w:line="360" w:lineRule="auto"/>
        <w:ind w:left="1642" w:right="1282"/>
        <w:jc w:val="both"/>
        <w:rPr>
          <w:rFonts w:ascii="David" w:hAnsi="David"/>
          <w:b/>
          <w:bCs/>
          <w:i/>
          <w:iCs/>
          <w:color w:val="000000"/>
          <w:spacing w:val="10"/>
          <w:rtl/>
        </w:rPr>
      </w:pPr>
      <w:r>
        <w:rPr>
          <w:rFonts w:ascii="David" w:hAnsi="David"/>
          <w:b/>
          <w:bCs/>
          <w:i/>
          <w:iCs/>
          <w:color w:val="000000"/>
          <w:spacing w:val="10"/>
          <w:rtl/>
        </w:rPr>
        <w:t xml:space="preserve"> </w:t>
      </w:r>
    </w:p>
    <w:p w14:paraId="529C8E47" w14:textId="77777777" w:rsidR="00F30E6B" w:rsidRPr="0039534F" w:rsidRDefault="00F30E6B" w:rsidP="00F30E6B">
      <w:pPr>
        <w:spacing w:line="360" w:lineRule="auto"/>
        <w:ind w:left="1642" w:right="1282"/>
        <w:jc w:val="both"/>
        <w:rPr>
          <w:rFonts w:ascii="David" w:hAnsi="David"/>
          <w:b/>
          <w:bCs/>
          <w:i/>
          <w:iCs/>
          <w:color w:val="000000"/>
          <w:spacing w:val="10"/>
          <w:rtl/>
        </w:rPr>
      </w:pPr>
      <w:r w:rsidRPr="0039534F">
        <w:rPr>
          <w:rFonts w:ascii="David" w:hAnsi="David"/>
          <w:b/>
          <w:bCs/>
          <w:i/>
          <w:iCs/>
          <w:color w:val="000000"/>
          <w:spacing w:val="10"/>
          <w:rtl/>
        </w:rPr>
        <w:t>על כן, המאבק בתופעות האלימות החמורות בחברה הישראלית בהן נעשה שימוש בנשק מחייב, מעבר למאמץ 'לשים יד' על כלי הנשק הבלתי חוקיים הרבים שבידי הציבור, גם ענישה מחמירה ומרתיעה בעבירות נשק, לרבות על עצם החזקה או רכישה שלא כדין של נשק</w:t>
      </w:r>
      <w:r w:rsidR="00106A33">
        <w:rPr>
          <w:rFonts w:ascii="David" w:hAnsi="David"/>
          <w:b/>
          <w:bCs/>
          <w:i/>
          <w:iCs/>
          <w:color w:val="000000"/>
          <w:spacing w:val="10"/>
          <w:shd w:val="clear" w:color="auto" w:fill="FFFFFF"/>
          <w:rtl/>
        </w:rPr>
        <w:t xml:space="preserve"> </w:t>
      </w:r>
      <w:r w:rsidRPr="0039534F">
        <w:rPr>
          <w:rFonts w:ascii="David" w:hAnsi="David"/>
          <w:b/>
          <w:bCs/>
          <w:i/>
          <w:iCs/>
          <w:color w:val="000000"/>
          <w:spacing w:val="10"/>
          <w:shd w:val="clear" w:color="auto" w:fill="FFFFFF"/>
          <w:rtl/>
        </w:rPr>
        <w:t>[...]</w:t>
      </w:r>
      <w:r w:rsidR="00106A33">
        <w:rPr>
          <w:rFonts w:ascii="David" w:hAnsi="David"/>
          <w:b/>
          <w:bCs/>
          <w:i/>
          <w:iCs/>
          <w:color w:val="000000"/>
          <w:spacing w:val="10"/>
          <w:shd w:val="clear" w:color="auto" w:fill="FFFFFF"/>
          <w:rtl/>
        </w:rPr>
        <w:t xml:space="preserve"> </w:t>
      </w:r>
      <w:r w:rsidRPr="0039534F">
        <w:rPr>
          <w:rFonts w:ascii="David" w:hAnsi="David"/>
          <w:b/>
          <w:bCs/>
          <w:i/>
          <w:iCs/>
          <w:color w:val="000000"/>
          <w:spacing w:val="10"/>
          <w:rtl/>
        </w:rPr>
        <w:t>ביעור תופעת החזקת כלי נשק בלתי חוקיים הוא אפוא אינטרס ציבורי מהמעלה הראשונה ותנאי הכרחי למאבק בתופעות הפשיעה האלימה לסוגיה הרווחות במקומותינו, בבחינת 'ייבוש הביצה' המשמשת ערש לגידולן של תופעות אלה. מהלך כזה מחייב הירתמות גם של בתי המשפט, על ידי ענישה מחמירה ומרתיעה לעבירות נשק בלתי חוקי באשר הן, וכל שכן מקום שנעשה בנשק כזה שימוש בביצוע עבירות אלימות לסוגיהן".</w:t>
      </w:r>
    </w:p>
    <w:p w14:paraId="5B0B1D85" w14:textId="77777777" w:rsidR="00F30E6B" w:rsidRPr="0039534F" w:rsidRDefault="00F30E6B" w:rsidP="00F30E6B">
      <w:pPr>
        <w:spacing w:line="360" w:lineRule="auto"/>
        <w:ind w:left="1642" w:right="1282"/>
        <w:jc w:val="both"/>
        <w:rPr>
          <w:rFonts w:ascii="David" w:hAnsi="David"/>
          <w:b/>
          <w:bCs/>
          <w:i/>
          <w:iCs/>
          <w:color w:val="000000"/>
          <w:spacing w:val="10"/>
          <w:rtl/>
        </w:rPr>
      </w:pPr>
    </w:p>
    <w:p w14:paraId="54786E74" w14:textId="77777777" w:rsidR="00F30E6B" w:rsidRPr="0039534F" w:rsidRDefault="00F30E6B" w:rsidP="00F30E6B">
      <w:pPr>
        <w:shd w:val="clear" w:color="auto" w:fill="FFFFFF"/>
        <w:spacing w:line="360" w:lineRule="atLeast"/>
        <w:ind w:firstLine="720"/>
        <w:jc w:val="both"/>
        <w:rPr>
          <w:rFonts w:ascii="David" w:hAnsi="David"/>
          <w:rtl/>
        </w:rPr>
      </w:pPr>
      <w:r w:rsidRPr="0039534F">
        <w:rPr>
          <w:rFonts w:ascii="David" w:hAnsi="David"/>
          <w:rtl/>
        </w:rPr>
        <w:t>כך נקבע אף ב</w:t>
      </w:r>
      <w:hyperlink r:id="rId16" w:history="1">
        <w:r w:rsidR="00106A33" w:rsidRPr="00106A33">
          <w:rPr>
            <w:rFonts w:ascii="David" w:hAnsi="David"/>
            <w:color w:val="0000FF"/>
            <w:u w:val="single"/>
            <w:rtl/>
          </w:rPr>
          <w:t>ע"פ 7502/12</w:t>
        </w:r>
      </w:hyperlink>
      <w:r w:rsidR="00106A33">
        <w:rPr>
          <w:rFonts w:ascii="David" w:hAnsi="David"/>
          <w:rtl/>
        </w:rPr>
        <w:t xml:space="preserve"> </w:t>
      </w:r>
      <w:r w:rsidRPr="0039534F">
        <w:rPr>
          <w:rFonts w:ascii="David" w:hAnsi="David"/>
          <w:rtl/>
        </w:rPr>
        <w:t>‏</w:t>
      </w:r>
      <w:r w:rsidRPr="0039534F">
        <w:rPr>
          <w:rFonts w:ascii="Miriam" w:hAnsi="Miriam" w:cs="Miriam" w:hint="eastAsia"/>
          <w:rtl/>
        </w:rPr>
        <w:t>כוויס</w:t>
      </w:r>
      <w:r w:rsidRPr="0039534F">
        <w:rPr>
          <w:rFonts w:ascii="Miriam" w:hAnsi="Miriam" w:cs="Miriam"/>
          <w:rtl/>
        </w:rPr>
        <w:t xml:space="preserve"> </w:t>
      </w:r>
      <w:r w:rsidRPr="0039534F">
        <w:rPr>
          <w:rFonts w:ascii="Miriam" w:hAnsi="Miriam" w:cs="Miriam" w:hint="eastAsia"/>
          <w:rtl/>
        </w:rPr>
        <w:t>נ</w:t>
      </w:r>
      <w:r w:rsidRPr="0039534F">
        <w:rPr>
          <w:rFonts w:ascii="Miriam" w:hAnsi="Miriam" w:cs="Miriam"/>
          <w:rtl/>
        </w:rPr>
        <w:t xml:space="preserve">' </w:t>
      </w:r>
      <w:r w:rsidRPr="0039534F">
        <w:rPr>
          <w:rFonts w:ascii="Miriam" w:hAnsi="Miriam" w:cs="Miriam" w:hint="eastAsia"/>
          <w:rtl/>
        </w:rPr>
        <w:t>מדינת</w:t>
      </w:r>
      <w:r w:rsidRPr="0039534F">
        <w:rPr>
          <w:rFonts w:ascii="Miriam" w:hAnsi="Miriam" w:cs="Miriam"/>
          <w:rtl/>
        </w:rPr>
        <w:t xml:space="preserve"> </w:t>
      </w:r>
      <w:r w:rsidRPr="0039534F">
        <w:rPr>
          <w:rFonts w:ascii="Miriam" w:hAnsi="Miriam" w:cs="Miriam" w:hint="eastAsia"/>
          <w:rtl/>
        </w:rPr>
        <w:t>ישראל</w:t>
      </w:r>
      <w:r w:rsidR="00106A33">
        <w:rPr>
          <w:rFonts w:ascii="David" w:hAnsi="David"/>
          <w:rtl/>
        </w:rPr>
        <w:t xml:space="preserve"> </w:t>
      </w:r>
      <w:r w:rsidRPr="0039534F">
        <w:rPr>
          <w:rFonts w:ascii="David" w:hAnsi="David"/>
          <w:rtl/>
        </w:rPr>
        <w:t>[פורסם בנבו]</w:t>
      </w:r>
      <w:r w:rsidR="00106A33">
        <w:rPr>
          <w:rFonts w:ascii="David" w:hAnsi="David"/>
          <w:rtl/>
        </w:rPr>
        <w:t xml:space="preserve"> </w:t>
      </w:r>
      <w:r w:rsidRPr="0039534F">
        <w:rPr>
          <w:rFonts w:ascii="David" w:hAnsi="David"/>
          <w:rtl/>
        </w:rPr>
        <w:t>(25.6.2013):</w:t>
      </w:r>
    </w:p>
    <w:p w14:paraId="2B322AA3" w14:textId="77777777" w:rsidR="00F30E6B" w:rsidRPr="0039534F" w:rsidRDefault="00106A33" w:rsidP="00F30E6B">
      <w:pPr>
        <w:shd w:val="clear" w:color="auto" w:fill="FFFFFF"/>
        <w:spacing w:line="360" w:lineRule="atLeast"/>
        <w:rPr>
          <w:rFonts w:ascii="David" w:hAnsi="David"/>
          <w:b/>
          <w:bCs/>
          <w:i/>
          <w:iCs/>
          <w:color w:val="000000"/>
          <w:rtl/>
        </w:rPr>
      </w:pPr>
      <w:r>
        <w:rPr>
          <w:rFonts w:ascii="David" w:hAnsi="David"/>
          <w:b/>
          <w:bCs/>
          <w:i/>
          <w:iCs/>
          <w:color w:val="000000"/>
          <w:rtl/>
        </w:rPr>
        <w:t xml:space="preserve">  </w:t>
      </w:r>
    </w:p>
    <w:p w14:paraId="3E9A8888" w14:textId="77777777" w:rsidR="00F30E6B" w:rsidRPr="0039534F" w:rsidRDefault="00F30E6B" w:rsidP="00F30E6B">
      <w:pPr>
        <w:shd w:val="clear" w:color="auto" w:fill="FFFFFF"/>
        <w:spacing w:line="360" w:lineRule="atLeast"/>
        <w:ind w:left="720"/>
        <w:rPr>
          <w:rFonts w:ascii="David" w:hAnsi="David"/>
          <w:b/>
          <w:bCs/>
          <w:i/>
          <w:iCs/>
          <w:color w:val="000000"/>
          <w:rtl/>
        </w:rPr>
      </w:pPr>
      <w:r w:rsidRPr="0039534F">
        <w:rPr>
          <w:rFonts w:ascii="David" w:hAnsi="David"/>
          <w:b/>
          <w:bCs/>
          <w:i/>
          <w:iCs/>
          <w:color w:val="000000"/>
          <w:rtl/>
        </w:rPr>
        <w:t xml:space="preserve">"עבירות בנשק לסוגיהן מגלמות בתוכן סיכון ממשי לשלום הציבור ולביטחונו, שכן לא ניתן לדעת להיכן יתגלגלו כלי הנשק המוחזקים שלא כדין, ואיזה שימוש יעשה בהם בעתיד" </w:t>
      </w:r>
    </w:p>
    <w:p w14:paraId="497490AA" w14:textId="77777777" w:rsidR="00F30E6B" w:rsidRPr="0039534F" w:rsidRDefault="00F30E6B" w:rsidP="00F30E6B">
      <w:pPr>
        <w:shd w:val="clear" w:color="auto" w:fill="FFFFFF"/>
        <w:spacing w:line="360" w:lineRule="atLeast"/>
        <w:rPr>
          <w:rFonts w:ascii="David" w:hAnsi="David"/>
          <w:color w:val="000000"/>
          <w:rtl/>
        </w:rPr>
      </w:pPr>
    </w:p>
    <w:p w14:paraId="17DE99A2" w14:textId="77777777" w:rsidR="00F30E6B" w:rsidRPr="0039534F" w:rsidRDefault="00F30E6B" w:rsidP="00F30E6B">
      <w:pPr>
        <w:shd w:val="clear" w:color="auto" w:fill="FFFFFF"/>
        <w:spacing w:line="360" w:lineRule="atLeast"/>
        <w:ind w:left="720"/>
        <w:jc w:val="both"/>
        <w:rPr>
          <w:rFonts w:cs="Times New Roman"/>
          <w:color w:val="000000"/>
          <w:rtl/>
        </w:rPr>
      </w:pPr>
      <w:r w:rsidRPr="0039534F">
        <w:rPr>
          <w:rFonts w:ascii="David" w:hAnsi="David"/>
          <w:color w:val="000000"/>
          <w:rtl/>
        </w:rPr>
        <w:t>בית המשפט העליון עמד, לא אחת, על חומרתן הרבה של עבירות הנשק למיניהן, על פוטנציאל הסיכון הרב הטמון בהן, לרבות העבירה של החזקת נשק שלא כדין, ועל התוצאות הקשות והרות-הגורל שעלולות להיגרם מביצוע עבירות בנשק.</w:t>
      </w:r>
    </w:p>
    <w:p w14:paraId="51B8A774" w14:textId="77777777" w:rsidR="00F30E6B" w:rsidRPr="0039534F" w:rsidRDefault="00106A33" w:rsidP="00F30E6B">
      <w:pPr>
        <w:shd w:val="clear" w:color="auto" w:fill="FFFFFF"/>
        <w:spacing w:line="360" w:lineRule="atLeast"/>
        <w:jc w:val="both"/>
        <w:rPr>
          <w:rFonts w:cs="Times New Roman"/>
          <w:color w:val="000000"/>
          <w:rtl/>
        </w:rPr>
      </w:pPr>
      <w:r>
        <w:rPr>
          <w:rFonts w:ascii="David" w:hAnsi="David"/>
          <w:color w:val="000000"/>
          <w:rtl/>
        </w:rPr>
        <w:t xml:space="preserve"> </w:t>
      </w:r>
    </w:p>
    <w:p w14:paraId="33FCF18C" w14:textId="77777777" w:rsidR="00F30E6B" w:rsidRPr="0039534F" w:rsidRDefault="00F30E6B" w:rsidP="00F30E6B">
      <w:pPr>
        <w:spacing w:after="160" w:line="360" w:lineRule="auto"/>
        <w:ind w:left="720"/>
        <w:rPr>
          <w:rFonts w:ascii="David" w:hAnsi="David"/>
          <w:rtl/>
        </w:rPr>
      </w:pPr>
      <w:r w:rsidRPr="0039534F">
        <w:rPr>
          <w:rFonts w:ascii="David" w:hAnsi="David"/>
          <w:rtl/>
        </w:rPr>
        <w:t>עם זאת, בכל הנוגע לחומרת העבירה, לא ניתן לכרוך את כלל עבירות הנשק בכריכה אחת, כאשר עבירות אלה נחלקות למדרגי חומרה שונים, ואין דומה עבירה של סחר בנשק לעבירה של החזקת נשק. ככלל, הענישה הקבועה בחוק לעבירות הנשק השונות מבטאת מדרג חומרה יחסי.</w:t>
      </w:r>
      <w:r w:rsidRPr="0039534F">
        <w:rPr>
          <w:rFonts w:ascii="David" w:hAnsi="David"/>
        </w:rPr>
        <w:t xml:space="preserve"> </w:t>
      </w:r>
      <w:r w:rsidRPr="0039534F">
        <w:rPr>
          <w:rFonts w:ascii="David" w:hAnsi="David"/>
          <w:rtl/>
        </w:rPr>
        <w:t>מעבר לאמור, על בית המשפט</w:t>
      </w:r>
      <w:r w:rsidRPr="0039534F">
        <w:rPr>
          <w:rFonts w:ascii="David" w:hAnsi="David"/>
          <w:rtl/>
        </w:rPr>
        <w:softHyphen/>
      </w:r>
      <w:r w:rsidRPr="0039534F">
        <w:rPr>
          <w:rFonts w:ascii="David" w:hAnsi="David"/>
        </w:rPr>
        <w:t xml:space="preserve"> </w:t>
      </w:r>
      <w:r w:rsidRPr="0039534F">
        <w:rPr>
          <w:rFonts w:ascii="David" w:hAnsi="David"/>
          <w:rtl/>
        </w:rPr>
        <w:t>לשקול ולהביא בחשבון את סוג הנשק המוחזק שלא כדין, את כמותו, את התכלית שלשמה הוא הוחזק ואת הסכנה המוחשית שיעשה בו שימוש.</w:t>
      </w:r>
    </w:p>
    <w:p w14:paraId="09CB4AA0" w14:textId="77777777" w:rsidR="00F30E6B" w:rsidRPr="0039534F" w:rsidRDefault="00F30E6B" w:rsidP="00F30E6B">
      <w:pPr>
        <w:spacing w:line="360" w:lineRule="auto"/>
        <w:ind w:left="720" w:right="1282"/>
        <w:jc w:val="both"/>
        <w:rPr>
          <w:rFonts w:ascii="David" w:hAnsi="David"/>
          <w:b/>
          <w:bCs/>
          <w:i/>
          <w:iCs/>
          <w:color w:val="000000"/>
          <w:spacing w:val="10"/>
          <w:rtl/>
        </w:rPr>
      </w:pPr>
      <w:r w:rsidRPr="0039534F">
        <w:rPr>
          <w:rFonts w:ascii="David" w:hAnsi="David"/>
          <w:rtl/>
        </w:rPr>
        <w:t>כבר עתה ניתן לומר כי לנוכח סוג הנשק שנתפס ברשותו של הנאשם</w:t>
      </w:r>
      <w:r w:rsidRPr="0039534F">
        <w:rPr>
          <w:rFonts w:ascii="David" w:hAnsi="David"/>
          <w:rtl/>
        </w:rPr>
        <w:softHyphen/>
      </w:r>
      <w:r w:rsidRPr="0039534F">
        <w:rPr>
          <w:rFonts w:ascii="David" w:hAnsi="David"/>
        </w:rPr>
        <w:t xml:space="preserve">, </w:t>
      </w:r>
      <w:r w:rsidRPr="0039534F">
        <w:rPr>
          <w:rFonts w:ascii="David" w:hAnsi="David"/>
          <w:rtl/>
        </w:rPr>
        <w:t>לאור העובדה כי מדובר בנשק בודד, לאור סוג הנשק והתחמושת, ובהתחשב ביתר נסיבות ביצוע העבירה, אשר יפורטו בהמשך, מצאתי כי מידת הפגיעה של הנאשם</w:t>
      </w:r>
      <w:r w:rsidRPr="0039534F">
        <w:rPr>
          <w:rFonts w:ascii="David" w:hAnsi="David"/>
        </w:rPr>
        <w:t xml:space="preserve"> </w:t>
      </w:r>
      <w:r w:rsidRPr="0039534F">
        <w:rPr>
          <w:rFonts w:ascii="David" w:hAnsi="David"/>
          <w:rtl/>
        </w:rPr>
        <w:t>בערכים</w:t>
      </w:r>
      <w:r w:rsidRPr="0039534F">
        <w:rPr>
          <w:rFonts w:ascii="David" w:hAnsi="David"/>
          <w:rtl/>
        </w:rPr>
        <w:softHyphen/>
      </w:r>
      <w:r w:rsidRPr="0039534F">
        <w:rPr>
          <w:rFonts w:ascii="David" w:hAnsi="David"/>
        </w:rPr>
        <w:t xml:space="preserve"> </w:t>
      </w:r>
      <w:r w:rsidRPr="0039534F">
        <w:rPr>
          <w:rFonts w:ascii="David" w:hAnsi="David"/>
          <w:rtl/>
        </w:rPr>
        <w:t>המוגני</w:t>
      </w:r>
      <w:r w:rsidRPr="0039534F">
        <w:rPr>
          <w:rFonts w:ascii="David" w:hAnsi="David"/>
          <w:rtl/>
        </w:rPr>
        <w:softHyphen/>
        <w:t>ם אינה מצויה ברף הגבוה</w:t>
      </w:r>
      <w:r w:rsidRPr="0039534F">
        <w:rPr>
          <w:rFonts w:ascii="David" w:hAnsi="David"/>
        </w:rPr>
        <w:t>.</w:t>
      </w:r>
    </w:p>
    <w:p w14:paraId="56FA8988" w14:textId="77777777" w:rsidR="00F30E6B" w:rsidRPr="0039534F" w:rsidRDefault="00F30E6B" w:rsidP="00F30E6B">
      <w:pPr>
        <w:spacing w:after="160" w:line="360" w:lineRule="auto"/>
        <w:jc w:val="both"/>
        <w:rPr>
          <w:rFonts w:ascii="David" w:hAnsi="David"/>
          <w:rtl/>
        </w:rPr>
      </w:pPr>
    </w:p>
    <w:p w14:paraId="647B0317" w14:textId="77777777" w:rsidR="00F30E6B" w:rsidRPr="0039534F" w:rsidRDefault="00F30E6B" w:rsidP="00F30E6B">
      <w:pPr>
        <w:numPr>
          <w:ilvl w:val="0"/>
          <w:numId w:val="4"/>
        </w:numPr>
        <w:spacing w:after="160" w:line="360" w:lineRule="auto"/>
        <w:contextualSpacing/>
        <w:rPr>
          <w:rFonts w:ascii="David" w:hAnsi="David"/>
          <w:rtl/>
        </w:rPr>
      </w:pPr>
      <w:r w:rsidRPr="0039534F">
        <w:rPr>
          <w:rFonts w:ascii="David" w:hAnsi="David"/>
          <w:rtl/>
        </w:rPr>
        <w:t xml:space="preserve">בבחינת </w:t>
      </w:r>
      <w:r w:rsidRPr="0039534F">
        <w:rPr>
          <w:rFonts w:ascii="David" w:hAnsi="David"/>
          <w:b/>
          <w:bCs/>
          <w:rtl/>
        </w:rPr>
        <w:t xml:space="preserve">הנסיבות </w:t>
      </w:r>
      <w:r w:rsidRPr="0039534F">
        <w:rPr>
          <w:rFonts w:ascii="David" w:hAnsi="David"/>
          <w:rtl/>
        </w:rPr>
        <w:t xml:space="preserve">הקשורות בביצוע העבירה (סעיף </w:t>
      </w:r>
      <w:hyperlink r:id="rId17" w:history="1">
        <w:r w:rsidR="00FB1E05" w:rsidRPr="00FB1E05">
          <w:rPr>
            <w:rStyle w:val="Hyperlink"/>
            <w:rFonts w:ascii="David" w:hAnsi="David"/>
            <w:rtl/>
          </w:rPr>
          <w:t>40 ט</w:t>
        </w:r>
      </w:hyperlink>
      <w:r w:rsidRPr="0039534F">
        <w:rPr>
          <w:rFonts w:ascii="David" w:hAnsi="David"/>
          <w:rtl/>
        </w:rPr>
        <w:t xml:space="preserve"> לחוק), חלקן נסיבות לחומרא וחלקן לקולא, ואפרטן להלן:</w:t>
      </w:r>
    </w:p>
    <w:p w14:paraId="5E327DA5" w14:textId="77777777" w:rsidR="00F30E6B" w:rsidRPr="0039534F" w:rsidRDefault="00F30E6B" w:rsidP="00F30E6B">
      <w:pPr>
        <w:numPr>
          <w:ilvl w:val="0"/>
          <w:numId w:val="2"/>
        </w:numPr>
        <w:spacing w:after="160" w:line="360" w:lineRule="auto"/>
        <w:contextualSpacing/>
        <w:rPr>
          <w:rFonts w:ascii="David" w:hAnsi="David"/>
        </w:rPr>
      </w:pPr>
      <w:r w:rsidRPr="0039534F">
        <w:rPr>
          <w:rFonts w:ascii="David" w:hAnsi="David"/>
          <w:rtl/>
        </w:rPr>
        <w:t>הנזק שהיה צפוי להיגרם מביצוע העבירות – אין חולק כי כתוצאה מביצוע מעשיו של הנאשם</w:t>
      </w:r>
      <w:r w:rsidRPr="0039534F">
        <w:rPr>
          <w:rFonts w:ascii="David" w:hAnsi="David"/>
          <w:rtl/>
        </w:rPr>
        <w:softHyphen/>
      </w:r>
      <w:r w:rsidRPr="0039534F">
        <w:rPr>
          <w:rFonts w:ascii="David" w:hAnsi="David"/>
        </w:rPr>
        <w:t xml:space="preserve"> </w:t>
      </w:r>
      <w:r w:rsidRPr="0039534F">
        <w:rPr>
          <w:rFonts w:ascii="David" w:hAnsi="David"/>
          <w:rtl/>
        </w:rPr>
        <w:t>לא נגרם כל</w:t>
      </w:r>
      <w:r w:rsidRPr="0039534F">
        <w:rPr>
          <w:rFonts w:ascii="David" w:hAnsi="David"/>
          <w:rtl/>
        </w:rPr>
        <w:softHyphen/>
      </w:r>
      <w:r w:rsidRPr="0039534F">
        <w:rPr>
          <w:rFonts w:ascii="David" w:hAnsi="David"/>
        </w:rPr>
        <w:t xml:space="preserve"> </w:t>
      </w:r>
      <w:r w:rsidRPr="0039534F">
        <w:rPr>
          <w:rFonts w:ascii="David" w:hAnsi="David"/>
          <w:rtl/>
        </w:rPr>
        <w:t>נזק. אשר לנזק שצפוי היה להיגרם</w:t>
      </w:r>
      <w:r w:rsidRPr="0039534F">
        <w:rPr>
          <w:rFonts w:ascii="David" w:hAnsi="David"/>
          <w:rtl/>
        </w:rPr>
        <w:softHyphen/>
      </w:r>
      <w:r w:rsidRPr="0039534F">
        <w:rPr>
          <w:rFonts w:ascii="David" w:hAnsi="David"/>
        </w:rPr>
        <w:t xml:space="preserve"> </w:t>
      </w:r>
      <w:r w:rsidRPr="0039534F">
        <w:rPr>
          <w:rFonts w:ascii="David" w:hAnsi="David"/>
          <w:rtl/>
        </w:rPr>
        <w:t>כתוצאה מביצוע המעשים</w:t>
      </w:r>
      <w:r w:rsidRPr="0039534F">
        <w:rPr>
          <w:rFonts w:ascii="David" w:hAnsi="David"/>
          <w:rtl/>
        </w:rPr>
        <w:softHyphen/>
      </w:r>
      <w:r w:rsidRPr="0039534F">
        <w:rPr>
          <w:rFonts w:ascii="David" w:hAnsi="David"/>
        </w:rPr>
        <w:t xml:space="preserve">, </w:t>
      </w:r>
      <w:r w:rsidRPr="0039534F">
        <w:rPr>
          <w:rFonts w:ascii="David" w:hAnsi="David"/>
          <w:rtl/>
        </w:rPr>
        <w:t xml:space="preserve">הרי שכפי שפורט לעיל, מדובר בנזק פוטנציאלי אשר מפניו יש להגן על הציבור. </w:t>
      </w:r>
    </w:p>
    <w:p w14:paraId="520AF92F" w14:textId="77777777" w:rsidR="00F30E6B" w:rsidRPr="0039534F" w:rsidRDefault="00F30E6B" w:rsidP="00F30E6B">
      <w:pPr>
        <w:numPr>
          <w:ilvl w:val="0"/>
          <w:numId w:val="2"/>
        </w:numPr>
        <w:spacing w:after="160" w:line="360" w:lineRule="auto"/>
        <w:contextualSpacing/>
        <w:rPr>
          <w:rFonts w:ascii="David" w:hAnsi="David"/>
        </w:rPr>
      </w:pPr>
      <w:r w:rsidRPr="0039534F">
        <w:rPr>
          <w:rFonts w:ascii="David" w:hAnsi="David"/>
          <w:rtl/>
        </w:rPr>
        <w:t xml:space="preserve">בנוגע לסיבות שהביאו את הנאשם </w:t>
      </w:r>
      <w:r w:rsidRPr="0039534F">
        <w:rPr>
          <w:rFonts w:ascii="David" w:hAnsi="David"/>
        </w:rPr>
        <w:t xml:space="preserve"> </w:t>
      </w:r>
      <w:r w:rsidRPr="0039534F">
        <w:rPr>
          <w:rFonts w:ascii="David" w:hAnsi="David"/>
          <w:rtl/>
        </w:rPr>
        <w:t>לבצע את העבירות – הרקע להחזקת הנשק לא קיבל ביטוי בעובדות כתב האישום, אך הנאשם</w:t>
      </w:r>
      <w:r w:rsidRPr="0039534F">
        <w:rPr>
          <w:rFonts w:ascii="David" w:hAnsi="David"/>
          <w:rtl/>
        </w:rPr>
        <w:softHyphen/>
      </w:r>
      <w:r w:rsidRPr="0039534F">
        <w:rPr>
          <w:rFonts w:ascii="David" w:hAnsi="David"/>
        </w:rPr>
        <w:t xml:space="preserve"> </w:t>
      </w:r>
      <w:r w:rsidRPr="0039534F">
        <w:rPr>
          <w:rFonts w:ascii="David" w:hAnsi="David"/>
          <w:rtl/>
        </w:rPr>
        <w:t>מסר בשיחותיו בשירות המבחן כי חבריו הפעילו עליו לחץ חברתי לרכוש את הנשק, שכן לתפיסתם, מי שלא מחזיק נשק אינו ממלא את תפקיד הגבר בביתו. עולה מהדברים כי מטרת ההחזקה בנשק היתה בעיקר לצורכי הגנה עצמית, אם כי,</w:t>
      </w:r>
      <w:r w:rsidRPr="00F30E6B">
        <w:rPr>
          <w:rFonts w:ascii="Calibri" w:hAnsi="Calibri" w:cs="Arial"/>
          <w:sz w:val="22"/>
          <w:szCs w:val="22"/>
          <w:rtl/>
        </w:rPr>
        <w:t xml:space="preserve"> </w:t>
      </w:r>
      <w:r w:rsidRPr="0039534F">
        <w:rPr>
          <w:rFonts w:ascii="David" w:hAnsi="David"/>
          <w:rtl/>
        </w:rPr>
        <w:t>לא צויין איום קונקרטי כלשהו ברקע. עוד יודגש כי לא נטען בפניי שהנאשם</w:t>
      </w:r>
      <w:r w:rsidRPr="0039534F">
        <w:rPr>
          <w:rFonts w:ascii="David" w:hAnsi="David"/>
          <w:rtl/>
        </w:rPr>
        <w:softHyphen/>
        <w:t xml:space="preserve"> החזיק בנשק לשם</w:t>
      </w:r>
      <w:r w:rsidRPr="0039534F">
        <w:rPr>
          <w:rFonts w:ascii="David" w:hAnsi="David"/>
          <w:rtl/>
        </w:rPr>
        <w:softHyphen/>
      </w:r>
      <w:r w:rsidRPr="0039534F">
        <w:rPr>
          <w:rFonts w:ascii="David" w:hAnsi="David"/>
        </w:rPr>
        <w:t xml:space="preserve"> </w:t>
      </w:r>
      <w:r w:rsidRPr="0039534F">
        <w:rPr>
          <w:rFonts w:ascii="David" w:hAnsi="David"/>
          <w:rtl/>
        </w:rPr>
        <w:t>ביצוע מעשים</w:t>
      </w:r>
      <w:r w:rsidRPr="0039534F">
        <w:rPr>
          <w:rFonts w:ascii="David" w:hAnsi="David"/>
          <w:rtl/>
        </w:rPr>
        <w:softHyphen/>
      </w:r>
      <w:r w:rsidRPr="0039534F">
        <w:rPr>
          <w:rFonts w:ascii="David" w:hAnsi="David"/>
        </w:rPr>
        <w:t xml:space="preserve"> </w:t>
      </w:r>
      <w:r w:rsidRPr="0039534F">
        <w:rPr>
          <w:rFonts w:ascii="David" w:hAnsi="David"/>
          <w:rtl/>
        </w:rPr>
        <w:t>פליליים</w:t>
      </w:r>
      <w:r w:rsidRPr="0039534F">
        <w:rPr>
          <w:rFonts w:ascii="David" w:hAnsi="David"/>
          <w:rtl/>
        </w:rPr>
        <w:softHyphen/>
      </w:r>
      <w:r w:rsidRPr="0039534F">
        <w:rPr>
          <w:rFonts w:ascii="David" w:hAnsi="David"/>
        </w:rPr>
        <w:t xml:space="preserve"> </w:t>
      </w:r>
      <w:r w:rsidRPr="0039534F">
        <w:rPr>
          <w:rFonts w:ascii="David" w:hAnsi="David"/>
          <w:rtl/>
        </w:rPr>
        <w:t>כאלה או אחרים,</w:t>
      </w:r>
      <w:r w:rsidRPr="0039534F">
        <w:rPr>
          <w:rFonts w:ascii="David" w:hAnsi="David"/>
        </w:rPr>
        <w:t xml:space="preserve"> </w:t>
      </w:r>
      <w:r w:rsidRPr="0039534F">
        <w:rPr>
          <w:rFonts w:ascii="David" w:hAnsi="David"/>
          <w:rtl/>
        </w:rPr>
        <w:t>ובוודאי שלא על מנת לפגוע בביטחון המדינה או הציבור.</w:t>
      </w:r>
    </w:p>
    <w:p w14:paraId="0A065C8A" w14:textId="77777777" w:rsidR="00F30E6B" w:rsidRPr="0039534F" w:rsidRDefault="00F30E6B" w:rsidP="00F30E6B">
      <w:pPr>
        <w:numPr>
          <w:ilvl w:val="0"/>
          <w:numId w:val="2"/>
        </w:numPr>
        <w:spacing w:after="160" w:line="360" w:lineRule="auto"/>
        <w:contextualSpacing/>
        <w:rPr>
          <w:rFonts w:ascii="David" w:hAnsi="David"/>
          <w:rtl/>
        </w:rPr>
      </w:pPr>
      <w:r w:rsidRPr="0039534F">
        <w:rPr>
          <w:rFonts w:ascii="David" w:hAnsi="David"/>
          <w:rtl/>
        </w:rPr>
        <w:t>המיקום בבית הנאשם בו הוחזק הנשק הינו בעל משמעות רבה לעניין זיהוי תכלית ההחזקה ומידת הסיכון הכרוכה בה. ככל שהנשק הוחזק במקום בו האפשרות של עשיית שימוש בו, בכוונת מכוון או בשוגג, על ידי האדם המחזיק או על ידי אחר, גדולה יותר, כך יהווה הדבר נסיבה משמעותית לחומרא – בענייננו הוסכם על הצדדים כי הנשק ובתוכו המחסנית הוחזקו במזוודה מעל ארון המטבח. מדובר במקום שאין עליו שמירה קפדנית, בסביבת מגורים בהם מתגוררים בני המשפחה, במקום שמידת הנגישות שלו בינונית. עוד לקחתי בחשבון כי לא מדובר בהחזקת נשק רגעית של מספר דקות, עם זאת, הנשק הוחזק בביתו של המשיב ולא על גופו ו/או במקום ציבורי.</w:t>
      </w:r>
    </w:p>
    <w:p w14:paraId="3118D328" w14:textId="77777777" w:rsidR="00F30E6B" w:rsidRPr="0039534F" w:rsidRDefault="00F30E6B" w:rsidP="00F30E6B">
      <w:pPr>
        <w:numPr>
          <w:ilvl w:val="0"/>
          <w:numId w:val="2"/>
        </w:numPr>
        <w:spacing w:after="160" w:line="360" w:lineRule="auto"/>
        <w:contextualSpacing/>
        <w:rPr>
          <w:rFonts w:ascii="David" w:hAnsi="David"/>
        </w:rPr>
      </w:pPr>
      <w:r w:rsidRPr="0039534F">
        <w:rPr>
          <w:rFonts w:ascii="David" w:hAnsi="David"/>
          <w:rtl/>
        </w:rPr>
        <w:t xml:space="preserve">כמו כן, יש לקחת בחשבון את סוג הנשק, אשר בהחזקתו הורשע הנאשם. העונש המושת על נאשם בגין עבירות המתבצעות בנשק צריך להיות מושפע מפוטנציאל הסיכון הטמון בנשק המוחזק שלא כדין תוך התייחסות בין היתר לסוג הנשק הספציפי בו בוצעה העבירה (ראו למשל: </w:t>
      </w:r>
      <w:hyperlink r:id="rId18" w:history="1">
        <w:r w:rsidR="00106A33" w:rsidRPr="00106A33">
          <w:rPr>
            <w:rFonts w:ascii="David" w:hAnsi="David"/>
            <w:color w:val="0000FF"/>
            <w:u w:val="single"/>
            <w:rtl/>
          </w:rPr>
          <w:t>ע"פ 1323/13</w:t>
        </w:r>
      </w:hyperlink>
      <w:r w:rsidRPr="0039534F">
        <w:rPr>
          <w:rFonts w:ascii="David" w:hAnsi="David"/>
          <w:rtl/>
        </w:rPr>
        <w:t xml:space="preserve"> חסן נ' מדינת ישראל, פסקה  10 (5.6.2013)). בענייננו לא עסקינן בנשק התקפי רב עוצמה אשר השימוש בו יכול להביא להרג ללא הבחנה, אלא בנשק "הגנתי" </w:t>
      </w:r>
      <w:r w:rsidRPr="0039534F">
        <w:rPr>
          <w:rFonts w:ascii="David" w:hAnsi="David"/>
        </w:rPr>
        <w:t xml:space="preserve"> </w:t>
      </w:r>
      <w:r w:rsidRPr="0039534F">
        <w:rPr>
          <w:rFonts w:ascii="David" w:hAnsi="David"/>
          <w:rtl/>
        </w:rPr>
        <w:t>שנועד ככל הנראה להגנה עצמית, וזאת מבלי להקל ראש בפוטנציאל הסיכון הגלום בו. לצד זאת, לא ניתן להתעלם מכמות הכדורים הגדולה שנמצאה בקופסאות התחמושת בסמוך לאקדח, והדבר מהווה נסיבה לחומרא.</w:t>
      </w:r>
    </w:p>
    <w:p w14:paraId="206961C7" w14:textId="77777777" w:rsidR="00F30E6B" w:rsidRPr="0039534F" w:rsidRDefault="00F30E6B" w:rsidP="00F30E6B">
      <w:pPr>
        <w:spacing w:after="160" w:line="360" w:lineRule="auto"/>
        <w:rPr>
          <w:rFonts w:ascii="David" w:hAnsi="David"/>
          <w:rtl/>
        </w:rPr>
      </w:pPr>
    </w:p>
    <w:p w14:paraId="05D8C445" w14:textId="77777777" w:rsidR="00F30E6B" w:rsidRPr="0039534F" w:rsidRDefault="00F30E6B" w:rsidP="00F30E6B">
      <w:pPr>
        <w:spacing w:after="160" w:line="360" w:lineRule="auto"/>
        <w:rPr>
          <w:rFonts w:ascii="David" w:hAnsi="David"/>
          <w:rtl/>
        </w:rPr>
      </w:pPr>
    </w:p>
    <w:p w14:paraId="67EE4EA6" w14:textId="77777777" w:rsidR="00F30E6B" w:rsidRPr="0039534F" w:rsidRDefault="00F30E6B" w:rsidP="00F30E6B">
      <w:pPr>
        <w:numPr>
          <w:ilvl w:val="0"/>
          <w:numId w:val="4"/>
        </w:numPr>
        <w:spacing w:after="120" w:line="360" w:lineRule="auto"/>
        <w:contextualSpacing/>
        <w:jc w:val="both"/>
        <w:rPr>
          <w:rFonts w:ascii="David" w:hAnsi="David"/>
          <w:color w:val="000000"/>
          <w:rtl/>
        </w:rPr>
      </w:pPr>
      <w:r w:rsidRPr="0039534F">
        <w:rPr>
          <w:rFonts w:ascii="David" w:hAnsi="David"/>
          <w:color w:val="000000"/>
          <w:rtl/>
        </w:rPr>
        <w:t xml:space="preserve"> באשר</w:t>
      </w:r>
      <w:r w:rsidR="00106A33">
        <w:rPr>
          <w:rFonts w:ascii="David" w:hAnsi="David"/>
          <w:color w:val="000000"/>
          <w:rtl/>
        </w:rPr>
        <w:t xml:space="preserve"> </w:t>
      </w:r>
      <w:r w:rsidRPr="0039534F">
        <w:rPr>
          <w:rFonts w:ascii="David" w:hAnsi="David"/>
          <w:color w:val="000000"/>
          <w:rtl/>
        </w:rPr>
        <w:t>למדיניות הענישה הנהוגה</w:t>
      </w:r>
      <w:r w:rsidR="00106A33">
        <w:rPr>
          <w:rFonts w:ascii="David" w:hAnsi="David"/>
          <w:color w:val="000000"/>
          <w:rtl/>
        </w:rPr>
        <w:t xml:space="preserve"> </w:t>
      </w:r>
      <w:r w:rsidRPr="0039534F">
        <w:rPr>
          <w:rFonts w:ascii="David" w:hAnsi="David"/>
          <w:color w:val="000000"/>
          <w:rtl/>
        </w:rPr>
        <w:t>בעבירות נשק</w:t>
      </w:r>
      <w:r w:rsidRPr="0039534F">
        <w:rPr>
          <w:rFonts w:ascii="David" w:hAnsi="David"/>
          <w:rtl/>
        </w:rPr>
        <w:t xml:space="preserve"> , אין מחלוקת כי עבירות הנשק לסוגיהן הפכו זה מכבר ל"מכת מדינה", בשעה שמעשי האלימות גואים</w:t>
      </w:r>
      <w:r w:rsidRPr="0039534F">
        <w:rPr>
          <w:rFonts w:ascii="David" w:hAnsi="David"/>
          <w:rtl/>
        </w:rPr>
        <w:softHyphen/>
      </w:r>
      <w:r w:rsidRPr="0039534F">
        <w:rPr>
          <w:rFonts w:ascii="David" w:hAnsi="David"/>
        </w:rPr>
        <w:t xml:space="preserve"> </w:t>
      </w:r>
      <w:r w:rsidRPr="0039534F">
        <w:rPr>
          <w:rFonts w:ascii="David" w:hAnsi="David"/>
          <w:rtl/>
        </w:rPr>
        <w:t xml:space="preserve">ברחבי המדינה. </w:t>
      </w:r>
      <w:r w:rsidRPr="0039534F">
        <w:rPr>
          <w:rFonts w:ascii="David" w:hAnsi="David"/>
          <w:color w:val="000000"/>
          <w:rtl/>
        </w:rPr>
        <w:t>התופעה של החזקת נשק שלא כדין נפוצה, במיוחד באזורים מסוימים במדינה ובהם אזור הדרום. גורמי האכיפה פועלים למיגור התופעה והציבור משווע לשינוי המצב. על ביהמ"ש לתרום את תרומתו בהטלת ענישה מחמירה "למען יראו וייראו".</w:t>
      </w:r>
    </w:p>
    <w:p w14:paraId="3C4C305D" w14:textId="77777777" w:rsidR="00F30E6B" w:rsidRPr="00F30E6B" w:rsidRDefault="00F30E6B" w:rsidP="00F30E6B">
      <w:pPr>
        <w:shd w:val="clear" w:color="auto" w:fill="FFFFFF"/>
        <w:spacing w:line="360" w:lineRule="atLeast"/>
        <w:jc w:val="both"/>
        <w:rPr>
          <w:rFonts w:ascii="Calibri" w:hAnsi="Calibri" w:cs="Arial"/>
        </w:rPr>
      </w:pPr>
    </w:p>
    <w:p w14:paraId="51E83581" w14:textId="77777777" w:rsidR="00F30E6B" w:rsidRPr="0039534F" w:rsidRDefault="00F30E6B" w:rsidP="00F30E6B">
      <w:pPr>
        <w:numPr>
          <w:ilvl w:val="0"/>
          <w:numId w:val="4"/>
        </w:numPr>
        <w:spacing w:after="160" w:line="360" w:lineRule="auto"/>
        <w:contextualSpacing/>
        <w:rPr>
          <w:rFonts w:ascii="David" w:hAnsi="David"/>
          <w:rtl/>
        </w:rPr>
      </w:pPr>
      <w:r w:rsidRPr="0039534F">
        <w:rPr>
          <w:rFonts w:ascii="David" w:hAnsi="David"/>
          <w:rtl/>
        </w:rPr>
        <w:t>בשל האמור, עבירות הנשק הוגדרו בפסיקה כעבירות חמורות, תוך שבית המשפט העליון הביע עמדתו לפיה יש לקבוע מדיניות ענישה הכוללת, ככלל, רכיב של מאסר בפועל לריצוי מאחורי סורג ובריח, אף אם</w:t>
      </w:r>
      <w:r w:rsidRPr="0039534F">
        <w:rPr>
          <w:rFonts w:ascii="David" w:hAnsi="David"/>
          <w:rtl/>
        </w:rPr>
        <w:softHyphen/>
      </w:r>
      <w:r w:rsidRPr="0039534F">
        <w:rPr>
          <w:rFonts w:ascii="David" w:hAnsi="David"/>
        </w:rPr>
        <w:t xml:space="preserve"> </w:t>
      </w:r>
      <w:r w:rsidRPr="0039534F">
        <w:rPr>
          <w:rFonts w:ascii="David" w:hAnsi="David"/>
          <w:rtl/>
        </w:rPr>
        <w:t>מדובר בנאשמים</w:t>
      </w:r>
      <w:r w:rsidRPr="0039534F">
        <w:rPr>
          <w:rFonts w:ascii="David" w:hAnsi="David"/>
          <w:rtl/>
        </w:rPr>
        <w:softHyphen/>
      </w:r>
      <w:r w:rsidRPr="0039534F">
        <w:rPr>
          <w:rFonts w:ascii="David" w:hAnsi="David"/>
        </w:rPr>
        <w:t xml:space="preserve"> </w:t>
      </w:r>
      <w:r w:rsidRPr="0039534F">
        <w:rPr>
          <w:rFonts w:ascii="David" w:hAnsi="David"/>
          <w:rtl/>
        </w:rPr>
        <w:t>שזו עבירתם</w:t>
      </w:r>
      <w:r w:rsidRPr="0039534F">
        <w:rPr>
          <w:rFonts w:ascii="David" w:hAnsi="David"/>
          <w:rtl/>
        </w:rPr>
        <w:softHyphen/>
      </w:r>
      <w:r w:rsidRPr="0039534F">
        <w:rPr>
          <w:rFonts w:ascii="David" w:hAnsi="David"/>
        </w:rPr>
        <w:t xml:space="preserve"> </w:t>
      </w:r>
      <w:r w:rsidRPr="0039534F">
        <w:rPr>
          <w:rFonts w:ascii="David" w:hAnsi="David"/>
          <w:rtl/>
        </w:rPr>
        <w:t>הראשונה. בעניין זה, ראו למשל דבריו של כב' השופט ס' ג'ובראן ב</w:t>
      </w:r>
      <w:hyperlink r:id="rId19" w:history="1">
        <w:r w:rsidR="00106A33" w:rsidRPr="00106A33">
          <w:rPr>
            <w:rFonts w:ascii="David" w:hAnsi="David"/>
            <w:color w:val="0000FF"/>
            <w:u w:val="single"/>
            <w:rtl/>
          </w:rPr>
          <w:t>ע"פ 1505/14</w:t>
        </w:r>
      </w:hyperlink>
      <w:r w:rsidRPr="0039534F">
        <w:rPr>
          <w:rFonts w:ascii="David" w:hAnsi="David"/>
          <w:rtl/>
        </w:rPr>
        <w:t xml:space="preserve"> </w:t>
      </w:r>
      <w:r w:rsidRPr="0039534F">
        <w:rPr>
          <w:rFonts w:ascii="David" w:hAnsi="David"/>
          <w:b/>
          <w:bCs/>
          <w:rtl/>
        </w:rPr>
        <w:t xml:space="preserve">לידאוי </w:t>
      </w:r>
      <w:r w:rsidRPr="0039534F">
        <w:rPr>
          <w:rFonts w:ascii="David" w:hAnsi="David"/>
          <w:rtl/>
        </w:rPr>
        <w:t>נגד מדינת ישראל (פורסם בנבו, 4.11.2014):</w:t>
      </w:r>
    </w:p>
    <w:p w14:paraId="545967E9" w14:textId="77777777" w:rsidR="00F30E6B" w:rsidRPr="0039534F" w:rsidRDefault="00F30E6B" w:rsidP="00F30E6B">
      <w:pPr>
        <w:spacing w:after="160" w:line="360" w:lineRule="auto"/>
        <w:ind w:left="360"/>
        <w:rPr>
          <w:rFonts w:ascii="David" w:hAnsi="David"/>
          <w:b/>
          <w:bCs/>
          <w:i/>
          <w:iCs/>
          <w:rtl/>
        </w:rPr>
      </w:pPr>
      <w:r w:rsidRPr="0039534F">
        <w:rPr>
          <w:rFonts w:ascii="David" w:hAnsi="David"/>
          <w:b/>
          <w:bCs/>
          <w:i/>
          <w:iCs/>
          <w:rtl/>
        </w:rPr>
        <w:t>"בית משפט זה עמד לא פעם על חומרתן של עבירות הנשק בכלל ועל עבירות החזקת הנשר בפרט. מדיניות הענישה היא של הטלת עונשי מאסר לריצוי בפועל גם על מי שזו עבירות הראשונה"</w:t>
      </w:r>
    </w:p>
    <w:p w14:paraId="04F42B84" w14:textId="77777777" w:rsidR="00F30E6B" w:rsidRPr="0039534F" w:rsidRDefault="00F30E6B" w:rsidP="00F30E6B">
      <w:pPr>
        <w:spacing w:after="160" w:line="360" w:lineRule="auto"/>
        <w:ind w:left="360"/>
        <w:rPr>
          <w:rFonts w:ascii="David" w:hAnsi="David"/>
        </w:rPr>
      </w:pPr>
      <w:r w:rsidRPr="0039534F">
        <w:rPr>
          <w:rFonts w:ascii="David" w:hAnsi="David"/>
          <w:rtl/>
        </w:rPr>
        <w:t>נראה כי לאחרונה אף ניכרת בפסיקה מגמת החמרה בעונשי המאסר הנגזרים על נאשמים בעבירת הנ"ל, כך כפי שנקבע על-ידי בית המשפט העליון ב</w:t>
      </w:r>
      <w:hyperlink r:id="rId20" w:history="1">
        <w:r w:rsidR="00106A33" w:rsidRPr="00106A33">
          <w:rPr>
            <w:rFonts w:ascii="David" w:hAnsi="David"/>
            <w:color w:val="0000FF"/>
            <w:u w:val="single"/>
            <w:rtl/>
          </w:rPr>
          <w:t>ע"פ 2482/22</w:t>
        </w:r>
      </w:hyperlink>
      <w:r w:rsidR="00106A33">
        <w:rPr>
          <w:rFonts w:ascii="David" w:hAnsi="David"/>
          <w:rtl/>
        </w:rPr>
        <w:t xml:space="preserve"> </w:t>
      </w:r>
      <w:r w:rsidRPr="0039534F">
        <w:rPr>
          <w:rFonts w:ascii="David" w:hAnsi="David"/>
          <w:rtl/>
        </w:rPr>
        <w:t xml:space="preserve">מדינת ישראל נ' </w:t>
      </w:r>
      <w:r w:rsidRPr="0039534F">
        <w:rPr>
          <w:rFonts w:ascii="David" w:hAnsi="David"/>
          <w:b/>
          <w:bCs/>
          <w:rtl/>
        </w:rPr>
        <w:t>קדורה,</w:t>
      </w:r>
      <w:r w:rsidRPr="0039534F">
        <w:rPr>
          <w:rFonts w:ascii="David" w:hAnsi="David"/>
          <w:rtl/>
        </w:rPr>
        <w:t xml:space="preserve"> פסקה 6 (14.04.2022) (להלן: "עניין קדורה"):</w:t>
      </w:r>
    </w:p>
    <w:p w14:paraId="26362093" w14:textId="77777777" w:rsidR="00F30E6B" w:rsidRPr="0039534F" w:rsidRDefault="00106A33" w:rsidP="00F30E6B">
      <w:pPr>
        <w:shd w:val="clear" w:color="auto" w:fill="FFFFFF"/>
        <w:spacing w:line="360" w:lineRule="atLeast"/>
        <w:ind w:left="720" w:hanging="720"/>
        <w:jc w:val="both"/>
        <w:rPr>
          <w:rFonts w:cs="Times New Roman"/>
          <w:color w:val="000000"/>
          <w:rtl/>
        </w:rPr>
      </w:pPr>
      <w:r>
        <w:rPr>
          <w:rFonts w:ascii="David" w:hAnsi="David"/>
          <w:color w:val="000000"/>
          <w:rtl/>
        </w:rPr>
        <w:t xml:space="preserve"> </w:t>
      </w:r>
    </w:p>
    <w:p w14:paraId="058C7508" w14:textId="77777777" w:rsidR="00F30E6B" w:rsidRPr="0039534F" w:rsidRDefault="00F30E6B" w:rsidP="00F30E6B">
      <w:pPr>
        <w:shd w:val="clear" w:color="auto" w:fill="FFFFFF"/>
        <w:spacing w:line="360" w:lineRule="atLeast"/>
        <w:ind w:left="1076" w:right="426"/>
        <w:jc w:val="both"/>
        <w:rPr>
          <w:rFonts w:cs="Times New Roman"/>
          <w:color w:val="000000"/>
          <w:rtl/>
        </w:rPr>
      </w:pPr>
      <w:r w:rsidRPr="0039534F">
        <w:rPr>
          <w:rFonts w:ascii="David" w:hAnsi="David"/>
          <w:color w:val="000000"/>
          <w:shd w:val="clear" w:color="auto" w:fill="FFFFFF"/>
          <w:rtl/>
        </w:rPr>
        <w:t>"</w:t>
      </w:r>
      <w:r w:rsidRPr="0039534F">
        <w:rPr>
          <w:rFonts w:ascii="David" w:hAnsi="David"/>
          <w:b/>
          <w:bCs/>
          <w:color w:val="000000"/>
          <w:shd w:val="clear" w:color="auto" w:fill="FFFFFF"/>
          <w:rtl/>
        </w:rPr>
        <w:t>בשורה ארוכה של פסקי דין עמד בית משפט זה על החומרה הרבה הטמונה בעבירות נשק, עבירות שהפכו ל'מכת מדינה' ומגלמות סכנה ממשית לשלום הציבור ולביטחונו.</w:t>
      </w:r>
      <w:r w:rsidR="00106A33">
        <w:rPr>
          <w:rFonts w:ascii="David" w:hAnsi="David"/>
          <w:b/>
          <w:bCs/>
          <w:color w:val="000000"/>
          <w:shd w:val="clear" w:color="auto" w:fill="FFFFFF"/>
          <w:rtl/>
        </w:rPr>
        <w:t xml:space="preserve"> </w:t>
      </w:r>
      <w:r w:rsidRPr="0039534F">
        <w:rPr>
          <w:rFonts w:ascii="David" w:hAnsi="David"/>
          <w:b/>
          <w:bCs/>
          <w:color w:val="000000"/>
          <w:rtl/>
        </w:rPr>
        <w:t>בהתאם, ניכרת במהלך השנים מגמה של החמרה בענישה לצורך מיגור עבירות אלו, תוך מתן משקל לשיקולי הרתעה....'על כן, המאבק בתופעות האלימות החמורות בחברה הישראלית בהן נעשה שימוש בנשק מחייב, מעבר למאמץ 'לשים יד' על כלי הנשק הבלתי חוקיים הרבים שבידי הציבור, גם ענישה מחמירה ומרתיעה בעבירות נשק, לרבות על עצם החזקה או רכישה שלא כדין של נשק</w:t>
      </w:r>
      <w:r w:rsidR="00106A33">
        <w:rPr>
          <w:rFonts w:ascii="David" w:hAnsi="David"/>
          <w:b/>
          <w:bCs/>
          <w:color w:val="000000"/>
          <w:shd w:val="clear" w:color="auto" w:fill="FFFFFF"/>
          <w:rtl/>
        </w:rPr>
        <w:t xml:space="preserve"> </w:t>
      </w:r>
      <w:r w:rsidRPr="0039534F">
        <w:rPr>
          <w:rFonts w:ascii="David" w:hAnsi="David"/>
          <w:b/>
          <w:bCs/>
          <w:color w:val="000000"/>
          <w:shd w:val="clear" w:color="auto" w:fill="FFFFFF"/>
          <w:rtl/>
        </w:rPr>
        <w:t>[...]</w:t>
      </w:r>
      <w:r w:rsidR="00106A33">
        <w:rPr>
          <w:rFonts w:ascii="David" w:hAnsi="David"/>
          <w:b/>
          <w:bCs/>
          <w:color w:val="000000"/>
          <w:shd w:val="clear" w:color="auto" w:fill="FFFFFF"/>
          <w:rtl/>
        </w:rPr>
        <w:t xml:space="preserve"> </w:t>
      </w:r>
      <w:r w:rsidRPr="0039534F">
        <w:rPr>
          <w:rFonts w:ascii="David" w:hAnsi="David"/>
          <w:b/>
          <w:bCs/>
          <w:color w:val="000000"/>
          <w:rtl/>
        </w:rPr>
        <w:t>ביעור תופעת החזקת כלי נשק בלתי חוקיים הוא אפוא אינטרס ציבורי מהמעלה הראשונה ותנאי הכרחי למאבק בתופעות הפשיעה האלימה לסוגיה הרווחות במקומותינו, בבחינת 'ייבוש הביצה' המשמשת ערש לגידולן של תופעות אלה. מהלך כזה מחייב הירתמות גם של בתי המשפט, על ידי ענישה מחמירה ומרתיעה לעבירות נשק בלתי חוקי באשר הן, וכל שכן מקום שנעשה בנשק כזה שימוש בביצוע עבירות אלימות לסוגיהן'... ענייננו ב'מכת מדינה' שהצורך להילחם בה על מנת להגן על הציבור, מצריך מענה הולם והטלת עונשי מאסר משמעותיים... ידע כל מי שמחזיק בנשק בלתי חוקי כי צפוי הוא להיענש בחומרה, בבחינת 'אם מחזיקים – למאסר נשלחים'</w:t>
      </w:r>
      <w:r w:rsidRPr="0039534F">
        <w:rPr>
          <w:rFonts w:ascii="David" w:hAnsi="David"/>
          <w:color w:val="000000"/>
          <w:rtl/>
        </w:rPr>
        <w:t>".</w:t>
      </w:r>
    </w:p>
    <w:p w14:paraId="78726E46" w14:textId="77777777" w:rsidR="00F30E6B" w:rsidRPr="0039534F" w:rsidRDefault="00F30E6B" w:rsidP="00F30E6B">
      <w:pPr>
        <w:shd w:val="clear" w:color="auto" w:fill="FFFFFF"/>
        <w:spacing w:line="360" w:lineRule="atLeast"/>
        <w:ind w:left="1076" w:right="426"/>
        <w:jc w:val="both"/>
        <w:rPr>
          <w:rFonts w:cs="Times New Roman"/>
          <w:color w:val="000000"/>
          <w:rtl/>
        </w:rPr>
      </w:pPr>
    </w:p>
    <w:p w14:paraId="58FD6060" w14:textId="77777777" w:rsidR="00F30E6B" w:rsidRPr="0039534F" w:rsidRDefault="00F30E6B" w:rsidP="00F30E6B">
      <w:pPr>
        <w:numPr>
          <w:ilvl w:val="0"/>
          <w:numId w:val="4"/>
        </w:numPr>
        <w:shd w:val="clear" w:color="auto" w:fill="FFFFFF"/>
        <w:spacing w:line="360" w:lineRule="atLeast"/>
        <w:contextualSpacing/>
        <w:jc w:val="both"/>
        <w:rPr>
          <w:rFonts w:cs="Times New Roman"/>
          <w:color w:val="000000"/>
        </w:rPr>
      </w:pPr>
      <w:r w:rsidRPr="0039534F">
        <w:rPr>
          <w:rFonts w:ascii="David" w:hAnsi="David"/>
          <w:color w:val="000000"/>
          <w:rtl/>
        </w:rPr>
        <w:t>בבואנו לבחון את מדיניות הענישה הנוהגת נמצא כי במקרים דומים הוטלו על נאשמים עונשים במנעד רחב כפי שיפורט להלן:</w:t>
      </w:r>
    </w:p>
    <w:p w14:paraId="0B6720EA" w14:textId="77777777" w:rsidR="00F30E6B" w:rsidRPr="0039534F" w:rsidRDefault="00F30E6B" w:rsidP="00F30E6B">
      <w:pPr>
        <w:shd w:val="clear" w:color="auto" w:fill="FFFFFF"/>
        <w:spacing w:line="360" w:lineRule="atLeast"/>
        <w:ind w:left="1076" w:right="426"/>
        <w:jc w:val="both"/>
        <w:rPr>
          <w:rFonts w:cs="Times New Roman"/>
          <w:color w:val="000000"/>
          <w:rtl/>
        </w:rPr>
      </w:pPr>
    </w:p>
    <w:p w14:paraId="0E6662EA" w14:textId="77777777" w:rsidR="00F30E6B" w:rsidRPr="0039534F" w:rsidRDefault="00106A33" w:rsidP="00F30E6B">
      <w:pPr>
        <w:numPr>
          <w:ilvl w:val="0"/>
          <w:numId w:val="1"/>
        </w:numPr>
        <w:shd w:val="clear" w:color="auto" w:fill="FFFFFF"/>
        <w:spacing w:after="160" w:line="360" w:lineRule="atLeast"/>
        <w:contextualSpacing/>
        <w:jc w:val="both"/>
        <w:rPr>
          <w:rFonts w:ascii="David" w:hAnsi="David"/>
          <w:color w:val="000000"/>
        </w:rPr>
      </w:pPr>
      <w:hyperlink r:id="rId21" w:history="1">
        <w:r w:rsidRPr="00106A33">
          <w:rPr>
            <w:rFonts w:ascii="David" w:hAnsi="David"/>
            <w:color w:val="0000FF"/>
            <w:u w:val="single"/>
            <w:rtl/>
          </w:rPr>
          <w:t>ע"פ 166/22</w:t>
        </w:r>
      </w:hyperlink>
      <w:r w:rsidR="00F30E6B" w:rsidRPr="0039534F">
        <w:rPr>
          <w:rFonts w:ascii="David" w:hAnsi="David"/>
          <w:color w:val="000000"/>
          <w:rtl/>
        </w:rPr>
        <w:t xml:space="preserve"> </w:t>
      </w:r>
      <w:r w:rsidR="00F30E6B" w:rsidRPr="0039534F">
        <w:rPr>
          <w:rFonts w:ascii="David" w:hAnsi="David"/>
          <w:b/>
          <w:bCs/>
          <w:color w:val="000000"/>
          <w:rtl/>
        </w:rPr>
        <w:t>מוחמד טאהא</w:t>
      </w:r>
      <w:r w:rsidR="00F30E6B" w:rsidRPr="0039534F">
        <w:rPr>
          <w:rFonts w:ascii="David" w:hAnsi="David"/>
          <w:color w:val="000000"/>
          <w:rtl/>
        </w:rPr>
        <w:t xml:space="preserve"> נ' מדינת ישראל (ניתן ביום 1.6.22) –</w:t>
      </w:r>
      <w:r w:rsidR="00F30E6B" w:rsidRPr="0039534F">
        <w:rPr>
          <w:rFonts w:ascii="David" w:hAnsi="David"/>
          <w:rtl/>
        </w:rPr>
        <w:t xml:space="preserve"> אדם צעיר, נעדר עבר פלילי, לקח ברכבו, לבקשת אחר, תת מקלע מאולתר לשם העברתו במכוניתו לביתו של האחר. הנשק נמצא בחיפוש שערך שוטר ברכבו. הנאשם הורשע במסגרת הסדר טיעון בעבירה של החזקת נשק ונגזרו עליו </w:t>
      </w:r>
      <w:r w:rsidR="00F30E6B" w:rsidRPr="0039534F">
        <w:rPr>
          <w:rFonts w:ascii="David" w:hAnsi="David"/>
          <w:b/>
          <w:bCs/>
          <w:rtl/>
        </w:rPr>
        <w:t>22 חודשי מאסר בפועל</w:t>
      </w:r>
      <w:r w:rsidR="00F30E6B" w:rsidRPr="0039534F">
        <w:rPr>
          <w:rFonts w:ascii="David" w:hAnsi="David"/>
          <w:rtl/>
        </w:rPr>
        <w:t>. ערעור לבית המשפט העליון על חומרת העונש נדחה</w:t>
      </w:r>
      <w:r w:rsidR="00F30E6B" w:rsidRPr="0039534F">
        <w:rPr>
          <w:rFonts w:ascii="David" w:hAnsi="David"/>
        </w:rPr>
        <w:t>.</w:t>
      </w:r>
    </w:p>
    <w:p w14:paraId="08ED5D70" w14:textId="77777777" w:rsidR="00F30E6B" w:rsidRPr="0039534F" w:rsidRDefault="00106A33" w:rsidP="00F30E6B">
      <w:pPr>
        <w:numPr>
          <w:ilvl w:val="0"/>
          <w:numId w:val="1"/>
        </w:numPr>
        <w:shd w:val="clear" w:color="auto" w:fill="FFFFFF"/>
        <w:spacing w:after="160" w:line="360" w:lineRule="atLeast"/>
        <w:contextualSpacing/>
        <w:jc w:val="both"/>
        <w:rPr>
          <w:rFonts w:ascii="David" w:hAnsi="David"/>
          <w:color w:val="000000"/>
        </w:rPr>
      </w:pPr>
      <w:hyperlink r:id="rId22" w:history="1">
        <w:r w:rsidRPr="00106A33">
          <w:rPr>
            <w:rFonts w:ascii="David" w:hAnsi="David"/>
            <w:color w:val="0000FF"/>
            <w:u w:val="single"/>
            <w:rtl/>
          </w:rPr>
          <w:t>ע"פ  5813/21</w:t>
        </w:r>
      </w:hyperlink>
      <w:r w:rsidR="00F30E6B" w:rsidRPr="0039534F">
        <w:rPr>
          <w:rFonts w:ascii="David" w:hAnsi="David"/>
          <w:color w:val="000000"/>
          <w:rtl/>
        </w:rPr>
        <w:t xml:space="preserve"> </w:t>
      </w:r>
      <w:r w:rsidR="00F30E6B" w:rsidRPr="0039534F">
        <w:rPr>
          <w:rFonts w:ascii="David" w:hAnsi="David"/>
          <w:b/>
          <w:bCs/>
          <w:color w:val="000000"/>
          <w:rtl/>
        </w:rPr>
        <w:t>ג'בארין</w:t>
      </w:r>
      <w:r w:rsidR="00F30E6B" w:rsidRPr="0039534F">
        <w:rPr>
          <w:rFonts w:ascii="David" w:hAnsi="David"/>
          <w:color w:val="000000"/>
          <w:rtl/>
        </w:rPr>
        <w:t xml:space="preserve"> נ' מדינת ישראל (ניתן ביום 31.5.22) – בית המשפט העליון אישר מתחם של 12-36 חודשי מאסר בפועל בגין עבירה של החזקת רובה ציד. על הנאשמים נגזרו 18 ו-21 חודשי מאסר בפועל בהתאמה.</w:t>
      </w:r>
    </w:p>
    <w:p w14:paraId="15264E88" w14:textId="77777777" w:rsidR="00F30E6B" w:rsidRPr="0039534F" w:rsidRDefault="00F30E6B" w:rsidP="00F30E6B">
      <w:pPr>
        <w:numPr>
          <w:ilvl w:val="0"/>
          <w:numId w:val="1"/>
        </w:numPr>
        <w:shd w:val="clear" w:color="auto" w:fill="FFFFFF"/>
        <w:spacing w:after="160" w:line="360" w:lineRule="atLeast"/>
        <w:contextualSpacing/>
        <w:jc w:val="both"/>
        <w:rPr>
          <w:rFonts w:ascii="David" w:hAnsi="David"/>
          <w:color w:val="000000"/>
        </w:rPr>
      </w:pPr>
      <w:r w:rsidRPr="0039534F">
        <w:rPr>
          <w:rFonts w:ascii="David" w:hAnsi="David"/>
          <w:rtl/>
        </w:rPr>
        <w:t xml:space="preserve"> </w:t>
      </w:r>
      <w:hyperlink r:id="rId23" w:history="1">
        <w:r w:rsidR="00106A33" w:rsidRPr="00106A33">
          <w:rPr>
            <w:rFonts w:ascii="David" w:hAnsi="David"/>
            <w:color w:val="0000FF"/>
            <w:u w:val="single"/>
            <w:rtl/>
          </w:rPr>
          <w:t>רע"פ 3355/22</w:t>
        </w:r>
      </w:hyperlink>
      <w:r w:rsidRPr="0039534F">
        <w:rPr>
          <w:rFonts w:ascii="David" w:hAnsi="David"/>
          <w:rtl/>
        </w:rPr>
        <w:t xml:space="preserve"> </w:t>
      </w:r>
      <w:r w:rsidRPr="0039534F">
        <w:rPr>
          <w:rFonts w:ascii="David" w:hAnsi="David"/>
          <w:b/>
          <w:bCs/>
          <w:rtl/>
        </w:rPr>
        <w:t>עלאא סלאמה</w:t>
      </w:r>
      <w:r w:rsidRPr="0039534F">
        <w:rPr>
          <w:rFonts w:ascii="David" w:hAnsi="David"/>
          <w:rtl/>
        </w:rPr>
        <w:t xml:space="preserve"> נ' מדינת ישראל (ניתן ביום 26.5.22</w:t>
      </w:r>
      <w:r w:rsidRPr="0039534F">
        <w:rPr>
          <w:rFonts w:ascii="David" w:hAnsi="David"/>
          <w:color w:val="000000"/>
          <w:rtl/>
        </w:rPr>
        <w:t xml:space="preserve">) - </w:t>
      </w:r>
      <w:r w:rsidRPr="0039534F">
        <w:rPr>
          <w:rFonts w:ascii="David" w:hAnsi="David"/>
          <w:rtl/>
        </w:rPr>
        <w:t xml:space="preserve">בית המשפט העליון דחה בקשה לרשות ערעור שהוגשה לאחר שבית המשפט המחוזי החמיר בעונשו של הנאשם בגין אחזקת </w:t>
      </w:r>
      <w:r w:rsidRPr="0039534F">
        <w:rPr>
          <w:rFonts w:ascii="David" w:hAnsi="David"/>
          <w:color w:val="000000"/>
          <w:rtl/>
        </w:rPr>
        <w:t>שני</w:t>
      </w:r>
      <w:r w:rsidRPr="0039534F">
        <w:rPr>
          <w:rFonts w:ascii="David" w:hAnsi="David"/>
          <w:color w:val="000000"/>
        </w:rPr>
        <w:t xml:space="preserve"> </w:t>
      </w:r>
      <w:r w:rsidRPr="0039534F">
        <w:rPr>
          <w:rFonts w:ascii="David" w:hAnsi="David"/>
          <w:color w:val="000000"/>
          <w:rtl/>
        </w:rPr>
        <w:t>תתי</w:t>
      </w:r>
      <w:r w:rsidRPr="0039534F">
        <w:rPr>
          <w:rFonts w:ascii="David" w:hAnsi="David"/>
          <w:color w:val="000000"/>
        </w:rPr>
        <w:t xml:space="preserve"> </w:t>
      </w:r>
      <w:r w:rsidRPr="0039534F">
        <w:rPr>
          <w:rFonts w:ascii="David" w:hAnsi="David"/>
          <w:color w:val="000000"/>
          <w:rtl/>
        </w:rPr>
        <w:t>מקלע</w:t>
      </w:r>
      <w:r w:rsidRPr="0039534F">
        <w:rPr>
          <w:rFonts w:ascii="David" w:hAnsi="David"/>
          <w:color w:val="000000"/>
        </w:rPr>
        <w:t xml:space="preserve"> </w:t>
      </w:r>
      <w:r w:rsidRPr="0039534F">
        <w:rPr>
          <w:rFonts w:ascii="David" w:hAnsi="David"/>
          <w:color w:val="000000"/>
          <w:rtl/>
        </w:rPr>
        <w:t>מאולתרים, מחסנית</w:t>
      </w:r>
      <w:r w:rsidRPr="0039534F">
        <w:rPr>
          <w:rFonts w:ascii="David" w:hAnsi="David"/>
          <w:color w:val="000000"/>
        </w:rPr>
        <w:t xml:space="preserve"> </w:t>
      </w:r>
      <w:r w:rsidRPr="0039534F">
        <w:rPr>
          <w:rFonts w:ascii="David" w:hAnsi="David"/>
          <w:color w:val="000000"/>
          <w:rtl/>
        </w:rPr>
        <w:t>ריקה תואמת</w:t>
      </w:r>
      <w:r w:rsidRPr="0039534F">
        <w:rPr>
          <w:rFonts w:ascii="David" w:hAnsi="David"/>
          <w:color w:val="000000"/>
        </w:rPr>
        <w:t xml:space="preserve"> </w:t>
      </w:r>
      <w:r w:rsidRPr="0039534F">
        <w:rPr>
          <w:rFonts w:ascii="David" w:hAnsi="David"/>
          <w:color w:val="000000"/>
          <w:rtl/>
        </w:rPr>
        <w:t>לתתי</w:t>
      </w:r>
      <w:r w:rsidRPr="0039534F">
        <w:rPr>
          <w:rFonts w:ascii="David" w:hAnsi="David"/>
          <w:color w:val="000000"/>
        </w:rPr>
        <w:t xml:space="preserve"> </w:t>
      </w:r>
      <w:r w:rsidRPr="0039534F">
        <w:rPr>
          <w:rFonts w:ascii="David" w:hAnsi="David"/>
          <w:color w:val="000000"/>
          <w:rtl/>
        </w:rPr>
        <w:t>המקלע</w:t>
      </w:r>
      <w:r w:rsidRPr="0039534F">
        <w:rPr>
          <w:rFonts w:ascii="David" w:hAnsi="David"/>
          <w:color w:val="000000"/>
        </w:rPr>
        <w:t xml:space="preserve"> </w:t>
      </w:r>
      <w:r w:rsidRPr="0039534F">
        <w:rPr>
          <w:rFonts w:ascii="David" w:hAnsi="David"/>
          <w:color w:val="000000"/>
          <w:rtl/>
        </w:rPr>
        <w:t>כאמור</w:t>
      </w:r>
      <w:r w:rsidRPr="0039534F">
        <w:rPr>
          <w:rFonts w:ascii="David" w:hAnsi="David"/>
          <w:color w:val="000000"/>
        </w:rPr>
        <w:t xml:space="preserve"> </w:t>
      </w:r>
      <w:r w:rsidRPr="0039534F">
        <w:rPr>
          <w:rFonts w:ascii="David" w:hAnsi="David"/>
          <w:color w:val="000000"/>
          <w:rtl/>
        </w:rPr>
        <w:t>ותרמיל</w:t>
      </w:r>
      <w:r w:rsidRPr="0039534F">
        <w:rPr>
          <w:rFonts w:ascii="David" w:hAnsi="David"/>
          <w:color w:val="000000"/>
        </w:rPr>
        <w:t xml:space="preserve"> </w:t>
      </w:r>
      <w:r w:rsidRPr="0039534F">
        <w:rPr>
          <w:rFonts w:ascii="David" w:hAnsi="David"/>
          <w:color w:val="000000"/>
          <w:rtl/>
        </w:rPr>
        <w:t>בקליבר</w:t>
      </w:r>
      <w:r w:rsidRPr="0039534F">
        <w:rPr>
          <w:rFonts w:ascii="David" w:hAnsi="David"/>
          <w:color w:val="000000"/>
        </w:rPr>
        <w:t xml:space="preserve"> 9 </w:t>
      </w:r>
      <w:r w:rsidRPr="0039534F">
        <w:rPr>
          <w:rFonts w:ascii="David" w:hAnsi="David"/>
          <w:color w:val="000000"/>
          <w:rtl/>
        </w:rPr>
        <w:t>מ</w:t>
      </w:r>
      <w:r w:rsidRPr="0039534F">
        <w:rPr>
          <w:rFonts w:ascii="David" w:hAnsi="David"/>
          <w:color w:val="000000"/>
        </w:rPr>
        <w:t>"</w:t>
      </w:r>
      <w:r w:rsidRPr="0039534F">
        <w:rPr>
          <w:rFonts w:ascii="David" w:hAnsi="David"/>
          <w:color w:val="000000"/>
          <w:rtl/>
        </w:rPr>
        <w:t>מ</w:t>
      </w:r>
      <w:r w:rsidRPr="0039534F">
        <w:rPr>
          <w:rFonts w:ascii="David" w:hAnsi="David"/>
          <w:color w:val="000000"/>
        </w:rPr>
        <w:t xml:space="preserve"> </w:t>
      </w:r>
      <w:r w:rsidRPr="0039534F">
        <w:rPr>
          <w:rFonts w:ascii="David" w:hAnsi="David"/>
          <w:color w:val="000000"/>
          <w:rtl/>
        </w:rPr>
        <w:t xml:space="preserve">פאראבלום, קבע מתחם ענישה של 24-50 חודשי מאסר וגזר עליו </w:t>
      </w:r>
      <w:r w:rsidRPr="0039534F">
        <w:rPr>
          <w:rFonts w:ascii="David" w:hAnsi="David"/>
          <w:b/>
          <w:bCs/>
          <w:color w:val="000000"/>
          <w:rtl/>
        </w:rPr>
        <w:t>28 חודשי מאסר בפועל</w:t>
      </w:r>
      <w:r w:rsidRPr="0039534F">
        <w:rPr>
          <w:rFonts w:ascii="David" w:hAnsi="David"/>
          <w:color w:val="000000"/>
          <w:rtl/>
        </w:rPr>
        <w:t xml:space="preserve"> בצירוף ענישה נלווית.</w:t>
      </w:r>
    </w:p>
    <w:p w14:paraId="799F7DC3" w14:textId="77777777" w:rsidR="00F30E6B" w:rsidRPr="0039534F" w:rsidRDefault="00F30E6B" w:rsidP="00F30E6B">
      <w:pPr>
        <w:numPr>
          <w:ilvl w:val="0"/>
          <w:numId w:val="1"/>
        </w:numPr>
        <w:shd w:val="clear" w:color="auto" w:fill="FFFFFF"/>
        <w:spacing w:after="160" w:line="360" w:lineRule="atLeast"/>
        <w:contextualSpacing/>
        <w:jc w:val="both"/>
        <w:rPr>
          <w:rFonts w:cs="Times New Roman"/>
          <w:color w:val="000000"/>
        </w:rPr>
      </w:pPr>
      <w:r w:rsidRPr="0039534F">
        <w:rPr>
          <w:rFonts w:ascii="David" w:hAnsi="David"/>
          <w:color w:val="000000"/>
          <w:rtl/>
        </w:rPr>
        <w:t>ב"</w:t>
      </w:r>
      <w:r w:rsidRPr="0039534F">
        <w:rPr>
          <w:rFonts w:ascii="David" w:hAnsi="David"/>
          <w:b/>
          <w:bCs/>
          <w:color w:val="000000"/>
          <w:spacing w:val="10"/>
          <w:rtl/>
        </w:rPr>
        <w:t>ענין קדורה</w:t>
      </w:r>
      <w:r w:rsidRPr="0039534F">
        <w:rPr>
          <w:rFonts w:ascii="David" w:hAnsi="David"/>
          <w:color w:val="000000"/>
          <w:spacing w:val="10"/>
          <w:rtl/>
        </w:rPr>
        <w:t xml:space="preserve">" שהוזכר לעיל, </w:t>
      </w:r>
      <w:r w:rsidRPr="0039534F">
        <w:rPr>
          <w:rFonts w:ascii="David" w:hAnsi="David"/>
          <w:color w:val="000000"/>
          <w:rtl/>
        </w:rPr>
        <w:t xml:space="preserve">הוחמר עונשו של נאשם שהורשע בביצוע עבירה של </w:t>
      </w:r>
      <w:r w:rsidRPr="0039534F">
        <w:rPr>
          <w:rFonts w:ascii="David" w:hAnsi="David"/>
          <w:rtl/>
        </w:rPr>
        <w:t>החזקת נשק בצוותא עם אחר לפי</w:t>
      </w:r>
      <w:r w:rsidR="00106A33">
        <w:rPr>
          <w:rFonts w:ascii="David" w:hAnsi="David"/>
          <w:rtl/>
        </w:rPr>
        <w:t xml:space="preserve"> </w:t>
      </w:r>
      <w:hyperlink r:id="rId24" w:history="1">
        <w:r w:rsidR="00FB1E05" w:rsidRPr="00FB1E05">
          <w:rPr>
            <w:rStyle w:val="Hyperlink"/>
            <w:rFonts w:ascii="David" w:hAnsi="David"/>
            <w:rtl/>
          </w:rPr>
          <w:t>סעיף 144(א)</w:t>
        </w:r>
      </w:hyperlink>
      <w:r w:rsidR="00106A33">
        <w:rPr>
          <w:rFonts w:ascii="David" w:hAnsi="David"/>
          <w:rtl/>
        </w:rPr>
        <w:t xml:space="preserve"> </w:t>
      </w:r>
      <w:r w:rsidRPr="0039534F">
        <w:rPr>
          <w:rFonts w:ascii="David" w:hAnsi="David"/>
          <w:rtl/>
        </w:rPr>
        <w:t xml:space="preserve">רישא וסיפא, מסוג אקדח גלוק </w:t>
      </w:r>
      <w:r w:rsidRPr="0039534F">
        <w:rPr>
          <w:rFonts w:ascii="David" w:hAnsi="David"/>
          <w:color w:val="000000"/>
          <w:rtl/>
        </w:rPr>
        <w:t xml:space="preserve">ורימון הלם, בצוותא עם אחר והושתו עליו </w:t>
      </w:r>
      <w:r w:rsidRPr="0039534F">
        <w:rPr>
          <w:rFonts w:ascii="David" w:hAnsi="David"/>
          <w:b/>
          <w:bCs/>
          <w:color w:val="000000"/>
          <w:rtl/>
        </w:rPr>
        <w:t>18 חודשי מאסר בפועל</w:t>
      </w:r>
      <w:r w:rsidRPr="0039534F">
        <w:rPr>
          <w:rFonts w:ascii="David" w:hAnsi="David"/>
          <w:color w:val="000000"/>
          <w:rtl/>
        </w:rPr>
        <w:t>, תחת 10 חודשי מאסר בפועל שגזר עליו בית המשפט המחוזי.</w:t>
      </w:r>
    </w:p>
    <w:p w14:paraId="76A8912E" w14:textId="77777777" w:rsidR="00F30E6B" w:rsidRPr="0039534F" w:rsidRDefault="00F30E6B" w:rsidP="00F30E6B">
      <w:pPr>
        <w:numPr>
          <w:ilvl w:val="0"/>
          <w:numId w:val="1"/>
        </w:numPr>
        <w:shd w:val="clear" w:color="auto" w:fill="FFFFFF"/>
        <w:spacing w:after="160" w:line="360" w:lineRule="atLeast"/>
        <w:contextualSpacing/>
        <w:jc w:val="both"/>
        <w:rPr>
          <w:rFonts w:ascii="David" w:hAnsi="David"/>
          <w:b/>
          <w:bCs/>
          <w:color w:val="000000"/>
          <w:rtl/>
        </w:rPr>
      </w:pPr>
      <w:r w:rsidRPr="0039534F">
        <w:rPr>
          <w:rFonts w:ascii="David" w:hAnsi="David"/>
          <w:color w:val="333333"/>
          <w:shd w:val="clear" w:color="auto" w:fill="FAFAFA"/>
          <w:rtl/>
        </w:rPr>
        <w:t>ב</w:t>
      </w:r>
      <w:hyperlink r:id="rId25" w:history="1">
        <w:r w:rsidR="00106A33" w:rsidRPr="00106A33">
          <w:rPr>
            <w:rFonts w:ascii="David" w:hAnsi="David"/>
            <w:color w:val="0000FF"/>
            <w:u w:val="single"/>
            <w:shd w:val="clear" w:color="auto" w:fill="FAFAFA"/>
            <w:rtl/>
          </w:rPr>
          <w:t>עפ"ג (מחוזי חי') 46460-02-22</w:t>
        </w:r>
      </w:hyperlink>
      <w:r w:rsidR="00106A33">
        <w:rPr>
          <w:rFonts w:ascii="David" w:hAnsi="David"/>
          <w:color w:val="333333"/>
          <w:shd w:val="clear" w:color="auto" w:fill="FAFAFA"/>
          <w:rtl/>
        </w:rPr>
        <w:t xml:space="preserve"> </w:t>
      </w:r>
      <w:r w:rsidRPr="0039534F">
        <w:rPr>
          <w:rFonts w:ascii="David" w:hAnsi="David"/>
          <w:b/>
          <w:bCs/>
          <w:color w:val="333333"/>
          <w:shd w:val="clear" w:color="auto" w:fill="FAFAFA"/>
          <w:rtl/>
        </w:rPr>
        <w:t xml:space="preserve">מדינת ישראל נ' אמיר צואלחה </w:t>
      </w:r>
      <w:r w:rsidRPr="0039534F">
        <w:rPr>
          <w:rFonts w:ascii="David" w:hAnsi="David"/>
          <w:color w:val="333333"/>
          <w:shd w:val="clear" w:color="auto" w:fill="FAFAFA"/>
          <w:rtl/>
        </w:rPr>
        <w:t>(פורסם</w:t>
      </w:r>
      <w:r w:rsidRPr="0039534F">
        <w:rPr>
          <w:rFonts w:ascii="David" w:hAnsi="David"/>
          <w:b/>
          <w:bCs/>
          <w:color w:val="333333"/>
          <w:shd w:val="clear" w:color="auto" w:fill="FAFAFA"/>
          <w:rtl/>
        </w:rPr>
        <w:t xml:space="preserve"> </w:t>
      </w:r>
      <w:r w:rsidRPr="0039534F">
        <w:rPr>
          <w:rFonts w:ascii="David" w:hAnsi="David"/>
          <w:color w:val="333333"/>
          <w:shd w:val="clear" w:color="auto" w:fill="FAFAFA"/>
          <w:rtl/>
        </w:rPr>
        <w:t>בנבו 09.05.2022</w:t>
      </w:r>
      <w:r w:rsidRPr="0039534F">
        <w:rPr>
          <w:rFonts w:ascii="David" w:hAnsi="David"/>
          <w:color w:val="000000"/>
          <w:rtl/>
        </w:rPr>
        <w:t xml:space="preserve">) – בית המשפט החמיר בעונשו של נאשם שנגזרו עליו 8 חודשי מאסר בפועל בגין החזקת אקדח ובו מחסנית ריקה,  והשית עליו </w:t>
      </w:r>
      <w:r w:rsidRPr="0039534F">
        <w:rPr>
          <w:rFonts w:ascii="David" w:hAnsi="David"/>
          <w:b/>
          <w:bCs/>
          <w:color w:val="000000"/>
          <w:rtl/>
        </w:rPr>
        <w:t xml:space="preserve">מאסר בפועל למשך 12 חודשים. </w:t>
      </w:r>
    </w:p>
    <w:p w14:paraId="3BD68EEB" w14:textId="77777777" w:rsidR="00F30E6B" w:rsidRPr="0039534F" w:rsidRDefault="00F30E6B" w:rsidP="00F30E6B">
      <w:pPr>
        <w:numPr>
          <w:ilvl w:val="0"/>
          <w:numId w:val="1"/>
        </w:numPr>
        <w:shd w:val="clear" w:color="auto" w:fill="FFFFFF"/>
        <w:spacing w:line="360" w:lineRule="auto"/>
        <w:contextualSpacing/>
        <w:jc w:val="both"/>
        <w:rPr>
          <w:rFonts w:cs="Times New Roman"/>
        </w:rPr>
      </w:pPr>
      <w:r w:rsidRPr="0039534F">
        <w:rPr>
          <w:rFonts w:ascii="David" w:hAnsi="David"/>
          <w:rtl/>
        </w:rPr>
        <w:t>ב</w:t>
      </w:r>
      <w:hyperlink r:id="rId26" w:history="1">
        <w:r w:rsidR="00106A33" w:rsidRPr="00106A33">
          <w:rPr>
            <w:rFonts w:ascii="David" w:hAnsi="David"/>
            <w:color w:val="0000FF"/>
            <w:u w:val="single"/>
            <w:rtl/>
          </w:rPr>
          <w:t>ע"פ 2141/21</w:t>
        </w:r>
      </w:hyperlink>
      <w:r w:rsidR="00106A33">
        <w:rPr>
          <w:rFonts w:ascii="David" w:hAnsi="David"/>
          <w:rtl/>
        </w:rPr>
        <w:t xml:space="preserve"> </w:t>
      </w:r>
      <w:r w:rsidRPr="0039534F">
        <w:rPr>
          <w:rFonts w:ascii="David" w:hAnsi="David"/>
          <w:b/>
          <w:bCs/>
          <w:rtl/>
        </w:rPr>
        <w:t>חניני נ' מדינת ישראל</w:t>
      </w:r>
      <w:r w:rsidR="00106A33">
        <w:rPr>
          <w:rFonts w:ascii="David" w:hAnsi="David"/>
          <w:rtl/>
        </w:rPr>
        <w:t xml:space="preserve"> </w:t>
      </w:r>
      <w:r w:rsidRPr="0039534F">
        <w:rPr>
          <w:rFonts w:ascii="David" w:hAnsi="David"/>
          <w:rtl/>
        </w:rPr>
        <w:t>(27.05.2021) – נדחה ערעורו של נאשם שהורשע על-פי הודאתו בעבירה של החזקת נשק ותחמושת, בכך שהצטייד באקדח אוויר אשר בוצעו בו שינויים המאפשרים ירי של תחמושת בקליבר 7.65 מ"מ ובכוחו להמית אדם. הנאשם נידון ל-</w:t>
      </w:r>
      <w:r w:rsidRPr="0039534F">
        <w:rPr>
          <w:rFonts w:ascii="David" w:hAnsi="David"/>
          <w:b/>
          <w:bCs/>
          <w:rtl/>
        </w:rPr>
        <w:t>20 חודשי מאסר בפועל</w:t>
      </w:r>
      <w:r w:rsidRPr="0039534F">
        <w:rPr>
          <w:rFonts w:ascii="David" w:hAnsi="David"/>
          <w:rtl/>
        </w:rPr>
        <w:t>.</w:t>
      </w:r>
    </w:p>
    <w:p w14:paraId="313594EE" w14:textId="77777777" w:rsidR="00F30E6B" w:rsidRPr="0039534F" w:rsidRDefault="00106A33" w:rsidP="00F30E6B">
      <w:pPr>
        <w:numPr>
          <w:ilvl w:val="0"/>
          <w:numId w:val="1"/>
        </w:numPr>
        <w:shd w:val="clear" w:color="auto" w:fill="FFFFFF"/>
        <w:spacing w:line="360" w:lineRule="auto"/>
        <w:contextualSpacing/>
        <w:jc w:val="both"/>
        <w:rPr>
          <w:rFonts w:ascii="David" w:hAnsi="David"/>
        </w:rPr>
      </w:pPr>
      <w:hyperlink r:id="rId27" w:history="1">
        <w:r w:rsidRPr="00106A33">
          <w:rPr>
            <w:rFonts w:ascii="David" w:hAnsi="David"/>
            <w:color w:val="0000FF"/>
            <w:u w:val="single"/>
            <w:rtl/>
          </w:rPr>
          <w:t>ת"פ (ב"ש) 55185-02-20</w:t>
        </w:r>
      </w:hyperlink>
      <w:r>
        <w:rPr>
          <w:rFonts w:ascii="David" w:hAnsi="David"/>
          <w:rtl/>
        </w:rPr>
        <w:t xml:space="preserve"> </w:t>
      </w:r>
      <w:r w:rsidR="00F30E6B" w:rsidRPr="0039534F">
        <w:rPr>
          <w:rFonts w:ascii="David" w:hAnsi="David"/>
          <w:rtl/>
        </w:rPr>
        <w:t xml:space="preserve"> מדינת ישראל נ' </w:t>
      </w:r>
      <w:r w:rsidR="00F30E6B" w:rsidRPr="0039534F">
        <w:rPr>
          <w:rFonts w:ascii="David" w:hAnsi="David"/>
          <w:b/>
          <w:bCs/>
          <w:rtl/>
        </w:rPr>
        <w:t>עאדל אלנבארי</w:t>
      </w:r>
      <w:r w:rsidR="00F30E6B" w:rsidRPr="0039534F">
        <w:rPr>
          <w:rFonts w:ascii="David" w:hAnsi="David"/>
          <w:rtl/>
        </w:rPr>
        <w:t xml:space="preserve"> (ניתן ביום 30.1.22) – בית המשפט המחוזי בבאר שבע קבע מתחם של 15-36 חודשי מאסר בפועל בגין החזקת אקדח חצי אוטומטי </w:t>
      </w:r>
      <w:r w:rsidR="00F30E6B" w:rsidRPr="0039534F">
        <w:rPr>
          <w:rFonts w:ascii="David" w:hAnsi="David"/>
        </w:rPr>
        <w:t>FN</w:t>
      </w:r>
      <w:r w:rsidR="00F30E6B" w:rsidRPr="0039534F">
        <w:rPr>
          <w:rFonts w:ascii="David" w:hAnsi="David"/>
          <w:rtl/>
        </w:rPr>
        <w:t xml:space="preserve"> טעון במחסנית ובה 12 כדורי 9 מ"מ ברכבו של הנאשם, ובסופו של יום גזר עליו </w:t>
      </w:r>
      <w:r w:rsidR="00F30E6B" w:rsidRPr="0039534F">
        <w:rPr>
          <w:rFonts w:ascii="David" w:hAnsi="David"/>
          <w:b/>
          <w:bCs/>
          <w:rtl/>
        </w:rPr>
        <w:t>20 חודשי מאסר בפועל</w:t>
      </w:r>
      <w:r w:rsidR="00F30E6B" w:rsidRPr="0039534F">
        <w:rPr>
          <w:rFonts w:ascii="David" w:hAnsi="David"/>
          <w:rtl/>
        </w:rPr>
        <w:t>, ומאסר מותנה.</w:t>
      </w:r>
    </w:p>
    <w:p w14:paraId="6F9F33D8" w14:textId="77777777" w:rsidR="00F30E6B" w:rsidRPr="0039534F" w:rsidRDefault="00106A33" w:rsidP="00F30E6B">
      <w:pPr>
        <w:numPr>
          <w:ilvl w:val="0"/>
          <w:numId w:val="1"/>
        </w:numPr>
        <w:spacing w:after="160" w:line="360" w:lineRule="auto"/>
        <w:contextualSpacing/>
        <w:rPr>
          <w:rFonts w:ascii="David" w:hAnsi="David"/>
          <w:color w:val="000000"/>
        </w:rPr>
      </w:pPr>
      <w:hyperlink r:id="rId28" w:history="1">
        <w:r w:rsidRPr="00106A33">
          <w:rPr>
            <w:rFonts w:ascii="David" w:hAnsi="David"/>
            <w:color w:val="0000FF"/>
            <w:u w:val="single"/>
            <w:rtl/>
          </w:rPr>
          <w:t>עפ"ג (נצ') 2024-04-21</w:t>
        </w:r>
      </w:hyperlink>
      <w:r w:rsidR="00F30E6B" w:rsidRPr="0039534F">
        <w:rPr>
          <w:rFonts w:ascii="David" w:hAnsi="David"/>
          <w:color w:val="000000"/>
          <w:rtl/>
        </w:rPr>
        <w:t>‏</w:t>
      </w:r>
      <w:r>
        <w:rPr>
          <w:rFonts w:ascii="David" w:hAnsi="David"/>
          <w:color w:val="000000"/>
          <w:rtl/>
        </w:rPr>
        <w:t xml:space="preserve"> </w:t>
      </w:r>
      <w:r w:rsidR="00F30E6B" w:rsidRPr="0039534F">
        <w:rPr>
          <w:rFonts w:ascii="David" w:hAnsi="David"/>
          <w:color w:val="000000"/>
          <w:rtl/>
        </w:rPr>
        <w:t xml:space="preserve">מדינת ישראל נ' </w:t>
      </w:r>
      <w:r w:rsidR="00F30E6B" w:rsidRPr="0039534F">
        <w:rPr>
          <w:rFonts w:ascii="David" w:hAnsi="David"/>
          <w:b/>
          <w:bCs/>
          <w:color w:val="000000"/>
          <w:rtl/>
        </w:rPr>
        <w:t>חוסין מנדורי</w:t>
      </w:r>
      <w:r w:rsidR="00F30E6B" w:rsidRPr="0039534F">
        <w:rPr>
          <w:rFonts w:ascii="David" w:hAnsi="David"/>
          <w:color w:val="000000"/>
          <w:rtl/>
        </w:rPr>
        <w:t xml:space="preserve"> (ניתן ביום 29.6.21) - בית המשפט המחוזי קיבל את ערעור המדינה בעניין קולת העונש שנגזר על המשיב שהורשע בעבירה של רכישה או החזקת נשק שלא כדין , החמיר בעונש שהוטל על המשיב, קבע מתחם ענישה של 18-36 חודשי מאסר בפועל, וגזר עליו עונש של </w:t>
      </w:r>
      <w:r w:rsidR="00F30E6B" w:rsidRPr="0039534F">
        <w:rPr>
          <w:rFonts w:ascii="David" w:hAnsi="David"/>
          <w:b/>
          <w:bCs/>
          <w:color w:val="000000"/>
          <w:rtl/>
        </w:rPr>
        <w:t>מאסר בפועל לתקופה של 20 חודשים</w:t>
      </w:r>
      <w:r w:rsidR="00F30E6B" w:rsidRPr="0039534F">
        <w:rPr>
          <w:rFonts w:ascii="David" w:hAnsi="David"/>
          <w:color w:val="000000"/>
          <w:rtl/>
        </w:rPr>
        <w:t>.</w:t>
      </w:r>
    </w:p>
    <w:p w14:paraId="4994C6F3" w14:textId="77777777" w:rsidR="00F30E6B" w:rsidRPr="0039534F" w:rsidRDefault="00106A33" w:rsidP="00F30E6B">
      <w:pPr>
        <w:numPr>
          <w:ilvl w:val="0"/>
          <w:numId w:val="1"/>
        </w:numPr>
        <w:spacing w:after="160" w:line="360" w:lineRule="auto"/>
        <w:contextualSpacing/>
        <w:rPr>
          <w:rFonts w:ascii="David" w:hAnsi="David"/>
          <w:color w:val="000000"/>
        </w:rPr>
      </w:pPr>
      <w:hyperlink r:id="rId29" w:history="1">
        <w:r w:rsidRPr="00106A33">
          <w:rPr>
            <w:rFonts w:ascii="David" w:hAnsi="David"/>
            <w:color w:val="0000FF"/>
            <w:u w:val="single"/>
            <w:rtl/>
          </w:rPr>
          <w:t>ת"פ 64331-05-19</w:t>
        </w:r>
      </w:hyperlink>
      <w:r w:rsidR="00F30E6B" w:rsidRPr="0039534F">
        <w:rPr>
          <w:rFonts w:ascii="David" w:hAnsi="David"/>
          <w:color w:val="000000"/>
          <w:rtl/>
        </w:rPr>
        <w:t xml:space="preserve"> מדינת ישראל נ' </w:t>
      </w:r>
      <w:r w:rsidR="00F30E6B" w:rsidRPr="0039534F">
        <w:rPr>
          <w:rFonts w:ascii="David" w:hAnsi="David"/>
          <w:b/>
          <w:bCs/>
          <w:color w:val="000000"/>
          <w:rtl/>
        </w:rPr>
        <w:t>אבו קיעאן</w:t>
      </w:r>
      <w:r w:rsidR="00F30E6B" w:rsidRPr="0039534F">
        <w:rPr>
          <w:rFonts w:ascii="David" w:hAnsi="David"/>
          <w:color w:val="000000"/>
          <w:rtl/>
        </w:rPr>
        <w:t xml:space="preserve"> (ניתן ביום 14.4.22) – בגין החזקת אקדח ומחסנית ובה 6 כדורים בתא מטען ברכב, נגזרו על הנאשם, נעדר עבר פלילי, שהיה בן 19 בעת ביצוע העבירות, </w:t>
      </w:r>
      <w:r w:rsidR="00F30E6B" w:rsidRPr="0039534F">
        <w:rPr>
          <w:rFonts w:ascii="David" w:hAnsi="David"/>
          <w:b/>
          <w:bCs/>
          <w:color w:val="000000"/>
          <w:rtl/>
        </w:rPr>
        <w:t>13 חודשי מאסר בפועל</w:t>
      </w:r>
      <w:r w:rsidR="00F30E6B" w:rsidRPr="0039534F">
        <w:rPr>
          <w:rFonts w:ascii="David" w:hAnsi="David"/>
          <w:color w:val="000000"/>
          <w:rtl/>
        </w:rPr>
        <w:t>. בית המשפט קבע מתחם של 11-33 חודשי מאסר בפועל.</w:t>
      </w:r>
    </w:p>
    <w:p w14:paraId="6BA13E41" w14:textId="77777777" w:rsidR="00F30E6B" w:rsidRPr="0039534F" w:rsidRDefault="00F30E6B" w:rsidP="00F30E6B">
      <w:pPr>
        <w:spacing w:after="160" w:line="360" w:lineRule="auto"/>
        <w:rPr>
          <w:rFonts w:ascii="David" w:hAnsi="David"/>
          <w:color w:val="000000"/>
          <w:rtl/>
        </w:rPr>
      </w:pPr>
    </w:p>
    <w:p w14:paraId="23DE259F" w14:textId="77777777" w:rsidR="00F30E6B" w:rsidRPr="0039534F" w:rsidRDefault="00F30E6B" w:rsidP="00F30E6B">
      <w:pPr>
        <w:numPr>
          <w:ilvl w:val="0"/>
          <w:numId w:val="4"/>
        </w:numPr>
        <w:spacing w:after="160" w:line="360" w:lineRule="auto"/>
        <w:contextualSpacing/>
        <w:rPr>
          <w:rFonts w:ascii="David" w:hAnsi="David"/>
          <w:color w:val="000000"/>
          <w:rtl/>
        </w:rPr>
      </w:pPr>
      <w:r w:rsidRPr="0039534F">
        <w:rPr>
          <w:rFonts w:ascii="David" w:hAnsi="David"/>
          <w:color w:val="000000"/>
          <w:rtl/>
        </w:rPr>
        <w:t>קראתי בעיון רב את פסקי הדין שהגיש הסניגור המלומד, המתייחסים לענישה מקלה יותר, אך לא מצאתי כי יש להביאם בחשבון לענין מדיניות הענישה הנהוגה, שכן חלקם ניתנו לפני מספר שנים, חלקם מתייחסים לנאשמים צעירים מאד, ובחלקם נסיבות אישיות חריגות.</w:t>
      </w:r>
    </w:p>
    <w:p w14:paraId="1C560EB8" w14:textId="77777777" w:rsidR="00F30E6B" w:rsidRPr="0039534F" w:rsidRDefault="00F30E6B" w:rsidP="00F30E6B">
      <w:pPr>
        <w:numPr>
          <w:ilvl w:val="0"/>
          <w:numId w:val="4"/>
        </w:numPr>
        <w:shd w:val="clear" w:color="auto" w:fill="FFFFFF"/>
        <w:spacing w:line="360" w:lineRule="auto"/>
        <w:contextualSpacing/>
        <w:jc w:val="both"/>
        <w:rPr>
          <w:rFonts w:ascii="David" w:hAnsi="David"/>
          <w:rtl/>
        </w:rPr>
      </w:pPr>
      <w:r w:rsidRPr="0039534F">
        <w:rPr>
          <w:rFonts w:ascii="David" w:hAnsi="David"/>
          <w:color w:val="000000"/>
          <w:rtl/>
        </w:rPr>
        <w:t xml:space="preserve">מכל האמור לעיל עולה, כי מצויים אנו כיום במצב חירום של ממש בעניין עבירות נשק, ולא בכדי </w:t>
      </w:r>
      <w:r w:rsidRPr="0039534F">
        <w:rPr>
          <w:rFonts w:ascii="David" w:hAnsi="David"/>
          <w:rtl/>
        </w:rPr>
        <w:t>נתקבל לאחרונה תיקון ל</w:t>
      </w:r>
      <w:hyperlink r:id="rId30" w:history="1">
        <w:r w:rsidR="00106A33" w:rsidRPr="00106A33">
          <w:rPr>
            <w:rFonts w:ascii="David" w:hAnsi="David"/>
            <w:color w:val="0000FF"/>
            <w:u w:val="single"/>
            <w:rtl/>
          </w:rPr>
          <w:t>חוק העונשין</w:t>
        </w:r>
      </w:hyperlink>
      <w:r w:rsidR="00106A33">
        <w:rPr>
          <w:rFonts w:ascii="David" w:hAnsi="David"/>
        </w:rPr>
        <w:t xml:space="preserve"> </w:t>
      </w:r>
      <w:r w:rsidRPr="0039534F">
        <w:rPr>
          <w:rFonts w:ascii="David" w:hAnsi="David"/>
          <w:rtl/>
        </w:rPr>
        <w:t xml:space="preserve">(תיקון מס' 140 – הוראת שעה) – </w:t>
      </w:r>
      <w:r w:rsidRPr="0039534F">
        <w:rPr>
          <w:rFonts w:ascii="David" w:hAnsi="David"/>
          <w:b/>
          <w:bCs/>
          <w:rtl/>
        </w:rPr>
        <w:t>שלא חל בענייננו</w:t>
      </w:r>
      <w:r w:rsidRPr="0039534F">
        <w:rPr>
          <w:rFonts w:ascii="David" w:hAnsi="David"/>
          <w:rtl/>
        </w:rPr>
        <w:t xml:space="preserve"> – הקובע עונשי מינימום לעבירות נשק, באופן שהעונש שיושת על מבצעי עבירות אלו יתחיל מרבע העונש המרבי שנקבע לעבירה, אלא אם החליט בית המשפט מטעמים מיוחדים להקל בעונש (</w:t>
      </w:r>
      <w:hyperlink r:id="rId31" w:history="1">
        <w:r w:rsidR="00FB1E05" w:rsidRPr="00FB1E05">
          <w:rPr>
            <w:rStyle w:val="Hyperlink"/>
            <w:rFonts w:ascii="David" w:hAnsi="David"/>
            <w:rtl/>
          </w:rPr>
          <w:t>סעיף 144(ז)</w:t>
        </w:r>
      </w:hyperlink>
      <w:r w:rsidR="00106A33">
        <w:rPr>
          <w:rFonts w:ascii="David" w:hAnsi="David"/>
          <w:rtl/>
        </w:rPr>
        <w:t xml:space="preserve"> </w:t>
      </w:r>
      <w:r w:rsidRPr="0039534F">
        <w:rPr>
          <w:rFonts w:ascii="David" w:hAnsi="David"/>
          <w:rtl/>
        </w:rPr>
        <w:t>ל</w:t>
      </w:r>
      <w:r w:rsidRPr="00106A33">
        <w:rPr>
          <w:rFonts w:ascii="David" w:hAnsi="David"/>
          <w:color w:val="000000"/>
          <w:rtl/>
        </w:rPr>
        <w:t>חוק העונשין</w:t>
      </w:r>
      <w:r w:rsidRPr="0039534F">
        <w:rPr>
          <w:rFonts w:ascii="David" w:hAnsi="David"/>
          <w:rtl/>
        </w:rPr>
        <w:t>, (וראו חוק העונשין (תיקון מס' 140 - הוראת שעה), התשפ"ב-2021, ס"ח 472).</w:t>
      </w:r>
      <w:r w:rsidRPr="0039534F">
        <w:rPr>
          <w:rFonts w:ascii="David" w:hAnsi="David"/>
          <w:spacing w:val="10"/>
          <w:rtl/>
        </w:rPr>
        <w:t xml:space="preserve"> </w:t>
      </w:r>
      <w:r w:rsidRPr="0039534F">
        <w:rPr>
          <w:rFonts w:ascii="David" w:hAnsi="David"/>
          <w:color w:val="000000"/>
          <w:spacing w:val="10"/>
          <w:rtl/>
        </w:rPr>
        <w:t>התיקון לחוק לא חל בענייננו, מאחר שהמעשים בהם הורשע הנאשם נעשו עוד קודם לתיקון, אך יש בו כדי לשקף את רצון המחוקק להחמיר בענישה בעבירות נשק</w:t>
      </w:r>
      <w:r w:rsidRPr="0039534F">
        <w:rPr>
          <w:rFonts w:ascii="David" w:hAnsi="David"/>
          <w:rtl/>
        </w:rPr>
        <w:t xml:space="preserve">. בענין זה, מקובלת עליי עמדת המאשימה לפיה </w:t>
      </w:r>
      <w:r w:rsidRPr="0039534F">
        <w:rPr>
          <w:rFonts w:ascii="David" w:hAnsi="David"/>
          <w:color w:val="000000"/>
          <w:shd w:val="clear" w:color="auto" w:fill="FFFFFF"/>
          <w:rtl/>
        </w:rPr>
        <w:t>אף שהתיקון לחוק אינו חל בענייננו, הרי שעל בית משפט לפעול ברוח התיקון</w:t>
      </w:r>
      <w:r w:rsidRPr="0039534F">
        <w:rPr>
          <w:rFonts w:ascii="David" w:hAnsi="David"/>
          <w:color w:val="000000"/>
          <w:shd w:val="clear" w:color="auto" w:fill="FFFFFF"/>
        </w:rPr>
        <w:t xml:space="preserve"> </w:t>
      </w:r>
      <w:r w:rsidRPr="0039534F">
        <w:rPr>
          <w:rFonts w:ascii="David" w:hAnsi="David"/>
          <w:color w:val="000000"/>
          <w:shd w:val="clear" w:color="auto" w:fill="FFFFFF"/>
          <w:rtl/>
        </w:rPr>
        <w:t>ולהחמיר בדינו של הנאשם</w:t>
      </w:r>
      <w:r w:rsidRPr="0039534F">
        <w:rPr>
          <w:rFonts w:ascii="David" w:hAnsi="David"/>
          <w:color w:val="000000"/>
          <w:shd w:val="clear" w:color="auto" w:fill="FFFFFF"/>
        </w:rPr>
        <w:t>.</w:t>
      </w:r>
    </w:p>
    <w:p w14:paraId="2C7F6709" w14:textId="77777777" w:rsidR="00F30E6B" w:rsidRPr="0039534F" w:rsidRDefault="00F30E6B" w:rsidP="00F30E6B">
      <w:pPr>
        <w:spacing w:after="160" w:line="360" w:lineRule="auto"/>
        <w:rPr>
          <w:rFonts w:ascii="David" w:hAnsi="David"/>
          <w:rtl/>
        </w:rPr>
      </w:pPr>
    </w:p>
    <w:p w14:paraId="2EA094F8" w14:textId="77777777" w:rsidR="00F30E6B" w:rsidRPr="0039534F" w:rsidRDefault="00F30E6B" w:rsidP="00F30E6B">
      <w:pPr>
        <w:numPr>
          <w:ilvl w:val="0"/>
          <w:numId w:val="4"/>
        </w:numPr>
        <w:spacing w:after="160" w:line="360" w:lineRule="auto"/>
        <w:contextualSpacing/>
        <w:rPr>
          <w:rFonts w:ascii="David" w:hAnsi="David"/>
          <w:rtl/>
        </w:rPr>
      </w:pPr>
      <w:r w:rsidRPr="0039534F">
        <w:rPr>
          <w:rFonts w:ascii="David" w:hAnsi="David"/>
          <w:rtl/>
        </w:rPr>
        <w:t>עוד אציין כי הצורך בהחמרת הענישה ובהרתעה מפני ביצוע עבירות נשק, מחייב גם הטלת קנס כספי על מי שהורשע בעבירות אלה. לעיתים המניע לביצוע עבירת הנשק הוא הפוטנציאל לרווח כלכלי. במקרים כאלה, קיימת הצדקה להטלת קנסות כבדים על מנת לפגוע במוטיבציה הכלכלית שבבסיסה של העבירה ובכך לתרום להרתעת עבריינים פוטנציאליים</w:t>
      </w:r>
      <w:r w:rsidRPr="0039534F">
        <w:rPr>
          <w:rFonts w:ascii="David" w:hAnsi="David"/>
        </w:rPr>
        <w:t>.</w:t>
      </w:r>
      <w:r w:rsidRPr="0039534F">
        <w:rPr>
          <w:rFonts w:ascii="David" w:hAnsi="David"/>
          <w:rtl/>
        </w:rPr>
        <w:t xml:space="preserve"> לפיכך, במקרה של הרשעה בעבירת נשק, נוסף על רכיב המאסר בפועל, ככלל על הענישה לכלול גם רכיב של קנס.</w:t>
      </w:r>
    </w:p>
    <w:p w14:paraId="617FB99F" w14:textId="77777777" w:rsidR="00F30E6B" w:rsidRPr="00F30E6B" w:rsidRDefault="00F30E6B" w:rsidP="00F30E6B">
      <w:pPr>
        <w:numPr>
          <w:ilvl w:val="0"/>
          <w:numId w:val="4"/>
        </w:numPr>
        <w:spacing w:after="160" w:line="360" w:lineRule="auto"/>
        <w:contextualSpacing/>
        <w:rPr>
          <w:rFonts w:ascii="Calibri" w:hAnsi="Calibri" w:cs="Arial"/>
          <w:rtl/>
        </w:rPr>
      </w:pPr>
      <w:r w:rsidRPr="0039534F">
        <w:rPr>
          <w:rFonts w:ascii="David" w:hAnsi="David"/>
          <w:rtl/>
        </w:rPr>
        <w:t>בהינתן כל האמור, ולאור המגמה המובהקת בפסיקת בתי המשפט להחמיר בענישה בעבירות הנשק, אני קובעת כי מתחם העונש ההולם הוא 12 עד 36 חודשי מאסר בפועל, בצירוף ענישה נלווית הכוללת אף קנס כספי.</w:t>
      </w:r>
    </w:p>
    <w:p w14:paraId="7C00E632" w14:textId="77777777" w:rsidR="00F30E6B" w:rsidRPr="00F30E6B" w:rsidRDefault="00F30E6B" w:rsidP="00F30E6B">
      <w:pPr>
        <w:spacing w:after="160" w:line="259" w:lineRule="auto"/>
        <w:ind w:left="1545"/>
        <w:contextualSpacing/>
        <w:rPr>
          <w:rFonts w:ascii="Calibri" w:hAnsi="Calibri" w:cs="Arial"/>
          <w:rtl/>
        </w:rPr>
      </w:pPr>
    </w:p>
    <w:p w14:paraId="498BF969" w14:textId="77777777" w:rsidR="00F30E6B" w:rsidRPr="0039534F" w:rsidRDefault="00F30E6B" w:rsidP="00F30E6B">
      <w:pPr>
        <w:numPr>
          <w:ilvl w:val="0"/>
          <w:numId w:val="4"/>
        </w:numPr>
        <w:spacing w:after="160" w:line="360" w:lineRule="auto"/>
        <w:contextualSpacing/>
        <w:rPr>
          <w:rFonts w:ascii="David" w:hAnsi="David"/>
          <w:rtl/>
        </w:rPr>
      </w:pPr>
      <w:r w:rsidRPr="0039534F">
        <w:rPr>
          <w:rFonts w:ascii="David" w:hAnsi="David"/>
          <w:rtl/>
        </w:rPr>
        <w:t>במקרה דנן, לא קיימים שיקולים אשר מצדיקים סטייה מהמתחם לחומרא או לקולא. לא מצאתי, כי הנאשם השתקם או קיים סיכוי של ממש שישתקם, באופן המצדיק חריגה ממתחם העונש ההולם וקביעת עונשו של הנאשם לפי שיקולי שיקומו. כמו כן, אין מדובר במקרה של חומרה יתרה שבו רשאי בית המשפט לסטות ממתחם העונש ההולם אך בנסיבות מיוחדות ויוצאות דופן.</w:t>
      </w:r>
    </w:p>
    <w:p w14:paraId="19EC04B1" w14:textId="77777777" w:rsidR="00F30E6B" w:rsidRPr="00F30E6B" w:rsidRDefault="00F30E6B" w:rsidP="00F30E6B">
      <w:pPr>
        <w:spacing w:after="160" w:line="259" w:lineRule="auto"/>
        <w:rPr>
          <w:rFonts w:ascii="Calibri" w:hAnsi="Calibri" w:cs="Arial"/>
          <w:rtl/>
        </w:rPr>
      </w:pPr>
    </w:p>
    <w:p w14:paraId="0E7CC216" w14:textId="77777777" w:rsidR="00F30E6B" w:rsidRPr="0039534F" w:rsidRDefault="00F30E6B" w:rsidP="00F30E6B">
      <w:pPr>
        <w:spacing w:after="160" w:line="360" w:lineRule="auto"/>
        <w:rPr>
          <w:rFonts w:ascii="David" w:hAnsi="David"/>
          <w:u w:val="single"/>
          <w:rtl/>
        </w:rPr>
      </w:pPr>
      <w:r w:rsidRPr="0039534F">
        <w:rPr>
          <w:rFonts w:ascii="David" w:hAnsi="David"/>
          <w:b/>
          <w:bCs/>
          <w:u w:val="single"/>
          <w:rtl/>
        </w:rPr>
        <w:t>קביעת העונש המתאים בגדרי המתחם</w:t>
      </w:r>
    </w:p>
    <w:p w14:paraId="632E79EA" w14:textId="77777777" w:rsidR="00F30E6B" w:rsidRPr="0039534F" w:rsidRDefault="00F30E6B" w:rsidP="00F30E6B">
      <w:pPr>
        <w:numPr>
          <w:ilvl w:val="0"/>
          <w:numId w:val="4"/>
        </w:numPr>
        <w:spacing w:after="160" w:line="360" w:lineRule="auto"/>
        <w:contextualSpacing/>
        <w:rPr>
          <w:rFonts w:ascii="David" w:hAnsi="David"/>
          <w:rtl/>
        </w:rPr>
      </w:pPr>
      <w:r w:rsidRPr="0039534F">
        <w:rPr>
          <w:rFonts w:ascii="David" w:hAnsi="David"/>
          <w:rtl/>
        </w:rPr>
        <w:t>בגזירת העונש המתאים לנאשם, בגדרי מתחם העונש ההולם, יתחשב בית המשפט בשיקולים כלליים ובשיקולים פרטניים, שאינם קשורים בנסיבות ביצוע העבירה. במקרה שבפניי מן הראוי לתת את הדעת לנסיבות הבאות:</w:t>
      </w:r>
    </w:p>
    <w:p w14:paraId="0908017E" w14:textId="77777777" w:rsidR="00F30E6B" w:rsidRPr="0039534F" w:rsidRDefault="00F30E6B" w:rsidP="00F30E6B">
      <w:pPr>
        <w:spacing w:after="160" w:line="360" w:lineRule="atLeast"/>
        <w:ind w:left="360"/>
        <w:jc w:val="both"/>
        <w:rPr>
          <w:rFonts w:ascii="David" w:hAnsi="David"/>
          <w:color w:val="000000"/>
          <w:rtl/>
        </w:rPr>
      </w:pPr>
      <w:r w:rsidRPr="0039534F">
        <w:rPr>
          <w:rFonts w:ascii="David" w:hAnsi="David"/>
          <w:color w:val="000000"/>
          <w:rtl/>
        </w:rPr>
        <w:t>הנאשם נעדר עבר פלילי, הודה במיוחס לו , חסך זמן שיפוטי יקר ונטל אחריות על מעשיו. בשירות המבחן תיאר את מעשיו ואת הרקע להם בפתיחות ובכנות . עם זאת, שירות המבחן ציין כי מדובר בנטילת אחריות חלקית, המצמצמת את חומרת העבירות.</w:t>
      </w:r>
    </w:p>
    <w:p w14:paraId="132DFF71" w14:textId="77777777" w:rsidR="00F30E6B" w:rsidRPr="0039534F" w:rsidRDefault="00F30E6B" w:rsidP="00F30E6B">
      <w:pPr>
        <w:spacing w:after="160" w:line="360" w:lineRule="atLeast"/>
        <w:ind w:left="360"/>
        <w:jc w:val="both"/>
        <w:rPr>
          <w:rFonts w:cs="Times New Roman"/>
          <w:color w:val="000000"/>
          <w:rtl/>
        </w:rPr>
      </w:pPr>
      <w:r w:rsidRPr="0039534F">
        <w:rPr>
          <w:rFonts w:ascii="David" w:hAnsi="David"/>
          <w:color w:val="000000"/>
          <w:rtl/>
        </w:rPr>
        <w:t>הנאשם התנהל באופן נורמטיבי יחסי הן במישור המשפחתי והן במישור התעסוקתי עד לביצוע האירועים המפורטים בכתב האישום.</w:t>
      </w:r>
      <w:r w:rsidRPr="0039534F">
        <w:rPr>
          <w:rFonts w:cs="Times New Roman"/>
          <w:color w:val="000000"/>
          <w:rtl/>
        </w:rPr>
        <w:t xml:space="preserve"> </w:t>
      </w:r>
      <w:r w:rsidRPr="0039534F">
        <w:rPr>
          <w:rFonts w:ascii="David" w:hAnsi="David"/>
          <w:color w:val="000000"/>
          <w:rtl/>
        </w:rPr>
        <w:t>שירות המבחן הדגיש את חבירת הנאשם לגורמים שוליים, וקושי לעמוד בלחצים חברתיים, ועל כן הצורך בהרתעת היחיד.</w:t>
      </w:r>
    </w:p>
    <w:p w14:paraId="66AD3C29" w14:textId="77777777" w:rsidR="00F30E6B" w:rsidRPr="0039534F" w:rsidRDefault="00F30E6B" w:rsidP="00F30E6B">
      <w:pPr>
        <w:spacing w:after="160" w:line="360" w:lineRule="atLeast"/>
        <w:ind w:left="720"/>
        <w:jc w:val="both"/>
        <w:rPr>
          <w:rFonts w:ascii="David" w:hAnsi="David"/>
          <w:color w:val="000000"/>
          <w:u w:val="single"/>
          <w:rtl/>
        </w:rPr>
      </w:pPr>
      <w:r w:rsidRPr="0039534F">
        <w:rPr>
          <w:rFonts w:ascii="David" w:hAnsi="David"/>
          <w:color w:val="000000"/>
          <w:rtl/>
        </w:rPr>
        <w:t>לקחתי בחשבון את המצב הרפואי המורכב של שניים מילדיו של הנאשם, ואת מעורבותו בטיפול בהם. (אסמכתאות רפואיות הוגשו רק לגבי אחד מהם). עם זאת , כפי שנקבע בפסיקה עקבית של בית המשפט העליון, בשל</w:t>
      </w:r>
      <w:r w:rsidRPr="0039534F">
        <w:rPr>
          <w:rFonts w:ascii="David" w:hAnsi="David"/>
          <w:color w:val="000000"/>
        </w:rPr>
        <w:t xml:space="preserve"> </w:t>
      </w:r>
      <w:r w:rsidRPr="0039534F">
        <w:rPr>
          <w:rFonts w:ascii="David" w:hAnsi="David"/>
          <w:color w:val="000000"/>
          <w:rtl/>
        </w:rPr>
        <w:t>החומרה</w:t>
      </w:r>
      <w:r w:rsidRPr="0039534F">
        <w:rPr>
          <w:rFonts w:ascii="David" w:hAnsi="David"/>
          <w:color w:val="000000"/>
        </w:rPr>
        <w:t xml:space="preserve"> </w:t>
      </w:r>
      <w:r w:rsidRPr="0039534F">
        <w:rPr>
          <w:rFonts w:ascii="David" w:hAnsi="David"/>
          <w:color w:val="000000"/>
          <w:rtl/>
        </w:rPr>
        <w:t>היתרה</w:t>
      </w:r>
      <w:r w:rsidRPr="0039534F">
        <w:rPr>
          <w:rFonts w:ascii="David" w:hAnsi="David"/>
          <w:color w:val="000000"/>
        </w:rPr>
        <w:t xml:space="preserve"> </w:t>
      </w:r>
      <w:r w:rsidRPr="0039534F">
        <w:rPr>
          <w:rFonts w:ascii="David" w:hAnsi="David"/>
          <w:color w:val="000000"/>
          <w:rtl/>
        </w:rPr>
        <w:t>שבעבירות</w:t>
      </w:r>
      <w:r w:rsidRPr="0039534F">
        <w:rPr>
          <w:rFonts w:ascii="David" w:hAnsi="David"/>
          <w:color w:val="000000"/>
        </w:rPr>
        <w:t xml:space="preserve"> </w:t>
      </w:r>
      <w:r w:rsidRPr="0039534F">
        <w:rPr>
          <w:rFonts w:ascii="David" w:hAnsi="David"/>
          <w:color w:val="000000"/>
          <w:rtl/>
        </w:rPr>
        <w:t>נשק</w:t>
      </w:r>
      <w:r w:rsidRPr="0039534F">
        <w:rPr>
          <w:rFonts w:ascii="David" w:hAnsi="David"/>
          <w:color w:val="000000"/>
        </w:rPr>
        <w:t xml:space="preserve"> </w:t>
      </w:r>
      <w:r w:rsidRPr="0039534F">
        <w:rPr>
          <w:rFonts w:ascii="David" w:hAnsi="David"/>
          <w:color w:val="000000"/>
          <w:rtl/>
        </w:rPr>
        <w:t>והסיכון</w:t>
      </w:r>
      <w:r w:rsidRPr="0039534F">
        <w:rPr>
          <w:rFonts w:ascii="David" w:hAnsi="David"/>
          <w:color w:val="000000"/>
        </w:rPr>
        <w:t xml:space="preserve"> </w:t>
      </w:r>
      <w:r w:rsidRPr="0039534F">
        <w:rPr>
          <w:rFonts w:ascii="David" w:hAnsi="David"/>
          <w:color w:val="000000"/>
          <w:rtl/>
        </w:rPr>
        <w:t>הגבוה</w:t>
      </w:r>
      <w:r w:rsidRPr="0039534F">
        <w:rPr>
          <w:rFonts w:ascii="David" w:hAnsi="David"/>
          <w:color w:val="000000"/>
        </w:rPr>
        <w:t xml:space="preserve"> </w:t>
      </w:r>
      <w:r w:rsidRPr="0039534F">
        <w:rPr>
          <w:rFonts w:ascii="David" w:hAnsi="David"/>
          <w:color w:val="000000"/>
          <w:rtl/>
        </w:rPr>
        <w:t>הגלום בהן</w:t>
      </w:r>
      <w:r w:rsidRPr="0039534F">
        <w:rPr>
          <w:rFonts w:ascii="David" w:hAnsi="David"/>
          <w:color w:val="000000"/>
        </w:rPr>
        <w:t xml:space="preserve"> </w:t>
      </w:r>
      <w:r w:rsidRPr="0039534F">
        <w:rPr>
          <w:rFonts w:ascii="David" w:hAnsi="David"/>
          <w:color w:val="000000"/>
          <w:rtl/>
        </w:rPr>
        <w:t>לשלום</w:t>
      </w:r>
      <w:r w:rsidRPr="0039534F">
        <w:rPr>
          <w:rFonts w:ascii="David" w:hAnsi="David"/>
          <w:color w:val="000000"/>
        </w:rPr>
        <w:t xml:space="preserve"> </w:t>
      </w:r>
      <w:r w:rsidRPr="0039534F">
        <w:rPr>
          <w:rFonts w:ascii="David" w:hAnsi="David"/>
          <w:color w:val="000000"/>
          <w:rtl/>
        </w:rPr>
        <w:t>הציבור,</w:t>
      </w:r>
      <w:r w:rsidRPr="0039534F">
        <w:rPr>
          <w:rFonts w:ascii="David" w:hAnsi="David"/>
          <w:color w:val="000000"/>
        </w:rPr>
        <w:t xml:space="preserve"> </w:t>
      </w:r>
      <w:r w:rsidRPr="0039534F">
        <w:rPr>
          <w:rFonts w:ascii="David" w:hAnsi="David"/>
          <w:color w:val="000000"/>
          <w:rtl/>
        </w:rPr>
        <w:t>יש</w:t>
      </w:r>
      <w:r w:rsidRPr="0039534F">
        <w:rPr>
          <w:rFonts w:ascii="David" w:hAnsi="David"/>
          <w:color w:val="000000"/>
        </w:rPr>
        <w:t xml:space="preserve"> </w:t>
      </w:r>
      <w:r w:rsidRPr="0039534F">
        <w:rPr>
          <w:rFonts w:ascii="David" w:hAnsi="David"/>
          <w:color w:val="000000"/>
          <w:rtl/>
        </w:rPr>
        <w:t>לתת</w:t>
      </w:r>
      <w:r w:rsidRPr="0039534F">
        <w:rPr>
          <w:rFonts w:ascii="David" w:hAnsi="David"/>
          <w:color w:val="000000"/>
        </w:rPr>
        <w:t xml:space="preserve"> </w:t>
      </w:r>
      <w:r w:rsidRPr="0039534F">
        <w:rPr>
          <w:rFonts w:ascii="David" w:hAnsi="David"/>
          <w:color w:val="000000"/>
          <w:rtl/>
        </w:rPr>
        <w:t>משקל</w:t>
      </w:r>
      <w:r w:rsidRPr="0039534F">
        <w:rPr>
          <w:rFonts w:ascii="David" w:hAnsi="David"/>
          <w:color w:val="000000"/>
        </w:rPr>
        <w:t xml:space="preserve"> </w:t>
      </w:r>
      <w:r w:rsidRPr="0039534F">
        <w:rPr>
          <w:rFonts w:ascii="David" w:hAnsi="David"/>
          <w:color w:val="000000"/>
          <w:rtl/>
        </w:rPr>
        <w:t>רב</w:t>
      </w:r>
      <w:r w:rsidRPr="0039534F">
        <w:rPr>
          <w:rFonts w:ascii="David" w:hAnsi="David"/>
          <w:color w:val="000000"/>
        </w:rPr>
        <w:t xml:space="preserve"> </w:t>
      </w:r>
      <w:r w:rsidRPr="0039534F">
        <w:rPr>
          <w:rFonts w:ascii="David" w:hAnsi="David"/>
          <w:color w:val="000000"/>
          <w:rtl/>
        </w:rPr>
        <w:t>יותר</w:t>
      </w:r>
      <w:r w:rsidRPr="0039534F">
        <w:rPr>
          <w:rFonts w:ascii="David" w:hAnsi="David"/>
          <w:color w:val="000000"/>
        </w:rPr>
        <w:t xml:space="preserve"> </w:t>
      </w:r>
      <w:r w:rsidRPr="0039534F">
        <w:rPr>
          <w:rFonts w:ascii="David" w:hAnsi="David"/>
          <w:color w:val="000000"/>
          <w:rtl/>
        </w:rPr>
        <w:t>לאינטרס</w:t>
      </w:r>
      <w:r w:rsidRPr="0039534F">
        <w:rPr>
          <w:rFonts w:ascii="David" w:hAnsi="David"/>
          <w:color w:val="000000"/>
        </w:rPr>
        <w:t xml:space="preserve"> </w:t>
      </w:r>
      <w:r w:rsidRPr="0039534F">
        <w:rPr>
          <w:rFonts w:ascii="David" w:hAnsi="David"/>
          <w:color w:val="000000"/>
          <w:rtl/>
        </w:rPr>
        <w:t>הציבורי</w:t>
      </w:r>
      <w:r w:rsidRPr="0039534F">
        <w:rPr>
          <w:rFonts w:ascii="David" w:hAnsi="David"/>
          <w:color w:val="000000"/>
        </w:rPr>
        <w:t xml:space="preserve"> </w:t>
      </w:r>
      <w:r w:rsidRPr="0039534F">
        <w:rPr>
          <w:rFonts w:ascii="David" w:hAnsi="David"/>
          <w:color w:val="000000"/>
          <w:rtl/>
        </w:rPr>
        <w:t>ולשיקולי</w:t>
      </w:r>
      <w:r w:rsidRPr="0039534F">
        <w:rPr>
          <w:rFonts w:ascii="David" w:hAnsi="David"/>
          <w:color w:val="000000"/>
        </w:rPr>
        <w:t xml:space="preserve"> </w:t>
      </w:r>
      <w:r w:rsidRPr="0039534F">
        <w:rPr>
          <w:rFonts w:ascii="David" w:hAnsi="David"/>
          <w:color w:val="000000"/>
          <w:rtl/>
        </w:rPr>
        <w:t>הרתעה מאשר</w:t>
      </w:r>
      <w:r w:rsidRPr="0039534F">
        <w:rPr>
          <w:rFonts w:ascii="David" w:hAnsi="David"/>
          <w:color w:val="000000"/>
        </w:rPr>
        <w:t xml:space="preserve"> </w:t>
      </w:r>
      <w:r w:rsidRPr="0039534F">
        <w:rPr>
          <w:rFonts w:ascii="David" w:hAnsi="David"/>
          <w:color w:val="000000"/>
          <w:rtl/>
        </w:rPr>
        <w:t>לנסיבותיו</w:t>
      </w:r>
      <w:r w:rsidRPr="0039534F">
        <w:rPr>
          <w:rFonts w:ascii="David" w:hAnsi="David"/>
          <w:color w:val="000000"/>
        </w:rPr>
        <w:t xml:space="preserve"> </w:t>
      </w:r>
      <w:r w:rsidRPr="0039534F">
        <w:rPr>
          <w:rFonts w:ascii="David" w:hAnsi="David"/>
          <w:color w:val="000000"/>
          <w:rtl/>
        </w:rPr>
        <w:t>האישיות</w:t>
      </w:r>
      <w:r w:rsidRPr="0039534F">
        <w:rPr>
          <w:rFonts w:ascii="David" w:hAnsi="David"/>
          <w:color w:val="000000"/>
        </w:rPr>
        <w:t xml:space="preserve"> </w:t>
      </w:r>
      <w:r w:rsidRPr="0039534F">
        <w:rPr>
          <w:rFonts w:ascii="David" w:hAnsi="David"/>
          <w:color w:val="000000"/>
          <w:rtl/>
        </w:rPr>
        <w:t>של</w:t>
      </w:r>
      <w:r w:rsidRPr="0039534F">
        <w:rPr>
          <w:rFonts w:ascii="David" w:hAnsi="David"/>
          <w:color w:val="000000"/>
        </w:rPr>
        <w:t xml:space="preserve"> </w:t>
      </w:r>
      <w:r w:rsidRPr="0039534F">
        <w:rPr>
          <w:rFonts w:ascii="David" w:hAnsi="David"/>
          <w:color w:val="000000"/>
          <w:rtl/>
        </w:rPr>
        <w:t>הנאשם. (ראו</w:t>
      </w:r>
      <w:r w:rsidRPr="0039534F">
        <w:rPr>
          <w:rFonts w:ascii="David" w:hAnsi="David"/>
          <w:color w:val="000000"/>
        </w:rPr>
        <w:t xml:space="preserve"> </w:t>
      </w:r>
      <w:r w:rsidRPr="0039534F">
        <w:rPr>
          <w:rFonts w:ascii="David" w:hAnsi="David"/>
          <w:color w:val="000000"/>
          <w:rtl/>
        </w:rPr>
        <w:t>למשל</w:t>
      </w:r>
      <w:r w:rsidRPr="0039534F">
        <w:rPr>
          <w:rFonts w:ascii="David" w:hAnsi="David"/>
          <w:color w:val="000000"/>
        </w:rPr>
        <w:t xml:space="preserve">: </w:t>
      </w:r>
      <w:hyperlink r:id="rId32" w:history="1">
        <w:r w:rsidR="00106A33" w:rsidRPr="00106A33">
          <w:rPr>
            <w:rFonts w:ascii="David" w:hAnsi="David"/>
            <w:color w:val="0000FF"/>
            <w:u w:val="single"/>
            <w:rtl/>
          </w:rPr>
          <w:t>ע"פ 8045/17</w:t>
        </w:r>
      </w:hyperlink>
      <w:r w:rsidRPr="0039534F">
        <w:rPr>
          <w:rFonts w:ascii="David" w:hAnsi="David"/>
          <w:color w:val="000000"/>
        </w:rPr>
        <w:t xml:space="preserve"> </w:t>
      </w:r>
      <w:r w:rsidRPr="0039534F">
        <w:rPr>
          <w:rFonts w:ascii="David" w:hAnsi="David"/>
          <w:b/>
          <w:bCs/>
          <w:color w:val="000000"/>
          <w:rtl/>
        </w:rPr>
        <w:t>בראנסי</w:t>
      </w:r>
      <w:r w:rsidRPr="0039534F">
        <w:rPr>
          <w:rFonts w:ascii="David" w:hAnsi="David"/>
          <w:color w:val="000000"/>
        </w:rPr>
        <w:t xml:space="preserve"> </w:t>
      </w:r>
      <w:r w:rsidRPr="0039534F">
        <w:rPr>
          <w:rFonts w:ascii="David" w:hAnsi="David"/>
          <w:color w:val="000000"/>
          <w:rtl/>
        </w:rPr>
        <w:t>נ</w:t>
      </w:r>
      <w:r w:rsidRPr="0039534F">
        <w:rPr>
          <w:rFonts w:ascii="David" w:hAnsi="David"/>
          <w:color w:val="000000"/>
        </w:rPr>
        <w:t xml:space="preserve">' </w:t>
      </w:r>
      <w:r w:rsidRPr="0039534F">
        <w:rPr>
          <w:rFonts w:ascii="David" w:hAnsi="David"/>
          <w:color w:val="000000"/>
          <w:rtl/>
        </w:rPr>
        <w:t>מדינת ישראל</w:t>
      </w:r>
      <w:r w:rsidRPr="0039534F">
        <w:rPr>
          <w:rFonts w:ascii="David" w:hAnsi="David"/>
          <w:color w:val="000000"/>
        </w:rPr>
        <w:t xml:space="preserve">, </w:t>
      </w:r>
      <w:r w:rsidRPr="0039534F">
        <w:rPr>
          <w:rFonts w:ascii="David" w:hAnsi="David"/>
          <w:color w:val="000000"/>
          <w:rtl/>
        </w:rPr>
        <w:t>פסקה</w:t>
      </w:r>
      <w:r w:rsidRPr="0039534F">
        <w:rPr>
          <w:rFonts w:ascii="David" w:hAnsi="David"/>
          <w:color w:val="000000"/>
        </w:rPr>
        <w:t xml:space="preserve"> 11 </w:t>
      </w:r>
      <w:r w:rsidRPr="0039534F">
        <w:rPr>
          <w:rFonts w:ascii="David" w:hAnsi="David"/>
          <w:color w:val="000000"/>
          <w:u w:val="single"/>
          <w:rtl/>
        </w:rPr>
        <w:t>(16.8.18))</w:t>
      </w:r>
    </w:p>
    <w:p w14:paraId="1EE9CDE2" w14:textId="77777777" w:rsidR="00F30E6B" w:rsidRPr="0039534F" w:rsidRDefault="00F30E6B" w:rsidP="00F30E6B">
      <w:pPr>
        <w:spacing w:after="160" w:line="259" w:lineRule="auto"/>
        <w:rPr>
          <w:rFonts w:ascii="David" w:hAnsi="David"/>
          <w:color w:val="000000"/>
          <w:shd w:val="clear" w:color="auto" w:fill="FFFFFF"/>
          <w:rtl/>
        </w:rPr>
      </w:pPr>
    </w:p>
    <w:p w14:paraId="0A8C1A8A" w14:textId="77777777" w:rsidR="00F30E6B" w:rsidRPr="00F30E6B" w:rsidRDefault="00F30E6B" w:rsidP="00F30E6B">
      <w:pPr>
        <w:spacing w:after="160" w:line="259" w:lineRule="auto"/>
        <w:ind w:left="720"/>
        <w:rPr>
          <w:rFonts w:ascii="Calibri" w:hAnsi="Calibri" w:cs="Arial"/>
          <w:rtl/>
        </w:rPr>
      </w:pPr>
      <w:r w:rsidRPr="0039534F">
        <w:rPr>
          <w:rFonts w:ascii="David" w:hAnsi="David"/>
          <w:color w:val="000000"/>
          <w:shd w:val="clear" w:color="auto" w:fill="FFFFFF"/>
          <w:rtl/>
        </w:rPr>
        <w:t>ככלל, בעבירות אלו, יש לתת משקל לשיקולי הרתעת היחיד והרבים על מנת להגן על הציבור מפני השימוש בנשק חם המוחזק באופן בלתי חוקי</w:t>
      </w:r>
      <w:r w:rsidRPr="00F30E6B">
        <w:rPr>
          <w:rFonts w:ascii="Calibri" w:hAnsi="Calibri" w:cs="Arial"/>
          <w:rtl/>
        </w:rPr>
        <w:t>.</w:t>
      </w:r>
    </w:p>
    <w:p w14:paraId="3BE2E5E4" w14:textId="77777777" w:rsidR="00F30E6B" w:rsidRPr="0039534F" w:rsidRDefault="00F30E6B" w:rsidP="00F30E6B">
      <w:pPr>
        <w:shd w:val="clear" w:color="auto" w:fill="FFFFFF"/>
        <w:spacing w:line="360" w:lineRule="atLeast"/>
        <w:ind w:left="720"/>
        <w:jc w:val="both"/>
        <w:rPr>
          <w:rFonts w:ascii="David" w:hAnsi="David"/>
          <w:rtl/>
        </w:rPr>
      </w:pPr>
      <w:r w:rsidRPr="0039534F">
        <w:rPr>
          <w:rFonts w:ascii="David" w:hAnsi="David"/>
          <w:color w:val="000000"/>
          <w:rtl/>
        </w:rPr>
        <w:t>שירות המבחן המליץ להטיל על הנאשם מאסר בעבודת שירות. לא מצאתי לנכון לאמץ את ההמלצה. המלצות שירות המבחן הן אמנם חלק מהנתונים המובאים בחשבון בגזירת העונש, אך יש לזכור שבעוד שירות המבחן מתמקד בעיקר בנאשם ובהשלכות גזר הדין עליו, על ביהמ"ש להביא בחשבון לעניין גזר הדין שיקולים נוספים, ואלה מחייבים במקרה זה ענישה הכוללת מאסר בפועל לריצוי של ממש.</w:t>
      </w:r>
    </w:p>
    <w:p w14:paraId="0A9A39CB" w14:textId="77777777" w:rsidR="00F30E6B" w:rsidRPr="00F30E6B" w:rsidRDefault="00F30E6B" w:rsidP="00F30E6B">
      <w:pPr>
        <w:spacing w:after="160" w:line="259" w:lineRule="auto"/>
        <w:rPr>
          <w:rFonts w:ascii="Calibri" w:hAnsi="Calibri" w:cs="Arial"/>
          <w:rtl/>
        </w:rPr>
      </w:pPr>
    </w:p>
    <w:p w14:paraId="59A7CBAE" w14:textId="77777777" w:rsidR="00F30E6B" w:rsidRPr="0039534F" w:rsidRDefault="00F30E6B" w:rsidP="00F30E6B">
      <w:pPr>
        <w:spacing w:after="160" w:line="259" w:lineRule="auto"/>
        <w:rPr>
          <w:rFonts w:ascii="David" w:hAnsi="David"/>
          <w:b/>
          <w:bCs/>
          <w:u w:val="single"/>
          <w:rtl/>
        </w:rPr>
      </w:pPr>
      <w:r w:rsidRPr="0039534F">
        <w:rPr>
          <w:rFonts w:ascii="David" w:hAnsi="David"/>
          <w:b/>
          <w:bCs/>
          <w:u w:val="single"/>
          <w:rtl/>
        </w:rPr>
        <w:t>סוף דבר:</w:t>
      </w:r>
    </w:p>
    <w:p w14:paraId="153DAF20" w14:textId="77777777" w:rsidR="00F30E6B" w:rsidRPr="0039534F" w:rsidRDefault="00F30E6B" w:rsidP="00F30E6B">
      <w:pPr>
        <w:spacing w:after="160" w:line="259" w:lineRule="auto"/>
        <w:rPr>
          <w:rFonts w:ascii="David" w:hAnsi="David"/>
          <w:rtl/>
        </w:rPr>
      </w:pPr>
      <w:r w:rsidRPr="0039534F">
        <w:rPr>
          <w:rFonts w:ascii="David" w:hAnsi="David"/>
          <w:rtl/>
        </w:rPr>
        <w:t>19. לאחר ששקלתי את מכלול השיקולים כמפורט לעיל, אני מטילה על הנאשם את העונשים הבאים:</w:t>
      </w:r>
    </w:p>
    <w:p w14:paraId="7A741B17" w14:textId="77777777" w:rsidR="00F30E6B" w:rsidRPr="0039534F" w:rsidRDefault="00F30E6B" w:rsidP="00F30E6B">
      <w:pPr>
        <w:spacing w:after="160" w:line="360" w:lineRule="atLeast"/>
        <w:ind w:left="1080" w:hanging="360"/>
        <w:jc w:val="both"/>
        <w:rPr>
          <w:rFonts w:ascii="David" w:hAnsi="David"/>
          <w:color w:val="000000"/>
          <w:rtl/>
        </w:rPr>
      </w:pPr>
      <w:r w:rsidRPr="0039534F">
        <w:rPr>
          <w:rFonts w:ascii="David" w:hAnsi="David"/>
          <w:color w:val="000000"/>
          <w:rtl/>
        </w:rPr>
        <w:t>א.</w:t>
      </w:r>
      <w:r w:rsidR="00106A33">
        <w:rPr>
          <w:rFonts w:ascii="David" w:hAnsi="David"/>
          <w:color w:val="000000"/>
          <w:rtl/>
        </w:rPr>
        <w:t xml:space="preserve">      </w:t>
      </w:r>
      <w:r w:rsidRPr="0039534F">
        <w:rPr>
          <w:rFonts w:ascii="David" w:hAnsi="David"/>
          <w:color w:val="000000"/>
          <w:rtl/>
        </w:rPr>
        <w:t>18 חודשי מאסר בפועל, בניכוי ימי מעצרו בהתאם לרישומי שב"ס.</w:t>
      </w:r>
    </w:p>
    <w:p w14:paraId="53403199" w14:textId="77777777" w:rsidR="00F30E6B" w:rsidRPr="0039534F" w:rsidRDefault="00F30E6B" w:rsidP="00F30E6B">
      <w:pPr>
        <w:spacing w:after="160" w:line="360" w:lineRule="atLeast"/>
        <w:ind w:left="1080" w:hanging="360"/>
        <w:jc w:val="both"/>
        <w:rPr>
          <w:rFonts w:ascii="David" w:hAnsi="David"/>
          <w:color w:val="000000"/>
          <w:rtl/>
        </w:rPr>
      </w:pPr>
      <w:r w:rsidRPr="0039534F">
        <w:rPr>
          <w:rFonts w:ascii="David" w:hAnsi="David"/>
          <w:color w:val="000000"/>
          <w:rtl/>
        </w:rPr>
        <w:t>ב.</w:t>
      </w:r>
      <w:r w:rsidR="00106A33">
        <w:rPr>
          <w:rFonts w:ascii="David" w:hAnsi="David"/>
          <w:color w:val="000000"/>
          <w:rtl/>
        </w:rPr>
        <w:t xml:space="preserve">       </w:t>
      </w:r>
      <w:r w:rsidRPr="0039534F">
        <w:rPr>
          <w:rFonts w:ascii="David" w:hAnsi="David"/>
          <w:color w:val="000000"/>
          <w:rtl/>
        </w:rPr>
        <w:t>מאסר על תנאי לתקופה של</w:t>
      </w:r>
      <w:r w:rsidR="00106A33">
        <w:rPr>
          <w:rFonts w:ascii="David" w:hAnsi="David"/>
          <w:color w:val="000000"/>
          <w:rtl/>
        </w:rPr>
        <w:t xml:space="preserve"> </w:t>
      </w:r>
      <w:r w:rsidRPr="0039534F">
        <w:rPr>
          <w:rFonts w:ascii="David" w:hAnsi="David"/>
          <w:color w:val="000000"/>
          <w:rtl/>
        </w:rPr>
        <w:t xml:space="preserve"> 6 חודשים. המאסר המותנה יופעל אם תוך תקופה של     3  שנים מיום שחרורו, יעבור הנאשם עבירות נשק. </w:t>
      </w:r>
    </w:p>
    <w:p w14:paraId="60BB9851" w14:textId="77777777" w:rsidR="00F30E6B" w:rsidRPr="0039534F" w:rsidRDefault="00F30E6B" w:rsidP="00F30E6B">
      <w:pPr>
        <w:spacing w:after="160" w:line="360" w:lineRule="atLeast"/>
        <w:ind w:left="1080" w:hanging="360"/>
        <w:jc w:val="both"/>
        <w:rPr>
          <w:rFonts w:ascii="David" w:hAnsi="David"/>
          <w:color w:val="000000"/>
          <w:rtl/>
        </w:rPr>
      </w:pPr>
      <w:r w:rsidRPr="0039534F">
        <w:rPr>
          <w:rFonts w:ascii="David" w:hAnsi="David"/>
          <w:color w:val="000000"/>
          <w:rtl/>
        </w:rPr>
        <w:t>ג.</w:t>
      </w:r>
      <w:r w:rsidR="00106A33">
        <w:rPr>
          <w:rFonts w:ascii="David" w:hAnsi="David"/>
          <w:color w:val="000000"/>
          <w:rtl/>
        </w:rPr>
        <w:t xml:space="preserve">       </w:t>
      </w:r>
      <w:r w:rsidRPr="0039534F">
        <w:rPr>
          <w:rFonts w:ascii="David" w:hAnsi="David"/>
          <w:color w:val="000000"/>
          <w:rtl/>
        </w:rPr>
        <w:t>קנס בסך 10,000 ₪ או חודש מאסר תמורתו.</w:t>
      </w:r>
    </w:p>
    <w:p w14:paraId="17CF3E2F" w14:textId="77777777" w:rsidR="00F30E6B" w:rsidRPr="0039534F" w:rsidRDefault="00F30E6B" w:rsidP="00F30E6B">
      <w:pPr>
        <w:spacing w:after="160" w:line="360" w:lineRule="atLeast"/>
        <w:ind w:left="1076" w:firstLine="18"/>
        <w:jc w:val="both"/>
        <w:rPr>
          <w:rFonts w:ascii="David" w:hAnsi="David"/>
          <w:color w:val="000000"/>
          <w:rtl/>
        </w:rPr>
      </w:pPr>
      <w:r w:rsidRPr="0039534F">
        <w:rPr>
          <w:rFonts w:ascii="David" w:hAnsi="David"/>
          <w:color w:val="000000"/>
          <w:rtl/>
        </w:rPr>
        <w:t>הקנס ישולם ב-10 תשלומים חודשיים שווים ורצופים, החל מיום 1.9.22 תשומת לב הנאשם, כי אי עמידה בתשלום תביא להעמדת הסכום כולו לפירעון.</w:t>
      </w:r>
    </w:p>
    <w:p w14:paraId="049153FD" w14:textId="77777777" w:rsidR="00F30E6B" w:rsidRPr="0039534F" w:rsidRDefault="00F30E6B" w:rsidP="00F30E6B">
      <w:pPr>
        <w:spacing w:after="160" w:line="360" w:lineRule="auto"/>
        <w:jc w:val="both"/>
        <w:rPr>
          <w:rFonts w:ascii="David" w:hAnsi="David"/>
          <w:b/>
          <w:bCs/>
          <w:rtl/>
        </w:rPr>
      </w:pPr>
    </w:p>
    <w:p w14:paraId="564FCC41" w14:textId="77777777" w:rsidR="00F30E6B" w:rsidRPr="0039534F" w:rsidRDefault="00F30E6B" w:rsidP="00F30E6B">
      <w:pPr>
        <w:spacing w:after="160" w:line="360" w:lineRule="auto"/>
        <w:jc w:val="both"/>
        <w:rPr>
          <w:rFonts w:ascii="David" w:hAnsi="David"/>
          <w:b/>
          <w:bCs/>
        </w:rPr>
      </w:pPr>
      <w:r w:rsidRPr="0039534F">
        <w:rPr>
          <w:rFonts w:ascii="David" w:hAnsi="David"/>
          <w:b/>
          <w:bCs/>
          <w:rtl/>
        </w:rPr>
        <w:t>את הקנס ניתן לשלם באחת מהדרכים הבאות:</w:t>
      </w:r>
    </w:p>
    <w:p w14:paraId="4E5BAE0F" w14:textId="77777777" w:rsidR="00F30E6B" w:rsidRPr="0039534F" w:rsidRDefault="00F30E6B" w:rsidP="00F30E6B">
      <w:pPr>
        <w:numPr>
          <w:ilvl w:val="0"/>
          <w:numId w:val="3"/>
        </w:numPr>
        <w:spacing w:line="360" w:lineRule="auto"/>
        <w:jc w:val="both"/>
        <w:rPr>
          <w:rFonts w:ascii="David" w:hAnsi="David"/>
          <w:b/>
          <w:bCs/>
        </w:rPr>
      </w:pPr>
      <w:r w:rsidRPr="0039534F">
        <w:rPr>
          <w:rFonts w:ascii="David" w:hAnsi="David"/>
          <w:b/>
          <w:bCs/>
          <w:rtl/>
        </w:rPr>
        <w:t xml:space="preserve">תשלום בכרטיס אשראי באמצעות האתר המקוון של רשות האכיפה והגבייה בכתובת: </w:t>
      </w:r>
      <w:hyperlink r:id="rId33" w:history="1">
        <w:r w:rsidRPr="0039534F">
          <w:rPr>
            <w:rFonts w:ascii="David" w:hAnsi="David"/>
            <w:b/>
            <w:bCs/>
            <w:color w:val="0000FF"/>
            <w:u w:val="single"/>
          </w:rPr>
          <w:t>www.eca.gov.il</w:t>
        </w:r>
      </w:hyperlink>
      <w:r w:rsidRPr="0039534F">
        <w:rPr>
          <w:rFonts w:ascii="David" w:hAnsi="David"/>
          <w:b/>
          <w:bCs/>
          <w:rtl/>
        </w:rPr>
        <w:t>.</w:t>
      </w:r>
    </w:p>
    <w:p w14:paraId="2E314420" w14:textId="77777777" w:rsidR="00F30E6B" w:rsidRPr="0039534F" w:rsidRDefault="00F30E6B" w:rsidP="00F30E6B">
      <w:pPr>
        <w:numPr>
          <w:ilvl w:val="0"/>
          <w:numId w:val="3"/>
        </w:numPr>
        <w:spacing w:line="360" w:lineRule="auto"/>
        <w:jc w:val="both"/>
        <w:rPr>
          <w:rFonts w:ascii="David" w:hAnsi="David"/>
          <w:b/>
          <w:bCs/>
          <w:rtl/>
        </w:rPr>
      </w:pPr>
      <w:r w:rsidRPr="0039534F">
        <w:rPr>
          <w:rFonts w:ascii="David" w:hAnsi="David"/>
          <w:b/>
          <w:bCs/>
          <w:rtl/>
        </w:rPr>
        <w:t>תשלום בשירות עצמי באמצעות מוקד שירות טלפוני של מרכז הגבייה, בטלפון שמספרו 35592* או, 073-205-5000.</w:t>
      </w:r>
    </w:p>
    <w:p w14:paraId="330F4ED3" w14:textId="77777777" w:rsidR="00F30E6B" w:rsidRPr="0039534F" w:rsidRDefault="00F30E6B" w:rsidP="00F30E6B">
      <w:pPr>
        <w:numPr>
          <w:ilvl w:val="0"/>
          <w:numId w:val="3"/>
        </w:numPr>
        <w:spacing w:line="360" w:lineRule="auto"/>
        <w:jc w:val="both"/>
        <w:rPr>
          <w:rFonts w:ascii="David" w:hAnsi="David"/>
          <w:b/>
          <w:bCs/>
        </w:rPr>
      </w:pPr>
      <w:r w:rsidRPr="0039534F">
        <w:rPr>
          <w:rFonts w:ascii="David" w:hAnsi="David"/>
          <w:b/>
          <w:bCs/>
          <w:rtl/>
        </w:rPr>
        <w:t>תשלום במזומן בכל סניף של בנק הדואר, בהצגת תעודת זהות בלבד (אין צורך בהצגת שוברי תשלום).</w:t>
      </w:r>
    </w:p>
    <w:p w14:paraId="6D4FCE44" w14:textId="77777777" w:rsidR="00F30E6B" w:rsidRPr="0039534F" w:rsidRDefault="00F30E6B" w:rsidP="00F30E6B">
      <w:pPr>
        <w:spacing w:after="160" w:line="360" w:lineRule="auto"/>
        <w:ind w:left="1440"/>
        <w:jc w:val="both"/>
        <w:rPr>
          <w:rFonts w:ascii="Calibri" w:hAnsi="Calibri" w:cs="Arial"/>
          <w:sz w:val="22"/>
          <w:szCs w:val="22"/>
        </w:rPr>
      </w:pPr>
    </w:p>
    <w:p w14:paraId="29A8E9D6" w14:textId="77777777" w:rsidR="00F30E6B" w:rsidRPr="0039534F" w:rsidRDefault="00F30E6B" w:rsidP="00F30E6B">
      <w:pPr>
        <w:spacing w:after="160" w:line="360" w:lineRule="atLeast"/>
        <w:ind w:firstLine="18"/>
        <w:jc w:val="both"/>
        <w:rPr>
          <w:rFonts w:ascii="David" w:hAnsi="David"/>
          <w:color w:val="000000"/>
          <w:rtl/>
        </w:rPr>
      </w:pPr>
      <w:r w:rsidRPr="0039534F">
        <w:rPr>
          <w:rFonts w:ascii="David" w:hAnsi="David"/>
          <w:b/>
          <w:bCs/>
          <w:color w:val="FFFFFF"/>
          <w:rtl/>
        </w:rPr>
        <w:t>5129371</w:t>
      </w:r>
      <w:r w:rsidRPr="0039534F">
        <w:rPr>
          <w:rFonts w:ascii="David" w:hAnsi="David"/>
          <w:b/>
          <w:bCs/>
          <w:color w:val="000000"/>
          <w:rtl/>
        </w:rPr>
        <w:t>ניתן בזאת צו להשמדת מוצגים – נשק ותחמושת, בכפוף לחלוף תקופת הערעור.</w:t>
      </w:r>
    </w:p>
    <w:p w14:paraId="501F7635" w14:textId="77777777" w:rsidR="00F30E6B" w:rsidRPr="0039534F" w:rsidRDefault="00F30E6B" w:rsidP="00F30E6B">
      <w:pPr>
        <w:spacing w:line="360" w:lineRule="atLeast"/>
        <w:jc w:val="both"/>
        <w:rPr>
          <w:rFonts w:cs="Times New Roman"/>
          <w:color w:val="000000"/>
          <w:rtl/>
        </w:rPr>
      </w:pPr>
      <w:r w:rsidRPr="0039534F">
        <w:rPr>
          <w:rFonts w:ascii="David" w:hAnsi="David"/>
          <w:b/>
          <w:bCs/>
          <w:color w:val="FFFFFF"/>
          <w:rtl/>
        </w:rPr>
        <w:t>54678313</w:t>
      </w:r>
      <w:r w:rsidRPr="0039534F">
        <w:rPr>
          <w:rFonts w:ascii="David" w:hAnsi="David"/>
          <w:b/>
          <w:bCs/>
          <w:color w:val="000000"/>
          <w:rtl/>
        </w:rPr>
        <w:t>זכות ערעור כחוק.</w:t>
      </w:r>
    </w:p>
    <w:p w14:paraId="6206A352" w14:textId="77777777" w:rsidR="00F30E6B" w:rsidRPr="0039534F" w:rsidRDefault="00106A33" w:rsidP="00F30E6B">
      <w:pPr>
        <w:rPr>
          <w:rFonts w:cs="Times New Roman"/>
          <w:color w:val="000000"/>
          <w:sz w:val="27"/>
          <w:szCs w:val="27"/>
          <w:rtl/>
        </w:rPr>
      </w:pPr>
      <w:r>
        <w:rPr>
          <w:rFonts w:ascii="David" w:hAnsi="David"/>
          <w:color w:val="000000"/>
          <w:sz w:val="26"/>
          <w:szCs w:val="26"/>
          <w:rtl/>
        </w:rPr>
        <w:t xml:space="preserve"> </w:t>
      </w:r>
    </w:p>
    <w:p w14:paraId="33B4795A" w14:textId="77777777" w:rsidR="00F30E6B" w:rsidRPr="00F30E6B" w:rsidRDefault="00F30E6B" w:rsidP="00F30E6B">
      <w:pPr>
        <w:spacing w:after="160" w:line="259" w:lineRule="auto"/>
        <w:rPr>
          <w:rFonts w:ascii="Calibri" w:hAnsi="Calibri" w:cs="Arial"/>
          <w:rtl/>
        </w:rPr>
      </w:pPr>
    </w:p>
    <w:p w14:paraId="2DA02F23" w14:textId="77777777" w:rsidR="00F30E6B" w:rsidRPr="00F30E6B" w:rsidRDefault="00F30E6B" w:rsidP="00F30E6B">
      <w:pPr>
        <w:spacing w:after="160" w:line="259" w:lineRule="auto"/>
        <w:rPr>
          <w:rFonts w:ascii="Calibri" w:hAnsi="Calibri" w:cs="Arial"/>
          <w:rtl/>
        </w:rPr>
      </w:pPr>
    </w:p>
    <w:p w14:paraId="753D2974" w14:textId="77777777" w:rsidR="00F30E6B" w:rsidRPr="00F30E6B" w:rsidRDefault="00F30E6B" w:rsidP="00F30E6B">
      <w:pPr>
        <w:spacing w:after="160" w:line="259" w:lineRule="auto"/>
        <w:rPr>
          <w:rFonts w:ascii="Calibri" w:hAnsi="Calibri" w:cs="Arial"/>
          <w:rtl/>
        </w:rPr>
      </w:pPr>
    </w:p>
    <w:p w14:paraId="466C3BE1" w14:textId="77777777" w:rsidR="00F30E6B" w:rsidRPr="00F30E6B" w:rsidRDefault="00F30E6B" w:rsidP="00F30E6B">
      <w:pPr>
        <w:spacing w:after="160" w:line="259" w:lineRule="auto"/>
        <w:rPr>
          <w:rFonts w:ascii="Calibri" w:hAnsi="Calibri" w:cs="Arial"/>
          <w:sz w:val="22"/>
          <w:szCs w:val="22"/>
        </w:rPr>
      </w:pPr>
    </w:p>
    <w:p w14:paraId="41420094" w14:textId="77777777" w:rsidR="00F30E6B" w:rsidRPr="00106A33" w:rsidRDefault="00106A33" w:rsidP="00F30E6B">
      <w:pPr>
        <w:rPr>
          <w:rFonts w:ascii="Arial" w:hAnsi="Arial"/>
          <w:b/>
          <w:bCs/>
          <w:color w:val="FFFFFF"/>
          <w:sz w:val="2"/>
          <w:szCs w:val="2"/>
          <w:rtl/>
        </w:rPr>
      </w:pPr>
      <w:r w:rsidRPr="00106A33">
        <w:rPr>
          <w:rFonts w:ascii="Arial" w:hAnsi="Arial"/>
          <w:b/>
          <w:bCs/>
          <w:color w:val="FFFFFF"/>
          <w:sz w:val="2"/>
          <w:szCs w:val="2"/>
          <w:rtl/>
        </w:rPr>
        <w:t>5129371</w:t>
      </w:r>
    </w:p>
    <w:p w14:paraId="1C1CFF71" w14:textId="77777777" w:rsidR="00F30E6B" w:rsidRPr="00106A33" w:rsidRDefault="00106A33" w:rsidP="00F30E6B">
      <w:pPr>
        <w:rPr>
          <w:rFonts w:ascii="Arial" w:hAnsi="Arial"/>
          <w:b/>
          <w:bCs/>
          <w:color w:val="FFFFFF"/>
          <w:sz w:val="2"/>
          <w:szCs w:val="2"/>
          <w:rtl/>
        </w:rPr>
      </w:pPr>
      <w:r w:rsidRPr="00106A33">
        <w:rPr>
          <w:rFonts w:ascii="Arial" w:hAnsi="Arial"/>
          <w:b/>
          <w:bCs/>
          <w:color w:val="FFFFFF"/>
          <w:sz w:val="2"/>
          <w:szCs w:val="2"/>
          <w:rtl/>
        </w:rPr>
        <w:t>54678313</w:t>
      </w:r>
    </w:p>
    <w:p w14:paraId="1F804514" w14:textId="77777777" w:rsidR="00F30E6B" w:rsidRPr="000F2247" w:rsidRDefault="00F30E6B" w:rsidP="00F30E6B">
      <w:pPr>
        <w:rPr>
          <w:rFonts w:ascii="Arial" w:hAnsi="Arial"/>
          <w:b/>
          <w:bCs/>
          <w:sz w:val="26"/>
          <w:szCs w:val="26"/>
          <w:rtl/>
        </w:rPr>
      </w:pPr>
    </w:p>
    <w:p w14:paraId="16E6DE7E" w14:textId="77777777" w:rsidR="00F30E6B" w:rsidRPr="000F2247" w:rsidRDefault="00106A33" w:rsidP="00F30E6B">
      <w:pPr>
        <w:rPr>
          <w:rFonts w:ascii="Arial" w:hAnsi="Arial"/>
          <w:b/>
          <w:bCs/>
          <w:sz w:val="26"/>
          <w:szCs w:val="26"/>
          <w:rtl/>
        </w:rPr>
      </w:pPr>
      <w:bookmarkStart w:id="7" w:name="Nitan"/>
      <w:r>
        <w:rPr>
          <w:rFonts w:ascii="Arial" w:hAnsi="Arial"/>
          <w:b/>
          <w:bCs/>
          <w:sz w:val="26"/>
          <w:szCs w:val="26"/>
          <w:rtl/>
        </w:rPr>
        <w:t xml:space="preserve">ניתן היום,  ד' תמוז תשפ"ב, 03 יולי 2022, בהעדר הצדדים. </w:t>
      </w:r>
      <w:bookmarkEnd w:id="7"/>
    </w:p>
    <w:p w14:paraId="31F25387" w14:textId="77777777" w:rsidR="00F30E6B" w:rsidRPr="000F2247" w:rsidRDefault="00F30E6B" w:rsidP="00106A33">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387B2E05" w14:textId="77777777" w:rsidR="00F30E6B" w:rsidRPr="000F2247" w:rsidRDefault="00F30E6B" w:rsidP="00F30E6B">
      <w:pPr>
        <w:jc w:val="center"/>
        <w:rPr>
          <w:rFonts w:ascii="Arial" w:hAnsi="Arial"/>
          <w:b/>
          <w:bCs/>
          <w:sz w:val="26"/>
          <w:szCs w:val="26"/>
          <w:rtl/>
        </w:rPr>
      </w:pPr>
    </w:p>
    <w:p w14:paraId="68A156B2" w14:textId="77777777" w:rsidR="007459B3" w:rsidRPr="00106A33" w:rsidRDefault="007459B3" w:rsidP="00106A33">
      <w:pPr>
        <w:keepNext/>
        <w:rPr>
          <w:rFonts w:ascii="David" w:hAnsi="David"/>
          <w:color w:val="000000"/>
          <w:sz w:val="22"/>
          <w:szCs w:val="22"/>
          <w:rtl/>
        </w:rPr>
      </w:pPr>
    </w:p>
    <w:p w14:paraId="1087E58D" w14:textId="77777777" w:rsidR="00106A33" w:rsidRPr="00106A33" w:rsidRDefault="00106A33" w:rsidP="00106A33">
      <w:pPr>
        <w:keepNext/>
        <w:rPr>
          <w:rFonts w:ascii="David" w:hAnsi="David"/>
          <w:color w:val="000000"/>
          <w:sz w:val="22"/>
          <w:szCs w:val="22"/>
          <w:rtl/>
        </w:rPr>
      </w:pPr>
      <w:r w:rsidRPr="00106A33">
        <w:rPr>
          <w:rFonts w:ascii="David" w:hAnsi="David"/>
          <w:color w:val="000000"/>
          <w:sz w:val="22"/>
          <w:szCs w:val="22"/>
          <w:rtl/>
        </w:rPr>
        <w:t>אחינעם צוריאל 54678313</w:t>
      </w:r>
    </w:p>
    <w:p w14:paraId="487E0181" w14:textId="77777777" w:rsidR="00106A33" w:rsidRDefault="00106A33" w:rsidP="00106A33">
      <w:r w:rsidRPr="00106A33">
        <w:rPr>
          <w:color w:val="000000"/>
          <w:rtl/>
        </w:rPr>
        <w:t>נוסח מסמך זה כפוף לשינויי ניסוח ועריכה</w:t>
      </w:r>
    </w:p>
    <w:p w14:paraId="250C7CF2" w14:textId="77777777" w:rsidR="00106A33" w:rsidRDefault="00106A33" w:rsidP="00106A33">
      <w:pPr>
        <w:rPr>
          <w:rtl/>
        </w:rPr>
      </w:pPr>
    </w:p>
    <w:p w14:paraId="6B22038A" w14:textId="77777777" w:rsidR="00106A33" w:rsidRDefault="00106A33" w:rsidP="00106A33">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p w14:paraId="12EEA4BF" w14:textId="77777777" w:rsidR="00106A33" w:rsidRPr="00106A33" w:rsidRDefault="00106A33" w:rsidP="00106A33">
      <w:pPr>
        <w:jc w:val="center"/>
        <w:rPr>
          <w:color w:val="0000FF"/>
          <w:u w:val="single"/>
        </w:rPr>
      </w:pPr>
    </w:p>
    <w:sectPr w:rsidR="00106A33" w:rsidRPr="00106A33" w:rsidSect="00106A33">
      <w:headerReference w:type="even" r:id="rId35"/>
      <w:headerReference w:type="default" r:id="rId36"/>
      <w:footerReference w:type="even" r:id="rId37"/>
      <w:footerReference w:type="default" r:id="rId3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5822C0" w14:textId="77777777" w:rsidR="00F735F9" w:rsidRDefault="00F735F9" w:rsidP="00477006">
      <w:r>
        <w:separator/>
      </w:r>
    </w:p>
  </w:endnote>
  <w:endnote w:type="continuationSeparator" w:id="0">
    <w:p w14:paraId="604523B4" w14:textId="77777777" w:rsidR="00F735F9" w:rsidRDefault="00F735F9" w:rsidP="004770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2D5B7E" w14:textId="77777777" w:rsidR="00106A33" w:rsidRDefault="00106A33" w:rsidP="00106A3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21BCA63" w14:textId="77777777" w:rsidR="005922D9" w:rsidRPr="00106A33" w:rsidRDefault="00106A33" w:rsidP="00106A3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8C4D78" w14:textId="77777777" w:rsidR="00106A33" w:rsidRDefault="00106A33" w:rsidP="00106A3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94398">
      <w:rPr>
        <w:rFonts w:ascii="FrankRuehl" w:hAnsi="FrankRuehl" w:cs="FrankRuehl"/>
        <w:noProof/>
        <w:rtl/>
      </w:rPr>
      <w:t>1</w:t>
    </w:r>
    <w:r>
      <w:rPr>
        <w:rFonts w:ascii="FrankRuehl" w:hAnsi="FrankRuehl" w:cs="FrankRuehl"/>
        <w:rtl/>
      </w:rPr>
      <w:fldChar w:fldCharType="end"/>
    </w:r>
  </w:p>
  <w:p w14:paraId="4884E80F" w14:textId="77777777" w:rsidR="005922D9" w:rsidRPr="00106A33" w:rsidRDefault="00106A33" w:rsidP="00106A3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37C21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820CF6" w14:textId="77777777" w:rsidR="00F735F9" w:rsidRDefault="00F735F9" w:rsidP="00477006">
      <w:r>
        <w:separator/>
      </w:r>
    </w:p>
  </w:footnote>
  <w:footnote w:type="continuationSeparator" w:id="0">
    <w:p w14:paraId="491B0E66" w14:textId="77777777" w:rsidR="00F735F9" w:rsidRDefault="00F735F9" w:rsidP="004770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54DBB8" w14:textId="77777777" w:rsidR="00106A33" w:rsidRPr="00106A33" w:rsidRDefault="00106A33" w:rsidP="00106A3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54807-01-21</w:t>
    </w:r>
    <w:r>
      <w:rPr>
        <w:rFonts w:ascii="David" w:hAnsi="David"/>
        <w:color w:val="000000"/>
        <w:sz w:val="22"/>
        <w:szCs w:val="22"/>
        <w:rtl/>
      </w:rPr>
      <w:tab/>
      <w:t xml:space="preserve"> מדינת ישראל נ' זהר אלבחירי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9B4EE2" w14:textId="77777777" w:rsidR="00106A33" w:rsidRPr="00106A33" w:rsidRDefault="00106A33" w:rsidP="00106A3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54807-01-21</w:t>
    </w:r>
    <w:r>
      <w:rPr>
        <w:rFonts w:ascii="David" w:hAnsi="David"/>
        <w:color w:val="000000"/>
        <w:sz w:val="22"/>
        <w:szCs w:val="22"/>
        <w:rtl/>
      </w:rPr>
      <w:tab/>
      <w:t xml:space="preserve"> מדינת ישראל נ' זהר אלבחירי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05327E"/>
    <w:multiLevelType w:val="hybridMultilevel"/>
    <w:tmpl w:val="C91CCF92"/>
    <w:lvl w:ilvl="0" w:tplc="B5028F72">
      <w:start w:val="1"/>
      <w:numFmt w:val="hebrew1"/>
      <w:lvlText w:val="%1."/>
      <w:lvlJc w:val="left"/>
      <w:pPr>
        <w:ind w:left="720" w:hanging="360"/>
      </w:pPr>
      <w:rPr>
        <w:rFonts w:cs="David"/>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37AE5800"/>
    <w:multiLevelType w:val="hybridMultilevel"/>
    <w:tmpl w:val="A490D5C0"/>
    <w:lvl w:ilvl="0" w:tplc="BDFAA550">
      <w:start w:val="1"/>
      <w:numFmt w:val="hebrew1"/>
      <w:lvlText w:val="%1."/>
      <w:lvlJc w:val="left"/>
      <w:pPr>
        <w:ind w:left="1545" w:hanging="765"/>
      </w:pPr>
      <w:rPr>
        <w:rFonts w:ascii="David" w:hAnsi="David" w:cs="David" w:hint="default"/>
      </w:rPr>
    </w:lvl>
    <w:lvl w:ilvl="1" w:tplc="04090019" w:tentative="1">
      <w:start w:val="1"/>
      <w:numFmt w:val="lowerLetter"/>
      <w:lvlText w:val="%2."/>
      <w:lvlJc w:val="left"/>
      <w:pPr>
        <w:ind w:left="1860" w:hanging="360"/>
      </w:pPr>
      <w:rPr>
        <w:rFonts w:cs="Times New Roman"/>
      </w:rPr>
    </w:lvl>
    <w:lvl w:ilvl="2" w:tplc="0409001B" w:tentative="1">
      <w:start w:val="1"/>
      <w:numFmt w:val="lowerRoman"/>
      <w:lvlText w:val="%3."/>
      <w:lvlJc w:val="right"/>
      <w:pPr>
        <w:ind w:left="2580" w:hanging="180"/>
      </w:pPr>
      <w:rPr>
        <w:rFonts w:cs="Times New Roman"/>
      </w:rPr>
    </w:lvl>
    <w:lvl w:ilvl="3" w:tplc="0409000F" w:tentative="1">
      <w:start w:val="1"/>
      <w:numFmt w:val="decimal"/>
      <w:lvlText w:val="%4."/>
      <w:lvlJc w:val="left"/>
      <w:pPr>
        <w:ind w:left="3300" w:hanging="360"/>
      </w:pPr>
      <w:rPr>
        <w:rFonts w:cs="Times New Roman"/>
      </w:rPr>
    </w:lvl>
    <w:lvl w:ilvl="4" w:tplc="04090019" w:tentative="1">
      <w:start w:val="1"/>
      <w:numFmt w:val="lowerLetter"/>
      <w:lvlText w:val="%5."/>
      <w:lvlJc w:val="left"/>
      <w:pPr>
        <w:ind w:left="4020" w:hanging="360"/>
      </w:pPr>
      <w:rPr>
        <w:rFonts w:cs="Times New Roman"/>
      </w:rPr>
    </w:lvl>
    <w:lvl w:ilvl="5" w:tplc="0409001B" w:tentative="1">
      <w:start w:val="1"/>
      <w:numFmt w:val="lowerRoman"/>
      <w:lvlText w:val="%6."/>
      <w:lvlJc w:val="right"/>
      <w:pPr>
        <w:ind w:left="4740" w:hanging="180"/>
      </w:pPr>
      <w:rPr>
        <w:rFonts w:cs="Times New Roman"/>
      </w:rPr>
    </w:lvl>
    <w:lvl w:ilvl="6" w:tplc="0409000F" w:tentative="1">
      <w:start w:val="1"/>
      <w:numFmt w:val="decimal"/>
      <w:lvlText w:val="%7."/>
      <w:lvlJc w:val="left"/>
      <w:pPr>
        <w:ind w:left="5460" w:hanging="360"/>
      </w:pPr>
      <w:rPr>
        <w:rFonts w:cs="Times New Roman"/>
      </w:rPr>
    </w:lvl>
    <w:lvl w:ilvl="7" w:tplc="04090019" w:tentative="1">
      <w:start w:val="1"/>
      <w:numFmt w:val="lowerLetter"/>
      <w:lvlText w:val="%8."/>
      <w:lvlJc w:val="left"/>
      <w:pPr>
        <w:ind w:left="6180" w:hanging="360"/>
      </w:pPr>
      <w:rPr>
        <w:rFonts w:cs="Times New Roman"/>
      </w:rPr>
    </w:lvl>
    <w:lvl w:ilvl="8" w:tplc="0409001B" w:tentative="1">
      <w:start w:val="1"/>
      <w:numFmt w:val="lowerRoman"/>
      <w:lvlText w:val="%9."/>
      <w:lvlJc w:val="right"/>
      <w:pPr>
        <w:ind w:left="6900" w:hanging="180"/>
      </w:pPr>
      <w:rPr>
        <w:rFonts w:cs="Times New Roman"/>
      </w:rPr>
    </w:lvl>
  </w:abstractNum>
  <w:abstractNum w:abstractNumId="2" w15:restartNumberingAfterBreak="0">
    <w:nsid w:val="5BFD4701"/>
    <w:multiLevelType w:val="hybridMultilevel"/>
    <w:tmpl w:val="453201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1C57C75"/>
    <w:multiLevelType w:val="hybridMultilevel"/>
    <w:tmpl w:val="02C0FB8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971275664">
    <w:abstractNumId w:val="1"/>
  </w:num>
  <w:num w:numId="2" w16cid:durableId="283050169">
    <w:abstractNumId w:val="0"/>
  </w:num>
  <w:num w:numId="3" w16cid:durableId="1740790848">
    <w:abstractNumId w:val="2"/>
  </w:num>
  <w:num w:numId="4" w16cid:durableId="12466518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30E6B"/>
    <w:rsid w:val="000036D2"/>
    <w:rsid w:val="00106A33"/>
    <w:rsid w:val="001B5A3B"/>
    <w:rsid w:val="001D5224"/>
    <w:rsid w:val="00477006"/>
    <w:rsid w:val="00494398"/>
    <w:rsid w:val="004A237E"/>
    <w:rsid w:val="005922D9"/>
    <w:rsid w:val="005C2F84"/>
    <w:rsid w:val="007459B3"/>
    <w:rsid w:val="00780557"/>
    <w:rsid w:val="009A255E"/>
    <w:rsid w:val="00E22E95"/>
    <w:rsid w:val="00F30E6B"/>
    <w:rsid w:val="00F735F9"/>
    <w:rsid w:val="00FB1E0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EF7F7C5"/>
  <w15:chartTrackingRefBased/>
  <w15:docId w15:val="{8F2602EB-37D2-4798-B739-1F53AD2CE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30E6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30E6B"/>
    <w:pPr>
      <w:tabs>
        <w:tab w:val="center" w:pos="4153"/>
        <w:tab w:val="right" w:pos="8306"/>
      </w:tabs>
    </w:pPr>
  </w:style>
  <w:style w:type="character" w:customStyle="1" w:styleId="a4">
    <w:name w:val="כותרת עליונה תו"/>
    <w:link w:val="a3"/>
    <w:rsid w:val="00F30E6B"/>
    <w:rPr>
      <w:rFonts w:ascii="Times New Roman" w:eastAsia="Times New Roman" w:hAnsi="Times New Roman" w:cs="David"/>
      <w:sz w:val="24"/>
      <w:szCs w:val="24"/>
    </w:rPr>
  </w:style>
  <w:style w:type="paragraph" w:styleId="a5">
    <w:name w:val="footer"/>
    <w:basedOn w:val="a"/>
    <w:link w:val="a6"/>
    <w:rsid w:val="00F30E6B"/>
    <w:pPr>
      <w:tabs>
        <w:tab w:val="center" w:pos="4153"/>
        <w:tab w:val="right" w:pos="8306"/>
      </w:tabs>
    </w:pPr>
  </w:style>
  <w:style w:type="character" w:customStyle="1" w:styleId="a6">
    <w:name w:val="כותרת תחתונה תו"/>
    <w:link w:val="a5"/>
    <w:rsid w:val="00F30E6B"/>
    <w:rPr>
      <w:rFonts w:ascii="Times New Roman" w:eastAsia="Times New Roman" w:hAnsi="Times New Roman" w:cs="David"/>
      <w:sz w:val="24"/>
      <w:szCs w:val="24"/>
    </w:rPr>
  </w:style>
  <w:style w:type="table" w:styleId="a7">
    <w:name w:val="Table Grid"/>
    <w:basedOn w:val="a1"/>
    <w:rsid w:val="00F30E6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30E6B"/>
  </w:style>
  <w:style w:type="character" w:styleId="Hyperlink">
    <w:name w:val="Hyperlink"/>
    <w:rsid w:val="00106A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case/6473037" TargetMode="External"/><Relationship Id="rId26" Type="http://schemas.openxmlformats.org/officeDocument/2006/relationships/hyperlink" Target="http://www.nevo.co.il/case/27502726" TargetMode="External"/><Relationship Id="rId39" Type="http://schemas.openxmlformats.org/officeDocument/2006/relationships/fontTable" Target="fontTable.xml"/><Relationship Id="rId21" Type="http://schemas.openxmlformats.org/officeDocument/2006/relationships/hyperlink" Target="http://www.nevo.co.il/case/28229995"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7" Type="http://schemas.openxmlformats.org/officeDocument/2006/relationships/hyperlink" Target="http://www.nevo.co.il/law/70301/40i" TargetMode="External"/><Relationship Id="rId25" Type="http://schemas.openxmlformats.org/officeDocument/2006/relationships/hyperlink" Target="http://www.nevo.co.il/case/28331430" TargetMode="External"/><Relationship Id="rId33" Type="http://schemas.openxmlformats.org/officeDocument/2006/relationships/hyperlink" Target="http://www.eca.gov.il"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case/5601503" TargetMode="External"/><Relationship Id="rId20" Type="http://schemas.openxmlformats.org/officeDocument/2006/relationships/hyperlink" Target="http://www.nevo.co.il/case/28513828" TargetMode="External"/><Relationship Id="rId29" Type="http://schemas.openxmlformats.org/officeDocument/2006/relationships/hyperlink" Target="http://www.nevo.co.il/case/2573284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a" TargetMode="External"/><Relationship Id="rId24" Type="http://schemas.openxmlformats.org/officeDocument/2006/relationships/hyperlink" Target="http://www.nevo.co.il/law/70301/144.a" TargetMode="External"/><Relationship Id="rId32" Type="http://schemas.openxmlformats.org/officeDocument/2006/relationships/hyperlink" Target="http://www.nevo.co.il/case/23750625"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25824863" TargetMode="External"/><Relationship Id="rId23" Type="http://schemas.openxmlformats.org/officeDocument/2006/relationships/hyperlink" Target="http://www.nevo.co.il/case/28619472" TargetMode="External"/><Relationship Id="rId28" Type="http://schemas.openxmlformats.org/officeDocument/2006/relationships/hyperlink" Target="http://www.nevo.co.il/case/27510949" TargetMode="External"/><Relationship Id="rId36" Type="http://schemas.openxmlformats.org/officeDocument/2006/relationships/header" Target="header2.xml"/><Relationship Id="rId10" Type="http://schemas.openxmlformats.org/officeDocument/2006/relationships/hyperlink" Target="http://www.nevo.co.il/law/70301/144.g" TargetMode="External"/><Relationship Id="rId19" Type="http://schemas.openxmlformats.org/officeDocument/2006/relationships/hyperlink" Target="http://www.nevo.co.il/case/13015506" TargetMode="External"/><Relationship Id="rId31" Type="http://schemas.openxmlformats.org/officeDocument/2006/relationships/hyperlink" Target="http://www.nevo.co.il/law/70301/144.g"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7894608" TargetMode="External"/><Relationship Id="rId27" Type="http://schemas.openxmlformats.org/officeDocument/2006/relationships/hyperlink" Target="http://www.nevo.co.il/case/26483432" TargetMode="External"/><Relationship Id="rId30" Type="http://schemas.openxmlformats.org/officeDocument/2006/relationships/hyperlink" Target="http://www.nevo.co.il/law/70301" TargetMode="External"/><Relationship Id="rId35" Type="http://schemas.openxmlformats.org/officeDocument/2006/relationships/header" Target="header1.xml"/><Relationship Id="rId8" Type="http://schemas.openxmlformats.org/officeDocument/2006/relationships/hyperlink" Target="http://www.nevo.co.il/law/70301/40i"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3098</Words>
  <Characters>15494</Characters>
  <Application>Microsoft Office Word</Application>
  <DocSecurity>0</DocSecurity>
  <Lines>129</Lines>
  <Paragraphs>37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18555</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7864368</vt:i4>
      </vt:variant>
      <vt:variant>
        <vt:i4>78</vt:i4>
      </vt:variant>
      <vt:variant>
        <vt:i4>0</vt:i4>
      </vt:variant>
      <vt:variant>
        <vt:i4>5</vt:i4>
      </vt:variant>
      <vt:variant>
        <vt:lpwstr>http://www.eca.gov.il/</vt:lpwstr>
      </vt:variant>
      <vt:variant>
        <vt:lpwstr/>
      </vt:variant>
      <vt:variant>
        <vt:i4>3604596</vt:i4>
      </vt:variant>
      <vt:variant>
        <vt:i4>75</vt:i4>
      </vt:variant>
      <vt:variant>
        <vt:i4>0</vt:i4>
      </vt:variant>
      <vt:variant>
        <vt:i4>5</vt:i4>
      </vt:variant>
      <vt:variant>
        <vt:lpwstr>http://www.nevo.co.il/case/23750625</vt:lpwstr>
      </vt:variant>
      <vt:variant>
        <vt:lpwstr/>
      </vt:variant>
      <vt:variant>
        <vt:i4>5177424</vt:i4>
      </vt:variant>
      <vt:variant>
        <vt:i4>72</vt:i4>
      </vt:variant>
      <vt:variant>
        <vt:i4>0</vt:i4>
      </vt:variant>
      <vt:variant>
        <vt:i4>5</vt:i4>
      </vt:variant>
      <vt:variant>
        <vt:lpwstr>http://www.nevo.co.il/law/70301/144.g</vt:lpwstr>
      </vt:variant>
      <vt:variant>
        <vt:lpwstr/>
      </vt:variant>
      <vt:variant>
        <vt:i4>7995492</vt:i4>
      </vt:variant>
      <vt:variant>
        <vt:i4>69</vt:i4>
      </vt:variant>
      <vt:variant>
        <vt:i4>0</vt:i4>
      </vt:variant>
      <vt:variant>
        <vt:i4>5</vt:i4>
      </vt:variant>
      <vt:variant>
        <vt:lpwstr>http://www.nevo.co.il/law/70301</vt:lpwstr>
      </vt:variant>
      <vt:variant>
        <vt:lpwstr/>
      </vt:variant>
      <vt:variant>
        <vt:i4>3342458</vt:i4>
      </vt:variant>
      <vt:variant>
        <vt:i4>66</vt:i4>
      </vt:variant>
      <vt:variant>
        <vt:i4>0</vt:i4>
      </vt:variant>
      <vt:variant>
        <vt:i4>5</vt:i4>
      </vt:variant>
      <vt:variant>
        <vt:lpwstr>http://www.nevo.co.il/case/25732840</vt:lpwstr>
      </vt:variant>
      <vt:variant>
        <vt:lpwstr/>
      </vt:variant>
      <vt:variant>
        <vt:i4>3342459</vt:i4>
      </vt:variant>
      <vt:variant>
        <vt:i4>63</vt:i4>
      </vt:variant>
      <vt:variant>
        <vt:i4>0</vt:i4>
      </vt:variant>
      <vt:variant>
        <vt:i4>5</vt:i4>
      </vt:variant>
      <vt:variant>
        <vt:lpwstr>http://www.nevo.co.il/case/27510949</vt:lpwstr>
      </vt:variant>
      <vt:variant>
        <vt:lpwstr/>
      </vt:variant>
      <vt:variant>
        <vt:i4>3539070</vt:i4>
      </vt:variant>
      <vt:variant>
        <vt:i4>60</vt:i4>
      </vt:variant>
      <vt:variant>
        <vt:i4>0</vt:i4>
      </vt:variant>
      <vt:variant>
        <vt:i4>5</vt:i4>
      </vt:variant>
      <vt:variant>
        <vt:lpwstr>http://www.nevo.co.il/case/26483432</vt:lpwstr>
      </vt:variant>
      <vt:variant>
        <vt:lpwstr/>
      </vt:variant>
      <vt:variant>
        <vt:i4>3604596</vt:i4>
      </vt:variant>
      <vt:variant>
        <vt:i4>57</vt:i4>
      </vt:variant>
      <vt:variant>
        <vt:i4>0</vt:i4>
      </vt:variant>
      <vt:variant>
        <vt:i4>5</vt:i4>
      </vt:variant>
      <vt:variant>
        <vt:lpwstr>http://www.nevo.co.il/case/27502726</vt:lpwstr>
      </vt:variant>
      <vt:variant>
        <vt:lpwstr/>
      </vt:variant>
      <vt:variant>
        <vt:i4>3342459</vt:i4>
      </vt:variant>
      <vt:variant>
        <vt:i4>54</vt:i4>
      </vt:variant>
      <vt:variant>
        <vt:i4>0</vt:i4>
      </vt:variant>
      <vt:variant>
        <vt:i4>5</vt:i4>
      </vt:variant>
      <vt:variant>
        <vt:lpwstr>http://www.nevo.co.il/case/28331430</vt:lpwstr>
      </vt:variant>
      <vt:variant>
        <vt:lpwstr/>
      </vt:variant>
      <vt:variant>
        <vt:i4>5177424</vt:i4>
      </vt:variant>
      <vt:variant>
        <vt:i4>51</vt:i4>
      </vt:variant>
      <vt:variant>
        <vt:i4>0</vt:i4>
      </vt:variant>
      <vt:variant>
        <vt:i4>5</vt:i4>
      </vt:variant>
      <vt:variant>
        <vt:lpwstr>http://www.nevo.co.il/law/70301/144.a</vt:lpwstr>
      </vt:variant>
      <vt:variant>
        <vt:lpwstr/>
      </vt:variant>
      <vt:variant>
        <vt:i4>3801209</vt:i4>
      </vt:variant>
      <vt:variant>
        <vt:i4>48</vt:i4>
      </vt:variant>
      <vt:variant>
        <vt:i4>0</vt:i4>
      </vt:variant>
      <vt:variant>
        <vt:i4>5</vt:i4>
      </vt:variant>
      <vt:variant>
        <vt:lpwstr>http://www.nevo.co.il/case/28619472</vt:lpwstr>
      </vt:variant>
      <vt:variant>
        <vt:lpwstr/>
      </vt:variant>
      <vt:variant>
        <vt:i4>4063356</vt:i4>
      </vt:variant>
      <vt:variant>
        <vt:i4>45</vt:i4>
      </vt:variant>
      <vt:variant>
        <vt:i4>0</vt:i4>
      </vt:variant>
      <vt:variant>
        <vt:i4>5</vt:i4>
      </vt:variant>
      <vt:variant>
        <vt:lpwstr>http://www.nevo.co.il/case/27894608</vt:lpwstr>
      </vt:variant>
      <vt:variant>
        <vt:lpwstr/>
      </vt:variant>
      <vt:variant>
        <vt:i4>3145847</vt:i4>
      </vt:variant>
      <vt:variant>
        <vt:i4>42</vt:i4>
      </vt:variant>
      <vt:variant>
        <vt:i4>0</vt:i4>
      </vt:variant>
      <vt:variant>
        <vt:i4>5</vt:i4>
      </vt:variant>
      <vt:variant>
        <vt:lpwstr>http://www.nevo.co.il/case/28229995</vt:lpwstr>
      </vt:variant>
      <vt:variant>
        <vt:lpwstr/>
      </vt:variant>
      <vt:variant>
        <vt:i4>3539061</vt:i4>
      </vt:variant>
      <vt:variant>
        <vt:i4>39</vt:i4>
      </vt:variant>
      <vt:variant>
        <vt:i4>0</vt:i4>
      </vt:variant>
      <vt:variant>
        <vt:i4>5</vt:i4>
      </vt:variant>
      <vt:variant>
        <vt:lpwstr>http://www.nevo.co.il/case/28513828</vt:lpwstr>
      </vt:variant>
      <vt:variant>
        <vt:lpwstr/>
      </vt:variant>
      <vt:variant>
        <vt:i4>3407987</vt:i4>
      </vt:variant>
      <vt:variant>
        <vt:i4>36</vt:i4>
      </vt:variant>
      <vt:variant>
        <vt:i4>0</vt:i4>
      </vt:variant>
      <vt:variant>
        <vt:i4>5</vt:i4>
      </vt:variant>
      <vt:variant>
        <vt:lpwstr>http://www.nevo.co.il/case/13015506</vt:lpwstr>
      </vt:variant>
      <vt:variant>
        <vt:lpwstr/>
      </vt:variant>
      <vt:variant>
        <vt:i4>3539056</vt:i4>
      </vt:variant>
      <vt:variant>
        <vt:i4>33</vt:i4>
      </vt:variant>
      <vt:variant>
        <vt:i4>0</vt:i4>
      </vt:variant>
      <vt:variant>
        <vt:i4>5</vt:i4>
      </vt:variant>
      <vt:variant>
        <vt:lpwstr>http://www.nevo.co.il/case/6473037</vt:lpwstr>
      </vt:variant>
      <vt:variant>
        <vt:lpwstr/>
      </vt:variant>
      <vt:variant>
        <vt:i4>6619233</vt:i4>
      </vt:variant>
      <vt:variant>
        <vt:i4>30</vt:i4>
      </vt:variant>
      <vt:variant>
        <vt:i4>0</vt:i4>
      </vt:variant>
      <vt:variant>
        <vt:i4>5</vt:i4>
      </vt:variant>
      <vt:variant>
        <vt:lpwstr>http://www.nevo.co.il/law/70301/40i</vt:lpwstr>
      </vt:variant>
      <vt:variant>
        <vt:lpwstr/>
      </vt:variant>
      <vt:variant>
        <vt:i4>3342451</vt:i4>
      </vt:variant>
      <vt:variant>
        <vt:i4>27</vt:i4>
      </vt:variant>
      <vt:variant>
        <vt:i4>0</vt:i4>
      </vt:variant>
      <vt:variant>
        <vt:i4>5</vt:i4>
      </vt:variant>
      <vt:variant>
        <vt:lpwstr>http://www.nevo.co.il/case/5601503</vt:lpwstr>
      </vt:variant>
      <vt:variant>
        <vt:lpwstr/>
      </vt:variant>
      <vt:variant>
        <vt:i4>3670139</vt:i4>
      </vt:variant>
      <vt:variant>
        <vt:i4>24</vt:i4>
      </vt:variant>
      <vt:variant>
        <vt:i4>0</vt:i4>
      </vt:variant>
      <vt:variant>
        <vt:i4>5</vt:i4>
      </vt:variant>
      <vt:variant>
        <vt:lpwstr>http://www.nevo.co.il/case/25824863</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5177424</vt:i4>
      </vt:variant>
      <vt:variant>
        <vt:i4>9</vt:i4>
      </vt:variant>
      <vt:variant>
        <vt:i4>0</vt:i4>
      </vt:variant>
      <vt:variant>
        <vt:i4>5</vt:i4>
      </vt:variant>
      <vt:variant>
        <vt:lpwstr>http://www.nevo.co.il/law/70301/144.g</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6619233</vt:i4>
      </vt:variant>
      <vt:variant>
        <vt:i4>3</vt:i4>
      </vt:variant>
      <vt:variant>
        <vt:i4>0</vt:i4>
      </vt:variant>
      <vt:variant>
        <vt:i4>5</vt:i4>
      </vt:variant>
      <vt:variant>
        <vt:lpwstr>http://www.nevo.co.il/law/70301/40i</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2025-01-19T17:46:00Z</dcterms:created>
  <dcterms:modified xsi:type="dcterms:W3CDTF">2025-01-19T17:46:00Z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54807</vt:lpwstr>
  </property>
  <property fmtid="{D5CDD505-2E9C-101B-9397-08002B2CF9AE}" pid="6" name="NEWPARTB">
    <vt:lpwstr>01</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זהר אלבחירי</vt:lpwstr>
  </property>
  <property fmtid="{D5CDD505-2E9C-101B-9397-08002B2CF9AE}" pid="10" name="JUDGE">
    <vt:lpwstr>אחינעם צוריאל</vt:lpwstr>
  </property>
  <property fmtid="{D5CDD505-2E9C-101B-9397-08002B2CF9AE}" pid="11" name="CITY">
    <vt:lpwstr>ב"ש</vt:lpwstr>
  </property>
  <property fmtid="{D5CDD505-2E9C-101B-9397-08002B2CF9AE}" pid="12" name="DATE">
    <vt:lpwstr>20220703</vt:lpwstr>
  </property>
  <property fmtid="{D5CDD505-2E9C-101B-9397-08002B2CF9AE}" pid="13" name="TYPE_N_DATE">
    <vt:lpwstr>38020220703</vt:lpwstr>
  </property>
  <property fmtid="{D5CDD505-2E9C-101B-9397-08002B2CF9AE}" pid="14" name="WORDNUMPAGES">
    <vt:lpwstr>10</vt:lpwstr>
  </property>
  <property fmtid="{D5CDD505-2E9C-101B-9397-08002B2CF9AE}" pid="15" name="TYPE_ABS_DATE">
    <vt:lpwstr>380020220703</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25824863;5601503;6473037;13015506;28513828;28229995;27894608;28619472;28331430;27502726;26483432;27510949;25732840;23750625</vt:lpwstr>
  </property>
  <property fmtid="{D5CDD505-2E9C-101B-9397-08002B2CF9AE}" pid="36" name="LAWLISTTMP1">
    <vt:lpwstr>70301/144.a:3;040i;144.g</vt:lpwstr>
  </property>
</Properties>
</file>