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407A8" w:rsidRPr="002F1D0D" w14:paraId="65F3FE2A" w14:textId="77777777" w:rsidTr="002250DC">
        <w:trPr>
          <w:trHeight w:hRule="exact" w:val="418"/>
          <w:jc w:val="center"/>
        </w:trPr>
        <w:tc>
          <w:tcPr>
            <w:tcW w:w="8721" w:type="dxa"/>
            <w:gridSpan w:val="2"/>
          </w:tcPr>
          <w:p w14:paraId="0F3E5949" w14:textId="77777777" w:rsidR="002407A8" w:rsidRPr="002F1D0D" w:rsidRDefault="002407A8" w:rsidP="007F2670">
            <w:pPr>
              <w:pStyle w:val="a3"/>
              <w:jc w:val="center"/>
              <w:rPr>
                <w:rFonts w:ascii="Tahoma" w:hAnsi="Tahoma" w:cs="Tahoma"/>
                <w:color w:val="000080"/>
                <w:rtl/>
              </w:rPr>
            </w:pPr>
            <w:r w:rsidRPr="002F1D0D">
              <w:rPr>
                <w:rFonts w:ascii="Tahoma" w:hAnsi="Tahoma" w:cs="Tahoma"/>
                <w:b/>
                <w:bCs/>
                <w:color w:val="000080"/>
                <w:rtl/>
              </w:rPr>
              <w:t>בית משפט השלום בקריות</w:t>
            </w:r>
          </w:p>
        </w:tc>
      </w:tr>
      <w:tr w:rsidR="002407A8" w:rsidRPr="002F1D0D" w14:paraId="566B3C6A" w14:textId="77777777" w:rsidTr="002250DC">
        <w:trPr>
          <w:trHeight w:val="337"/>
          <w:jc w:val="center"/>
        </w:trPr>
        <w:tc>
          <w:tcPr>
            <w:tcW w:w="5054" w:type="dxa"/>
          </w:tcPr>
          <w:p w14:paraId="5C6A7762" w14:textId="77777777" w:rsidR="002407A8" w:rsidRPr="002F1D0D" w:rsidRDefault="002407A8" w:rsidP="007F2670">
            <w:pPr>
              <w:rPr>
                <w:rFonts w:cs="FrankRuehl"/>
                <w:sz w:val="28"/>
                <w:szCs w:val="28"/>
                <w:rtl/>
              </w:rPr>
            </w:pPr>
            <w:r w:rsidRPr="002F1D0D">
              <w:rPr>
                <w:rFonts w:cs="FrankRuehl"/>
                <w:sz w:val="28"/>
                <w:szCs w:val="28"/>
                <w:rtl/>
              </w:rPr>
              <w:t>ת"פ</w:t>
            </w:r>
            <w:r w:rsidRPr="002F1D0D">
              <w:rPr>
                <w:rFonts w:cs="FrankRuehl" w:hint="cs"/>
                <w:sz w:val="28"/>
                <w:szCs w:val="28"/>
                <w:rtl/>
              </w:rPr>
              <w:t xml:space="preserve"> </w:t>
            </w:r>
            <w:r w:rsidRPr="002F1D0D">
              <w:rPr>
                <w:rFonts w:cs="FrankRuehl"/>
                <w:sz w:val="28"/>
                <w:szCs w:val="28"/>
                <w:rtl/>
              </w:rPr>
              <w:t>6852-03-21</w:t>
            </w:r>
            <w:r w:rsidRPr="002F1D0D">
              <w:rPr>
                <w:rFonts w:cs="FrankRuehl" w:hint="cs"/>
                <w:sz w:val="28"/>
                <w:szCs w:val="28"/>
                <w:rtl/>
              </w:rPr>
              <w:t xml:space="preserve"> </w:t>
            </w:r>
            <w:r w:rsidRPr="002F1D0D">
              <w:rPr>
                <w:rFonts w:cs="FrankRuehl"/>
                <w:sz w:val="28"/>
                <w:szCs w:val="28"/>
                <w:rtl/>
              </w:rPr>
              <w:t>מדינת ישראל נ' ח'טיב</w:t>
            </w:r>
          </w:p>
          <w:p w14:paraId="7B72DA8B" w14:textId="77777777" w:rsidR="002407A8" w:rsidRPr="002F1D0D" w:rsidRDefault="002407A8" w:rsidP="007F2670">
            <w:pPr>
              <w:pStyle w:val="a3"/>
              <w:rPr>
                <w:rFonts w:cs="FrankRuehl"/>
                <w:sz w:val="28"/>
                <w:szCs w:val="28"/>
                <w:rtl/>
              </w:rPr>
            </w:pPr>
          </w:p>
        </w:tc>
        <w:tc>
          <w:tcPr>
            <w:tcW w:w="3667" w:type="dxa"/>
          </w:tcPr>
          <w:p w14:paraId="0036EE93" w14:textId="77777777" w:rsidR="002407A8" w:rsidRPr="002F1D0D" w:rsidRDefault="002407A8" w:rsidP="007F2670">
            <w:pPr>
              <w:pStyle w:val="a3"/>
              <w:jc w:val="right"/>
              <w:rPr>
                <w:rFonts w:cs="FrankRuehl"/>
                <w:sz w:val="28"/>
                <w:szCs w:val="28"/>
                <w:rtl/>
              </w:rPr>
            </w:pPr>
          </w:p>
        </w:tc>
      </w:tr>
    </w:tbl>
    <w:p w14:paraId="6AF9A57E" w14:textId="77777777" w:rsidR="002407A8" w:rsidRPr="002F1D0D" w:rsidRDefault="002407A8" w:rsidP="002407A8">
      <w:pPr>
        <w:pStyle w:val="a3"/>
        <w:rPr>
          <w:rtl/>
        </w:rPr>
      </w:pPr>
      <w:r w:rsidRPr="002F1D0D">
        <w:rPr>
          <w:rFonts w:hint="cs"/>
          <w:rtl/>
        </w:rPr>
        <w:t xml:space="preserve"> </w:t>
      </w:r>
    </w:p>
    <w:p w14:paraId="064ECC16" w14:textId="77777777" w:rsidR="002407A8" w:rsidRPr="002F1D0D" w:rsidRDefault="002407A8" w:rsidP="002407A8">
      <w:pPr>
        <w:rPr>
          <w:b/>
          <w:bCs/>
          <w:rtl/>
        </w:rPr>
      </w:pPr>
    </w:p>
    <w:p w14:paraId="17F81E78" w14:textId="77777777" w:rsidR="002407A8" w:rsidRPr="002F1D0D" w:rsidRDefault="002407A8" w:rsidP="002407A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407A8" w:rsidRPr="002F1D0D" w14:paraId="6B500D0D" w14:textId="77777777" w:rsidTr="002407A8">
        <w:trPr>
          <w:trHeight w:val="295"/>
          <w:jc w:val="center"/>
        </w:trPr>
        <w:tc>
          <w:tcPr>
            <w:tcW w:w="923" w:type="dxa"/>
            <w:tcBorders>
              <w:top w:val="nil"/>
              <w:left w:val="nil"/>
              <w:bottom w:val="nil"/>
              <w:right w:val="nil"/>
            </w:tcBorders>
            <w:shd w:val="clear" w:color="auto" w:fill="auto"/>
          </w:tcPr>
          <w:p w14:paraId="24B59718" w14:textId="77777777" w:rsidR="002407A8" w:rsidRPr="002F1D0D" w:rsidRDefault="002407A8" w:rsidP="002407A8">
            <w:pPr>
              <w:jc w:val="both"/>
              <w:rPr>
                <w:rFonts w:ascii="David" w:hAnsi="David"/>
                <w:b/>
                <w:bCs/>
              </w:rPr>
            </w:pPr>
            <w:r w:rsidRPr="002F1D0D">
              <w:rPr>
                <w:rFonts w:ascii="David" w:hAnsi="David"/>
                <w:b/>
                <w:bCs/>
                <w:rtl/>
              </w:rPr>
              <w:t xml:space="preserve">בפני </w:t>
            </w:r>
          </w:p>
        </w:tc>
        <w:tc>
          <w:tcPr>
            <w:tcW w:w="7897" w:type="dxa"/>
            <w:gridSpan w:val="2"/>
            <w:tcBorders>
              <w:top w:val="nil"/>
              <w:left w:val="nil"/>
              <w:bottom w:val="nil"/>
              <w:right w:val="nil"/>
            </w:tcBorders>
            <w:shd w:val="clear" w:color="auto" w:fill="auto"/>
          </w:tcPr>
          <w:p w14:paraId="657241B8" w14:textId="77777777" w:rsidR="002407A8" w:rsidRPr="002F1D0D" w:rsidRDefault="002407A8" w:rsidP="007F2670">
            <w:pPr>
              <w:rPr>
                <w:rFonts w:ascii="David" w:hAnsi="David"/>
                <w:b/>
                <w:bCs/>
              </w:rPr>
            </w:pPr>
            <w:r w:rsidRPr="002F1D0D">
              <w:rPr>
                <w:rFonts w:ascii="Arial" w:hAnsi="Arial"/>
                <w:b/>
                <w:bCs/>
                <w:rtl/>
              </w:rPr>
              <w:t>כב' השופט יוסי טורס , סגן הנשיאה</w:t>
            </w:r>
          </w:p>
        </w:tc>
      </w:tr>
      <w:tr w:rsidR="002407A8" w:rsidRPr="002F1D0D" w14:paraId="7E80C4EE" w14:textId="77777777" w:rsidTr="002407A8">
        <w:trPr>
          <w:trHeight w:val="355"/>
          <w:jc w:val="center"/>
        </w:trPr>
        <w:tc>
          <w:tcPr>
            <w:tcW w:w="923" w:type="dxa"/>
            <w:tcBorders>
              <w:top w:val="nil"/>
              <w:left w:val="nil"/>
              <w:bottom w:val="nil"/>
              <w:right w:val="nil"/>
            </w:tcBorders>
            <w:shd w:val="clear" w:color="auto" w:fill="auto"/>
          </w:tcPr>
          <w:p w14:paraId="7911AA6C" w14:textId="77777777" w:rsidR="002407A8" w:rsidRPr="002F1D0D" w:rsidRDefault="002407A8" w:rsidP="002407A8">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35C3F76F" w14:textId="77777777" w:rsidR="002407A8" w:rsidRPr="002F1D0D" w:rsidRDefault="002407A8" w:rsidP="007F2670">
            <w:pPr>
              <w:rPr>
                <w:rFonts w:ascii="David" w:hAnsi="David"/>
                <w:b/>
                <w:bCs/>
              </w:rPr>
            </w:pPr>
          </w:p>
        </w:tc>
        <w:tc>
          <w:tcPr>
            <w:tcW w:w="3771" w:type="dxa"/>
            <w:tcBorders>
              <w:top w:val="nil"/>
              <w:left w:val="nil"/>
              <w:bottom w:val="nil"/>
              <w:right w:val="nil"/>
            </w:tcBorders>
            <w:shd w:val="clear" w:color="auto" w:fill="auto"/>
          </w:tcPr>
          <w:p w14:paraId="39F81D17" w14:textId="77777777" w:rsidR="002407A8" w:rsidRPr="002F1D0D" w:rsidRDefault="002407A8" w:rsidP="002407A8">
            <w:pPr>
              <w:jc w:val="both"/>
              <w:rPr>
                <w:rFonts w:ascii="David" w:hAnsi="David"/>
                <w:b/>
                <w:bCs/>
              </w:rPr>
            </w:pPr>
          </w:p>
        </w:tc>
      </w:tr>
      <w:tr w:rsidR="002407A8" w:rsidRPr="002F1D0D" w14:paraId="7C795555" w14:textId="77777777" w:rsidTr="002407A8">
        <w:trPr>
          <w:trHeight w:val="355"/>
          <w:jc w:val="center"/>
        </w:trPr>
        <w:tc>
          <w:tcPr>
            <w:tcW w:w="923" w:type="dxa"/>
            <w:tcBorders>
              <w:top w:val="nil"/>
              <w:left w:val="nil"/>
              <w:bottom w:val="nil"/>
              <w:right w:val="nil"/>
            </w:tcBorders>
            <w:shd w:val="clear" w:color="auto" w:fill="auto"/>
          </w:tcPr>
          <w:p w14:paraId="2D0FECE7" w14:textId="77777777" w:rsidR="002407A8" w:rsidRPr="002F1D0D" w:rsidRDefault="002407A8" w:rsidP="002407A8">
            <w:pPr>
              <w:jc w:val="both"/>
              <w:rPr>
                <w:rFonts w:ascii="David" w:hAnsi="David"/>
                <w:b/>
                <w:bCs/>
              </w:rPr>
            </w:pPr>
            <w:bookmarkStart w:id="1" w:name="FirstAppellant"/>
            <w:r w:rsidRPr="002F1D0D">
              <w:rPr>
                <w:rFonts w:ascii="David" w:hAnsi="David"/>
                <w:b/>
                <w:bCs/>
                <w:rtl/>
              </w:rPr>
              <w:t>בעניין:</w:t>
            </w:r>
          </w:p>
        </w:tc>
        <w:tc>
          <w:tcPr>
            <w:tcW w:w="4126" w:type="dxa"/>
            <w:tcBorders>
              <w:top w:val="nil"/>
              <w:left w:val="nil"/>
              <w:bottom w:val="nil"/>
              <w:right w:val="nil"/>
            </w:tcBorders>
            <w:shd w:val="clear" w:color="auto" w:fill="auto"/>
          </w:tcPr>
          <w:p w14:paraId="570018EE" w14:textId="77777777" w:rsidR="002407A8" w:rsidRPr="002F1D0D" w:rsidRDefault="002407A8" w:rsidP="007F2670">
            <w:pPr>
              <w:rPr>
                <w:rFonts w:ascii="David" w:hAnsi="David"/>
                <w:b/>
                <w:bCs/>
              </w:rPr>
            </w:pPr>
            <w:r w:rsidRPr="002F1D0D">
              <w:rPr>
                <w:rFonts w:ascii="David" w:hAnsi="David"/>
                <w:b/>
                <w:bCs/>
                <w:rtl/>
              </w:rPr>
              <w:t>מדינת ישראל</w:t>
            </w:r>
          </w:p>
        </w:tc>
        <w:tc>
          <w:tcPr>
            <w:tcW w:w="3771" w:type="dxa"/>
            <w:tcBorders>
              <w:top w:val="nil"/>
              <w:left w:val="nil"/>
              <w:bottom w:val="nil"/>
              <w:right w:val="nil"/>
            </w:tcBorders>
            <w:shd w:val="clear" w:color="auto" w:fill="auto"/>
          </w:tcPr>
          <w:p w14:paraId="39C95973" w14:textId="77777777" w:rsidR="002407A8" w:rsidRPr="002F1D0D" w:rsidRDefault="002407A8" w:rsidP="002407A8">
            <w:pPr>
              <w:jc w:val="right"/>
              <w:rPr>
                <w:rFonts w:ascii="David" w:hAnsi="David"/>
                <w:b/>
                <w:bCs/>
                <w:rtl/>
              </w:rPr>
            </w:pPr>
            <w:r w:rsidRPr="002F1D0D">
              <w:rPr>
                <w:rFonts w:ascii="David" w:hAnsi="David"/>
                <w:b/>
                <w:bCs/>
                <w:rtl/>
              </w:rPr>
              <w:t>המאשימה</w:t>
            </w:r>
          </w:p>
        </w:tc>
      </w:tr>
      <w:bookmarkEnd w:id="1"/>
      <w:tr w:rsidR="002407A8" w:rsidRPr="002F1D0D" w14:paraId="0E9A23B9" w14:textId="77777777" w:rsidTr="002407A8">
        <w:trPr>
          <w:trHeight w:val="355"/>
          <w:jc w:val="center"/>
        </w:trPr>
        <w:tc>
          <w:tcPr>
            <w:tcW w:w="923" w:type="dxa"/>
            <w:tcBorders>
              <w:top w:val="nil"/>
              <w:left w:val="nil"/>
              <w:bottom w:val="nil"/>
              <w:right w:val="nil"/>
            </w:tcBorders>
            <w:shd w:val="clear" w:color="auto" w:fill="auto"/>
          </w:tcPr>
          <w:p w14:paraId="55CBA5CC" w14:textId="77777777" w:rsidR="002407A8" w:rsidRPr="002F1D0D" w:rsidRDefault="002407A8" w:rsidP="002407A8">
            <w:pPr>
              <w:jc w:val="both"/>
              <w:rPr>
                <w:rFonts w:ascii="David" w:hAnsi="David"/>
                <w:b/>
                <w:bCs/>
                <w:rtl/>
              </w:rPr>
            </w:pPr>
          </w:p>
        </w:tc>
        <w:tc>
          <w:tcPr>
            <w:tcW w:w="7897" w:type="dxa"/>
            <w:gridSpan w:val="2"/>
            <w:tcBorders>
              <w:top w:val="nil"/>
              <w:left w:val="nil"/>
              <w:bottom w:val="nil"/>
              <w:right w:val="nil"/>
            </w:tcBorders>
            <w:shd w:val="clear" w:color="auto" w:fill="auto"/>
          </w:tcPr>
          <w:p w14:paraId="00A47022" w14:textId="77777777" w:rsidR="002407A8" w:rsidRPr="002F1D0D" w:rsidRDefault="002407A8" w:rsidP="002407A8">
            <w:pPr>
              <w:jc w:val="center"/>
              <w:rPr>
                <w:rFonts w:ascii="David" w:hAnsi="David"/>
                <w:b/>
                <w:bCs/>
                <w:rtl/>
              </w:rPr>
            </w:pPr>
          </w:p>
          <w:p w14:paraId="3F6E86D8" w14:textId="77777777" w:rsidR="002407A8" w:rsidRPr="002F1D0D" w:rsidRDefault="002407A8" w:rsidP="002407A8">
            <w:pPr>
              <w:jc w:val="center"/>
              <w:rPr>
                <w:rFonts w:ascii="David" w:hAnsi="David"/>
                <w:b/>
                <w:bCs/>
                <w:rtl/>
              </w:rPr>
            </w:pPr>
            <w:r w:rsidRPr="002F1D0D">
              <w:rPr>
                <w:rFonts w:ascii="David" w:hAnsi="David"/>
                <w:b/>
                <w:bCs/>
                <w:rtl/>
              </w:rPr>
              <w:t>נגד</w:t>
            </w:r>
          </w:p>
          <w:p w14:paraId="0E37D2AE" w14:textId="77777777" w:rsidR="002407A8" w:rsidRPr="002F1D0D" w:rsidRDefault="002407A8" w:rsidP="002407A8">
            <w:pPr>
              <w:jc w:val="both"/>
              <w:rPr>
                <w:rFonts w:ascii="David" w:hAnsi="David"/>
                <w:b/>
                <w:bCs/>
              </w:rPr>
            </w:pPr>
          </w:p>
        </w:tc>
      </w:tr>
      <w:tr w:rsidR="002407A8" w:rsidRPr="002F1D0D" w14:paraId="0A686E1D" w14:textId="77777777" w:rsidTr="002407A8">
        <w:trPr>
          <w:trHeight w:val="355"/>
          <w:jc w:val="center"/>
        </w:trPr>
        <w:tc>
          <w:tcPr>
            <w:tcW w:w="923" w:type="dxa"/>
            <w:tcBorders>
              <w:top w:val="nil"/>
              <w:left w:val="nil"/>
              <w:bottom w:val="nil"/>
              <w:right w:val="nil"/>
            </w:tcBorders>
            <w:shd w:val="clear" w:color="auto" w:fill="auto"/>
          </w:tcPr>
          <w:p w14:paraId="4A5920C3" w14:textId="77777777" w:rsidR="002407A8" w:rsidRPr="002F1D0D" w:rsidRDefault="002407A8" w:rsidP="007F2670">
            <w:pPr>
              <w:rPr>
                <w:rFonts w:ascii="David" w:hAnsi="David"/>
                <w:b/>
                <w:bCs/>
                <w:rtl/>
              </w:rPr>
            </w:pPr>
          </w:p>
        </w:tc>
        <w:tc>
          <w:tcPr>
            <w:tcW w:w="4126" w:type="dxa"/>
            <w:tcBorders>
              <w:top w:val="nil"/>
              <w:left w:val="nil"/>
              <w:bottom w:val="nil"/>
              <w:right w:val="nil"/>
            </w:tcBorders>
            <w:shd w:val="clear" w:color="auto" w:fill="auto"/>
          </w:tcPr>
          <w:p w14:paraId="584AA74A" w14:textId="77777777" w:rsidR="002407A8" w:rsidRPr="002F1D0D" w:rsidRDefault="002407A8" w:rsidP="007F2670">
            <w:pPr>
              <w:rPr>
                <w:rFonts w:ascii="David" w:hAnsi="David"/>
                <w:b/>
                <w:bCs/>
                <w:rtl/>
              </w:rPr>
            </w:pPr>
          </w:p>
        </w:tc>
        <w:tc>
          <w:tcPr>
            <w:tcW w:w="3771" w:type="dxa"/>
            <w:tcBorders>
              <w:top w:val="nil"/>
              <w:left w:val="nil"/>
              <w:bottom w:val="nil"/>
              <w:right w:val="nil"/>
            </w:tcBorders>
            <w:shd w:val="clear" w:color="auto" w:fill="auto"/>
          </w:tcPr>
          <w:p w14:paraId="4300A28A" w14:textId="77777777" w:rsidR="002407A8" w:rsidRPr="002F1D0D" w:rsidRDefault="002407A8" w:rsidP="002407A8">
            <w:pPr>
              <w:jc w:val="right"/>
              <w:rPr>
                <w:rFonts w:ascii="David" w:hAnsi="David"/>
                <w:b/>
                <w:bCs/>
              </w:rPr>
            </w:pPr>
          </w:p>
        </w:tc>
      </w:tr>
      <w:tr w:rsidR="002407A8" w:rsidRPr="002F1D0D" w14:paraId="645FC3C2" w14:textId="77777777" w:rsidTr="002407A8">
        <w:trPr>
          <w:trHeight w:val="355"/>
          <w:jc w:val="center"/>
        </w:trPr>
        <w:tc>
          <w:tcPr>
            <w:tcW w:w="923" w:type="dxa"/>
            <w:tcBorders>
              <w:top w:val="nil"/>
              <w:left w:val="nil"/>
              <w:bottom w:val="nil"/>
              <w:right w:val="nil"/>
            </w:tcBorders>
            <w:shd w:val="clear" w:color="auto" w:fill="auto"/>
          </w:tcPr>
          <w:p w14:paraId="63550A2D" w14:textId="77777777" w:rsidR="002407A8" w:rsidRPr="002F1D0D" w:rsidRDefault="002407A8" w:rsidP="002407A8">
            <w:pPr>
              <w:jc w:val="both"/>
              <w:rPr>
                <w:rFonts w:ascii="David" w:hAnsi="David"/>
                <w:b/>
                <w:bCs/>
                <w:rtl/>
              </w:rPr>
            </w:pPr>
          </w:p>
        </w:tc>
        <w:tc>
          <w:tcPr>
            <w:tcW w:w="4126" w:type="dxa"/>
            <w:tcBorders>
              <w:top w:val="nil"/>
              <w:left w:val="nil"/>
              <w:bottom w:val="nil"/>
              <w:right w:val="nil"/>
            </w:tcBorders>
            <w:shd w:val="clear" w:color="auto" w:fill="auto"/>
          </w:tcPr>
          <w:p w14:paraId="507450AA" w14:textId="77777777" w:rsidR="002407A8" w:rsidRPr="002F1D0D" w:rsidRDefault="002407A8" w:rsidP="002407A8">
            <w:pPr>
              <w:jc w:val="both"/>
              <w:rPr>
                <w:rFonts w:ascii="David" w:hAnsi="David"/>
                <w:b/>
                <w:bCs/>
                <w:rtl/>
              </w:rPr>
            </w:pPr>
            <w:r w:rsidRPr="002F1D0D">
              <w:rPr>
                <w:rFonts w:ascii="David" w:hAnsi="David"/>
                <w:b/>
                <w:bCs/>
                <w:rtl/>
              </w:rPr>
              <w:t>חמזה ח'טיב</w:t>
            </w:r>
          </w:p>
        </w:tc>
        <w:tc>
          <w:tcPr>
            <w:tcW w:w="3771" w:type="dxa"/>
            <w:tcBorders>
              <w:top w:val="nil"/>
              <w:left w:val="nil"/>
              <w:bottom w:val="nil"/>
              <w:right w:val="nil"/>
            </w:tcBorders>
            <w:shd w:val="clear" w:color="auto" w:fill="auto"/>
          </w:tcPr>
          <w:p w14:paraId="19476E50" w14:textId="77777777" w:rsidR="002407A8" w:rsidRPr="002F1D0D" w:rsidRDefault="002407A8" w:rsidP="002407A8">
            <w:pPr>
              <w:jc w:val="right"/>
              <w:rPr>
                <w:rFonts w:ascii="David" w:hAnsi="David"/>
                <w:b/>
                <w:bCs/>
              </w:rPr>
            </w:pPr>
            <w:r w:rsidRPr="002F1D0D">
              <w:rPr>
                <w:rFonts w:ascii="David" w:hAnsi="David"/>
                <w:b/>
                <w:bCs/>
                <w:rtl/>
              </w:rPr>
              <w:t>הנאש</w:t>
            </w:r>
            <w:r w:rsidRPr="002F1D0D">
              <w:rPr>
                <w:rFonts w:ascii="David" w:hAnsi="David" w:hint="cs"/>
                <w:b/>
                <w:bCs/>
                <w:rtl/>
              </w:rPr>
              <w:t>ם</w:t>
            </w:r>
          </w:p>
        </w:tc>
      </w:tr>
    </w:tbl>
    <w:p w14:paraId="48E5DB5E" w14:textId="77777777" w:rsidR="002407A8" w:rsidRPr="002F1D0D" w:rsidRDefault="002407A8" w:rsidP="002407A8">
      <w:pPr>
        <w:rPr>
          <w:b/>
          <w:bCs/>
        </w:rPr>
      </w:pPr>
    </w:p>
    <w:p w14:paraId="351D8296" w14:textId="77777777" w:rsidR="00424B0A" w:rsidRPr="00424B0A" w:rsidRDefault="00424B0A" w:rsidP="00424B0A">
      <w:pPr>
        <w:spacing w:before="120" w:after="120" w:line="240" w:lineRule="exact"/>
        <w:ind w:left="283" w:hanging="283"/>
        <w:jc w:val="both"/>
        <w:rPr>
          <w:rFonts w:ascii="FrankRuehl" w:hAnsi="FrankRuehl" w:cs="FrankRuehl"/>
          <w:rtl/>
        </w:rPr>
      </w:pPr>
    </w:p>
    <w:p w14:paraId="48277B60" w14:textId="77777777" w:rsidR="00006AB0" w:rsidRDefault="00006AB0" w:rsidP="00006AB0">
      <w:pPr>
        <w:rPr>
          <w:rFonts w:ascii="David" w:hAnsi="David"/>
          <w:rtl/>
        </w:rPr>
      </w:pPr>
      <w:bookmarkStart w:id="2" w:name="LawTable"/>
      <w:bookmarkEnd w:id="2"/>
    </w:p>
    <w:p w14:paraId="2DB4E546" w14:textId="77777777" w:rsidR="00006AB0" w:rsidRPr="00006AB0" w:rsidRDefault="00006AB0" w:rsidP="00006AB0">
      <w:pPr>
        <w:spacing w:before="120" w:after="120" w:line="240" w:lineRule="exact"/>
        <w:ind w:left="283" w:hanging="283"/>
        <w:jc w:val="both"/>
        <w:rPr>
          <w:rFonts w:ascii="FrankRuehl" w:hAnsi="FrankRuehl" w:cs="FrankRuehl"/>
          <w:rtl/>
        </w:rPr>
      </w:pPr>
    </w:p>
    <w:p w14:paraId="0FCC6847" w14:textId="77777777" w:rsidR="00006AB0" w:rsidRPr="00006AB0" w:rsidRDefault="00006AB0" w:rsidP="00006AB0">
      <w:pPr>
        <w:spacing w:before="120" w:after="120" w:line="240" w:lineRule="exact"/>
        <w:ind w:left="283" w:hanging="283"/>
        <w:jc w:val="both"/>
        <w:rPr>
          <w:rFonts w:ascii="FrankRuehl" w:hAnsi="FrankRuehl" w:cs="FrankRuehl"/>
          <w:rtl/>
        </w:rPr>
      </w:pPr>
    </w:p>
    <w:p w14:paraId="2FC927F6" w14:textId="77777777" w:rsidR="00006AB0" w:rsidRPr="00006AB0" w:rsidRDefault="00006AB0" w:rsidP="00006AB0">
      <w:pPr>
        <w:spacing w:before="120" w:after="120" w:line="240" w:lineRule="exact"/>
        <w:ind w:left="283" w:hanging="283"/>
        <w:jc w:val="both"/>
        <w:rPr>
          <w:rFonts w:ascii="FrankRuehl" w:hAnsi="FrankRuehl" w:cs="FrankRuehl"/>
          <w:rtl/>
        </w:rPr>
      </w:pPr>
      <w:r w:rsidRPr="00006AB0">
        <w:rPr>
          <w:rFonts w:ascii="FrankRuehl" w:hAnsi="FrankRuehl" w:cs="FrankRuehl"/>
          <w:rtl/>
        </w:rPr>
        <w:t xml:space="preserve">חקיקה שאוזכרה: </w:t>
      </w:r>
    </w:p>
    <w:p w14:paraId="530EDCBC" w14:textId="77777777" w:rsidR="00006AB0" w:rsidRPr="00006AB0" w:rsidRDefault="00006AB0" w:rsidP="00006AB0">
      <w:pPr>
        <w:spacing w:before="120" w:after="120" w:line="240" w:lineRule="exact"/>
        <w:ind w:left="283" w:hanging="283"/>
        <w:jc w:val="both"/>
        <w:rPr>
          <w:rFonts w:ascii="FrankRuehl" w:hAnsi="FrankRuehl" w:cs="FrankRuehl"/>
          <w:rtl/>
        </w:rPr>
      </w:pPr>
      <w:hyperlink r:id="rId7" w:history="1">
        <w:r w:rsidRPr="00006AB0">
          <w:rPr>
            <w:rFonts w:ascii="FrankRuehl" w:hAnsi="FrankRuehl" w:cs="FrankRuehl"/>
            <w:color w:val="0000FF"/>
            <w:rtl/>
          </w:rPr>
          <w:t>חוק העונשין, תשל"ז-1977</w:t>
        </w:r>
      </w:hyperlink>
      <w:r w:rsidRPr="00006AB0">
        <w:rPr>
          <w:rFonts w:ascii="FrankRuehl" w:hAnsi="FrankRuehl" w:cs="FrankRuehl"/>
          <w:rtl/>
        </w:rPr>
        <w:t xml:space="preserve">: סע'  </w:t>
      </w:r>
      <w:hyperlink r:id="rId8" w:history="1">
        <w:r w:rsidRPr="00006AB0">
          <w:rPr>
            <w:rFonts w:ascii="FrankRuehl" w:hAnsi="FrankRuehl" w:cs="FrankRuehl"/>
            <w:color w:val="0000FF"/>
            <w:rtl/>
          </w:rPr>
          <w:t>144</w:t>
        </w:r>
      </w:hyperlink>
      <w:r w:rsidRPr="00006AB0">
        <w:rPr>
          <w:rFonts w:ascii="FrankRuehl" w:hAnsi="FrankRuehl" w:cs="FrankRuehl"/>
          <w:rtl/>
        </w:rPr>
        <w:t xml:space="preserve">, </w:t>
      </w:r>
      <w:hyperlink r:id="rId9" w:history="1">
        <w:r w:rsidRPr="00006AB0">
          <w:rPr>
            <w:rFonts w:ascii="FrankRuehl" w:hAnsi="FrankRuehl" w:cs="FrankRuehl"/>
            <w:color w:val="0000FF"/>
            <w:rtl/>
          </w:rPr>
          <w:t>144(א)</w:t>
        </w:r>
      </w:hyperlink>
      <w:r w:rsidRPr="00006AB0">
        <w:rPr>
          <w:rFonts w:ascii="FrankRuehl" w:hAnsi="FrankRuehl" w:cs="FrankRuehl"/>
          <w:rtl/>
        </w:rPr>
        <w:t xml:space="preserve">, </w:t>
      </w:r>
      <w:hyperlink r:id="rId10" w:history="1">
        <w:r w:rsidRPr="00006AB0">
          <w:rPr>
            <w:rFonts w:ascii="FrankRuehl" w:hAnsi="FrankRuehl" w:cs="FrankRuehl"/>
            <w:color w:val="0000FF"/>
            <w:rtl/>
          </w:rPr>
          <w:t>144(ד)</w:t>
        </w:r>
      </w:hyperlink>
      <w:r w:rsidRPr="00006AB0">
        <w:rPr>
          <w:rFonts w:ascii="FrankRuehl" w:hAnsi="FrankRuehl" w:cs="FrankRuehl"/>
          <w:rtl/>
        </w:rPr>
        <w:t xml:space="preserve">, </w:t>
      </w:r>
      <w:hyperlink r:id="rId11" w:history="1">
        <w:r w:rsidRPr="00006AB0">
          <w:rPr>
            <w:rFonts w:ascii="FrankRuehl" w:hAnsi="FrankRuehl" w:cs="FrankRuehl"/>
            <w:color w:val="0000FF"/>
            <w:rtl/>
          </w:rPr>
          <w:t>144(ז)</w:t>
        </w:r>
      </w:hyperlink>
      <w:r w:rsidRPr="00006AB0">
        <w:rPr>
          <w:rFonts w:ascii="FrankRuehl" w:hAnsi="FrankRuehl" w:cs="FrankRuehl"/>
          <w:rtl/>
        </w:rPr>
        <w:t xml:space="preserve">, </w:t>
      </w:r>
      <w:hyperlink r:id="rId12" w:history="1">
        <w:r w:rsidRPr="00006AB0">
          <w:rPr>
            <w:rFonts w:ascii="FrankRuehl" w:hAnsi="FrankRuehl" w:cs="FrankRuehl"/>
            <w:color w:val="0000FF"/>
            <w:rtl/>
          </w:rPr>
          <w:t>275</w:t>
        </w:r>
      </w:hyperlink>
      <w:r w:rsidRPr="00006AB0">
        <w:rPr>
          <w:rFonts w:ascii="FrankRuehl" w:hAnsi="FrankRuehl" w:cs="FrankRuehl"/>
          <w:rtl/>
        </w:rPr>
        <w:t xml:space="preserve">, </w:t>
      </w:r>
      <w:hyperlink r:id="rId13" w:history="1">
        <w:r w:rsidRPr="00006AB0">
          <w:rPr>
            <w:rFonts w:ascii="FrankRuehl" w:hAnsi="FrankRuehl" w:cs="FrankRuehl"/>
            <w:color w:val="0000FF"/>
            <w:rtl/>
          </w:rPr>
          <w:t>40יא'(6)</w:t>
        </w:r>
      </w:hyperlink>
    </w:p>
    <w:p w14:paraId="7C37065D" w14:textId="77777777" w:rsidR="00006AB0" w:rsidRPr="00006AB0" w:rsidRDefault="00006AB0" w:rsidP="00006AB0">
      <w:pPr>
        <w:rPr>
          <w:rFonts w:ascii="David" w:hAnsi="David"/>
          <w:rtl/>
        </w:rPr>
      </w:pPr>
      <w:bookmarkStart w:id="3" w:name="LawTable_End"/>
      <w:bookmarkEnd w:id="3"/>
    </w:p>
    <w:p w14:paraId="65FC1777" w14:textId="77777777" w:rsidR="002407A8" w:rsidRPr="00424B0A" w:rsidRDefault="002407A8" w:rsidP="00424B0A">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07A8" w:rsidRPr="002A078D" w14:paraId="401F37E7" w14:textId="77777777" w:rsidTr="002407A8">
        <w:trPr>
          <w:trHeight w:val="355"/>
          <w:jc w:val="center"/>
        </w:trPr>
        <w:tc>
          <w:tcPr>
            <w:tcW w:w="8820" w:type="dxa"/>
            <w:tcBorders>
              <w:top w:val="nil"/>
              <w:left w:val="nil"/>
              <w:bottom w:val="nil"/>
              <w:right w:val="nil"/>
            </w:tcBorders>
            <w:shd w:val="clear" w:color="auto" w:fill="auto"/>
          </w:tcPr>
          <w:p w14:paraId="131D2FD6" w14:textId="77777777" w:rsidR="002F1D0D" w:rsidRPr="002F1D0D" w:rsidRDefault="002F1D0D" w:rsidP="002F1D0D">
            <w:pPr>
              <w:jc w:val="center"/>
              <w:rPr>
                <w:rFonts w:ascii="David" w:hAnsi="David"/>
                <w:b/>
                <w:bCs/>
                <w:sz w:val="28"/>
                <w:szCs w:val="28"/>
                <w:u w:val="single"/>
                <w:rtl/>
              </w:rPr>
            </w:pPr>
            <w:bookmarkStart w:id="4" w:name="PsakDin" w:colFirst="0" w:colLast="0"/>
            <w:r w:rsidRPr="002F1D0D">
              <w:rPr>
                <w:rFonts w:ascii="David" w:hAnsi="David"/>
                <w:b/>
                <w:bCs/>
                <w:sz w:val="28"/>
                <w:szCs w:val="28"/>
                <w:u w:val="single"/>
                <w:rtl/>
              </w:rPr>
              <w:t>גזר דין</w:t>
            </w:r>
          </w:p>
          <w:p w14:paraId="61C0E507" w14:textId="77777777" w:rsidR="002407A8" w:rsidRPr="002F1D0D" w:rsidRDefault="002407A8" w:rsidP="002F1D0D">
            <w:pPr>
              <w:jc w:val="center"/>
              <w:rPr>
                <w:rFonts w:ascii="David" w:hAnsi="David"/>
                <w:b/>
                <w:bCs/>
                <w:u w:val="single"/>
                <w:rtl/>
              </w:rPr>
            </w:pPr>
          </w:p>
        </w:tc>
      </w:tr>
      <w:bookmarkEnd w:id="4"/>
    </w:tbl>
    <w:p w14:paraId="08B06426" w14:textId="77777777" w:rsidR="002407A8" w:rsidRDefault="002407A8" w:rsidP="002407A8">
      <w:pPr>
        <w:rPr>
          <w:rFonts w:ascii="David" w:hAnsi="David"/>
          <w:rtl/>
        </w:rPr>
      </w:pPr>
    </w:p>
    <w:p w14:paraId="71FEC75D" w14:textId="77777777" w:rsidR="002407A8" w:rsidRDefault="002407A8" w:rsidP="002407A8">
      <w:pPr>
        <w:spacing w:line="360" w:lineRule="auto"/>
        <w:jc w:val="both"/>
        <w:rPr>
          <w:rFonts w:ascii="David" w:hAnsi="David"/>
          <w:rtl/>
        </w:rPr>
      </w:pPr>
      <w:r>
        <w:rPr>
          <w:rFonts w:ascii="David" w:hAnsi="David" w:hint="cs"/>
          <w:b/>
          <w:bCs/>
          <w:u w:val="single"/>
          <w:rtl/>
        </w:rPr>
        <w:t>כתב האישום וההליכים</w:t>
      </w:r>
    </w:p>
    <w:p w14:paraId="56333884" w14:textId="77777777" w:rsidR="002407A8" w:rsidRDefault="002407A8" w:rsidP="002407A8">
      <w:pPr>
        <w:spacing w:line="360" w:lineRule="auto"/>
        <w:jc w:val="both"/>
        <w:rPr>
          <w:rFonts w:ascii="David" w:hAnsi="David"/>
          <w:rtl/>
        </w:rPr>
      </w:pPr>
    </w:p>
    <w:p w14:paraId="060BF201" w14:textId="77777777" w:rsidR="002407A8" w:rsidRDefault="002407A8" w:rsidP="002407A8">
      <w:pPr>
        <w:pStyle w:val="a9"/>
        <w:numPr>
          <w:ilvl w:val="0"/>
          <w:numId w:val="1"/>
        </w:numPr>
        <w:spacing w:line="360" w:lineRule="auto"/>
        <w:jc w:val="both"/>
        <w:rPr>
          <w:rFonts w:ascii="David" w:hAnsi="David"/>
        </w:rPr>
      </w:pPr>
      <w:bookmarkStart w:id="5" w:name="ABSTRACT_START"/>
      <w:bookmarkEnd w:id="5"/>
      <w:r w:rsidRPr="0023399A">
        <w:rPr>
          <w:rFonts w:ascii="David" w:hAnsi="David"/>
          <w:rtl/>
        </w:rPr>
        <w:t xml:space="preserve">הנאשם </w:t>
      </w:r>
      <w:r>
        <w:rPr>
          <w:rFonts w:ascii="David" w:hAnsi="David" w:hint="cs"/>
          <w:rtl/>
        </w:rPr>
        <w:t>הורשע לאחר ניהול הוכחות ב</w:t>
      </w:r>
      <w:r w:rsidRPr="0023399A">
        <w:rPr>
          <w:rFonts w:ascii="David" w:hAnsi="David"/>
          <w:rtl/>
        </w:rPr>
        <w:t xml:space="preserve">עבירות שעניינן </w:t>
      </w:r>
      <w:r>
        <w:rPr>
          <w:rFonts w:ascii="David" w:hAnsi="David" w:hint="cs"/>
          <w:rtl/>
        </w:rPr>
        <w:t xml:space="preserve">החזקת נשק ואביזר שלא כדין, לפי </w:t>
      </w:r>
      <w:hyperlink r:id="rId14" w:history="1">
        <w:r w:rsidR="002250DC" w:rsidRPr="002250DC">
          <w:rPr>
            <w:rStyle w:val="Hyperlink"/>
            <w:rFonts w:ascii="David" w:hAnsi="David" w:hint="eastAsia"/>
            <w:rtl/>
          </w:rPr>
          <w:t>סעיף</w:t>
        </w:r>
        <w:r w:rsidR="002250DC" w:rsidRPr="002250DC">
          <w:rPr>
            <w:rStyle w:val="Hyperlink"/>
            <w:rFonts w:ascii="David" w:hAnsi="David"/>
            <w:rtl/>
          </w:rPr>
          <w:t xml:space="preserve"> 144(א)</w:t>
        </w:r>
      </w:hyperlink>
      <w:r>
        <w:rPr>
          <w:rFonts w:ascii="David" w:hAnsi="David" w:hint="cs"/>
          <w:rtl/>
        </w:rPr>
        <w:t xml:space="preserve"> רישא+ סיפא ל</w:t>
      </w:r>
      <w:hyperlink r:id="rId15" w:history="1">
        <w:r w:rsidR="002F1D0D" w:rsidRPr="002F1D0D">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23399A">
        <w:rPr>
          <w:rFonts w:ascii="Miriam" w:hAnsi="Miriam" w:cs="Miriam"/>
          <w:rtl/>
        </w:rPr>
        <w:t>חוק העונשין</w:t>
      </w:r>
      <w:r>
        <w:rPr>
          <w:rFonts w:ascii="David" w:hAnsi="David" w:hint="cs"/>
          <w:rtl/>
        </w:rPr>
        <w:t xml:space="preserve">), ושתי עבירות של הפרעה לשוטר במילוי תפקידו, לפי </w:t>
      </w:r>
      <w:hyperlink r:id="rId16" w:history="1">
        <w:r w:rsidR="002250DC" w:rsidRPr="002250DC">
          <w:rPr>
            <w:rStyle w:val="Hyperlink"/>
            <w:rFonts w:ascii="David" w:hAnsi="David" w:hint="eastAsia"/>
            <w:rtl/>
          </w:rPr>
          <w:t>סעיף</w:t>
        </w:r>
        <w:r w:rsidR="002250DC" w:rsidRPr="002250DC">
          <w:rPr>
            <w:rStyle w:val="Hyperlink"/>
            <w:rFonts w:ascii="David" w:hAnsi="David"/>
            <w:rtl/>
          </w:rPr>
          <w:t xml:space="preserve"> 275</w:t>
        </w:r>
      </w:hyperlink>
      <w:r>
        <w:rPr>
          <w:rFonts w:ascii="David" w:hAnsi="David" w:hint="cs"/>
          <w:rtl/>
        </w:rPr>
        <w:t xml:space="preserve"> לחוק העונשין. </w:t>
      </w:r>
      <w:r w:rsidRPr="0023399A">
        <w:rPr>
          <w:rFonts w:ascii="David" w:hAnsi="David"/>
          <w:rtl/>
        </w:rPr>
        <w:t xml:space="preserve">נסיבות </w:t>
      </w:r>
      <w:r>
        <w:rPr>
          <w:rFonts w:ascii="David" w:hAnsi="David" w:hint="cs"/>
          <w:rtl/>
        </w:rPr>
        <w:t xml:space="preserve">העניין </w:t>
      </w:r>
      <w:r w:rsidRPr="0023399A">
        <w:rPr>
          <w:rFonts w:ascii="David" w:hAnsi="David"/>
          <w:rtl/>
        </w:rPr>
        <w:t>פורטו בהרחבה</w:t>
      </w:r>
      <w:r>
        <w:rPr>
          <w:rFonts w:ascii="David" w:hAnsi="David"/>
          <w:rtl/>
        </w:rPr>
        <w:t xml:space="preserve"> בהכרעת הדין ואפרט להלן ובקצרה</w:t>
      </w:r>
      <w:r>
        <w:rPr>
          <w:rFonts w:ascii="David" w:hAnsi="David" w:hint="cs"/>
          <w:rtl/>
        </w:rPr>
        <w:t xml:space="preserve"> </w:t>
      </w:r>
      <w:r w:rsidRPr="0023399A">
        <w:rPr>
          <w:rFonts w:ascii="David" w:hAnsi="David"/>
          <w:rtl/>
        </w:rPr>
        <w:t xml:space="preserve">את הממצאים </w:t>
      </w:r>
      <w:r>
        <w:rPr>
          <w:rFonts w:ascii="David" w:hAnsi="David" w:hint="cs"/>
          <w:rtl/>
        </w:rPr>
        <w:t xml:space="preserve">הרלוונטיים לענייננו, כפי </w:t>
      </w:r>
      <w:r w:rsidRPr="0023399A">
        <w:rPr>
          <w:rFonts w:ascii="David" w:hAnsi="David"/>
          <w:rtl/>
        </w:rPr>
        <w:t>שנקבעו בהכרעת הדין.</w:t>
      </w:r>
    </w:p>
    <w:p w14:paraId="134FBFDF" w14:textId="77777777" w:rsidR="002407A8" w:rsidRDefault="002407A8" w:rsidP="002407A8">
      <w:pPr>
        <w:pStyle w:val="a9"/>
        <w:ind w:left="0"/>
        <w:jc w:val="both"/>
        <w:rPr>
          <w:rFonts w:ascii="David" w:hAnsi="David"/>
        </w:rPr>
      </w:pPr>
      <w:bookmarkStart w:id="6" w:name="ABSTRACT_END"/>
      <w:bookmarkEnd w:id="6"/>
    </w:p>
    <w:p w14:paraId="758087A1" w14:textId="77777777" w:rsidR="002407A8" w:rsidRPr="005045E2" w:rsidRDefault="002407A8" w:rsidP="002407A8">
      <w:pPr>
        <w:pStyle w:val="a9"/>
        <w:numPr>
          <w:ilvl w:val="0"/>
          <w:numId w:val="1"/>
        </w:numPr>
        <w:spacing w:line="360" w:lineRule="auto"/>
        <w:jc w:val="both"/>
        <w:rPr>
          <w:rFonts w:ascii="David" w:hAnsi="David"/>
        </w:rPr>
      </w:pPr>
      <w:r w:rsidRPr="005045E2">
        <w:rPr>
          <w:rFonts w:ascii="David" w:hAnsi="David" w:hint="cs"/>
          <w:rtl/>
        </w:rPr>
        <w:t>ביום 7.2.21 החזיק הנאשם ב</w:t>
      </w:r>
      <w:r>
        <w:rPr>
          <w:rFonts w:ascii="David" w:hAnsi="David" w:hint="cs"/>
          <w:rtl/>
        </w:rPr>
        <w:t xml:space="preserve">תוך </w:t>
      </w:r>
      <w:r w:rsidRPr="005045E2">
        <w:rPr>
          <w:rFonts w:ascii="David" w:hAnsi="David" w:hint="cs"/>
          <w:rtl/>
        </w:rPr>
        <w:t>לול תרנגולות בבית</w:t>
      </w:r>
      <w:r>
        <w:rPr>
          <w:rFonts w:ascii="David" w:hAnsi="David" w:hint="cs"/>
          <w:rtl/>
        </w:rPr>
        <w:t xml:space="preserve"> </w:t>
      </w:r>
      <w:r w:rsidRPr="005045E2">
        <w:rPr>
          <w:rFonts w:ascii="David" w:hAnsi="David" w:hint="cs"/>
          <w:rtl/>
        </w:rPr>
        <w:t>דודו</w:t>
      </w:r>
      <w:r>
        <w:rPr>
          <w:rFonts w:ascii="David" w:hAnsi="David" w:hint="cs"/>
          <w:rtl/>
        </w:rPr>
        <w:t>,</w:t>
      </w:r>
      <w:r w:rsidRPr="005045E2">
        <w:rPr>
          <w:rFonts w:ascii="David" w:hAnsi="David" w:hint="cs"/>
          <w:rtl/>
        </w:rPr>
        <w:t xml:space="preserve"> רובה סער</w:t>
      </w:r>
      <w:r>
        <w:rPr>
          <w:rFonts w:ascii="David" w:hAnsi="David" w:hint="cs"/>
          <w:rtl/>
        </w:rPr>
        <w:t xml:space="preserve"> מסוג</w:t>
      </w:r>
      <w:r w:rsidRPr="005045E2">
        <w:rPr>
          <w:rFonts w:ascii="David" w:hAnsi="David" w:hint="cs"/>
          <w:rtl/>
        </w:rPr>
        <w:t xml:space="preserve"> </w:t>
      </w:r>
      <w:r w:rsidRPr="005045E2">
        <w:rPr>
          <w:rFonts w:ascii="David" w:hAnsi="David" w:hint="cs"/>
        </w:rPr>
        <w:t>M-16</w:t>
      </w:r>
      <w:r w:rsidRPr="005045E2">
        <w:rPr>
          <w:rFonts w:ascii="David" w:hAnsi="David" w:hint="cs"/>
          <w:rtl/>
        </w:rPr>
        <w:t xml:space="preserve"> ומחסנית עם </w:t>
      </w:r>
      <w:r>
        <w:rPr>
          <w:rFonts w:ascii="David" w:hAnsi="David" w:hint="cs"/>
          <w:rtl/>
        </w:rPr>
        <w:t>חמישה</w:t>
      </w:r>
      <w:r w:rsidRPr="005045E2">
        <w:rPr>
          <w:rFonts w:ascii="David" w:hAnsi="David" w:hint="cs"/>
          <w:rtl/>
        </w:rPr>
        <w:t xml:space="preserve"> כדורי תחמושת</w:t>
      </w:r>
      <w:r>
        <w:rPr>
          <w:rFonts w:ascii="David" w:hAnsi="David" w:hint="cs"/>
          <w:rtl/>
        </w:rPr>
        <w:t>, כאשר הם קבורים באדמה</w:t>
      </w:r>
      <w:r w:rsidRPr="005045E2">
        <w:rPr>
          <w:rFonts w:ascii="David" w:hAnsi="David" w:hint="cs"/>
          <w:rtl/>
        </w:rPr>
        <w:t>. בהמשך, ביום 8.2.21 הגיעו שוטרים לבית עסק בו עבד הנאשם על מנת לעוצרו בהתאם לצו בית משפט. השוטרים ניגשו אל הנאשם וביקשו ממנו להזדהות</w:t>
      </w:r>
      <w:r>
        <w:rPr>
          <w:rFonts w:ascii="David" w:hAnsi="David" w:hint="cs"/>
          <w:rtl/>
        </w:rPr>
        <w:t>, אך הוא</w:t>
      </w:r>
      <w:r w:rsidRPr="005045E2">
        <w:rPr>
          <w:rFonts w:ascii="David" w:hAnsi="David" w:hint="cs"/>
          <w:rtl/>
        </w:rPr>
        <w:t xml:space="preserve"> הזדהה בשם אחר</w:t>
      </w:r>
      <w:r>
        <w:rPr>
          <w:rFonts w:ascii="David" w:hAnsi="David" w:hint="cs"/>
          <w:rtl/>
        </w:rPr>
        <w:t xml:space="preserve">. בשלב זה </w:t>
      </w:r>
      <w:r w:rsidRPr="005045E2">
        <w:rPr>
          <w:rFonts w:ascii="David" w:hAnsi="David" w:hint="cs"/>
          <w:rtl/>
        </w:rPr>
        <w:t xml:space="preserve">הודיע לו </w:t>
      </w:r>
      <w:r>
        <w:rPr>
          <w:rFonts w:ascii="David" w:hAnsi="David" w:hint="cs"/>
          <w:rtl/>
        </w:rPr>
        <w:t xml:space="preserve">אחד </w:t>
      </w:r>
      <w:r w:rsidRPr="005045E2">
        <w:rPr>
          <w:rFonts w:ascii="David" w:hAnsi="David" w:hint="cs"/>
          <w:rtl/>
        </w:rPr>
        <w:t>השוטר</w:t>
      </w:r>
      <w:r>
        <w:rPr>
          <w:rFonts w:ascii="David" w:hAnsi="David" w:hint="cs"/>
          <w:rtl/>
        </w:rPr>
        <w:t>ים</w:t>
      </w:r>
      <w:r w:rsidRPr="005045E2">
        <w:rPr>
          <w:rFonts w:ascii="David" w:hAnsi="David" w:hint="cs"/>
          <w:rtl/>
        </w:rPr>
        <w:t xml:space="preserve"> שהוא מעוכב</w:t>
      </w:r>
      <w:r>
        <w:rPr>
          <w:rFonts w:ascii="David" w:hAnsi="David" w:hint="cs"/>
          <w:rtl/>
        </w:rPr>
        <w:t xml:space="preserve"> אך הוא</w:t>
      </w:r>
      <w:r w:rsidRPr="005045E2">
        <w:rPr>
          <w:rFonts w:ascii="David" w:hAnsi="David" w:hint="cs"/>
          <w:rtl/>
        </w:rPr>
        <w:t xml:space="preserve"> פתח בריצה</w:t>
      </w:r>
      <w:r>
        <w:rPr>
          <w:rFonts w:ascii="David" w:hAnsi="David" w:hint="cs"/>
          <w:rtl/>
        </w:rPr>
        <w:t>,</w:t>
      </w:r>
      <w:r w:rsidRPr="005045E2">
        <w:rPr>
          <w:rFonts w:ascii="David" w:hAnsi="David" w:hint="cs"/>
          <w:rtl/>
        </w:rPr>
        <w:t xml:space="preserve"> יצא </w:t>
      </w:r>
      <w:r>
        <w:rPr>
          <w:rFonts w:ascii="David" w:hAnsi="David" w:hint="cs"/>
          <w:rtl/>
        </w:rPr>
        <w:t>מ</w:t>
      </w:r>
      <w:r w:rsidRPr="005045E2">
        <w:rPr>
          <w:rFonts w:ascii="David" w:hAnsi="David" w:hint="cs"/>
          <w:rtl/>
        </w:rPr>
        <w:t xml:space="preserve">העסק, עלה על קטנוע ונמלא מהמקום. ביום 15.2.21 הגיעו שוטרים לכפר בו </w:t>
      </w:r>
      <w:r w:rsidRPr="005045E2">
        <w:rPr>
          <w:rFonts w:ascii="David" w:hAnsi="David" w:hint="cs"/>
          <w:rtl/>
        </w:rPr>
        <w:lastRenderedPageBreak/>
        <w:t xml:space="preserve">מתגורר הנאשם במטרה לעוצרו. הנאשם הבחין בשוטרים, נמלט מהבית </w:t>
      </w:r>
      <w:r>
        <w:rPr>
          <w:rFonts w:ascii="David" w:hAnsi="David" w:hint="cs"/>
          <w:rtl/>
        </w:rPr>
        <w:t xml:space="preserve">בו שהה </w:t>
      </w:r>
      <w:r w:rsidRPr="005045E2">
        <w:rPr>
          <w:rFonts w:ascii="David" w:hAnsi="David" w:hint="cs"/>
          <w:rtl/>
        </w:rPr>
        <w:t xml:space="preserve">דרך החלון </w:t>
      </w:r>
      <w:r>
        <w:rPr>
          <w:rFonts w:ascii="David" w:hAnsi="David" w:hint="cs"/>
          <w:rtl/>
        </w:rPr>
        <w:t>ולאחר מרדף של עשרות מטרים נעצר</w:t>
      </w:r>
      <w:r w:rsidRPr="005045E2">
        <w:rPr>
          <w:rFonts w:ascii="David" w:hAnsi="David" w:hint="cs"/>
          <w:rtl/>
        </w:rPr>
        <w:t xml:space="preserve"> על ידי השוטרים. </w:t>
      </w:r>
    </w:p>
    <w:p w14:paraId="5EE01F7A" w14:textId="77777777" w:rsidR="002407A8" w:rsidRPr="00144FE5" w:rsidRDefault="002407A8" w:rsidP="002407A8">
      <w:pPr>
        <w:pStyle w:val="a9"/>
        <w:rPr>
          <w:rFonts w:ascii="David" w:hAnsi="David"/>
          <w:rtl/>
        </w:rPr>
      </w:pPr>
    </w:p>
    <w:p w14:paraId="57246C0D" w14:textId="77777777" w:rsidR="002407A8" w:rsidRDefault="002407A8" w:rsidP="002407A8">
      <w:pPr>
        <w:spacing w:line="360" w:lineRule="auto"/>
        <w:jc w:val="both"/>
        <w:rPr>
          <w:rFonts w:ascii="David" w:hAnsi="David"/>
          <w:rtl/>
        </w:rPr>
      </w:pPr>
      <w:r>
        <w:rPr>
          <w:rFonts w:ascii="David" w:hAnsi="David"/>
          <w:b/>
          <w:bCs/>
          <w:color w:val="000000"/>
          <w:u w:val="single"/>
          <w:rtl/>
        </w:rPr>
        <w:t>טיעוני הצדדים לעונש והראיות</w:t>
      </w:r>
    </w:p>
    <w:p w14:paraId="2B521BAC" w14:textId="77777777" w:rsidR="002407A8" w:rsidRDefault="002407A8" w:rsidP="002407A8">
      <w:pPr>
        <w:spacing w:line="360" w:lineRule="auto"/>
        <w:jc w:val="both"/>
        <w:rPr>
          <w:rFonts w:ascii="David" w:hAnsi="David"/>
          <w:rtl/>
        </w:rPr>
      </w:pPr>
    </w:p>
    <w:p w14:paraId="07FC4D03"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ב"כ המאשימה טענה כי מדובר בעבירות חמורות וכי יש למגר את תופעת החזקת הנשק מהיסוד. נטען כי הערכים המוגנים שנפגעו הם שלום הציבור ובטחונו. המאשימה הפנתה לתיקון החקיקה בנושא (</w:t>
      </w:r>
      <w:r w:rsidRPr="00716CF9">
        <w:rPr>
          <w:rFonts w:ascii="David" w:hAnsi="David" w:hint="cs"/>
          <w:rtl/>
        </w:rPr>
        <w:t xml:space="preserve">והכוונה היא </w:t>
      </w:r>
      <w:hyperlink r:id="rId17" w:history="1">
        <w:r w:rsidR="002250DC" w:rsidRPr="002250DC">
          <w:rPr>
            <w:rStyle w:val="Hyperlink"/>
            <w:rFonts w:ascii="David" w:hAnsi="David"/>
            <w:rtl/>
          </w:rPr>
          <w:t>לסעיף 144(ז)</w:t>
        </w:r>
      </w:hyperlink>
      <w:r w:rsidRPr="00716CF9">
        <w:rPr>
          <w:rFonts w:ascii="David" w:hAnsi="David"/>
          <w:rtl/>
        </w:rPr>
        <w:t xml:space="preserve"> ל</w:t>
      </w:r>
      <w:hyperlink r:id="rId18" w:history="1">
        <w:r w:rsidR="002F1D0D" w:rsidRPr="002F1D0D">
          <w:rPr>
            <w:rFonts w:ascii="David" w:hAnsi="David"/>
            <w:color w:val="0000FF"/>
            <w:u w:val="single"/>
            <w:rtl/>
          </w:rPr>
          <w:t>חוק העונשין</w:t>
        </w:r>
      </w:hyperlink>
      <w:r w:rsidRPr="00716CF9">
        <w:rPr>
          <w:rFonts w:ascii="David" w:hAnsi="David"/>
          <w:rtl/>
        </w:rPr>
        <w:t>; חוק העונשין (תיקון מס' 140 – הוראת שעה), התשפ"ב-2021</w:t>
      </w:r>
      <w:r>
        <w:rPr>
          <w:rFonts w:ascii="David" w:hAnsi="David" w:hint="cs"/>
          <w:rtl/>
        </w:rPr>
        <w:t xml:space="preserve">), וטענה שהגם שהתיקון אינו חל על ענייננו, יש להביאו בחשבון לצורך קביעת מדיניות הענישה הראויה בעבירות נשק. ביחס למתחם הענישה, הפנתה המאשימה לפסיקה ועתרה לקבוע מתחם אחד לכל העבירות, הנע בין 30 חודשי מאסר בפועל ועד 48 חודשי מאסר. ברמה האופרטיבית נטען כי מדובר בנאשם שלא קיבל אחריות למעשיו ולחובתו הרשעה בעבירת תקיפת עובד ציבור ולאור כך יש למקם את עונשו בחלקו האמצעי של המתחם, לצד ענישה מותנית וקנס. </w:t>
      </w:r>
    </w:p>
    <w:p w14:paraId="7523100D" w14:textId="77777777" w:rsidR="002407A8" w:rsidRDefault="002407A8" w:rsidP="002407A8">
      <w:pPr>
        <w:pStyle w:val="a9"/>
        <w:ind w:left="0"/>
        <w:jc w:val="both"/>
        <w:rPr>
          <w:rFonts w:ascii="David" w:hAnsi="David"/>
        </w:rPr>
      </w:pPr>
    </w:p>
    <w:p w14:paraId="5D2BCA1E"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 xml:space="preserve">ב"כ הנאשם טען כי משך ההחזקה אינו ידוע ולכן יש לקבוע שמדובר בהחזקה לפרק זמן מינימאלי וכי הנשק נמצא קבור באדמה ואין נסיבות נוספות המגבירות את הסיכון. נטען כי יש להביא בחשבון את העובדה שהנשק נתפס בשטחו של אחר שלא הועמד לדין וכן שנתפסו חלקי תחמושת נוספים שאיש לא הועמד לדין בגין החזקתם. ההגנה הגישה פסיקה וטענה כי מתחם הענישה נע בין מספר חודשי מאסר שניתן לרצות בעבודות שירות ועד 15 חודשי מאסר בפועל. ביחס לנסיבות הקשורות לנאשם טען הסנגור כי מדובר בלוחם לשעבר ששרת בצבא כשש שנים ביחידות מובחרות, טרם מעצרו סייע בכלכלת המשפחה ומזה כשנה וחצי נמצא בתנאי מעצר בית מלא בעיר אחרת לאחר שהיה תקופה ממושכת במעצר ממש. ביחס לעברו הפלילי נטען כי מדובר בעבר קל יחסית ומשכך עתרה ההגנה למקם את עונשו בחלקו התחתון של המתחם שהוצע. </w:t>
      </w:r>
    </w:p>
    <w:p w14:paraId="73F5C36D" w14:textId="77777777" w:rsidR="002407A8" w:rsidRPr="00F80485" w:rsidRDefault="002407A8" w:rsidP="002407A8">
      <w:pPr>
        <w:pStyle w:val="a9"/>
        <w:rPr>
          <w:rFonts w:ascii="David" w:hAnsi="David"/>
          <w:rtl/>
        </w:rPr>
      </w:pPr>
    </w:p>
    <w:p w14:paraId="36572755"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הנאשם בדברו האחרון ציין כי לא ביצע את המעשים וביקש להתחשב בתקופה הארוכה בה הוא מצוי במעצר הבית.</w:t>
      </w:r>
    </w:p>
    <w:p w14:paraId="488CAFBC" w14:textId="77777777" w:rsidR="002407A8" w:rsidRPr="00F80485" w:rsidRDefault="002407A8" w:rsidP="002407A8">
      <w:pPr>
        <w:pStyle w:val="a9"/>
        <w:rPr>
          <w:rFonts w:ascii="David" w:hAnsi="David"/>
          <w:rtl/>
        </w:rPr>
      </w:pPr>
    </w:p>
    <w:p w14:paraId="583EA08D" w14:textId="77777777" w:rsidR="002407A8" w:rsidRDefault="002407A8" w:rsidP="002407A8">
      <w:pPr>
        <w:pStyle w:val="a9"/>
        <w:spacing w:line="360" w:lineRule="auto"/>
        <w:ind w:left="0"/>
        <w:jc w:val="both"/>
        <w:rPr>
          <w:rFonts w:ascii="David" w:hAnsi="David"/>
          <w:rtl/>
        </w:rPr>
      </w:pPr>
      <w:r>
        <w:rPr>
          <w:rFonts w:ascii="David" w:hAnsi="David"/>
          <w:b/>
          <w:bCs/>
          <w:color w:val="000000"/>
          <w:u w:val="single"/>
          <w:rtl/>
        </w:rPr>
        <w:t>דיון והכרעה</w:t>
      </w:r>
    </w:p>
    <w:p w14:paraId="75A23895" w14:textId="77777777" w:rsidR="002407A8" w:rsidRDefault="002407A8" w:rsidP="002407A8">
      <w:pPr>
        <w:pStyle w:val="a9"/>
        <w:spacing w:line="360" w:lineRule="auto"/>
        <w:ind w:left="0"/>
        <w:jc w:val="both"/>
        <w:rPr>
          <w:rFonts w:ascii="David" w:hAnsi="David"/>
        </w:rPr>
      </w:pPr>
      <w:r>
        <w:rPr>
          <w:rFonts w:ascii="David" w:hAnsi="David"/>
          <w:b/>
          <w:bCs/>
          <w:color w:val="000000"/>
          <w:u w:val="single"/>
          <w:rtl/>
        </w:rPr>
        <w:t>קביעת מתחם העונש</w:t>
      </w:r>
    </w:p>
    <w:p w14:paraId="6B619387" w14:textId="77777777" w:rsidR="002407A8" w:rsidRDefault="002407A8" w:rsidP="002407A8">
      <w:pPr>
        <w:pStyle w:val="a9"/>
        <w:rPr>
          <w:rFonts w:ascii="David" w:hAnsi="David"/>
          <w:rtl/>
        </w:rPr>
      </w:pPr>
    </w:p>
    <w:p w14:paraId="1965955C"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כאמור, הצדדים אינם חלוקים על כך שיש לקבוע מתחם הענישה אחד לכל העבירות שעבר הנאשם ואני מקבל טיעון זה. הגם שמדובר באירועים שהתרחשו בהפרש של מספר ימים האחד מהשני, מקובל עליי שמדובר במסכת עבריינית אחת וכי קיים קשר הדוק בין העבירות</w:t>
      </w:r>
      <w:r>
        <w:rPr>
          <w:rFonts w:ascii="Arial" w:hAnsi="Arial" w:hint="cs"/>
          <w:rtl/>
        </w:rPr>
        <w:t xml:space="preserve">, בוודאי לאור כך שנקבע בהכרעת הדין שהבריחה מהשוטרים באה לסכל הליכי חקירה הקשורים לעבירות הנשק </w:t>
      </w:r>
      <w:r w:rsidRPr="00772DE9">
        <w:rPr>
          <w:rFonts w:ascii="Arial" w:hAnsi="Arial"/>
          <w:rtl/>
        </w:rPr>
        <w:t>(</w:t>
      </w:r>
      <w:hyperlink r:id="rId19" w:history="1">
        <w:r w:rsidR="002F1D0D" w:rsidRPr="002F1D0D">
          <w:rPr>
            <w:rFonts w:ascii="Arial" w:hAnsi="Arial"/>
            <w:color w:val="0000FF"/>
            <w:u w:val="single"/>
            <w:rtl/>
          </w:rPr>
          <w:t>ע"פ 4910/13</w:t>
        </w:r>
      </w:hyperlink>
      <w:r w:rsidRPr="00772DE9">
        <w:rPr>
          <w:rFonts w:ascii="Arial" w:hAnsi="Arial"/>
          <w:rtl/>
        </w:rPr>
        <w:t xml:space="preserve"> </w:t>
      </w:r>
      <w:r w:rsidRPr="00060B38">
        <w:rPr>
          <w:rFonts w:ascii="Arial" w:hAnsi="Arial"/>
          <w:b/>
          <w:bCs/>
          <w:rtl/>
        </w:rPr>
        <w:t>ג'אבר נ' מדינת ישראל</w:t>
      </w:r>
      <w:r w:rsidRPr="00772DE9">
        <w:rPr>
          <w:rFonts w:ascii="Arial" w:hAnsi="Arial"/>
          <w:rtl/>
        </w:rPr>
        <w:t xml:space="preserve"> (29.10.2014))</w:t>
      </w:r>
      <w:r>
        <w:rPr>
          <w:rFonts w:ascii="Arial" w:hAnsi="Arial" w:hint="cs"/>
          <w:rtl/>
        </w:rPr>
        <w:t>. עם זאת מספר העבירות יובא בחשבון בקביעת גבולות המתחם.</w:t>
      </w:r>
    </w:p>
    <w:p w14:paraId="691FB2E0" w14:textId="77777777" w:rsidR="002407A8" w:rsidRPr="006460DF" w:rsidRDefault="002407A8" w:rsidP="002407A8">
      <w:pPr>
        <w:pStyle w:val="a9"/>
        <w:ind w:left="0"/>
        <w:jc w:val="both"/>
        <w:rPr>
          <w:rFonts w:ascii="David" w:hAnsi="David"/>
        </w:rPr>
      </w:pPr>
    </w:p>
    <w:p w14:paraId="001E2E05" w14:textId="77777777" w:rsidR="002407A8" w:rsidRPr="00FF4B56" w:rsidRDefault="002407A8" w:rsidP="002407A8">
      <w:pPr>
        <w:pStyle w:val="a9"/>
        <w:numPr>
          <w:ilvl w:val="0"/>
          <w:numId w:val="1"/>
        </w:numPr>
        <w:spacing w:line="360" w:lineRule="auto"/>
        <w:jc w:val="both"/>
        <w:rPr>
          <w:rFonts w:ascii="David" w:hAnsi="David"/>
        </w:rPr>
      </w:pPr>
      <w:r w:rsidRPr="00E51678">
        <w:rPr>
          <w:rtl/>
        </w:rPr>
        <w:lastRenderedPageBreak/>
        <w:t xml:space="preserve">הערכים המוגנים שנפגעו </w:t>
      </w:r>
      <w:r>
        <w:rPr>
          <w:rFonts w:hint="cs"/>
          <w:rtl/>
        </w:rPr>
        <w:t xml:space="preserve">בשל העבירות </w:t>
      </w:r>
      <w:r>
        <w:rPr>
          <w:rtl/>
        </w:rPr>
        <w:t>ברורים</w:t>
      </w:r>
      <w:r w:rsidRPr="009176DE">
        <w:rPr>
          <w:b/>
          <w:bCs/>
          <w:rtl/>
        </w:rPr>
        <w:t xml:space="preserve"> </w:t>
      </w:r>
      <w:r w:rsidRPr="009176DE">
        <w:rPr>
          <w:rFonts w:ascii="David" w:hAnsi="David"/>
          <w:color w:val="000000"/>
          <w:rtl/>
        </w:rPr>
        <w:t xml:space="preserve">ומדובר </w:t>
      </w:r>
      <w:r w:rsidRPr="009176DE">
        <w:rPr>
          <w:rFonts w:ascii="Arial" w:hAnsi="Arial"/>
          <w:rtl/>
        </w:rPr>
        <w:t>בפגיעה בשלום</w:t>
      </w:r>
      <w:r w:rsidRPr="009176DE">
        <w:rPr>
          <w:rFonts w:ascii="Arial" w:hAnsi="Arial" w:hint="cs"/>
          <w:rtl/>
        </w:rPr>
        <w:t xml:space="preserve"> הציבור, בטחונו </w:t>
      </w:r>
      <w:r>
        <w:rPr>
          <w:rFonts w:ascii="Arial" w:hAnsi="Arial" w:hint="cs"/>
          <w:rtl/>
        </w:rPr>
        <w:t xml:space="preserve">ואף בסיכון חיי אדם. בהקשר זה ראו </w:t>
      </w:r>
      <w:hyperlink r:id="rId20" w:history="1">
        <w:r w:rsidR="002F1D0D" w:rsidRPr="002F1D0D">
          <w:rPr>
            <w:rFonts w:ascii="Arial" w:hAnsi="Arial"/>
            <w:color w:val="0000FF"/>
            <w:u w:val="single"/>
            <w:rtl/>
          </w:rPr>
          <w:t>ע"פ 309/22</w:t>
        </w:r>
      </w:hyperlink>
      <w:r>
        <w:rPr>
          <w:rFonts w:ascii="Arial" w:hAnsi="Arial" w:hint="cs"/>
          <w:rtl/>
        </w:rPr>
        <w:t xml:space="preserve"> </w:t>
      </w:r>
      <w:r w:rsidRPr="00716CF9">
        <w:rPr>
          <w:rFonts w:ascii="Arial" w:hAnsi="Arial"/>
          <w:b/>
          <w:bCs/>
          <w:rtl/>
        </w:rPr>
        <w:t>מדינת ישראל נ' חאמד ביאדסה</w:t>
      </w:r>
      <w:r>
        <w:rPr>
          <w:rFonts w:ascii="Arial" w:hAnsi="Arial" w:hint="cs"/>
          <w:rtl/>
        </w:rPr>
        <w:t xml:space="preserve"> (</w:t>
      </w:r>
      <w:r w:rsidRPr="00D90C49">
        <w:rPr>
          <w:rFonts w:ascii="Arial" w:hAnsi="Arial" w:hint="cs"/>
          <w:rtl/>
        </w:rPr>
        <w:t>10.5.2022): "</w:t>
      </w:r>
      <w:r w:rsidRPr="00D90C49">
        <w:rPr>
          <w:rFonts w:ascii="Miriam" w:hAnsi="Miriam" w:cs="Miriam"/>
          <w:rtl/>
        </w:rPr>
        <w:t xml:space="preserve">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r>
        <w:rPr>
          <w:rFonts w:ascii="Miriam" w:hAnsi="Miriam" w:cs="Miriam" w:hint="cs"/>
          <w:rtl/>
        </w:rPr>
        <w:t>[..]</w:t>
      </w:r>
      <w:r w:rsidRPr="00D90C49">
        <w:rPr>
          <w:rFonts w:ascii="Miriam" w:hAnsi="Miriam" w:cs="Miriam" w:hint="cs"/>
          <w:rtl/>
        </w:rPr>
        <w:t xml:space="preserve"> </w:t>
      </w:r>
      <w:r w:rsidRPr="00D90C49">
        <w:rPr>
          <w:rFonts w:ascii="Miriam" w:hAnsi="Miriam" w:cs="Miriam"/>
          <w:rtl/>
        </w:rPr>
        <w:t xml:space="preserve">עבירות אלו חמורות במיוחד, בין היתר משום שהן עשויות לשמש בסיס לביצוע פעילות עבריינית או פעילות טרור </w:t>
      </w:r>
      <w:r>
        <w:rPr>
          <w:rFonts w:ascii="Miriam" w:hAnsi="Miriam" w:cs="Miriam" w:hint="cs"/>
          <w:rtl/>
        </w:rPr>
        <w:t>...</w:t>
      </w:r>
      <w:r w:rsidRPr="00D90C49">
        <w:rPr>
          <w:rFonts w:ascii="Miriam" w:hAnsi="Miriam" w:cs="Miriam" w:hint="cs"/>
          <w:rtl/>
        </w:rPr>
        <w:t>"</w:t>
      </w:r>
      <w:r w:rsidRPr="00D90C49">
        <w:rPr>
          <w:rFonts w:ascii="Miriam" w:hAnsi="Miriam" w:cs="Miriam"/>
          <w:rtl/>
        </w:rPr>
        <w:t>.</w:t>
      </w:r>
      <w:r w:rsidRPr="00716CF9">
        <w:rPr>
          <w:rFonts w:ascii="Arial" w:hAnsi="Arial"/>
          <w:rtl/>
        </w:rPr>
        <w:t xml:space="preserve"> </w:t>
      </w:r>
      <w:r w:rsidRPr="00D90C49">
        <w:rPr>
          <w:rFonts w:ascii="Arial" w:hAnsi="Arial" w:hint="cs"/>
          <w:rtl/>
        </w:rPr>
        <w:t>בעניינ</w:t>
      </w:r>
      <w:r>
        <w:rPr>
          <w:rFonts w:ascii="Arial" w:hAnsi="Arial" w:hint="cs"/>
          <w:rtl/>
        </w:rPr>
        <w:t>נ</w:t>
      </w:r>
      <w:r w:rsidRPr="00D90C49">
        <w:rPr>
          <w:rFonts w:ascii="Arial" w:hAnsi="Arial" w:hint="cs"/>
          <w:rtl/>
        </w:rPr>
        <w:t>ו נפגעו ערכים נוספים והם שלטון החוק והסדר הציבורי</w:t>
      </w:r>
      <w:r>
        <w:rPr>
          <w:rFonts w:ascii="Arial" w:hAnsi="Arial" w:hint="cs"/>
          <w:rtl/>
        </w:rPr>
        <w:t>, וזאת בשל אירועי הבריחה מהשוטרים</w:t>
      </w:r>
      <w:r w:rsidRPr="00D90C49">
        <w:rPr>
          <w:rFonts w:ascii="Arial" w:hAnsi="Arial" w:hint="cs"/>
          <w:rtl/>
        </w:rPr>
        <w:t xml:space="preserve">. </w:t>
      </w:r>
    </w:p>
    <w:p w14:paraId="20D825D9" w14:textId="77777777" w:rsidR="002407A8" w:rsidRPr="00FF4B56" w:rsidRDefault="002407A8" w:rsidP="002407A8">
      <w:pPr>
        <w:pStyle w:val="a9"/>
        <w:rPr>
          <w:b/>
          <w:bCs/>
          <w:rtl/>
        </w:rPr>
      </w:pPr>
    </w:p>
    <w:p w14:paraId="1F30B9DF" w14:textId="77777777" w:rsidR="002407A8" w:rsidRPr="00EC60C2" w:rsidRDefault="002407A8" w:rsidP="002407A8">
      <w:pPr>
        <w:pStyle w:val="a9"/>
        <w:numPr>
          <w:ilvl w:val="0"/>
          <w:numId w:val="1"/>
        </w:numPr>
        <w:spacing w:line="360" w:lineRule="auto"/>
        <w:jc w:val="both"/>
        <w:rPr>
          <w:rFonts w:ascii="David" w:hAnsi="David"/>
        </w:rPr>
      </w:pPr>
      <w:r w:rsidRPr="00EC60C2">
        <w:rPr>
          <w:b/>
          <w:bCs/>
          <w:rtl/>
        </w:rPr>
        <w:t>נסיבות הקשורות לביצוע העביר</w:t>
      </w:r>
      <w:r w:rsidRPr="00EC60C2">
        <w:rPr>
          <w:rFonts w:hint="cs"/>
          <w:b/>
          <w:bCs/>
          <w:rtl/>
        </w:rPr>
        <w:t>ות</w:t>
      </w:r>
      <w:r w:rsidRPr="00EC60C2">
        <w:rPr>
          <w:rtl/>
        </w:rPr>
        <w:t>:</w:t>
      </w:r>
      <w:r w:rsidRPr="00EC60C2">
        <w:rPr>
          <w:rFonts w:ascii="David" w:hAnsi="David" w:hint="cs"/>
          <w:rtl/>
        </w:rPr>
        <w:t xml:space="preserve"> הנשק שהחזיק הנאשם הוא נשק אוטומטי רב עוצמה העלול לגרום נזק רב ונסיבה זו יש לראות לחומרה. אינני מקבל את טענת הסנגור לפיה יש לקבוע שמדובר היה בהחזקה לפרק זמן מינימאלי ובהתאם לקבוע שהסיכון שנשקף מכך היה נמוך. אכן, לא ניתן לקבוע את משך תקופת ההחזקה על בסיס טביעת האצבע בלבד </w:t>
      </w:r>
      <w:r>
        <w:rPr>
          <w:rFonts w:ascii="David" w:hAnsi="David" w:hint="cs"/>
          <w:rtl/>
        </w:rPr>
        <w:t xml:space="preserve">(שהיא שעמדה בבסיס ההרשעה) </w:t>
      </w:r>
      <w:r w:rsidRPr="00EC60C2">
        <w:rPr>
          <w:rFonts w:ascii="David" w:hAnsi="David" w:hint="cs"/>
          <w:rtl/>
        </w:rPr>
        <w:t>והתייחסתי לנושא בהכרעת הדין. ואולם, קבעתי שיש בראיה זו להביא למסקנה שמדובר היה למצער בהחזקה לפרק הזמן הנדרש לצורך קביעת יסוד השליטה. נזכור שהנאשם כפר בכך שנגע כלל בנשק ודחיתי גרסה זו, כך שאופן ניהול ההליך מנע את האפשרות לקבל ראיות (ככל שקיימות לשיטתו) בדבר משך ההחזקה של הנשק ונסיבות העניין. משכך אין הצדקה להניח עבורו את ההנחה הטובה ביותר. רוצה לומר, הנאשם בחר לנהל את הגנתו באופן בו ניהל (שהיא גרסת קיצון) והוא אינו יכול להחזיק את המקל משני קצותיו, להכחיש החזקה בנשק ולאחר הרשעה לבקש לקבוע ש</w:t>
      </w:r>
      <w:r>
        <w:rPr>
          <w:rFonts w:ascii="David" w:hAnsi="David" w:hint="cs"/>
          <w:rtl/>
        </w:rPr>
        <w:t>הסיכון שנבע מההחזקה היה מינימלי</w:t>
      </w:r>
      <w:r w:rsidRPr="00EC60C2">
        <w:rPr>
          <w:rFonts w:ascii="David" w:hAnsi="David" w:hint="cs"/>
          <w:rtl/>
        </w:rPr>
        <w:t xml:space="preserve"> (ראו בהשוואה: </w:t>
      </w:r>
      <w:r w:rsidRPr="00EC60C2">
        <w:rPr>
          <w:rFonts w:ascii="Miriam" w:hAnsi="Miriam" w:cs="Miriam"/>
          <w:rtl/>
        </w:rPr>
        <w:t>"קשה להלום שנאשם ינהל הגנתו בטענה שפעל לבדו, ומאוחר יותר ינסה להרחיק עצמו מתוצאות המעשים בהם הודה, בטענה כי אלו נגרמו על ידי שותפו למעשה שפעל ללא ידיעתו. ובקיצור, אין סיבה להניח לטובת המערער את התרחיש האפשרי הטוב ביותר עבורו, כאשר לא הובאה כל ראיה לביסוס התרחיש המוצע"</w:t>
      </w:r>
      <w:r w:rsidRPr="00EC60C2">
        <w:rPr>
          <w:rFonts w:ascii="David" w:hAnsi="David" w:hint="cs"/>
          <w:rtl/>
        </w:rPr>
        <w:t xml:space="preserve"> (</w:t>
      </w:r>
      <w:hyperlink r:id="rId21" w:history="1">
        <w:r w:rsidR="002F1D0D" w:rsidRPr="002F1D0D">
          <w:rPr>
            <w:rFonts w:ascii="David" w:hAnsi="David"/>
            <w:color w:val="0000FF"/>
            <w:u w:val="single"/>
            <w:rtl/>
          </w:rPr>
          <w:t>ע"פ 9256/11</w:t>
        </w:r>
      </w:hyperlink>
      <w:r w:rsidRPr="00EC60C2">
        <w:rPr>
          <w:rFonts w:ascii="David" w:hAnsi="David" w:hint="cs"/>
          <w:rtl/>
        </w:rPr>
        <w:t xml:space="preserve"> </w:t>
      </w:r>
      <w:r w:rsidRPr="00EC60C2">
        <w:rPr>
          <w:rFonts w:ascii="David" w:hAnsi="David"/>
          <w:b/>
          <w:bCs/>
          <w:rtl/>
        </w:rPr>
        <w:t>נוראיר פידיניאן</w:t>
      </w:r>
      <w:r w:rsidRPr="00EC60C2">
        <w:rPr>
          <w:rFonts w:ascii="David" w:hAnsi="David" w:hint="cs"/>
          <w:b/>
          <w:bCs/>
          <w:rtl/>
        </w:rPr>
        <w:t xml:space="preserve"> נ' מדינת ישראל</w:t>
      </w:r>
      <w:r w:rsidRPr="00EC60C2">
        <w:rPr>
          <w:rFonts w:ascii="David" w:hAnsi="David" w:hint="cs"/>
          <w:rtl/>
        </w:rPr>
        <w:t xml:space="preserve"> (23.9.2014)). </w:t>
      </w:r>
    </w:p>
    <w:p w14:paraId="2B575F2E" w14:textId="77777777" w:rsidR="002407A8" w:rsidRPr="001B7E87" w:rsidRDefault="002407A8" w:rsidP="002407A8">
      <w:pPr>
        <w:pStyle w:val="a9"/>
        <w:rPr>
          <w:rFonts w:ascii="David" w:hAnsi="David"/>
          <w:rtl/>
        </w:rPr>
      </w:pPr>
    </w:p>
    <w:p w14:paraId="51EB1FE8"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 xml:space="preserve">כאן המקום להתייחס לעניין הנזק הפוטנציאלי הגלום בעבירת החזקת נשק ותחמושת. עדים אנו בעת האחרונה למקרים רבים של שימוש בנשק לא חוקי הגובה מחיר כבד בנפש לרבות של אזרחים תמימים שנקלעו שלא בטובתם לאירוע ירי שכוון לעבר אחר. בהקשר זה ראו: </w:t>
      </w:r>
    </w:p>
    <w:p w14:paraId="4433E9F6" w14:textId="77777777" w:rsidR="002407A8" w:rsidRPr="00F71665" w:rsidRDefault="002407A8" w:rsidP="002407A8">
      <w:pPr>
        <w:pStyle w:val="a9"/>
        <w:ind w:left="1134" w:right="1134"/>
        <w:jc w:val="both"/>
        <w:rPr>
          <w:rFonts w:ascii="David" w:hAnsi="David"/>
          <w:rtl/>
        </w:rPr>
      </w:pPr>
    </w:p>
    <w:p w14:paraId="16A364AD" w14:textId="77777777" w:rsidR="002407A8" w:rsidRPr="009176DE" w:rsidRDefault="002407A8" w:rsidP="002407A8">
      <w:pPr>
        <w:pStyle w:val="a9"/>
        <w:ind w:left="1134" w:right="1134"/>
        <w:jc w:val="both"/>
        <w:rPr>
          <w:rFonts w:ascii="David" w:hAnsi="David"/>
        </w:rPr>
      </w:pPr>
      <w:r w:rsidRPr="00716CF9">
        <w:rPr>
          <w:rFonts w:ascii="David" w:hAnsi="David"/>
          <w:rtl/>
        </w:rPr>
        <w:t>"</w:t>
      </w:r>
      <w:r w:rsidRPr="00716CF9">
        <w:rPr>
          <w:rFonts w:ascii="Miriam" w:hAnsi="Miriam" w:cs="Miriam"/>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w:t>
      </w:r>
      <w:r>
        <w:rPr>
          <w:rFonts w:ascii="Miriam" w:hAnsi="Miriam" w:cs="Miriam"/>
          <w:rtl/>
        </w:rPr>
        <w:t>ת נשק, אף אם הם נעדרי עבר פלילי</w:t>
      </w:r>
      <w:r w:rsidRPr="00716CF9">
        <w:rPr>
          <w:rFonts w:ascii="David" w:hAnsi="David"/>
          <w:rtl/>
        </w:rPr>
        <w:t>" (</w:t>
      </w:r>
      <w:hyperlink r:id="rId22" w:history="1">
        <w:r w:rsidR="002F1D0D" w:rsidRPr="002F1D0D">
          <w:rPr>
            <w:rFonts w:ascii="David" w:hAnsi="David"/>
            <w:color w:val="0000FF"/>
            <w:u w:val="single"/>
            <w:rtl/>
          </w:rPr>
          <w:t>ע"פ 2482/22</w:t>
        </w:r>
      </w:hyperlink>
      <w:r>
        <w:rPr>
          <w:rFonts w:ascii="David" w:hAnsi="David"/>
          <w:rtl/>
        </w:rPr>
        <w:t xml:space="preserve"> </w:t>
      </w:r>
      <w:r w:rsidRPr="00716CF9">
        <w:rPr>
          <w:rFonts w:ascii="David" w:hAnsi="David"/>
          <w:b/>
          <w:bCs/>
          <w:rtl/>
        </w:rPr>
        <w:t>מדינת ישראל נ' קדורה</w:t>
      </w:r>
      <w:r>
        <w:rPr>
          <w:rFonts w:ascii="David" w:hAnsi="David"/>
          <w:rtl/>
        </w:rPr>
        <w:t>, פסקה 5</w:t>
      </w:r>
      <w:r w:rsidRPr="00716CF9">
        <w:rPr>
          <w:rFonts w:ascii="David" w:hAnsi="David"/>
          <w:rtl/>
        </w:rPr>
        <w:t xml:space="preserve"> (14.4.2022)</w:t>
      </w:r>
      <w:r>
        <w:rPr>
          <w:rFonts w:ascii="David" w:hAnsi="David" w:hint="cs"/>
          <w:rtl/>
        </w:rPr>
        <w:t xml:space="preserve">; להלן </w:t>
      </w:r>
      <w:r>
        <w:rPr>
          <w:rFonts w:ascii="David" w:hAnsi="David"/>
          <w:rtl/>
        </w:rPr>
        <w:t>–</w:t>
      </w:r>
      <w:r>
        <w:rPr>
          <w:rFonts w:ascii="David" w:hAnsi="David" w:hint="cs"/>
          <w:rtl/>
        </w:rPr>
        <w:t xml:space="preserve"> עניין </w:t>
      </w:r>
      <w:r w:rsidRPr="00716162">
        <w:rPr>
          <w:rFonts w:ascii="David" w:hAnsi="David" w:hint="cs"/>
          <w:b/>
          <w:bCs/>
          <w:rtl/>
        </w:rPr>
        <w:t>קדורה</w:t>
      </w:r>
      <w:r>
        <w:rPr>
          <w:rFonts w:ascii="David" w:hAnsi="David" w:hint="cs"/>
          <w:rtl/>
        </w:rPr>
        <w:t xml:space="preserve">). </w:t>
      </w:r>
    </w:p>
    <w:p w14:paraId="155A0051" w14:textId="77777777" w:rsidR="002407A8" w:rsidRPr="00F71665" w:rsidRDefault="002407A8" w:rsidP="002407A8">
      <w:pPr>
        <w:pStyle w:val="a9"/>
        <w:spacing w:line="360" w:lineRule="auto"/>
        <w:ind w:left="0"/>
        <w:jc w:val="both"/>
        <w:rPr>
          <w:rFonts w:ascii="David" w:hAnsi="David"/>
        </w:rPr>
      </w:pPr>
    </w:p>
    <w:p w14:paraId="38CAD122" w14:textId="77777777" w:rsidR="002407A8" w:rsidRPr="00F71665" w:rsidRDefault="002407A8" w:rsidP="002407A8">
      <w:pPr>
        <w:pStyle w:val="a9"/>
        <w:ind w:left="1134" w:right="1134"/>
        <w:jc w:val="both"/>
        <w:rPr>
          <w:rFonts w:ascii="Miriam" w:hAnsi="Miriam" w:cs="Miriam"/>
        </w:rPr>
      </w:pPr>
      <w:r>
        <w:rPr>
          <w:rFonts w:ascii="Miriam" w:hAnsi="Miriam" w:cs="Miriam" w:hint="cs"/>
          <w:rtl/>
        </w:rPr>
        <w:t>"</w:t>
      </w:r>
      <w:r w:rsidRPr="00A805B0">
        <w:rPr>
          <w:rFonts w:ascii="Miriam" w:hAnsi="Miriam" w:cs="Miriam"/>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w:t>
      </w:r>
      <w:r>
        <w:rPr>
          <w:rFonts w:ascii="Miriam" w:hAnsi="Miriam" w:cs="Miriam" w:hint="cs"/>
          <w:rtl/>
        </w:rPr>
        <w:t xml:space="preserve"> </w:t>
      </w:r>
      <w:r w:rsidRPr="00F71665">
        <w:rPr>
          <w:rFonts w:ascii="Miriam" w:hAnsi="Miriam" w:cs="Miriam"/>
          <w:rtl/>
        </w:rPr>
        <w:t>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Fonts w:ascii="Miriam" w:hAnsi="Miriam" w:cs="Miriam" w:hint="cs"/>
          <w:rtl/>
        </w:rPr>
        <w:t xml:space="preserve"> (</w:t>
      </w:r>
      <w:hyperlink r:id="rId23" w:history="1">
        <w:r w:rsidR="002F1D0D" w:rsidRPr="002F1D0D">
          <w:rPr>
            <w:rFonts w:ascii="David" w:hAnsi="David"/>
            <w:color w:val="0000FF"/>
            <w:u w:val="single"/>
            <w:rtl/>
          </w:rPr>
          <w:t>ע"פ 6383/21</w:t>
        </w:r>
      </w:hyperlink>
      <w:r w:rsidRPr="00A805B0">
        <w:rPr>
          <w:rFonts w:ascii="David" w:hAnsi="David"/>
          <w:rtl/>
        </w:rPr>
        <w:t xml:space="preserve"> </w:t>
      </w:r>
      <w:r w:rsidRPr="00A805B0">
        <w:rPr>
          <w:rFonts w:ascii="David" w:hAnsi="David"/>
          <w:b/>
          <w:bCs/>
          <w:rtl/>
        </w:rPr>
        <w:t>קריף נ' מדינת ישראל</w:t>
      </w:r>
      <w:r>
        <w:rPr>
          <w:rFonts w:ascii="David" w:hAnsi="David"/>
          <w:rtl/>
        </w:rPr>
        <w:t xml:space="preserve"> (13.02.22)</w:t>
      </w:r>
      <w:r>
        <w:rPr>
          <w:rFonts w:ascii="David" w:hAnsi="David" w:hint="cs"/>
          <w:rtl/>
        </w:rPr>
        <w:t>).</w:t>
      </w:r>
    </w:p>
    <w:p w14:paraId="57C5D78C" w14:textId="77777777" w:rsidR="002407A8" w:rsidRDefault="002407A8" w:rsidP="002407A8">
      <w:pPr>
        <w:pStyle w:val="a9"/>
        <w:rPr>
          <w:rFonts w:ascii="David" w:hAnsi="David"/>
          <w:rtl/>
        </w:rPr>
      </w:pPr>
    </w:p>
    <w:p w14:paraId="5BEAF9AA" w14:textId="77777777" w:rsidR="002407A8" w:rsidRPr="00FF4B56" w:rsidRDefault="002407A8" w:rsidP="002407A8">
      <w:pPr>
        <w:pStyle w:val="a9"/>
        <w:numPr>
          <w:ilvl w:val="0"/>
          <w:numId w:val="1"/>
        </w:numPr>
        <w:spacing w:line="360" w:lineRule="auto"/>
        <w:jc w:val="both"/>
        <w:rPr>
          <w:rFonts w:ascii="David" w:hAnsi="David"/>
        </w:rPr>
      </w:pPr>
      <w:r w:rsidRPr="00FF4B56">
        <w:rPr>
          <w:rFonts w:ascii="David" w:hAnsi="David" w:hint="cs"/>
          <w:rtl/>
        </w:rPr>
        <w:t xml:space="preserve">עוד אוסיף כי בריחת הנאשם מהשוטרים, בשתי הזדמנויות שונות, מוסיפה חומרה ממשית לאירוע כולו ומעידה על היעדר מורא מפני החוק וזלזול מופגן. </w:t>
      </w:r>
    </w:p>
    <w:p w14:paraId="6078C67F" w14:textId="77777777" w:rsidR="002407A8" w:rsidRPr="00EC60C2" w:rsidRDefault="002407A8" w:rsidP="002407A8">
      <w:pPr>
        <w:pStyle w:val="a9"/>
        <w:rPr>
          <w:rFonts w:ascii="David" w:hAnsi="David"/>
          <w:rtl/>
        </w:rPr>
      </w:pPr>
    </w:p>
    <w:p w14:paraId="1463EAE1" w14:textId="77777777" w:rsidR="002407A8" w:rsidRPr="00F71665" w:rsidRDefault="002407A8" w:rsidP="002407A8">
      <w:pPr>
        <w:pStyle w:val="a9"/>
        <w:numPr>
          <w:ilvl w:val="0"/>
          <w:numId w:val="1"/>
        </w:numPr>
        <w:spacing w:line="360" w:lineRule="auto"/>
        <w:jc w:val="both"/>
        <w:rPr>
          <w:rFonts w:ascii="David" w:hAnsi="David"/>
          <w:rtl/>
        </w:rPr>
      </w:pPr>
      <w:r w:rsidRPr="00365400">
        <w:rPr>
          <w:rFonts w:ascii="David" w:hAnsi="David"/>
          <w:b/>
          <w:bCs/>
          <w:rtl/>
        </w:rPr>
        <w:t>מדיניות הענישה:</w:t>
      </w:r>
      <w:r w:rsidRPr="00242CBA">
        <w:rPr>
          <w:rFonts w:ascii="David" w:hAnsi="David"/>
          <w:rtl/>
        </w:rPr>
        <w:t xml:space="preserve"> בית המשפט העליון קבע </w:t>
      </w:r>
      <w:r>
        <w:rPr>
          <w:rFonts w:ascii="David" w:hAnsi="David" w:hint="cs"/>
          <w:rtl/>
        </w:rPr>
        <w:t xml:space="preserve">לאחרונה </w:t>
      </w:r>
      <w:r w:rsidRPr="00242CBA">
        <w:rPr>
          <w:rFonts w:ascii="David" w:hAnsi="David"/>
          <w:rtl/>
        </w:rPr>
        <w:t>בשורה ארוכה של מקרים כי על בתי המשפט לתרום תרומתם בביעור</w:t>
      </w:r>
      <w:r>
        <w:rPr>
          <w:rFonts w:ascii="David" w:hAnsi="David" w:hint="cs"/>
          <w:rtl/>
        </w:rPr>
        <w:t xml:space="preserve"> עבירות הנשק וכי יש צורך בהחמרה בענישה במקרים אלו. ראו למשל</w:t>
      </w:r>
      <w:r w:rsidRPr="00F71665">
        <w:rPr>
          <w:rFonts w:ascii="David" w:hAnsi="David"/>
          <w:rtl/>
        </w:rPr>
        <w:t xml:space="preserve"> </w:t>
      </w:r>
      <w:r w:rsidRPr="00F71665">
        <w:rPr>
          <w:rFonts w:ascii="David" w:hAnsi="David" w:hint="cs"/>
          <w:rtl/>
        </w:rPr>
        <w:t xml:space="preserve"> </w:t>
      </w:r>
      <w:hyperlink r:id="rId24" w:history="1">
        <w:r w:rsidR="002F1D0D" w:rsidRPr="002F1D0D">
          <w:rPr>
            <w:rFonts w:ascii="David" w:hAnsi="David"/>
            <w:color w:val="0000FF"/>
            <w:u w:val="single"/>
            <w:rtl/>
          </w:rPr>
          <w:t>רע"פ 3619/21</w:t>
        </w:r>
      </w:hyperlink>
      <w:r w:rsidRPr="00F71665">
        <w:rPr>
          <w:rFonts w:ascii="David" w:hAnsi="David"/>
          <w:rtl/>
        </w:rPr>
        <w:t xml:space="preserve"> </w:t>
      </w:r>
      <w:r w:rsidRPr="00F71665">
        <w:rPr>
          <w:rFonts w:ascii="David" w:hAnsi="David"/>
          <w:b/>
          <w:bCs/>
          <w:rtl/>
        </w:rPr>
        <w:t>אבו הלאל נ' מדינת ישראל</w:t>
      </w:r>
      <w:r w:rsidRPr="00F71665">
        <w:rPr>
          <w:rFonts w:ascii="David" w:hAnsi="David"/>
          <w:rtl/>
        </w:rPr>
        <w:t xml:space="preserve"> (26.5.21)</w:t>
      </w:r>
      <w:r w:rsidRPr="00F71665">
        <w:rPr>
          <w:rFonts w:ascii="David" w:hAnsi="David" w:hint="cs"/>
          <w:rtl/>
        </w:rPr>
        <w:t>:</w:t>
      </w:r>
    </w:p>
    <w:p w14:paraId="58366D10" w14:textId="77777777" w:rsidR="002407A8" w:rsidRDefault="002407A8" w:rsidP="002407A8">
      <w:pPr>
        <w:ind w:right="1134"/>
        <w:jc w:val="both"/>
        <w:rPr>
          <w:rFonts w:ascii="Miriam" w:hAnsi="Miriam" w:cs="Miriam"/>
          <w:rtl/>
        </w:rPr>
      </w:pPr>
    </w:p>
    <w:p w14:paraId="3B02E8E9" w14:textId="77777777" w:rsidR="002407A8" w:rsidRPr="003A587A" w:rsidRDefault="002407A8" w:rsidP="002407A8">
      <w:pPr>
        <w:ind w:left="1134" w:right="1134"/>
        <w:jc w:val="both"/>
        <w:rPr>
          <w:rFonts w:ascii="Miriam" w:hAnsi="Miriam" w:cs="Miriam"/>
          <w:rtl/>
        </w:rPr>
      </w:pPr>
      <w:r>
        <w:rPr>
          <w:rFonts w:ascii="Miriam" w:hAnsi="Miriam" w:cs="Miriam" w:hint="cs"/>
          <w:rtl/>
        </w:rPr>
        <w:t>"</w:t>
      </w:r>
      <w:r w:rsidRPr="003A587A">
        <w:rPr>
          <w:rFonts w:ascii="Miriam" w:hAnsi="Miriam" w:cs="Miriam"/>
          <w:rtl/>
        </w:rPr>
        <w:t>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w:t>
      </w:r>
      <w:r>
        <w:rPr>
          <w:rFonts w:ascii="Miriam" w:hAnsi="Miriam" w:cs="Miriam" w:hint="cs"/>
          <w:rtl/>
        </w:rPr>
        <w:t>".</w:t>
      </w:r>
    </w:p>
    <w:p w14:paraId="79AE1446" w14:textId="77777777" w:rsidR="002407A8" w:rsidRDefault="002407A8" w:rsidP="002407A8">
      <w:pPr>
        <w:pStyle w:val="a9"/>
        <w:spacing w:line="360" w:lineRule="auto"/>
        <w:ind w:left="0"/>
        <w:jc w:val="both"/>
        <w:rPr>
          <w:rFonts w:ascii="David" w:hAnsi="David"/>
          <w:rtl/>
        </w:rPr>
      </w:pPr>
    </w:p>
    <w:p w14:paraId="264CB545" w14:textId="77777777" w:rsidR="002407A8" w:rsidRPr="003C4CFE" w:rsidRDefault="002407A8" w:rsidP="002407A8">
      <w:pPr>
        <w:pStyle w:val="a9"/>
        <w:ind w:left="1134" w:right="1134"/>
        <w:jc w:val="both"/>
        <w:rPr>
          <w:rFonts w:ascii="David" w:hAnsi="David"/>
        </w:rPr>
      </w:pPr>
      <w:r>
        <w:rPr>
          <w:rFonts w:ascii="Miriam" w:hAnsi="Miriam" w:cs="Miriam" w:hint="cs"/>
          <w:rtl/>
        </w:rPr>
        <w:t>"</w:t>
      </w:r>
      <w:r w:rsidRPr="001B478B">
        <w:rPr>
          <w:rFonts w:ascii="Miriam" w:hAnsi="Miriam" w:cs="Miriam"/>
          <w:rtl/>
        </w:rPr>
        <w:t xml:space="preserve">אין צורך להכביר במילים על אודות החומרה הנלווית לעבירות נשק. אין היום חולקין כי עבירות מסוג זה הפכו ל"מכת מדינה" של ממש </w:t>
      </w:r>
      <w:r>
        <w:rPr>
          <w:rFonts w:ascii="Miriam" w:hAnsi="Miriam" w:cs="Miriam" w:hint="cs"/>
          <w:rtl/>
        </w:rPr>
        <w:t>...</w:t>
      </w:r>
      <w:r w:rsidRPr="001B478B">
        <w:rPr>
          <w:rFonts w:ascii="Miriam" w:hAnsi="Miriam" w:cs="Miriam"/>
          <w:rtl/>
        </w:rPr>
        <w:t xml:space="preserve">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5" w:history="1">
        <w:r w:rsidR="002F1D0D" w:rsidRPr="002F1D0D">
          <w:rPr>
            <w:rFonts w:ascii="Miriam" w:hAnsi="Miriam" w:cs="Miriam"/>
            <w:color w:val="0000FF"/>
            <w:u w:val="single"/>
            <w:rtl/>
          </w:rPr>
          <w:t>חוק העונשין</w:t>
        </w:r>
      </w:hyperlink>
      <w:r w:rsidRPr="001B478B">
        <w:rPr>
          <w:rFonts w:ascii="Miriam" w:hAnsi="Miriam" w:cs="Miriam"/>
          <w:rtl/>
        </w:rPr>
        <w:t xml:space="preserve"> (חוק העונשין (תיקון מס' 140 – הוראת שעה), התשפ"ב-2021) – שלא חל בענייננו – </w:t>
      </w:r>
      <w:r>
        <w:rPr>
          <w:rFonts w:ascii="Miriam" w:hAnsi="Miriam" w:cs="Miriam"/>
          <w:rtl/>
        </w:rPr>
        <w:t>הקובע עונשי מינימום לעבירות נשק</w:t>
      </w:r>
      <w:r>
        <w:rPr>
          <w:rFonts w:ascii="Miriam" w:hAnsi="Miriam" w:cs="Miriam" w:hint="cs"/>
          <w:rtl/>
        </w:rPr>
        <w:t xml:space="preserve">". </w:t>
      </w:r>
      <w:r>
        <w:rPr>
          <w:rFonts w:ascii="David" w:hAnsi="David" w:hint="cs"/>
          <w:rtl/>
        </w:rPr>
        <w:t>(</w:t>
      </w:r>
      <w:hyperlink r:id="rId26" w:history="1">
        <w:r w:rsidR="002F1D0D" w:rsidRPr="002F1D0D">
          <w:rPr>
            <w:rFonts w:ascii="David" w:hAnsi="David"/>
            <w:color w:val="0000FF"/>
            <w:u w:val="single"/>
            <w:rtl/>
          </w:rPr>
          <w:t>ע"פ 2251/21</w:t>
        </w:r>
      </w:hyperlink>
      <w:r w:rsidRPr="00871154">
        <w:rPr>
          <w:rFonts w:ascii="David" w:hAnsi="David"/>
          <w:color w:val="000000"/>
          <w:rtl/>
        </w:rPr>
        <w:t xml:space="preserve"> ‏</w:t>
      </w:r>
      <w:r w:rsidRPr="00871154">
        <w:rPr>
          <w:rFonts w:ascii="David" w:hAnsi="David"/>
          <w:b/>
          <w:bCs/>
          <w:color w:val="000000"/>
          <w:rtl/>
        </w:rPr>
        <w:t>אנואר אבו עראר נ' מדינת ישראל</w:t>
      </w:r>
      <w:r>
        <w:rPr>
          <w:rFonts w:ascii="David" w:hAnsi="David" w:hint="cs"/>
          <w:rtl/>
        </w:rPr>
        <w:t xml:space="preserve"> (15.12.2021); </w:t>
      </w:r>
      <w:r w:rsidRPr="003C4CFE">
        <w:rPr>
          <w:rFonts w:ascii="David" w:hAnsi="David" w:hint="cs"/>
          <w:rtl/>
        </w:rPr>
        <w:t>ראו גם</w:t>
      </w:r>
      <w:r>
        <w:rPr>
          <w:rFonts w:ascii="David" w:hAnsi="David" w:hint="cs"/>
          <w:rtl/>
        </w:rPr>
        <w:t>, בשינוים המחויבים,</w:t>
      </w:r>
      <w:r w:rsidRPr="003C4CFE">
        <w:rPr>
          <w:rFonts w:ascii="David" w:hAnsi="David" w:hint="cs"/>
          <w:rtl/>
        </w:rPr>
        <w:t xml:space="preserve"> </w:t>
      </w:r>
      <w:hyperlink r:id="rId27" w:history="1">
        <w:r w:rsidR="002F1D0D" w:rsidRPr="002F1D0D">
          <w:rPr>
            <w:rFonts w:ascii="David" w:hAnsi="David"/>
            <w:color w:val="0000FF"/>
            <w:u w:val="single"/>
            <w:rtl/>
          </w:rPr>
          <w:t>ע"פ 4456/21</w:t>
        </w:r>
      </w:hyperlink>
      <w:r w:rsidRPr="003C4CFE">
        <w:rPr>
          <w:rFonts w:ascii="David" w:hAnsi="David"/>
          <w:rtl/>
        </w:rPr>
        <w:t xml:space="preserve"> ‏</w:t>
      </w:r>
      <w:r w:rsidRPr="003C4CFE">
        <w:rPr>
          <w:rFonts w:ascii="David" w:hAnsi="David"/>
          <w:b/>
          <w:bCs/>
          <w:rtl/>
        </w:rPr>
        <w:t>מדינת ישראל נ' מוחמד אבו עבסה</w:t>
      </w:r>
      <w:r w:rsidRPr="003C4CFE">
        <w:rPr>
          <w:rFonts w:ascii="David" w:hAnsi="David" w:hint="cs"/>
          <w:rtl/>
        </w:rPr>
        <w:t>, פסקה 15 (23.1.2022)</w:t>
      </w:r>
      <w:r>
        <w:rPr>
          <w:rFonts w:ascii="David" w:hAnsi="David" w:hint="cs"/>
          <w:rtl/>
        </w:rPr>
        <w:t xml:space="preserve">). </w:t>
      </w:r>
    </w:p>
    <w:p w14:paraId="67D2EB03" w14:textId="77777777" w:rsidR="002407A8" w:rsidRPr="00871154" w:rsidRDefault="002407A8" w:rsidP="002407A8">
      <w:pPr>
        <w:pStyle w:val="a9"/>
        <w:spacing w:line="360" w:lineRule="auto"/>
        <w:ind w:left="0"/>
        <w:jc w:val="both"/>
        <w:rPr>
          <w:rFonts w:ascii="David" w:hAnsi="David"/>
          <w:rtl/>
        </w:rPr>
      </w:pPr>
    </w:p>
    <w:p w14:paraId="218EAEDA" w14:textId="77777777" w:rsidR="002407A8" w:rsidRDefault="002407A8" w:rsidP="002407A8">
      <w:pPr>
        <w:pStyle w:val="a9"/>
        <w:numPr>
          <w:ilvl w:val="0"/>
          <w:numId w:val="1"/>
        </w:numPr>
        <w:spacing w:line="360" w:lineRule="auto"/>
        <w:jc w:val="both"/>
        <w:rPr>
          <w:rFonts w:ascii="David" w:hAnsi="David"/>
        </w:rPr>
      </w:pPr>
      <w:r>
        <w:rPr>
          <w:rFonts w:ascii="David" w:hAnsi="David" w:hint="cs"/>
          <w:rtl/>
        </w:rPr>
        <w:t xml:space="preserve">לכך מצטרפת עמדת המחוקק, שקבע לאחרונה </w:t>
      </w:r>
      <w:hyperlink r:id="rId28" w:history="1">
        <w:r w:rsidR="002250DC" w:rsidRPr="002250DC">
          <w:rPr>
            <w:rStyle w:val="Hyperlink"/>
            <w:rFonts w:ascii="David" w:hAnsi="David" w:hint="eastAsia"/>
            <w:rtl/>
          </w:rPr>
          <w:t>בסעיף</w:t>
        </w:r>
        <w:r w:rsidR="002250DC" w:rsidRPr="002250DC">
          <w:rPr>
            <w:rStyle w:val="Hyperlink"/>
            <w:rFonts w:ascii="David" w:hAnsi="David"/>
            <w:rtl/>
          </w:rPr>
          <w:t xml:space="preserve"> 144(ז)</w:t>
        </w:r>
      </w:hyperlink>
      <w:r>
        <w:rPr>
          <w:rFonts w:ascii="David" w:hAnsi="David" w:hint="cs"/>
          <w:rtl/>
        </w:rPr>
        <w:t xml:space="preserve"> </w:t>
      </w:r>
      <w:r>
        <w:rPr>
          <w:rFonts w:ascii="David" w:hAnsi="David"/>
          <w:rtl/>
        </w:rPr>
        <w:t>ל</w:t>
      </w:r>
      <w:hyperlink r:id="rId29" w:history="1">
        <w:r w:rsidR="002F1D0D" w:rsidRPr="002F1D0D">
          <w:rPr>
            <w:rFonts w:ascii="David" w:hAnsi="David"/>
            <w:color w:val="0000FF"/>
            <w:u w:val="single"/>
            <w:rtl/>
          </w:rPr>
          <w:t>חוק העונשין</w:t>
        </w:r>
      </w:hyperlink>
      <w:r w:rsidRPr="00716CF9">
        <w:rPr>
          <w:rFonts w:ascii="David" w:hAnsi="David"/>
          <w:rtl/>
        </w:rPr>
        <w:t xml:space="preserve"> (תיקון מס' 140 – הוראת שעה, התשפ"ב-2021</w:t>
      </w:r>
      <w:r>
        <w:rPr>
          <w:rFonts w:ascii="David" w:hAnsi="David" w:hint="cs"/>
          <w:rtl/>
        </w:rPr>
        <w:t xml:space="preserve">) עונשי מינימום בעבירות נשק </w:t>
      </w:r>
      <w:r w:rsidRPr="004034B6">
        <w:rPr>
          <w:rFonts w:ascii="David" w:hAnsi="David"/>
          <w:rtl/>
        </w:rPr>
        <w:t xml:space="preserve">כך שהעונש שיושת על מבצעיהן </w:t>
      </w:r>
      <w:r>
        <w:rPr>
          <w:rFonts w:ascii="David" w:hAnsi="David" w:hint="cs"/>
          <w:rtl/>
        </w:rPr>
        <w:t xml:space="preserve">לא יפחת </w:t>
      </w:r>
      <w:r w:rsidRPr="004034B6">
        <w:rPr>
          <w:rFonts w:ascii="David" w:hAnsi="David"/>
          <w:rtl/>
        </w:rPr>
        <w:t>מרבע העונש המרבי שנקבע לעבירה, אלא אם החליט בית המשפט מטעמים מיוחדים להקל בעונש</w:t>
      </w:r>
      <w:r>
        <w:rPr>
          <w:rFonts w:ascii="David" w:hAnsi="David" w:hint="cs"/>
          <w:rtl/>
        </w:rPr>
        <w:t xml:space="preserve">.  </w:t>
      </w:r>
      <w:r w:rsidRPr="004034B6">
        <w:rPr>
          <w:rFonts w:ascii="David" w:hAnsi="David"/>
          <w:rtl/>
        </w:rPr>
        <w:t xml:space="preserve">אכן, </w:t>
      </w:r>
      <w:r>
        <w:rPr>
          <w:rFonts w:ascii="David" w:hAnsi="David" w:hint="cs"/>
          <w:rtl/>
        </w:rPr>
        <w:t xml:space="preserve">לאור מועד ביצוע העבירה </w:t>
      </w:r>
      <w:r w:rsidRPr="004034B6">
        <w:rPr>
          <w:rFonts w:ascii="David" w:hAnsi="David"/>
          <w:rtl/>
        </w:rPr>
        <w:t xml:space="preserve">התיקון לחוק </w:t>
      </w:r>
      <w:r>
        <w:rPr>
          <w:rFonts w:ascii="David" w:hAnsi="David" w:hint="cs"/>
          <w:rtl/>
        </w:rPr>
        <w:t>אינו</w:t>
      </w:r>
      <w:r w:rsidRPr="004034B6">
        <w:rPr>
          <w:rFonts w:ascii="David" w:hAnsi="David"/>
          <w:rtl/>
        </w:rPr>
        <w:t xml:space="preserve"> חל בענייננו, אך יש בו כדי לשקף את רצון המחוקק להחמיר בענישה בעבירות נשק</w:t>
      </w:r>
      <w:r>
        <w:rPr>
          <w:rFonts w:ascii="David" w:hAnsi="David" w:hint="cs"/>
          <w:rtl/>
        </w:rPr>
        <w:t xml:space="preserve"> (</w:t>
      </w:r>
      <w:hyperlink r:id="rId30" w:history="1">
        <w:r w:rsidR="002F1D0D" w:rsidRPr="002F1D0D">
          <w:rPr>
            <w:rFonts w:ascii="David" w:hAnsi="David"/>
            <w:color w:val="0000FF"/>
            <w:u w:val="single"/>
            <w:rtl/>
          </w:rPr>
          <w:t>ע"פ 4103/22</w:t>
        </w:r>
      </w:hyperlink>
      <w:r>
        <w:rPr>
          <w:rFonts w:ascii="David" w:hAnsi="David" w:hint="cs"/>
          <w:rtl/>
        </w:rPr>
        <w:t xml:space="preserve"> </w:t>
      </w:r>
      <w:r w:rsidRPr="00C5155C">
        <w:rPr>
          <w:rFonts w:ascii="David" w:hAnsi="David" w:hint="cs"/>
          <w:b/>
          <w:bCs/>
          <w:rtl/>
        </w:rPr>
        <w:t>מדינת ישראל נ' מוחמד אמון</w:t>
      </w:r>
      <w:r>
        <w:rPr>
          <w:rFonts w:ascii="David" w:hAnsi="David" w:hint="cs"/>
          <w:rtl/>
        </w:rPr>
        <w:t xml:space="preserve"> (6.11.22)1 להלן עניין </w:t>
      </w:r>
      <w:r>
        <w:rPr>
          <w:rFonts w:ascii="David" w:hAnsi="David"/>
          <w:rtl/>
        </w:rPr>
        <w:t>–</w:t>
      </w:r>
      <w:r>
        <w:rPr>
          <w:rFonts w:ascii="David" w:hAnsi="David" w:hint="cs"/>
          <w:rtl/>
        </w:rPr>
        <w:t xml:space="preserve"> </w:t>
      </w:r>
      <w:r w:rsidRPr="003F622F">
        <w:rPr>
          <w:rFonts w:ascii="David" w:hAnsi="David" w:hint="cs"/>
          <w:b/>
          <w:bCs/>
          <w:rtl/>
        </w:rPr>
        <w:t>אמון</w:t>
      </w:r>
      <w:r>
        <w:rPr>
          <w:rFonts w:ascii="David" w:hAnsi="David" w:hint="cs"/>
          <w:rtl/>
        </w:rPr>
        <w:t xml:space="preserve">, פסקה 9); עניין </w:t>
      </w:r>
      <w:r w:rsidRPr="00716162">
        <w:rPr>
          <w:rFonts w:ascii="David" w:hAnsi="David" w:hint="cs"/>
          <w:b/>
          <w:bCs/>
          <w:rtl/>
        </w:rPr>
        <w:t>קדורה</w:t>
      </w:r>
      <w:r>
        <w:rPr>
          <w:rFonts w:ascii="David" w:hAnsi="David" w:hint="cs"/>
          <w:rtl/>
        </w:rPr>
        <w:t>, פסקה 6).</w:t>
      </w:r>
    </w:p>
    <w:p w14:paraId="79D6B616" w14:textId="77777777" w:rsidR="002407A8" w:rsidRPr="00716162" w:rsidRDefault="002407A8" w:rsidP="002407A8">
      <w:pPr>
        <w:pStyle w:val="a9"/>
        <w:ind w:left="0"/>
        <w:jc w:val="both"/>
        <w:rPr>
          <w:rFonts w:ascii="David" w:hAnsi="David"/>
        </w:rPr>
      </w:pPr>
    </w:p>
    <w:p w14:paraId="3D14627A" w14:textId="77777777" w:rsidR="002407A8" w:rsidRDefault="002407A8" w:rsidP="002407A8">
      <w:pPr>
        <w:pStyle w:val="a9"/>
        <w:numPr>
          <w:ilvl w:val="0"/>
          <w:numId w:val="1"/>
        </w:numPr>
        <w:spacing w:line="360" w:lineRule="auto"/>
        <w:jc w:val="both"/>
        <w:rPr>
          <w:rFonts w:ascii="Arial" w:hAnsi="Arial"/>
        </w:rPr>
      </w:pPr>
      <w:r w:rsidRPr="00716162">
        <w:rPr>
          <w:rFonts w:ascii="David" w:hAnsi="David" w:hint="cs"/>
          <w:rtl/>
        </w:rPr>
        <w:t>לצורך בחינת מדיניות הענישה הנוהגת אפנה ל</w:t>
      </w:r>
      <w:r>
        <w:rPr>
          <w:rFonts w:ascii="David" w:hAnsi="David" w:hint="cs"/>
          <w:rtl/>
        </w:rPr>
        <w:t xml:space="preserve">עניין </w:t>
      </w:r>
      <w:r w:rsidRPr="00716162">
        <w:rPr>
          <w:rFonts w:ascii="David" w:hAnsi="David" w:hint="cs"/>
          <w:b/>
          <w:bCs/>
          <w:rtl/>
        </w:rPr>
        <w:t>קדורה</w:t>
      </w:r>
      <w:r>
        <w:rPr>
          <w:rFonts w:ascii="David" w:hAnsi="David" w:hint="cs"/>
          <w:rtl/>
        </w:rPr>
        <w:t xml:space="preserve"> </w:t>
      </w:r>
      <w:r w:rsidRPr="00716162">
        <w:rPr>
          <w:rFonts w:ascii="David" w:hAnsi="David" w:hint="cs"/>
          <w:rtl/>
        </w:rPr>
        <w:t>בו הוחמר עונשו של נאשם שהורשע בעבירת החזקת נשק ביחד עם אחר ונגזרו עליו 18 חודשי מאסר בפועל, חלף 10 חודשי מאסר שהטיל בית משפט קמא. הנאשם החביא על גג ביתו אקדח, כדורים ורימון עבור אחר. בית המשפט העליון ציין כי "</w:t>
      </w:r>
      <w:r w:rsidRPr="00716162">
        <w:rPr>
          <w:rFonts w:ascii="Miriam" w:hAnsi="Miriam" w:cs="Miriam"/>
          <w:rtl/>
        </w:rPr>
        <w:t>ענייננו ב"מכת מדינה" שהצורך להילחם בה על מנת להגן על הציבור, מצריך מענה הולם והטלת עונשי מאסר משמעותיים</w:t>
      </w:r>
      <w:r w:rsidRPr="00716162">
        <w:rPr>
          <w:rFonts w:ascii="Miriam" w:hAnsi="Miriam" w:cs="Miriam" w:hint="cs"/>
          <w:rtl/>
        </w:rPr>
        <w:t xml:space="preserve"> [...]</w:t>
      </w:r>
      <w:r w:rsidRPr="00716162">
        <w:rPr>
          <w:rFonts w:ascii="Miriam" w:hAnsi="Miriam" w:cs="Miriam"/>
          <w:rtl/>
        </w:rPr>
        <w:t xml:space="preserve"> ידע כל מי שמחזיק בנשק בלתי חוקי כי צפוי הוא להיענש בחומרה, בבחינת "אם מחזיקים – למאסר נשלחים</w:t>
      </w:r>
      <w:r w:rsidRPr="00716162">
        <w:rPr>
          <w:rFonts w:ascii="David" w:hAnsi="David"/>
          <w:rtl/>
        </w:rPr>
        <w:t>"</w:t>
      </w:r>
      <w:r w:rsidRPr="00716162">
        <w:rPr>
          <w:rFonts w:ascii="David" w:hAnsi="David" w:hint="cs"/>
          <w:rtl/>
        </w:rPr>
        <w:t xml:space="preserve">; </w:t>
      </w:r>
      <w:hyperlink r:id="rId31" w:history="1">
        <w:r w:rsidR="002F1D0D" w:rsidRPr="002F1D0D">
          <w:rPr>
            <w:rFonts w:ascii="David" w:hAnsi="David"/>
            <w:color w:val="0000FF"/>
            <w:u w:val="single"/>
            <w:rtl/>
          </w:rPr>
          <w:t>רע"פ 3355/22</w:t>
        </w:r>
      </w:hyperlink>
      <w:r w:rsidRPr="00716162">
        <w:rPr>
          <w:rFonts w:ascii="David" w:hAnsi="David"/>
          <w:rtl/>
        </w:rPr>
        <w:t xml:space="preserve"> </w:t>
      </w:r>
      <w:r w:rsidRPr="00716162">
        <w:rPr>
          <w:rFonts w:ascii="David" w:hAnsi="David"/>
          <w:b/>
          <w:bCs/>
          <w:rtl/>
        </w:rPr>
        <w:t>עלאא סלאמה נ' מדינת ישראל</w:t>
      </w:r>
      <w:r w:rsidRPr="00716162">
        <w:rPr>
          <w:rFonts w:ascii="David" w:hAnsi="David" w:hint="cs"/>
          <w:rtl/>
        </w:rPr>
        <w:t xml:space="preserve"> (26.5.2022), בו נידון עניינו של נאשם שהורשע בעבירת החזקת נשק ותקיפת שוטר לאחר ש</w:t>
      </w:r>
      <w:r w:rsidRPr="00716162">
        <w:rPr>
          <w:rFonts w:ascii="David" w:hAnsi="David"/>
          <w:rtl/>
        </w:rPr>
        <w:t>החזיק בחצר ביתו, לתקופה שאינה ידועה</w:t>
      </w:r>
      <w:r w:rsidRPr="00716162">
        <w:rPr>
          <w:rFonts w:ascii="David" w:hAnsi="David" w:hint="cs"/>
          <w:rtl/>
        </w:rPr>
        <w:t xml:space="preserve"> למאשימה</w:t>
      </w:r>
      <w:r w:rsidRPr="00716162">
        <w:rPr>
          <w:rFonts w:ascii="David" w:hAnsi="David"/>
          <w:rtl/>
        </w:rPr>
        <w:t>, שני תתי מקלע מאולתרים</w:t>
      </w:r>
      <w:r w:rsidRPr="00716162">
        <w:rPr>
          <w:rFonts w:ascii="David" w:hAnsi="David" w:hint="cs"/>
          <w:rtl/>
        </w:rPr>
        <w:t xml:space="preserve">, </w:t>
      </w:r>
      <w:r w:rsidRPr="00716162">
        <w:rPr>
          <w:rFonts w:ascii="David" w:hAnsi="David"/>
          <w:rtl/>
        </w:rPr>
        <w:t>מחסנית ריקה התואמת לתתי המקלע ותרמיל 9 מ"מ</w:t>
      </w:r>
      <w:r w:rsidRPr="00716162">
        <w:rPr>
          <w:rFonts w:ascii="David" w:hAnsi="David" w:hint="cs"/>
          <w:rtl/>
        </w:rPr>
        <w:t xml:space="preserve">. הנאשם אף תקף את אחד השוטרים בזמן שנערך חיפוש במקום. בית משפט השלום גזר עליו עשרה חודשי מאסר בפועל ועונשים נלווים. ערעור המדינה התקבל ובית המשפט המחוזי קבע כי המתחם נע בין 24 חודשי מאסר בפועל ועד 50 חודשי מאסר והעמיד את עונשו של הנאשם על 28 חודשי מאסר. בקשת רשות ערעור שהגיש נדחתה; </w:t>
      </w:r>
      <w:hyperlink r:id="rId32" w:history="1">
        <w:r w:rsidR="002F1D0D" w:rsidRPr="002F1D0D">
          <w:rPr>
            <w:rFonts w:ascii="David" w:hAnsi="David"/>
            <w:color w:val="0000FF"/>
            <w:u w:val="single"/>
            <w:rtl/>
          </w:rPr>
          <w:t>רע"פ 3619/21</w:t>
        </w:r>
      </w:hyperlink>
      <w:r w:rsidRPr="00716162">
        <w:rPr>
          <w:rFonts w:ascii="David" w:hAnsi="David"/>
          <w:rtl/>
        </w:rPr>
        <w:t xml:space="preserve"> </w:t>
      </w:r>
      <w:r w:rsidRPr="00716162">
        <w:rPr>
          <w:rFonts w:ascii="David" w:hAnsi="David"/>
          <w:b/>
          <w:bCs/>
          <w:rtl/>
        </w:rPr>
        <w:t>אבו הלאל נ' מדינת ישראל</w:t>
      </w:r>
      <w:r w:rsidRPr="00716162">
        <w:rPr>
          <w:rFonts w:ascii="David" w:hAnsi="David"/>
          <w:rtl/>
        </w:rPr>
        <w:t xml:space="preserve"> (26.5.21)</w:t>
      </w:r>
      <w:r w:rsidRPr="00716162">
        <w:rPr>
          <w:rFonts w:ascii="David" w:hAnsi="David" w:hint="cs"/>
          <w:rtl/>
        </w:rPr>
        <w:t>, בו נידון עניינם של נאשמים שהורשעו בהחזקת שני כלי נשק מסוג קרלו, מחסניות וכדורים ועונשם הוחמר לעשרה חודשי מאסר בפועל, חרף ענישה שיקומית שכללה מאסר לריצוי בעבודות שירות ומאסר מותנה. בית המשפט העליון דחה בקשת רשות ערעור שהגישו הנאשמים וקבע כי "</w:t>
      </w:r>
      <w:r w:rsidRPr="00716162">
        <w:rPr>
          <w:rFonts w:ascii="Miriam" w:hAnsi="Miriam" w:cs="Miriam"/>
          <w:rtl/>
        </w:rPr>
        <w:t>העונש שהושת על המבקשים אף מקל עמם ואין בו כדי לבטא את החומרה שיש בהחזקת כלי הנשק המאולתרים</w:t>
      </w:r>
      <w:r w:rsidRPr="00716162">
        <w:rPr>
          <w:rFonts w:ascii="David" w:hAnsi="David" w:hint="cs"/>
          <w:rtl/>
        </w:rPr>
        <w:t xml:space="preserve">"; </w:t>
      </w:r>
      <w:hyperlink r:id="rId33" w:history="1">
        <w:r w:rsidR="002F1D0D" w:rsidRPr="002F1D0D">
          <w:rPr>
            <w:rFonts w:ascii="David" w:hAnsi="David"/>
            <w:color w:val="0000FF"/>
            <w:u w:val="single"/>
            <w:rtl/>
          </w:rPr>
          <w:t>ע"פ 8320/21</w:t>
        </w:r>
      </w:hyperlink>
      <w:r w:rsidRPr="00716162">
        <w:rPr>
          <w:rFonts w:ascii="David" w:hAnsi="David"/>
          <w:rtl/>
        </w:rPr>
        <w:t xml:space="preserve"> ‏</w:t>
      </w:r>
      <w:r w:rsidRPr="00716162">
        <w:rPr>
          <w:rFonts w:ascii="David" w:hAnsi="David"/>
          <w:b/>
          <w:bCs/>
          <w:rtl/>
        </w:rPr>
        <w:t>מדינת ישראל נ' מחמד בסילה</w:t>
      </w:r>
      <w:r w:rsidRPr="00716162">
        <w:rPr>
          <w:rFonts w:ascii="David" w:hAnsi="David" w:hint="cs"/>
          <w:rtl/>
        </w:rPr>
        <w:t xml:space="preserve"> (28.12.2021), בו הוחמר עונשו של נאשם שהורשע בעבירת החזקת נשק ואביזרי תחמושת ונגזרו עליו 14 חודשי מאסר בפועל, חלף 7 חודשי מאסר בפועל. הנאשם הסתיר בחדר השינה נשק ותחמושת אותם הוביל לביתו מספר שבועות קודם לכן; </w:t>
      </w:r>
      <w:hyperlink r:id="rId34" w:history="1">
        <w:r w:rsidR="002F1D0D" w:rsidRPr="002F1D0D">
          <w:rPr>
            <w:rFonts w:ascii="David" w:hAnsi="David"/>
            <w:color w:val="0000FF"/>
            <w:u w:val="single"/>
            <w:rtl/>
          </w:rPr>
          <w:t>עפ"ג 46460-02-22</w:t>
        </w:r>
      </w:hyperlink>
      <w:r w:rsidRPr="00716162">
        <w:rPr>
          <w:rFonts w:ascii="David" w:hAnsi="David" w:hint="cs"/>
          <w:rtl/>
        </w:rPr>
        <w:t xml:space="preserve"> </w:t>
      </w:r>
      <w:r w:rsidRPr="00716162">
        <w:rPr>
          <w:rFonts w:ascii="David" w:hAnsi="David"/>
          <w:b/>
          <w:bCs/>
          <w:rtl/>
        </w:rPr>
        <w:t>מדינת ישראל נ' אמיר צואלחה</w:t>
      </w:r>
      <w:r w:rsidRPr="00716162">
        <w:rPr>
          <w:rFonts w:ascii="David" w:hAnsi="David" w:hint="cs"/>
          <w:rtl/>
        </w:rPr>
        <w:t xml:space="preserve"> (9.5.2022), בו נידון עניינו של נאשם שהורשע בעבירת החזקת נשק ומחסנית ריקה שנתפסו בשטח פתוח במרחק של כמאה מטר מביתו כשהם עטופים בבד. בית משפט השלום גזר עליו 8 חודשי מאסר בפועל ועונשים נלווים בהתחשב, בין היתר, בעברו הנקי ובתקופת מעצרו. ערעור המדינה התקבל, עונשו הוחמר ל-12 חודשי מאסר בפועל ונקבע כי "</w:t>
      </w:r>
      <w:r w:rsidRPr="00716162">
        <w:rPr>
          <w:rFonts w:ascii="Miriam" w:hAnsi="Miriam" w:cs="Miriam"/>
          <w:rtl/>
        </w:rPr>
        <w:t>עונש של 8 חודשי מאסר בפועל חורג באופן קיצוני ממדיניות הענישה הנהוגה בה חלה, כאמור, החמרה בפסיקה, וזאת במטרה  לנסות לבער את עבירות הנשק אשר הפכו זה מכבר ל"מכת מדינה" שהסלימה לאחרונה</w:t>
      </w:r>
      <w:r w:rsidRPr="00716162">
        <w:rPr>
          <w:rFonts w:ascii="David" w:hAnsi="David" w:hint="cs"/>
          <w:rtl/>
        </w:rPr>
        <w:t>".</w:t>
      </w:r>
    </w:p>
    <w:p w14:paraId="5212BF28" w14:textId="77777777" w:rsidR="002407A8" w:rsidRDefault="002407A8" w:rsidP="002407A8">
      <w:pPr>
        <w:pStyle w:val="a9"/>
        <w:ind w:left="0"/>
        <w:jc w:val="both"/>
        <w:rPr>
          <w:rFonts w:ascii="Arial" w:hAnsi="Arial"/>
        </w:rPr>
      </w:pPr>
    </w:p>
    <w:p w14:paraId="343C3D65" w14:textId="77777777" w:rsidR="002407A8" w:rsidRPr="00716162" w:rsidRDefault="002407A8" w:rsidP="002407A8">
      <w:pPr>
        <w:pStyle w:val="a9"/>
        <w:numPr>
          <w:ilvl w:val="0"/>
          <w:numId w:val="1"/>
        </w:numPr>
        <w:spacing w:line="360" w:lineRule="auto"/>
        <w:jc w:val="both"/>
        <w:rPr>
          <w:rFonts w:ascii="Arial" w:hAnsi="Arial"/>
        </w:rPr>
      </w:pPr>
      <w:r>
        <w:rPr>
          <w:rFonts w:ascii="Arial" w:hAnsi="Arial" w:hint="cs"/>
          <w:rtl/>
        </w:rPr>
        <w:t xml:space="preserve">עם זאת, ניתן למצוא פסקי דין מהעת האחרונה בהם נגזרו עונשי מאסר לריצוי בעבודות שירות, במקרים בהם העדיף בית המשפט את האינטרס השיקומי לאור שיקום מובהק ומשמעותי; הפנמה של חומרת המעשים; הליך טיפולי והמלצה חיובית של שירות וכיוצ"ב נסיבות שהצדיקו חריגה ממתחם הענישה והקלה עונשית (ראו למשל: </w:t>
      </w:r>
      <w:hyperlink r:id="rId35" w:history="1">
        <w:r w:rsidR="002F1D0D" w:rsidRPr="002F1D0D">
          <w:rPr>
            <w:rFonts w:ascii="Arial" w:hAnsi="Arial"/>
            <w:color w:val="0000FF"/>
            <w:u w:val="single"/>
            <w:rtl/>
          </w:rPr>
          <w:t>ע"פ 4552/21</w:t>
        </w:r>
      </w:hyperlink>
      <w:r>
        <w:rPr>
          <w:rFonts w:ascii="Arial" w:hAnsi="Arial" w:hint="cs"/>
          <w:rtl/>
        </w:rPr>
        <w:t xml:space="preserve"> </w:t>
      </w:r>
      <w:r w:rsidRPr="004A2EC2">
        <w:rPr>
          <w:rFonts w:ascii="Arial" w:hAnsi="Arial"/>
          <w:b/>
          <w:bCs/>
          <w:rtl/>
        </w:rPr>
        <w:t>רושדי כיאל נ' מדינת ישראל</w:t>
      </w:r>
      <w:r>
        <w:rPr>
          <w:rFonts w:ascii="Arial" w:hAnsi="Arial" w:hint="cs"/>
          <w:rtl/>
        </w:rPr>
        <w:t xml:space="preserve"> (25.10.2022); </w:t>
      </w:r>
      <w:hyperlink r:id="rId36" w:history="1">
        <w:r w:rsidR="002F1D0D" w:rsidRPr="002F1D0D">
          <w:rPr>
            <w:rFonts w:ascii="Arial" w:hAnsi="Arial"/>
            <w:color w:val="0000FF"/>
            <w:u w:val="single"/>
            <w:rtl/>
          </w:rPr>
          <w:t>ע"פ 4332/21</w:t>
        </w:r>
      </w:hyperlink>
      <w:r>
        <w:rPr>
          <w:rFonts w:ascii="Arial" w:hAnsi="Arial"/>
          <w:rtl/>
        </w:rPr>
        <w:t xml:space="preserve"> ‏</w:t>
      </w:r>
      <w:r w:rsidRPr="003F622F">
        <w:rPr>
          <w:rFonts w:ascii="Arial" w:hAnsi="Arial"/>
          <w:b/>
          <w:bCs/>
          <w:rtl/>
        </w:rPr>
        <w:t>כרם עאסלה נ' מדינת ישראל</w:t>
      </w:r>
      <w:r>
        <w:rPr>
          <w:rFonts w:ascii="Arial" w:hAnsi="Arial" w:hint="cs"/>
          <w:rtl/>
        </w:rPr>
        <w:t xml:space="preserve"> (20.2.2022); </w:t>
      </w:r>
      <w:hyperlink r:id="rId37" w:history="1">
        <w:r w:rsidR="002F1D0D" w:rsidRPr="002F1D0D">
          <w:rPr>
            <w:rFonts w:ascii="Arial" w:hAnsi="Arial"/>
            <w:color w:val="0000FF"/>
            <w:u w:val="single"/>
            <w:rtl/>
          </w:rPr>
          <w:t>עפ"ג 29123-08-22</w:t>
        </w:r>
      </w:hyperlink>
      <w:r>
        <w:rPr>
          <w:rFonts w:ascii="Arial" w:hAnsi="Arial" w:hint="cs"/>
          <w:rtl/>
        </w:rPr>
        <w:t xml:space="preserve"> </w:t>
      </w:r>
      <w:r>
        <w:rPr>
          <w:rFonts w:ascii="Arial" w:hAnsi="Arial" w:hint="cs"/>
          <w:b/>
          <w:bCs/>
          <w:rtl/>
        </w:rPr>
        <w:t>מדינת ישראל נ' דעים</w:t>
      </w:r>
      <w:r>
        <w:rPr>
          <w:rFonts w:ascii="Arial" w:hAnsi="Arial" w:hint="cs"/>
          <w:rtl/>
        </w:rPr>
        <w:t xml:space="preserve"> (17.11.2022)). </w:t>
      </w:r>
    </w:p>
    <w:p w14:paraId="060C19B2" w14:textId="77777777" w:rsidR="002407A8" w:rsidRDefault="002407A8" w:rsidP="002407A8">
      <w:pPr>
        <w:pStyle w:val="a9"/>
        <w:ind w:left="0"/>
        <w:jc w:val="both"/>
        <w:rPr>
          <w:rFonts w:ascii="Arial" w:hAnsi="Arial"/>
        </w:rPr>
      </w:pPr>
    </w:p>
    <w:p w14:paraId="19427884" w14:textId="77777777" w:rsidR="002407A8" w:rsidRPr="00716162" w:rsidRDefault="002407A8" w:rsidP="002407A8">
      <w:pPr>
        <w:pStyle w:val="a9"/>
        <w:numPr>
          <w:ilvl w:val="0"/>
          <w:numId w:val="1"/>
        </w:numPr>
        <w:spacing w:line="360" w:lineRule="auto"/>
        <w:jc w:val="both"/>
        <w:rPr>
          <w:rFonts w:ascii="Arial" w:hAnsi="Arial"/>
          <w:rtl/>
        </w:rPr>
      </w:pPr>
      <w:r>
        <w:rPr>
          <w:rtl/>
        </w:rPr>
        <w:t xml:space="preserve">לאור כל זאת, אני בדעה כי מתחם הענישה ההולם את העבירות מושא ענייננו, המהוות אירוע אחד, נע בין </w:t>
      </w:r>
      <w:r>
        <w:rPr>
          <w:rFonts w:hint="cs"/>
          <w:rtl/>
        </w:rPr>
        <w:t>18 חודשי מאסר בפועל ועד 40 חודשי מאסר</w:t>
      </w:r>
      <w:r>
        <w:rPr>
          <w:rtl/>
        </w:rPr>
        <w:t xml:space="preserve">. </w:t>
      </w:r>
    </w:p>
    <w:p w14:paraId="261611EF" w14:textId="77777777" w:rsidR="002407A8" w:rsidRDefault="002407A8" w:rsidP="002407A8">
      <w:pPr>
        <w:jc w:val="both"/>
        <w:rPr>
          <w:rFonts w:ascii="David" w:hAnsi="David"/>
          <w:rtl/>
        </w:rPr>
      </w:pPr>
    </w:p>
    <w:p w14:paraId="37BAB738" w14:textId="77777777" w:rsidR="002407A8" w:rsidRDefault="002407A8" w:rsidP="002407A8">
      <w:pPr>
        <w:spacing w:line="360" w:lineRule="auto"/>
        <w:jc w:val="both"/>
        <w:rPr>
          <w:rFonts w:ascii="David" w:hAnsi="David"/>
          <w:b/>
          <w:bCs/>
          <w:color w:val="000000"/>
          <w:u w:val="single"/>
          <w:rtl/>
        </w:rPr>
      </w:pPr>
    </w:p>
    <w:p w14:paraId="1113BE6E" w14:textId="77777777" w:rsidR="002407A8" w:rsidRDefault="002407A8" w:rsidP="002407A8">
      <w:pPr>
        <w:spacing w:line="360" w:lineRule="auto"/>
        <w:jc w:val="both"/>
        <w:rPr>
          <w:rFonts w:ascii="David" w:hAnsi="David"/>
          <w:rtl/>
        </w:rPr>
      </w:pPr>
      <w:r>
        <w:rPr>
          <w:rFonts w:ascii="David" w:hAnsi="David"/>
          <w:b/>
          <w:bCs/>
          <w:color w:val="000000"/>
          <w:u w:val="single"/>
          <w:rtl/>
        </w:rPr>
        <w:t>קביעת עונשו של הנאשם</w:t>
      </w:r>
    </w:p>
    <w:p w14:paraId="3D7D48B2" w14:textId="77777777" w:rsidR="002407A8" w:rsidRDefault="002407A8" w:rsidP="002407A8">
      <w:pPr>
        <w:jc w:val="both"/>
        <w:rPr>
          <w:rFonts w:ascii="David" w:hAnsi="David"/>
          <w:rtl/>
        </w:rPr>
      </w:pPr>
    </w:p>
    <w:p w14:paraId="0A5A9A20" w14:textId="77777777" w:rsidR="002407A8" w:rsidRPr="00871154" w:rsidRDefault="002407A8" w:rsidP="002407A8">
      <w:pPr>
        <w:pStyle w:val="a9"/>
        <w:numPr>
          <w:ilvl w:val="0"/>
          <w:numId w:val="1"/>
        </w:numPr>
        <w:spacing w:line="360" w:lineRule="auto"/>
        <w:jc w:val="both"/>
      </w:pPr>
      <w:r>
        <w:rPr>
          <w:rtl/>
        </w:rPr>
        <w:t xml:space="preserve">לא הייתה מחלוקת בין הצדדים כי העונש אמור להיגזר בגדרי מתחם הענישה. לא נטען דבר בעניין סיכויי שיקומו של הנאשם </w:t>
      </w:r>
      <w:r>
        <w:rPr>
          <w:rFonts w:hint="cs"/>
          <w:rtl/>
        </w:rPr>
        <w:t>המצדיקים</w:t>
      </w:r>
      <w:r>
        <w:rPr>
          <w:rtl/>
        </w:rPr>
        <w:t xml:space="preserve"> חריגה לקולה ממתחם הענישה. בכל מקרה, אציין כי לא התבקש תסקיר בעניינו של הנאשם ולא הובאו בפני כל נתונים מהם ניתן להסיק מסקנה בדבר סיכויי שיקום. </w:t>
      </w:r>
      <w:r>
        <w:rPr>
          <w:rFonts w:hint="cs"/>
          <w:rtl/>
        </w:rPr>
        <w:t xml:space="preserve">עוד אציין כי בשורה של פסקי דין בעת האחרונה נקבע כי נסיבותיו האישיות של הנאשם אמורות ככלל לסגת מפני הצורך בהרתעת עבריינים לבל יחזיקו בנשק </w:t>
      </w:r>
      <w:r>
        <w:rPr>
          <w:rFonts w:ascii="David" w:hAnsi="David" w:hint="cs"/>
          <w:rtl/>
        </w:rPr>
        <w:t>(</w:t>
      </w:r>
      <w:r>
        <w:rPr>
          <w:rFonts w:hint="cs"/>
          <w:rtl/>
        </w:rPr>
        <w:t xml:space="preserve">עניין </w:t>
      </w:r>
      <w:r w:rsidRPr="00B219D7">
        <w:rPr>
          <w:rFonts w:hint="cs"/>
          <w:b/>
          <w:bCs/>
          <w:rtl/>
        </w:rPr>
        <w:t>אמון</w:t>
      </w:r>
      <w:r w:rsidRPr="003F622F">
        <w:rPr>
          <w:rFonts w:hint="cs"/>
          <w:rtl/>
        </w:rPr>
        <w:t>, פסקה 6).</w:t>
      </w:r>
      <w:r>
        <w:rPr>
          <w:rFonts w:hint="cs"/>
          <w:rtl/>
        </w:rPr>
        <w:t xml:space="preserve"> </w:t>
      </w:r>
      <w:r>
        <w:rPr>
          <w:rtl/>
        </w:rPr>
        <w:t>מסקנה זו, בצירוף תחתיתו של מתחם הענישה,</w:t>
      </w:r>
      <w:r>
        <w:rPr>
          <w:rFonts w:hint="cs"/>
          <w:rtl/>
        </w:rPr>
        <w:t xml:space="preserve"> מחייבת </w:t>
      </w:r>
      <w:r>
        <w:rPr>
          <w:rtl/>
        </w:rPr>
        <w:t>הטלת עונש מאסר בפועל</w:t>
      </w:r>
      <w:r>
        <w:rPr>
          <w:rFonts w:hint="cs"/>
          <w:rtl/>
        </w:rPr>
        <w:t xml:space="preserve"> לתקופה בלתי מבוטלת בגדרי המתחם שנקבע</w:t>
      </w:r>
      <w:r>
        <w:rPr>
          <w:rtl/>
        </w:rPr>
        <w:t xml:space="preserve">. </w:t>
      </w:r>
    </w:p>
    <w:p w14:paraId="50D77FB6" w14:textId="77777777" w:rsidR="002407A8" w:rsidRDefault="002407A8" w:rsidP="002407A8">
      <w:pPr>
        <w:pStyle w:val="a9"/>
        <w:ind w:left="0"/>
        <w:jc w:val="both"/>
        <w:rPr>
          <w:rFonts w:ascii="David" w:hAnsi="David"/>
          <w:color w:val="000000"/>
          <w:rtl/>
        </w:rPr>
      </w:pPr>
    </w:p>
    <w:p w14:paraId="764B4AE5" w14:textId="77777777" w:rsidR="002407A8" w:rsidRDefault="002407A8" w:rsidP="002407A8">
      <w:pPr>
        <w:pStyle w:val="a9"/>
        <w:numPr>
          <w:ilvl w:val="0"/>
          <w:numId w:val="1"/>
        </w:numPr>
        <w:spacing w:line="360" w:lineRule="auto"/>
        <w:jc w:val="both"/>
        <w:rPr>
          <w:rFonts w:ascii="David" w:hAnsi="David"/>
        </w:rPr>
      </w:pPr>
      <w:r>
        <w:rPr>
          <w:rtl/>
        </w:rPr>
        <w:t>לצורך קביעת עונשו של הנאשם הבאתי בחשבון</w:t>
      </w:r>
      <w:r>
        <w:rPr>
          <w:rFonts w:ascii="David" w:hAnsi="David"/>
          <w:rtl/>
        </w:rPr>
        <w:t xml:space="preserve"> את גילו הצעיר</w:t>
      </w:r>
      <w:r>
        <w:rPr>
          <w:rtl/>
        </w:rPr>
        <w:t xml:space="preserve"> יחסית (כבן </w:t>
      </w:r>
      <w:r>
        <w:rPr>
          <w:rFonts w:hint="cs"/>
          <w:rtl/>
        </w:rPr>
        <w:t>30</w:t>
      </w:r>
      <w:r>
        <w:rPr>
          <w:rtl/>
        </w:rPr>
        <w:t>)</w:t>
      </w:r>
      <w:r>
        <w:rPr>
          <w:rFonts w:ascii="David" w:hAnsi="David" w:hint="cs"/>
          <w:rtl/>
        </w:rPr>
        <w:t xml:space="preserve">, את שירותו הצבאי ומנגד את עברו הפלילי, אם כי מדובר בעבר קל יחסית, הכולל הרשעה בעבירת תקיפת עובד ציבור שבוצעה בשנת 2018. כן הבאתי בחשבון את התקופה בה היה הנאשם עצור (כשלושה חודשים) וכי מאז הוא במעצר בית מלא ומדובר בתקופה לא מבוטלת שיש להביאה בחשבון. </w:t>
      </w:r>
      <w:r w:rsidRPr="00252259">
        <w:rPr>
          <w:rFonts w:ascii="David" w:hAnsi="David"/>
          <w:color w:val="000000"/>
          <w:rtl/>
        </w:rPr>
        <w:t>אציין עוד שהנאשם ניהל את ההליך עד תום</w:t>
      </w:r>
      <w:r w:rsidRPr="00252259">
        <w:rPr>
          <w:rFonts w:ascii="David" w:hAnsi="David"/>
          <w:color w:val="000000"/>
        </w:rPr>
        <w:t>.</w:t>
      </w:r>
      <w:r w:rsidRPr="00252259">
        <w:rPr>
          <w:rFonts w:ascii="David" w:hAnsi="David" w:hint="cs"/>
          <w:rtl/>
        </w:rPr>
        <w:t xml:space="preserve"> </w:t>
      </w:r>
      <w:r w:rsidRPr="00252259">
        <w:rPr>
          <w:rFonts w:ascii="David" w:hAnsi="David"/>
          <w:color w:val="000000"/>
          <w:rtl/>
        </w:rPr>
        <w:t>מובן שאין להחמיר בעונשו בשל כך (</w:t>
      </w:r>
      <w:hyperlink r:id="rId38" w:history="1">
        <w:r w:rsidR="002250DC" w:rsidRPr="002250DC">
          <w:rPr>
            <w:rStyle w:val="Hyperlink"/>
            <w:rFonts w:ascii="David" w:hAnsi="David"/>
            <w:rtl/>
          </w:rPr>
          <w:t>סעיף 40יא'(6)</w:t>
        </w:r>
      </w:hyperlink>
      <w:r w:rsidRPr="00252259">
        <w:rPr>
          <w:rFonts w:ascii="David" w:hAnsi="David"/>
          <w:color w:val="000000"/>
          <w:rtl/>
        </w:rPr>
        <w:t xml:space="preserve"> ל</w:t>
      </w:r>
      <w:hyperlink r:id="rId39" w:history="1">
        <w:r w:rsidR="002F1D0D" w:rsidRPr="002F1D0D">
          <w:rPr>
            <w:rFonts w:ascii="David" w:hAnsi="David"/>
            <w:color w:val="0000FF"/>
            <w:u w:val="single"/>
            <w:rtl/>
          </w:rPr>
          <w:t>חוק העונשין</w:t>
        </w:r>
      </w:hyperlink>
      <w:r w:rsidRPr="00252259">
        <w:rPr>
          <w:rFonts w:ascii="David" w:hAnsi="David"/>
          <w:color w:val="000000"/>
          <w:rtl/>
        </w:rPr>
        <w:t>)</w:t>
      </w:r>
      <w:r w:rsidRPr="00252259">
        <w:rPr>
          <w:rFonts w:ascii="David" w:hAnsi="David" w:hint="cs"/>
          <w:color w:val="000000"/>
          <w:rtl/>
        </w:rPr>
        <w:t xml:space="preserve"> אך מנגד אין הצדקה להקלה </w:t>
      </w:r>
      <w:r w:rsidRPr="00252259">
        <w:rPr>
          <w:rFonts w:ascii="David" w:hAnsi="David"/>
          <w:color w:val="000000"/>
          <w:rtl/>
        </w:rPr>
        <w:t xml:space="preserve">עונשית השמורה למי שמודה בעבירות המיוחסות </w:t>
      </w:r>
      <w:r w:rsidRPr="00252259">
        <w:rPr>
          <w:rFonts w:ascii="David" w:hAnsi="David" w:hint="cs"/>
          <w:color w:val="000000"/>
          <w:rtl/>
        </w:rPr>
        <w:t>לו, מכיר בחומרתן ומביע חרטה המעידה על סיכוי לשינוי. העונש</w:t>
      </w:r>
      <w:r w:rsidRPr="00252259">
        <w:rPr>
          <w:rFonts w:ascii="David" w:hAnsi="David"/>
          <w:color w:val="000000"/>
          <w:rtl/>
        </w:rPr>
        <w:t xml:space="preserve"> ההולם אפוא את המעשים מחייב</w:t>
      </w:r>
      <w:r w:rsidRPr="00252259">
        <w:rPr>
          <w:rFonts w:ascii="David" w:hAnsi="David" w:hint="cs"/>
          <w:color w:val="000000"/>
          <w:rtl/>
        </w:rPr>
        <w:t>, כאמור,</w:t>
      </w:r>
      <w:r w:rsidRPr="00252259">
        <w:rPr>
          <w:rFonts w:ascii="David" w:hAnsi="David"/>
          <w:color w:val="000000"/>
          <w:rtl/>
        </w:rPr>
        <w:t xml:space="preserve"> מאסר בכליאה. </w:t>
      </w:r>
      <w:r>
        <w:rPr>
          <w:rtl/>
        </w:rPr>
        <w:t>בכך יבואו לידי ביטוי חומרת המעש</w:t>
      </w:r>
      <w:r>
        <w:rPr>
          <w:rFonts w:hint="cs"/>
          <w:rtl/>
        </w:rPr>
        <w:t>ים,</w:t>
      </w:r>
      <w:r>
        <w:rPr>
          <w:rtl/>
        </w:rPr>
        <w:t xml:space="preserve"> עקרון הגמול וההלימה</w:t>
      </w:r>
      <w:r>
        <w:rPr>
          <w:rFonts w:hint="cs"/>
          <w:rtl/>
        </w:rPr>
        <w:t xml:space="preserve"> וכן יינתן משקל ראוי </w:t>
      </w:r>
      <w:r w:rsidRPr="00D236CE">
        <w:rPr>
          <w:rtl/>
        </w:rPr>
        <w:t>לצורך בהרתעה מפני ביצוע עבירות דומות בעתיד</w:t>
      </w:r>
      <w:r>
        <w:rPr>
          <w:rtl/>
        </w:rPr>
        <w:t xml:space="preserve">. </w:t>
      </w:r>
      <w:r w:rsidRPr="00252259">
        <w:rPr>
          <w:rFonts w:ascii="David" w:hAnsi="David"/>
          <w:color w:val="000000"/>
          <w:rtl/>
        </w:rPr>
        <w:t>ברי בעיני שעונש זה עלול לפגוע בנאשם באופן לא קל, במיוחד כאשר מדובר במאסר ראשון</w:t>
      </w:r>
      <w:r w:rsidRPr="00252259">
        <w:rPr>
          <w:rFonts w:ascii="David" w:hAnsi="David" w:hint="cs"/>
          <w:color w:val="000000"/>
          <w:rtl/>
        </w:rPr>
        <w:t xml:space="preserve"> </w:t>
      </w:r>
      <w:r w:rsidRPr="00252259">
        <w:rPr>
          <w:rFonts w:ascii="David" w:hAnsi="David"/>
          <w:color w:val="000000"/>
          <w:rtl/>
        </w:rPr>
        <w:t>והבאתי נתון זה בחשבון בקביעת העונש. לא התעלמתי גם מההכרה ההולכת וגוברת בדבר ההשפעות השליליות של עונש המאסר (ראו בעניין זה</w:t>
      </w:r>
      <w:r w:rsidR="002F1D0D">
        <w:rPr>
          <w:rFonts w:ascii="David" w:hAnsi="David"/>
          <w:color w:val="000000"/>
          <w:rtl/>
        </w:rPr>
        <w:t xml:space="preserve"> </w:t>
      </w:r>
      <w:r w:rsidRPr="00252259">
        <w:rPr>
          <w:rFonts w:ascii="David" w:hAnsi="David"/>
          <w:b/>
          <w:bCs/>
          <w:color w:val="000000"/>
          <w:rtl/>
        </w:rPr>
        <w:t>דו"ח הועדה הציבורית לבחינת מדיניות הענישה והטיפול בעבריינים</w:t>
      </w:r>
      <w:r w:rsidRPr="00252259">
        <w:rPr>
          <w:rFonts w:ascii="David" w:hAnsi="David"/>
          <w:color w:val="000000"/>
          <w:rtl/>
        </w:rPr>
        <w:t xml:space="preserve">, 2015 (המכונה "דו"ח ועדת דורנר")), ואולם אין מנוס במקרה זה מהטלת עונש </w:t>
      </w:r>
      <w:r w:rsidRPr="00252259">
        <w:rPr>
          <w:rFonts w:ascii="David" w:hAnsi="David" w:hint="cs"/>
          <w:color w:val="000000"/>
          <w:rtl/>
        </w:rPr>
        <w:t xml:space="preserve">מאסר וזאת </w:t>
      </w:r>
      <w:r w:rsidRPr="00252259">
        <w:rPr>
          <w:rFonts w:ascii="David" w:hAnsi="David"/>
          <w:color w:val="000000"/>
          <w:rtl/>
        </w:rPr>
        <w:t>בשל מהות העבירות ויתר הנסיבות שפורטו לעיל.</w:t>
      </w:r>
      <w:r w:rsidRPr="00252259">
        <w:rPr>
          <w:rFonts w:ascii="David" w:hAnsi="David" w:hint="cs"/>
          <w:rtl/>
        </w:rPr>
        <w:t xml:space="preserve"> </w:t>
      </w:r>
      <w:r>
        <w:rPr>
          <w:rtl/>
        </w:rPr>
        <w:t xml:space="preserve">משכך, ראיתי לקבוע עונש המצוי </w:t>
      </w:r>
      <w:r>
        <w:rPr>
          <w:rFonts w:hint="cs"/>
          <w:rtl/>
        </w:rPr>
        <w:t xml:space="preserve">קרוב לתחתית </w:t>
      </w:r>
      <w:r>
        <w:rPr>
          <w:rtl/>
        </w:rPr>
        <w:t>המתחם</w:t>
      </w:r>
      <w:r>
        <w:rPr>
          <w:rFonts w:hint="cs"/>
          <w:rtl/>
        </w:rPr>
        <w:t>, אם כי שלא בתחתיתו</w:t>
      </w:r>
      <w:r>
        <w:rPr>
          <w:rtl/>
        </w:rPr>
        <w:t xml:space="preserve"> </w:t>
      </w:r>
      <w:r w:rsidRPr="00252259">
        <w:rPr>
          <w:rFonts w:ascii="David" w:hAnsi="David"/>
          <w:rtl/>
        </w:rPr>
        <w:t xml:space="preserve">(לשיקולי הענישה בתוך המתחם ראו בשינויים המחויבים </w:t>
      </w:r>
      <w:hyperlink r:id="rId40" w:history="1">
        <w:r w:rsidR="002F1D0D" w:rsidRPr="002F1D0D">
          <w:rPr>
            <w:rFonts w:ascii="David" w:hAnsi="David"/>
            <w:color w:val="0000FF"/>
            <w:u w:val="single"/>
            <w:rtl/>
          </w:rPr>
          <w:t>ע"פ 8017/20</w:t>
        </w:r>
      </w:hyperlink>
      <w:r w:rsidRPr="00252259">
        <w:rPr>
          <w:rFonts w:ascii="David" w:hAnsi="David"/>
          <w:rtl/>
        </w:rPr>
        <w:t xml:space="preserve"> </w:t>
      </w:r>
      <w:r w:rsidRPr="00252259">
        <w:rPr>
          <w:rFonts w:ascii="David" w:hAnsi="David"/>
          <w:b/>
          <w:bCs/>
          <w:rtl/>
        </w:rPr>
        <w:t>מדינת ישראל נ' גריפאת</w:t>
      </w:r>
      <w:r w:rsidRPr="00252259">
        <w:rPr>
          <w:rFonts w:ascii="David" w:hAnsi="David"/>
          <w:rtl/>
        </w:rPr>
        <w:t xml:space="preserve"> (22.12.2020))</w:t>
      </w:r>
      <w:r w:rsidRPr="00252259">
        <w:rPr>
          <w:rFonts w:ascii="David" w:hAnsi="David" w:hint="cs"/>
          <w:rtl/>
        </w:rPr>
        <w:t xml:space="preserve">. </w:t>
      </w:r>
    </w:p>
    <w:p w14:paraId="418534F8" w14:textId="77777777" w:rsidR="002407A8" w:rsidRDefault="002407A8" w:rsidP="002407A8">
      <w:pPr>
        <w:pStyle w:val="a9"/>
        <w:ind w:left="0"/>
        <w:jc w:val="both"/>
        <w:rPr>
          <w:rFonts w:ascii="David" w:hAnsi="David"/>
        </w:rPr>
      </w:pPr>
    </w:p>
    <w:p w14:paraId="2E4DD8A6" w14:textId="77777777" w:rsidR="002407A8" w:rsidRPr="00AD286E" w:rsidRDefault="002407A8" w:rsidP="002407A8">
      <w:pPr>
        <w:pStyle w:val="a9"/>
        <w:numPr>
          <w:ilvl w:val="0"/>
          <w:numId w:val="1"/>
        </w:numPr>
        <w:spacing w:line="360" w:lineRule="auto"/>
        <w:jc w:val="both"/>
        <w:rPr>
          <w:rFonts w:ascii="David" w:hAnsi="David"/>
        </w:rPr>
      </w:pPr>
      <w:r w:rsidRPr="00AD286E">
        <w:rPr>
          <w:rFonts w:ascii="David" w:hAnsi="David" w:hint="cs"/>
          <w:rtl/>
        </w:rPr>
        <w:t xml:space="preserve">הנאשם טען כי יש להביא בחשבון לעונש את העובדה שאיש זולתו לא הובא לדין בגין החזקת הנשק בו עסקינן הגם שהנשק נמצא בחצר ביתו של דודו. בהכרעת הדין דחיתי </w:t>
      </w:r>
      <w:r>
        <w:rPr>
          <w:rFonts w:ascii="David" w:hAnsi="David" w:hint="cs"/>
          <w:rtl/>
        </w:rPr>
        <w:t>ה</w:t>
      </w:r>
      <w:r w:rsidRPr="00AD286E">
        <w:rPr>
          <w:rFonts w:ascii="David" w:hAnsi="David" w:hint="cs"/>
          <w:rtl/>
        </w:rPr>
        <w:t>טענה שהתנהגות זו מהווה אכיפה בררנית וקבעתי שאף אם המאשימה הקלה עם הדוד כאשר העריכה שלא קיים סיכוי סביר להרשעה חרף חזקת המקום החלה בעניינו (</w:t>
      </w:r>
      <w:hyperlink r:id="rId41" w:history="1">
        <w:r w:rsidR="002250DC" w:rsidRPr="002250DC">
          <w:rPr>
            <w:rStyle w:val="Hyperlink"/>
            <w:rFonts w:ascii="David" w:hAnsi="David" w:hint="eastAsia"/>
            <w:rtl/>
          </w:rPr>
          <w:t>סעיף</w:t>
        </w:r>
        <w:r w:rsidR="002250DC" w:rsidRPr="002250DC">
          <w:rPr>
            <w:rStyle w:val="Hyperlink"/>
            <w:rFonts w:ascii="David" w:hAnsi="David"/>
            <w:rtl/>
          </w:rPr>
          <w:t xml:space="preserve"> 144(ד)</w:t>
        </w:r>
      </w:hyperlink>
      <w:r w:rsidRPr="00AD286E">
        <w:rPr>
          <w:rFonts w:ascii="David" w:hAnsi="David" w:hint="cs"/>
          <w:rtl/>
        </w:rPr>
        <w:t xml:space="preserve"> ל</w:t>
      </w:r>
      <w:hyperlink r:id="rId42" w:history="1">
        <w:r w:rsidR="002F1D0D" w:rsidRPr="002F1D0D">
          <w:rPr>
            <w:rFonts w:ascii="David" w:hAnsi="David"/>
            <w:color w:val="0000FF"/>
            <w:u w:val="single"/>
            <w:rtl/>
          </w:rPr>
          <w:t>חוק העונשין</w:t>
        </w:r>
      </w:hyperlink>
      <w:r w:rsidRPr="00AD286E">
        <w:rPr>
          <w:rFonts w:ascii="David" w:hAnsi="David" w:hint="cs"/>
          <w:rtl/>
        </w:rPr>
        <w:t>)</w:t>
      </w:r>
      <w:r>
        <w:rPr>
          <w:rFonts w:ascii="David" w:hAnsi="David" w:hint="cs"/>
          <w:rtl/>
        </w:rPr>
        <w:t>,</w:t>
      </w:r>
      <w:r w:rsidRPr="00AD286E">
        <w:rPr>
          <w:rFonts w:ascii="David" w:hAnsi="David" w:hint="cs"/>
          <w:rtl/>
        </w:rPr>
        <w:t xml:space="preserve"> אין לומר שמדובר באכיפה בררנית שכן למאשימה שיקול דעת רחב באופן בו היא מעריכה את הראיות. דעתי היא שאין בטיעון זה להביא </w:t>
      </w:r>
      <w:r>
        <w:rPr>
          <w:rFonts w:ascii="David" w:hAnsi="David" w:hint="cs"/>
          <w:rtl/>
        </w:rPr>
        <w:t xml:space="preserve">אף </w:t>
      </w:r>
      <w:r w:rsidRPr="00AD286E">
        <w:rPr>
          <w:rFonts w:ascii="David" w:hAnsi="David" w:hint="cs"/>
          <w:rtl/>
        </w:rPr>
        <w:t xml:space="preserve">להקלה בעונש. אין מחלוקת כי בית המשפט רשאי להקל בעונשו של נאשם בשל טענה להגנה מן הצדק ובכלל זה אכיפה בררנית </w:t>
      </w:r>
      <w:r>
        <w:rPr>
          <w:rFonts w:ascii="David" w:hAnsi="David" w:hint="cs"/>
          <w:rtl/>
        </w:rPr>
        <w:t xml:space="preserve">וזאת כסעד מידתי יותר מאשר ביטול כתב האישום </w:t>
      </w:r>
      <w:r w:rsidRPr="00AD286E">
        <w:rPr>
          <w:rFonts w:ascii="David" w:hAnsi="David" w:hint="cs"/>
          <w:rtl/>
        </w:rPr>
        <w:t>(</w:t>
      </w:r>
      <w:hyperlink r:id="rId43" w:history="1">
        <w:r w:rsidR="002F1D0D" w:rsidRPr="002F1D0D">
          <w:rPr>
            <w:rFonts w:ascii="David" w:hAnsi="David"/>
            <w:color w:val="0000FF"/>
            <w:u w:val="single"/>
            <w:rtl/>
          </w:rPr>
          <w:t>ע"פ 8551/11</w:t>
        </w:r>
      </w:hyperlink>
      <w:r w:rsidRPr="00AD286E">
        <w:rPr>
          <w:rFonts w:ascii="David" w:hAnsi="David"/>
          <w:rtl/>
        </w:rPr>
        <w:t xml:space="preserve"> </w:t>
      </w:r>
      <w:r w:rsidRPr="00AD286E">
        <w:rPr>
          <w:rFonts w:ascii="David" w:hAnsi="David"/>
          <w:b/>
          <w:bCs/>
          <w:rtl/>
        </w:rPr>
        <w:t>כהן סלכגי נ' מדינת ישראל</w:t>
      </w:r>
      <w:r w:rsidRPr="00AD286E">
        <w:rPr>
          <w:rFonts w:ascii="David" w:hAnsi="David"/>
          <w:rtl/>
        </w:rPr>
        <w:t xml:space="preserve"> (12.8.2012)).</w:t>
      </w:r>
      <w:r w:rsidRPr="00AD286E">
        <w:rPr>
          <w:rFonts w:ascii="Century" w:hAnsi="Century"/>
          <w:spacing w:val="10"/>
          <w:rtl/>
        </w:rPr>
        <w:t xml:space="preserve"> </w:t>
      </w:r>
      <w:r w:rsidRPr="00AD286E">
        <w:rPr>
          <w:rFonts w:ascii="David" w:hAnsi="David" w:hint="cs"/>
          <w:rtl/>
        </w:rPr>
        <w:t xml:space="preserve">ואולם, </w:t>
      </w:r>
      <w:r>
        <w:rPr>
          <w:rFonts w:ascii="David" w:hAnsi="David" w:hint="cs"/>
          <w:rtl/>
        </w:rPr>
        <w:t xml:space="preserve">תנאי לכך הוא שנקבע שנפל פגם בהתנהלות המאשימה בהתאם למבחני ההגנה מן הצדק. </w:t>
      </w:r>
      <w:r w:rsidRPr="00AD286E">
        <w:rPr>
          <w:rFonts w:ascii="David" w:hAnsi="David" w:hint="cs"/>
          <w:rtl/>
        </w:rPr>
        <w:t xml:space="preserve">כאשר קבעתי שאין מדובר באכיפה בררנית, </w:t>
      </w:r>
      <w:r>
        <w:rPr>
          <w:rFonts w:ascii="David" w:hAnsi="David" w:hint="cs"/>
          <w:rtl/>
        </w:rPr>
        <w:t>מובן ש</w:t>
      </w:r>
      <w:r w:rsidRPr="00AD286E">
        <w:rPr>
          <w:rFonts w:ascii="David" w:hAnsi="David" w:hint="cs"/>
          <w:rtl/>
        </w:rPr>
        <w:t xml:space="preserve">אין מקום להידרש להקלה עונשית מטעמים של הגנה מן הצדק (ע"פ 3478/07 </w:t>
      </w:r>
      <w:r w:rsidRPr="00AD286E">
        <w:rPr>
          <w:rFonts w:ascii="David" w:hAnsi="David" w:hint="cs"/>
          <w:b/>
          <w:bCs/>
          <w:rtl/>
        </w:rPr>
        <w:t>חנוך עצמון נ' מדינת ישראל</w:t>
      </w:r>
      <w:r w:rsidRPr="00AD286E">
        <w:rPr>
          <w:rFonts w:ascii="David" w:hAnsi="David" w:hint="cs"/>
          <w:rtl/>
        </w:rPr>
        <w:t xml:space="preserve"> (14.7.2010), פסקאות 31-32). אציין עוד שאין מדובר בטענה לשניים שעברו יחדיו עבירה או לכל צורה אחרת של צדדים לעבירה (ביצוע בצוותא, סיוע וכיוצב')</w:t>
      </w:r>
      <w:r>
        <w:rPr>
          <w:rFonts w:ascii="David" w:hAnsi="David" w:hint="cs"/>
          <w:rtl/>
        </w:rPr>
        <w:t>, אלא</w:t>
      </w:r>
      <w:r w:rsidRPr="00AD286E">
        <w:rPr>
          <w:rFonts w:ascii="David" w:hAnsi="David" w:hint="cs"/>
          <w:rtl/>
        </w:rPr>
        <w:t xml:space="preserve"> הטענה היא שגם אדם אחר עבר עבירה דומה בנשק זה </w:t>
      </w:r>
      <w:r>
        <w:rPr>
          <w:rFonts w:ascii="David" w:hAnsi="David" w:hint="cs"/>
          <w:rtl/>
        </w:rPr>
        <w:t>(</w:t>
      </w:r>
      <w:r w:rsidRPr="00AD286E">
        <w:rPr>
          <w:rFonts w:ascii="David" w:hAnsi="David" w:hint="cs"/>
          <w:rtl/>
        </w:rPr>
        <w:t>בשל חזקת המקום</w:t>
      </w:r>
      <w:r>
        <w:rPr>
          <w:rFonts w:ascii="David" w:hAnsi="David" w:hint="cs"/>
          <w:rtl/>
        </w:rPr>
        <w:t>) וללא כל קשר לנאשם</w:t>
      </w:r>
      <w:r w:rsidRPr="00AD286E">
        <w:rPr>
          <w:rFonts w:ascii="David" w:hAnsi="David" w:hint="cs"/>
          <w:rtl/>
        </w:rPr>
        <w:t xml:space="preserve">. טיעון זה הוא בעל עצמה חלשה </w:t>
      </w:r>
      <w:r>
        <w:rPr>
          <w:rFonts w:ascii="David" w:hAnsi="David" w:hint="cs"/>
          <w:rtl/>
        </w:rPr>
        <w:t xml:space="preserve">יותר </w:t>
      </w:r>
      <w:r w:rsidRPr="00AD286E">
        <w:rPr>
          <w:rFonts w:ascii="David" w:hAnsi="David" w:hint="cs"/>
          <w:rtl/>
        </w:rPr>
        <w:t>מ</w:t>
      </w:r>
      <w:r>
        <w:rPr>
          <w:rFonts w:ascii="David" w:hAnsi="David" w:hint="cs"/>
          <w:rtl/>
        </w:rPr>
        <w:t xml:space="preserve">אשר </w:t>
      </w:r>
      <w:r w:rsidRPr="00AD286E">
        <w:rPr>
          <w:rFonts w:ascii="David" w:hAnsi="David" w:hint="cs"/>
          <w:rtl/>
        </w:rPr>
        <w:t>טענה לאכיפה בררנית בין שניים ש</w:t>
      </w:r>
      <w:r>
        <w:rPr>
          <w:rFonts w:ascii="David" w:hAnsi="David" w:hint="cs"/>
          <w:rtl/>
        </w:rPr>
        <w:t>הם שותפים לדבר עבירה ואף מטעם זה לא סברתי שיש בכך להוות שיקול להקלה בעונש.</w:t>
      </w:r>
    </w:p>
    <w:p w14:paraId="7B7D27E0" w14:textId="77777777" w:rsidR="002407A8" w:rsidRPr="007F31F3" w:rsidRDefault="002407A8" w:rsidP="002407A8">
      <w:pPr>
        <w:pStyle w:val="a9"/>
        <w:rPr>
          <w:rFonts w:ascii="David" w:hAnsi="David"/>
          <w:rtl/>
        </w:rPr>
      </w:pPr>
    </w:p>
    <w:p w14:paraId="0B6FB8D6" w14:textId="77777777" w:rsidR="002407A8" w:rsidRDefault="002407A8" w:rsidP="002407A8">
      <w:pPr>
        <w:pStyle w:val="a9"/>
        <w:numPr>
          <w:ilvl w:val="0"/>
          <w:numId w:val="1"/>
        </w:numPr>
        <w:spacing w:line="360" w:lineRule="auto"/>
        <w:jc w:val="both"/>
        <w:rPr>
          <w:rFonts w:ascii="David" w:hAnsi="David"/>
        </w:rPr>
      </w:pPr>
      <w:r>
        <w:rPr>
          <w:rFonts w:ascii="David" w:hAnsi="David"/>
          <w:color w:val="000000"/>
          <w:rtl/>
        </w:rPr>
        <w:t>סיכומו של דבר, לאחר שבחנתי את מכלול השיקולים, הן לקולה והן לחומרה, אני מטיל על הנאשם את העונשים הבאי</w:t>
      </w:r>
      <w:r>
        <w:rPr>
          <w:rFonts w:ascii="David" w:hAnsi="David" w:hint="cs"/>
          <w:color w:val="000000"/>
          <w:rtl/>
        </w:rPr>
        <w:t>ם:</w:t>
      </w:r>
    </w:p>
    <w:p w14:paraId="581291FA" w14:textId="77777777" w:rsidR="002407A8" w:rsidRPr="006C0E25" w:rsidRDefault="002407A8" w:rsidP="002407A8">
      <w:pPr>
        <w:pStyle w:val="a9"/>
        <w:rPr>
          <w:rFonts w:ascii="David" w:hAnsi="David"/>
          <w:rtl/>
        </w:rPr>
      </w:pPr>
    </w:p>
    <w:p w14:paraId="5B77126A" w14:textId="77777777" w:rsidR="002407A8" w:rsidRDefault="002407A8" w:rsidP="002407A8">
      <w:pPr>
        <w:pStyle w:val="a9"/>
        <w:numPr>
          <w:ilvl w:val="0"/>
          <w:numId w:val="2"/>
        </w:numPr>
        <w:spacing w:line="360" w:lineRule="auto"/>
        <w:jc w:val="both"/>
        <w:rPr>
          <w:rFonts w:ascii="David" w:hAnsi="David"/>
        </w:rPr>
      </w:pPr>
      <w:r w:rsidRPr="006C0E25">
        <w:rPr>
          <w:rFonts w:ascii="David" w:hAnsi="David" w:hint="cs"/>
          <w:b/>
          <w:bCs/>
          <w:rtl/>
        </w:rPr>
        <w:t>20 חודשי מאסר בפועל</w:t>
      </w:r>
      <w:r>
        <w:rPr>
          <w:rFonts w:ascii="David" w:hAnsi="David" w:hint="cs"/>
          <w:rtl/>
        </w:rPr>
        <w:t xml:space="preserve">, בניכוי ימי מעצרו מיום 15.2.21 </w:t>
      </w:r>
      <w:r>
        <w:rPr>
          <w:rFonts w:ascii="David" w:hAnsi="David"/>
          <w:rtl/>
        </w:rPr>
        <w:t>–</w:t>
      </w:r>
      <w:r>
        <w:rPr>
          <w:rFonts w:ascii="David" w:hAnsi="David" w:hint="cs"/>
          <w:rtl/>
        </w:rPr>
        <w:t xml:space="preserve"> 12.5.21. </w:t>
      </w:r>
    </w:p>
    <w:p w14:paraId="020A4A3F" w14:textId="77777777" w:rsidR="002407A8" w:rsidRPr="0005388A" w:rsidRDefault="002407A8" w:rsidP="002407A8">
      <w:pPr>
        <w:pStyle w:val="a9"/>
        <w:numPr>
          <w:ilvl w:val="0"/>
          <w:numId w:val="2"/>
        </w:numPr>
        <w:spacing w:line="360" w:lineRule="auto"/>
        <w:jc w:val="both"/>
        <w:rPr>
          <w:rFonts w:ascii="David" w:hAnsi="David"/>
        </w:rPr>
      </w:pPr>
      <w:r>
        <w:rPr>
          <w:rFonts w:ascii="David" w:hAnsi="David" w:hint="cs"/>
          <w:rtl/>
        </w:rPr>
        <w:t xml:space="preserve">מאסר על תנאי למשך 12 חודשים </w:t>
      </w:r>
      <w:r>
        <w:rPr>
          <w:rtl/>
        </w:rPr>
        <w:t>והתנאי הוא שהנאשם לא יעבור במשך שנתיים</w:t>
      </w:r>
      <w:r>
        <w:rPr>
          <w:rFonts w:hint="cs"/>
          <w:rtl/>
        </w:rPr>
        <w:t xml:space="preserve"> מיום שחרורו עבירה על </w:t>
      </w:r>
      <w:hyperlink r:id="rId44" w:history="1">
        <w:r w:rsidR="002250DC" w:rsidRPr="002250DC">
          <w:rPr>
            <w:rStyle w:val="Hyperlink"/>
            <w:rFonts w:hint="eastAsia"/>
            <w:rtl/>
          </w:rPr>
          <w:t>סעיף</w:t>
        </w:r>
        <w:r w:rsidR="002250DC" w:rsidRPr="002250DC">
          <w:rPr>
            <w:rStyle w:val="Hyperlink"/>
            <w:rtl/>
          </w:rPr>
          <w:t xml:space="preserve"> 144</w:t>
        </w:r>
      </w:hyperlink>
      <w:r>
        <w:rPr>
          <w:rFonts w:hint="cs"/>
          <w:rtl/>
        </w:rPr>
        <w:t xml:space="preserve"> ל</w:t>
      </w:r>
      <w:hyperlink r:id="rId45" w:history="1">
        <w:r w:rsidR="002F1D0D" w:rsidRPr="002F1D0D">
          <w:rPr>
            <w:color w:val="0000FF"/>
            <w:u w:val="single"/>
            <w:rtl/>
          </w:rPr>
          <w:t>חוק העונשין</w:t>
        </w:r>
      </w:hyperlink>
      <w:r>
        <w:rPr>
          <w:rFonts w:hint="cs"/>
          <w:rtl/>
        </w:rPr>
        <w:t xml:space="preserve"> שהיא פשע. </w:t>
      </w:r>
    </w:p>
    <w:p w14:paraId="5FCF0F47" w14:textId="77777777" w:rsidR="002407A8" w:rsidRPr="0005388A" w:rsidRDefault="002407A8" w:rsidP="002407A8">
      <w:pPr>
        <w:pStyle w:val="a9"/>
        <w:numPr>
          <w:ilvl w:val="0"/>
          <w:numId w:val="2"/>
        </w:numPr>
        <w:spacing w:line="360" w:lineRule="auto"/>
        <w:jc w:val="both"/>
        <w:rPr>
          <w:rFonts w:ascii="David" w:hAnsi="David"/>
        </w:rPr>
      </w:pPr>
      <w:r>
        <w:rPr>
          <w:rFonts w:ascii="David" w:hAnsi="David" w:hint="cs"/>
          <w:rtl/>
        </w:rPr>
        <w:t xml:space="preserve">מאסר על תנאי למשך 4 חודשים </w:t>
      </w:r>
      <w:r>
        <w:rPr>
          <w:rtl/>
        </w:rPr>
        <w:t>והתנאי הוא שהנאשם לא יעבור במשך שנתיים</w:t>
      </w:r>
      <w:r>
        <w:rPr>
          <w:rFonts w:hint="cs"/>
          <w:rtl/>
        </w:rPr>
        <w:t xml:space="preserve"> מיום שחרורו עבירה על </w:t>
      </w:r>
      <w:hyperlink r:id="rId46" w:history="1">
        <w:r w:rsidR="002250DC" w:rsidRPr="002250DC">
          <w:rPr>
            <w:rStyle w:val="Hyperlink"/>
            <w:rFonts w:hint="eastAsia"/>
            <w:rtl/>
          </w:rPr>
          <w:t>סעיף</w:t>
        </w:r>
        <w:r w:rsidR="002250DC" w:rsidRPr="002250DC">
          <w:rPr>
            <w:rStyle w:val="Hyperlink"/>
            <w:rtl/>
          </w:rPr>
          <w:t xml:space="preserve"> 144</w:t>
        </w:r>
      </w:hyperlink>
      <w:r>
        <w:rPr>
          <w:rFonts w:hint="cs"/>
          <w:rtl/>
        </w:rPr>
        <w:t xml:space="preserve"> ל</w:t>
      </w:r>
      <w:hyperlink r:id="rId47" w:history="1">
        <w:r w:rsidR="002F1D0D" w:rsidRPr="002F1D0D">
          <w:rPr>
            <w:color w:val="0000FF"/>
            <w:u w:val="single"/>
            <w:rtl/>
          </w:rPr>
          <w:t>חוק העונשין</w:t>
        </w:r>
      </w:hyperlink>
      <w:r>
        <w:rPr>
          <w:rFonts w:hint="cs"/>
          <w:rtl/>
        </w:rPr>
        <w:t xml:space="preserve"> שהיא עוון. </w:t>
      </w:r>
    </w:p>
    <w:p w14:paraId="258A0012" w14:textId="77777777" w:rsidR="002407A8" w:rsidRDefault="002407A8" w:rsidP="002407A8">
      <w:pPr>
        <w:pStyle w:val="a9"/>
        <w:numPr>
          <w:ilvl w:val="0"/>
          <w:numId w:val="2"/>
        </w:numPr>
        <w:spacing w:line="360" w:lineRule="auto"/>
        <w:jc w:val="both"/>
        <w:rPr>
          <w:rFonts w:ascii="David" w:hAnsi="David"/>
        </w:rPr>
      </w:pPr>
      <w:r>
        <w:rPr>
          <w:rFonts w:hint="cs"/>
          <w:rtl/>
        </w:rPr>
        <w:t xml:space="preserve">מאסר על תנאי למשך חודשיים והתנאי הוא שהנאשם לא יעבור במשך שנתיים מיום שחרורו עבירה בניגוד </w:t>
      </w:r>
      <w:hyperlink r:id="rId48" w:history="1">
        <w:r w:rsidR="002250DC" w:rsidRPr="002250DC">
          <w:rPr>
            <w:rStyle w:val="Hyperlink"/>
            <w:rFonts w:hint="eastAsia"/>
            <w:rtl/>
          </w:rPr>
          <w:t>לסעיף</w:t>
        </w:r>
        <w:r w:rsidR="002250DC" w:rsidRPr="002250DC">
          <w:rPr>
            <w:rStyle w:val="Hyperlink"/>
            <w:rtl/>
          </w:rPr>
          <w:t xml:space="preserve"> 275</w:t>
        </w:r>
      </w:hyperlink>
      <w:r>
        <w:rPr>
          <w:rFonts w:hint="cs"/>
          <w:rtl/>
        </w:rPr>
        <w:t xml:space="preserve"> ל</w:t>
      </w:r>
      <w:hyperlink r:id="rId49" w:history="1">
        <w:r w:rsidR="002F1D0D" w:rsidRPr="002F1D0D">
          <w:rPr>
            <w:color w:val="0000FF"/>
            <w:u w:val="single"/>
            <w:rtl/>
          </w:rPr>
          <w:t>חוק העונשין</w:t>
        </w:r>
      </w:hyperlink>
      <w:r>
        <w:rPr>
          <w:rFonts w:hint="cs"/>
          <w:rtl/>
        </w:rPr>
        <w:t xml:space="preserve">. </w:t>
      </w:r>
    </w:p>
    <w:p w14:paraId="3A3184E3" w14:textId="77777777" w:rsidR="002407A8" w:rsidRDefault="002407A8" w:rsidP="002407A8">
      <w:pPr>
        <w:jc w:val="both"/>
        <w:rPr>
          <w:rFonts w:ascii="David" w:hAnsi="David"/>
          <w:rtl/>
        </w:rPr>
      </w:pPr>
    </w:p>
    <w:p w14:paraId="18C3C3D8" w14:textId="77777777" w:rsidR="002407A8" w:rsidRDefault="002F1D0D" w:rsidP="002407A8">
      <w:pPr>
        <w:spacing w:line="360" w:lineRule="auto"/>
        <w:jc w:val="both"/>
        <w:rPr>
          <w:rFonts w:ascii="David" w:hAnsi="David"/>
          <w:rtl/>
        </w:rPr>
      </w:pPr>
      <w:r w:rsidRPr="002F1D0D">
        <w:rPr>
          <w:rFonts w:ascii="David" w:hAnsi="David"/>
          <w:b/>
          <w:bCs/>
          <w:color w:val="FFFFFF"/>
          <w:sz w:val="2"/>
          <w:szCs w:val="2"/>
          <w:u w:val="single"/>
          <w:rtl/>
        </w:rPr>
        <w:t>5129371</w:t>
      </w:r>
      <w:r w:rsidR="002407A8">
        <w:rPr>
          <w:rFonts w:ascii="David" w:hAnsi="David"/>
          <w:b/>
          <w:bCs/>
          <w:color w:val="000000"/>
          <w:u w:val="single"/>
          <w:rtl/>
        </w:rPr>
        <w:t>הודעה זכות ערעור לבית המשפט המחוזי בתוך 45 ימים</w:t>
      </w:r>
      <w:r w:rsidR="002407A8">
        <w:rPr>
          <w:rFonts w:ascii="David" w:hAnsi="David"/>
          <w:b/>
          <w:bCs/>
          <w:color w:val="000000"/>
          <w:u w:val="single"/>
        </w:rPr>
        <w:t>.</w:t>
      </w:r>
    </w:p>
    <w:p w14:paraId="293D04F8" w14:textId="77777777" w:rsidR="002407A8" w:rsidRPr="003E582F" w:rsidRDefault="002F1D0D" w:rsidP="002407A8">
      <w:pPr>
        <w:spacing w:line="360" w:lineRule="auto"/>
        <w:jc w:val="both"/>
        <w:rPr>
          <w:rFonts w:ascii="David" w:hAnsi="David"/>
          <w:b/>
          <w:bCs/>
          <w:u w:val="single"/>
          <w:rtl/>
        </w:rPr>
      </w:pPr>
      <w:r w:rsidRPr="002F1D0D">
        <w:rPr>
          <w:rFonts w:ascii="David" w:hAnsi="David"/>
          <w:b/>
          <w:bCs/>
          <w:color w:val="FFFFFF"/>
          <w:sz w:val="2"/>
          <w:szCs w:val="2"/>
          <w:u w:val="single"/>
          <w:rtl/>
        </w:rPr>
        <w:t>54678313</w:t>
      </w:r>
      <w:r w:rsidR="002407A8">
        <w:rPr>
          <w:rFonts w:ascii="David" w:hAnsi="David" w:hint="cs"/>
          <w:b/>
          <w:bCs/>
          <w:u w:val="single"/>
          <w:rtl/>
        </w:rPr>
        <w:t>ביחס ל</w:t>
      </w:r>
      <w:r w:rsidR="002407A8" w:rsidRPr="003E582F">
        <w:rPr>
          <w:rFonts w:ascii="David" w:hAnsi="David" w:hint="cs"/>
          <w:b/>
          <w:bCs/>
          <w:u w:val="single"/>
          <w:rtl/>
        </w:rPr>
        <w:t xml:space="preserve">מוצגים </w:t>
      </w:r>
      <w:r w:rsidR="002407A8" w:rsidRPr="003E582F">
        <w:rPr>
          <w:rFonts w:ascii="David" w:hAnsi="David"/>
          <w:b/>
          <w:bCs/>
          <w:u w:val="single"/>
          <w:rtl/>
        </w:rPr>
        <w:t>–</w:t>
      </w:r>
      <w:r w:rsidR="002407A8">
        <w:rPr>
          <w:rFonts w:ascii="David" w:hAnsi="David" w:hint="cs"/>
          <w:b/>
          <w:bCs/>
          <w:u w:val="single"/>
          <w:rtl/>
        </w:rPr>
        <w:t xml:space="preserve"> תוגש בקשה </w:t>
      </w:r>
      <w:r w:rsidR="002407A8" w:rsidRPr="003E582F">
        <w:rPr>
          <w:rFonts w:ascii="David" w:hAnsi="David" w:hint="cs"/>
          <w:b/>
          <w:bCs/>
          <w:u w:val="single"/>
          <w:rtl/>
        </w:rPr>
        <w:t xml:space="preserve">בחלוף תקופת הערעור. </w:t>
      </w:r>
    </w:p>
    <w:p w14:paraId="24F46D38" w14:textId="77777777" w:rsidR="002407A8" w:rsidRPr="002A078D" w:rsidRDefault="002407A8" w:rsidP="002407A8">
      <w:pPr>
        <w:rPr>
          <w:rFonts w:ascii="David" w:hAnsi="David"/>
          <w:rtl/>
        </w:rPr>
      </w:pPr>
    </w:p>
    <w:p w14:paraId="500ECFFD" w14:textId="77777777" w:rsidR="002407A8" w:rsidRPr="002A078D" w:rsidRDefault="002F1D0D" w:rsidP="002407A8">
      <w:pPr>
        <w:rPr>
          <w:rFonts w:ascii="David" w:hAnsi="David"/>
          <w:rtl/>
        </w:rPr>
      </w:pPr>
      <w:bookmarkStart w:id="7" w:name="Nitan"/>
      <w:r>
        <w:rPr>
          <w:rFonts w:ascii="David" w:hAnsi="David"/>
          <w:rtl/>
        </w:rPr>
        <w:t xml:space="preserve">ניתן היום,  ו' כסלו תשפ"ג, 30 נובמבר 2022, במעמד הצדדים. </w:t>
      </w:r>
      <w:bookmarkEnd w:id="7"/>
    </w:p>
    <w:p w14:paraId="634E0429" w14:textId="77777777" w:rsidR="002407A8" w:rsidRPr="002A078D" w:rsidRDefault="002407A8" w:rsidP="002F1D0D">
      <w:pPr>
        <w:jc w:val="center"/>
      </w:pPr>
      <w:r w:rsidRPr="002A078D">
        <w:rPr>
          <w:rFonts w:ascii="David" w:hAnsi="David"/>
          <w:rtl/>
        </w:rPr>
        <w:t xml:space="preserve">   </w:t>
      </w:r>
      <w:r w:rsidRPr="002A078D">
        <w:rPr>
          <w:rFonts w:ascii="David" w:hAnsi="David"/>
          <w:rtl/>
        </w:rPr>
        <w:tab/>
      </w:r>
      <w:r w:rsidRPr="002A078D">
        <w:rPr>
          <w:rFonts w:ascii="David" w:hAnsi="David"/>
          <w:rtl/>
        </w:rPr>
        <w:tab/>
      </w:r>
      <w:r w:rsidRPr="002A078D">
        <w:rPr>
          <w:rFonts w:ascii="David" w:hAnsi="David"/>
          <w:rtl/>
        </w:rPr>
        <w:tab/>
      </w:r>
      <w:r w:rsidRPr="002A078D">
        <w:rPr>
          <w:rFonts w:ascii="David" w:hAnsi="David"/>
          <w:rtl/>
        </w:rPr>
        <w:tab/>
      </w:r>
      <w:r w:rsidRPr="002A078D">
        <w:rPr>
          <w:rFonts w:ascii="David" w:hAnsi="David"/>
          <w:rtl/>
        </w:rPr>
        <w:tab/>
      </w:r>
    </w:p>
    <w:p w14:paraId="43027E46" w14:textId="77777777" w:rsidR="002407A8" w:rsidRPr="002A078D" w:rsidRDefault="002407A8" w:rsidP="002407A8">
      <w:pPr>
        <w:jc w:val="center"/>
        <w:rPr>
          <w:rFonts w:ascii="David" w:hAnsi="David"/>
          <w:rtl/>
        </w:rPr>
      </w:pPr>
    </w:p>
    <w:p w14:paraId="51B3140D" w14:textId="77777777" w:rsidR="00071B32" w:rsidRPr="002F1D0D" w:rsidRDefault="00071B32" w:rsidP="002F1D0D">
      <w:pPr>
        <w:keepNext/>
        <w:rPr>
          <w:rFonts w:ascii="David" w:hAnsi="David"/>
          <w:color w:val="000000"/>
          <w:sz w:val="22"/>
          <w:szCs w:val="22"/>
          <w:rtl/>
        </w:rPr>
      </w:pPr>
    </w:p>
    <w:p w14:paraId="5E1521A5" w14:textId="77777777" w:rsidR="002F1D0D" w:rsidRPr="002F1D0D" w:rsidRDefault="002F1D0D" w:rsidP="002F1D0D">
      <w:pPr>
        <w:keepNext/>
        <w:rPr>
          <w:rFonts w:ascii="David" w:hAnsi="David"/>
          <w:color w:val="000000"/>
          <w:sz w:val="22"/>
          <w:szCs w:val="22"/>
          <w:rtl/>
        </w:rPr>
      </w:pPr>
      <w:r w:rsidRPr="002F1D0D">
        <w:rPr>
          <w:rFonts w:ascii="David" w:hAnsi="David"/>
          <w:color w:val="000000"/>
          <w:sz w:val="22"/>
          <w:szCs w:val="22"/>
          <w:rtl/>
        </w:rPr>
        <w:t>יוסי טורס 54678313</w:t>
      </w:r>
    </w:p>
    <w:p w14:paraId="6BB8987F" w14:textId="77777777" w:rsidR="002F1D0D" w:rsidRDefault="002F1D0D" w:rsidP="002F1D0D">
      <w:r w:rsidRPr="002F1D0D">
        <w:rPr>
          <w:color w:val="000000"/>
          <w:rtl/>
        </w:rPr>
        <w:t>נוסח מסמך זה כפוף לשינויי ניסוח ועריכה</w:t>
      </w:r>
    </w:p>
    <w:p w14:paraId="23BF2D02" w14:textId="77777777" w:rsidR="002F1D0D" w:rsidRDefault="002F1D0D" w:rsidP="002F1D0D">
      <w:pPr>
        <w:rPr>
          <w:rtl/>
        </w:rPr>
      </w:pPr>
    </w:p>
    <w:p w14:paraId="782E7CB7" w14:textId="77777777" w:rsidR="002F1D0D" w:rsidRDefault="002F1D0D" w:rsidP="002F1D0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A737443" w14:textId="77777777" w:rsidR="002F1D0D" w:rsidRPr="002F1D0D" w:rsidRDefault="002F1D0D" w:rsidP="002F1D0D">
      <w:pPr>
        <w:jc w:val="center"/>
        <w:rPr>
          <w:color w:val="0000FF"/>
          <w:u w:val="single"/>
        </w:rPr>
      </w:pPr>
    </w:p>
    <w:sectPr w:rsidR="002F1D0D" w:rsidRPr="002F1D0D" w:rsidSect="002F1D0D">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1221D" w14:textId="77777777" w:rsidR="00932AFB" w:rsidRDefault="00932AFB" w:rsidP="00E3706D">
      <w:r>
        <w:separator/>
      </w:r>
    </w:p>
  </w:endnote>
  <w:endnote w:type="continuationSeparator" w:id="0">
    <w:p w14:paraId="1D8C33C8" w14:textId="77777777" w:rsidR="00932AFB" w:rsidRDefault="00932AFB" w:rsidP="00E3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36E34" w14:textId="77777777" w:rsidR="002F1D0D" w:rsidRDefault="002F1D0D" w:rsidP="002F1D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B79BDB" w14:textId="77777777" w:rsidR="007F2670" w:rsidRPr="002F1D0D" w:rsidRDefault="002F1D0D" w:rsidP="002F1D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E4D0E" w14:textId="77777777" w:rsidR="002F1D0D" w:rsidRDefault="002F1D0D" w:rsidP="002F1D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70DE">
      <w:rPr>
        <w:rFonts w:ascii="FrankRuehl" w:hAnsi="FrankRuehl" w:cs="FrankRuehl"/>
        <w:noProof/>
        <w:rtl/>
      </w:rPr>
      <w:t>1</w:t>
    </w:r>
    <w:r>
      <w:rPr>
        <w:rFonts w:ascii="FrankRuehl" w:hAnsi="FrankRuehl" w:cs="FrankRuehl"/>
        <w:rtl/>
      </w:rPr>
      <w:fldChar w:fldCharType="end"/>
    </w:r>
  </w:p>
  <w:p w14:paraId="273F0C4C" w14:textId="77777777" w:rsidR="007F2670" w:rsidRPr="002F1D0D" w:rsidRDefault="002F1D0D" w:rsidP="002F1D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1DC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E19B9" w14:textId="77777777" w:rsidR="00932AFB" w:rsidRDefault="00932AFB" w:rsidP="00E3706D">
      <w:r>
        <w:separator/>
      </w:r>
    </w:p>
  </w:footnote>
  <w:footnote w:type="continuationSeparator" w:id="0">
    <w:p w14:paraId="0C769BE0" w14:textId="77777777" w:rsidR="00932AFB" w:rsidRDefault="00932AFB" w:rsidP="00E37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2469" w14:textId="77777777" w:rsidR="002F1D0D" w:rsidRPr="002F1D0D" w:rsidRDefault="002F1D0D" w:rsidP="002F1D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6852-03-21</w:t>
    </w:r>
    <w:r>
      <w:rPr>
        <w:rFonts w:ascii="David" w:hAnsi="David"/>
        <w:color w:val="000000"/>
        <w:sz w:val="22"/>
        <w:szCs w:val="22"/>
        <w:rtl/>
      </w:rPr>
      <w:tab/>
      <w:t xml:space="preserve"> מדינת ישראל נ' חמזה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5E139" w14:textId="77777777" w:rsidR="002F1D0D" w:rsidRPr="002F1D0D" w:rsidRDefault="002F1D0D" w:rsidP="002F1D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6852-03-21</w:t>
    </w:r>
    <w:r>
      <w:rPr>
        <w:rFonts w:ascii="David" w:hAnsi="David"/>
        <w:color w:val="000000"/>
        <w:sz w:val="22"/>
        <w:szCs w:val="22"/>
        <w:rtl/>
      </w:rPr>
      <w:tab/>
      <w:t xml:space="preserve"> מדינת ישראל נ' חמזה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50118"/>
    <w:multiLevelType w:val="hybridMultilevel"/>
    <w:tmpl w:val="46349B8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81A0E"/>
    <w:multiLevelType w:val="hybridMultilevel"/>
    <w:tmpl w:val="7DF0E69A"/>
    <w:lvl w:ilvl="0" w:tplc="B2FE308A">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049935">
    <w:abstractNumId w:val="1"/>
  </w:num>
  <w:num w:numId="2" w16cid:durableId="62227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07A8"/>
    <w:rsid w:val="00006AB0"/>
    <w:rsid w:val="00071B32"/>
    <w:rsid w:val="001B5A3B"/>
    <w:rsid w:val="002250DC"/>
    <w:rsid w:val="002407A8"/>
    <w:rsid w:val="002870DE"/>
    <w:rsid w:val="002B08CE"/>
    <w:rsid w:val="002F1D0D"/>
    <w:rsid w:val="00405FA5"/>
    <w:rsid w:val="00424B0A"/>
    <w:rsid w:val="004779F2"/>
    <w:rsid w:val="006C2662"/>
    <w:rsid w:val="00786CDE"/>
    <w:rsid w:val="007F2670"/>
    <w:rsid w:val="00932AFB"/>
    <w:rsid w:val="00D638EC"/>
    <w:rsid w:val="00E370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262A5E"/>
  <w15:chartTrackingRefBased/>
  <w15:docId w15:val="{FDE03437-6D27-48B9-A2DC-D17A3CE6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07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07A8"/>
    <w:pPr>
      <w:tabs>
        <w:tab w:val="center" w:pos="4153"/>
        <w:tab w:val="right" w:pos="8306"/>
      </w:tabs>
    </w:pPr>
  </w:style>
  <w:style w:type="character" w:customStyle="1" w:styleId="a4">
    <w:name w:val="כותרת עליונה תו"/>
    <w:link w:val="a3"/>
    <w:rsid w:val="002407A8"/>
    <w:rPr>
      <w:rFonts w:ascii="Times New Roman" w:eastAsia="Times New Roman" w:hAnsi="Times New Roman" w:cs="David"/>
      <w:sz w:val="24"/>
      <w:szCs w:val="24"/>
    </w:rPr>
  </w:style>
  <w:style w:type="paragraph" w:styleId="a5">
    <w:name w:val="footer"/>
    <w:basedOn w:val="a"/>
    <w:link w:val="a6"/>
    <w:rsid w:val="002407A8"/>
    <w:pPr>
      <w:tabs>
        <w:tab w:val="center" w:pos="4153"/>
        <w:tab w:val="right" w:pos="8306"/>
      </w:tabs>
    </w:pPr>
  </w:style>
  <w:style w:type="character" w:customStyle="1" w:styleId="a6">
    <w:name w:val="כותרת תחתונה תו"/>
    <w:link w:val="a5"/>
    <w:rsid w:val="002407A8"/>
    <w:rPr>
      <w:rFonts w:ascii="Times New Roman" w:eastAsia="Times New Roman" w:hAnsi="Times New Roman" w:cs="David"/>
      <w:sz w:val="24"/>
      <w:szCs w:val="24"/>
    </w:rPr>
  </w:style>
  <w:style w:type="table" w:styleId="a7">
    <w:name w:val="Table Grid"/>
    <w:basedOn w:val="a1"/>
    <w:rsid w:val="002407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07A8"/>
  </w:style>
  <w:style w:type="paragraph" w:styleId="a9">
    <w:name w:val="List Paragraph"/>
    <w:basedOn w:val="a"/>
    <w:qFormat/>
    <w:rsid w:val="002407A8"/>
    <w:pPr>
      <w:ind w:left="720"/>
      <w:contextualSpacing/>
    </w:pPr>
  </w:style>
  <w:style w:type="character" w:styleId="Hyperlink">
    <w:name w:val="Hyperlink"/>
    <w:rsid w:val="002F1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513376"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612338" TargetMode="External"/><Relationship Id="rId34" Type="http://schemas.openxmlformats.org/officeDocument/2006/relationships/hyperlink" Target="http://www.nevo.co.il/case/28331430"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7648787" TargetMode="External"/><Relationship Id="rId32" Type="http://schemas.openxmlformats.org/officeDocument/2006/relationships/hyperlink" Target="http://www.nevo.co.il/case/27648787" TargetMode="External"/><Relationship Id="rId37" Type="http://schemas.openxmlformats.org/officeDocument/2006/relationships/hyperlink" Target="http://www.nevo.co.il/case/28857823" TargetMode="External"/><Relationship Id="rId40" Type="http://schemas.openxmlformats.org/officeDocument/2006/relationships/hyperlink" Target="http://www.nevo.co.il/case/27171364"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144.d"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28619472" TargetMode="External"/><Relationship Id="rId44" Type="http://schemas.openxmlformats.org/officeDocument/2006/relationships/hyperlink" Target="http://www.nevo.co.il/law/70301/144"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case/28697218" TargetMode="External"/><Relationship Id="rId35" Type="http://schemas.openxmlformats.org/officeDocument/2006/relationships/hyperlink" Target="http://www.nevo.co.il/case/27746030" TargetMode="External"/><Relationship Id="rId43" Type="http://schemas.openxmlformats.org/officeDocument/2006/relationships/hyperlink" Target="http://www.nevo.co.il/case/5608124" TargetMode="External"/><Relationship Id="rId48" Type="http://schemas.openxmlformats.org/officeDocument/2006/relationships/hyperlink" Target="http://www.nevo.co.il/law/70301/275" TargetMode="External"/><Relationship Id="rId56" Type="http://schemas.openxmlformats.org/officeDocument/2006/relationships/theme" Target="theme/theme1.xml"/><Relationship Id="rId8" Type="http://schemas.openxmlformats.org/officeDocument/2006/relationships/hyperlink" Target="http://www.nevo.co.il/law/70301/144"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152132" TargetMode="External"/><Relationship Id="rId38" Type="http://schemas.openxmlformats.org/officeDocument/2006/relationships/hyperlink" Target="http://www.nevo.co.il/law/70301/40ja.6" TargetMode="External"/><Relationship Id="rId46" Type="http://schemas.openxmlformats.org/officeDocument/2006/relationships/hyperlink" Target="http://www.nevo.co.il/law/70301/144" TargetMode="External"/><Relationship Id="rId20" Type="http://schemas.openxmlformats.org/officeDocument/2006/relationships/hyperlink" Target="http://www.nevo.co.il/case/28243273" TargetMode="External"/><Relationship Id="rId41" Type="http://schemas.openxmlformats.org/officeDocument/2006/relationships/hyperlink" Target="http://www.nevo.co.il/law/70301/144.d"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925239" TargetMode="External"/><Relationship Id="rId28" Type="http://schemas.openxmlformats.org/officeDocument/2006/relationships/hyperlink" Target="http://www.nevo.co.il/law/70301/144.g" TargetMode="External"/><Relationship Id="rId36" Type="http://schemas.openxmlformats.org/officeDocument/2006/relationships/hyperlink" Target="http://www.nevo.co.il/case/27721185"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2883</Words>
  <Characters>14416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17265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3145848</vt:i4>
      </vt:variant>
      <vt:variant>
        <vt:i4>108</vt:i4>
      </vt:variant>
      <vt:variant>
        <vt:i4>0</vt:i4>
      </vt:variant>
      <vt:variant>
        <vt:i4>5</vt:i4>
      </vt:variant>
      <vt:variant>
        <vt:lpwstr>http://www.nevo.co.il/case/5608124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http://www.nevo.co.il/law/70301/144.d</vt:lpwstr>
      </vt:variant>
      <vt:variant>
        <vt:lpwstr/>
      </vt:variant>
      <vt:variant>
        <vt:i4>3407991</vt:i4>
      </vt:variant>
      <vt:variant>
        <vt:i4>99</vt:i4>
      </vt:variant>
      <vt:variant>
        <vt:i4>0</vt:i4>
      </vt:variant>
      <vt:variant>
        <vt:i4>5</vt:i4>
      </vt:variant>
      <vt:variant>
        <vt:lpwstr>http://www.nevo.co.il/case/27171364</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3276837</vt:i4>
      </vt:variant>
      <vt:variant>
        <vt:i4>93</vt:i4>
      </vt:variant>
      <vt:variant>
        <vt:i4>0</vt:i4>
      </vt:variant>
      <vt:variant>
        <vt:i4>5</vt:i4>
      </vt:variant>
      <vt:variant>
        <vt:lpwstr>http://www.nevo.co.il/law/70301/40ja.6</vt:lpwstr>
      </vt:variant>
      <vt:variant>
        <vt:lpwstr/>
      </vt:variant>
      <vt:variant>
        <vt:i4>4128881</vt:i4>
      </vt:variant>
      <vt:variant>
        <vt:i4>90</vt:i4>
      </vt:variant>
      <vt:variant>
        <vt:i4>0</vt:i4>
      </vt:variant>
      <vt:variant>
        <vt:i4>5</vt:i4>
      </vt:variant>
      <vt:variant>
        <vt:lpwstr>http://www.nevo.co.il/case/28857823</vt:lpwstr>
      </vt:variant>
      <vt:variant>
        <vt:lpwstr/>
      </vt:variant>
      <vt:variant>
        <vt:i4>3932272</vt:i4>
      </vt:variant>
      <vt:variant>
        <vt:i4>87</vt:i4>
      </vt:variant>
      <vt:variant>
        <vt:i4>0</vt:i4>
      </vt:variant>
      <vt:variant>
        <vt:i4>5</vt:i4>
      </vt:variant>
      <vt:variant>
        <vt:lpwstr>http://www.nevo.co.il/case/27721185</vt:lpwstr>
      </vt:variant>
      <vt:variant>
        <vt:lpwstr/>
      </vt:variant>
      <vt:variant>
        <vt:i4>3145847</vt:i4>
      </vt:variant>
      <vt:variant>
        <vt:i4>84</vt:i4>
      </vt:variant>
      <vt:variant>
        <vt:i4>0</vt:i4>
      </vt:variant>
      <vt:variant>
        <vt:i4>5</vt:i4>
      </vt:variant>
      <vt:variant>
        <vt:lpwstr>http://www.nevo.co.il/case/27746030</vt:lpwstr>
      </vt:variant>
      <vt:variant>
        <vt:lpwstr/>
      </vt:variant>
      <vt:variant>
        <vt:i4>3342459</vt:i4>
      </vt:variant>
      <vt:variant>
        <vt:i4>81</vt:i4>
      </vt:variant>
      <vt:variant>
        <vt:i4>0</vt:i4>
      </vt:variant>
      <vt:variant>
        <vt:i4>5</vt:i4>
      </vt:variant>
      <vt:variant>
        <vt:lpwstr>http://www.nevo.co.il/case/28331430</vt:lpwstr>
      </vt:variant>
      <vt:variant>
        <vt:lpwstr/>
      </vt:variant>
      <vt:variant>
        <vt:i4>3276920</vt:i4>
      </vt:variant>
      <vt:variant>
        <vt:i4>78</vt:i4>
      </vt:variant>
      <vt:variant>
        <vt:i4>0</vt:i4>
      </vt:variant>
      <vt:variant>
        <vt:i4>5</vt:i4>
      </vt:variant>
      <vt:variant>
        <vt:lpwstr>http://www.nevo.co.il/case/28152132</vt:lpwstr>
      </vt:variant>
      <vt:variant>
        <vt:lpwstr/>
      </vt:variant>
      <vt:variant>
        <vt:i4>3407984</vt:i4>
      </vt:variant>
      <vt:variant>
        <vt:i4>75</vt:i4>
      </vt:variant>
      <vt:variant>
        <vt:i4>0</vt:i4>
      </vt:variant>
      <vt:variant>
        <vt:i4>5</vt:i4>
      </vt:variant>
      <vt:variant>
        <vt:lpwstr>http://www.nevo.co.il/case/27648787</vt:lpwstr>
      </vt:variant>
      <vt:variant>
        <vt:lpwstr/>
      </vt:variant>
      <vt:variant>
        <vt:i4>3801209</vt:i4>
      </vt:variant>
      <vt:variant>
        <vt:i4>72</vt:i4>
      </vt:variant>
      <vt:variant>
        <vt:i4>0</vt:i4>
      </vt:variant>
      <vt:variant>
        <vt:i4>5</vt:i4>
      </vt:variant>
      <vt:variant>
        <vt:lpwstr>http://www.nevo.co.il/case/28619472</vt:lpwstr>
      </vt:variant>
      <vt:variant>
        <vt:lpwstr/>
      </vt:variant>
      <vt:variant>
        <vt:i4>3276919</vt:i4>
      </vt:variant>
      <vt:variant>
        <vt:i4>69</vt:i4>
      </vt:variant>
      <vt:variant>
        <vt:i4>0</vt:i4>
      </vt:variant>
      <vt:variant>
        <vt:i4>5</vt:i4>
      </vt:variant>
      <vt:variant>
        <vt:lpwstr>http://www.nevo.co.il/case/28697218</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http://www.nevo.co.il/law/70301/144.g</vt:lpwstr>
      </vt:variant>
      <vt:variant>
        <vt:lpwstr/>
      </vt:variant>
      <vt:variant>
        <vt:i4>3735673</vt:i4>
      </vt:variant>
      <vt:variant>
        <vt:i4>60</vt:i4>
      </vt:variant>
      <vt:variant>
        <vt:i4>0</vt:i4>
      </vt:variant>
      <vt:variant>
        <vt:i4>5</vt:i4>
      </vt:variant>
      <vt:variant>
        <vt:lpwstr>http://www.nevo.co.il/case/27734980</vt:lpwstr>
      </vt:variant>
      <vt:variant>
        <vt:lpwstr/>
      </vt:variant>
      <vt:variant>
        <vt:i4>3342449</vt:i4>
      </vt:variant>
      <vt:variant>
        <vt:i4>57</vt:i4>
      </vt:variant>
      <vt:variant>
        <vt:i4>0</vt:i4>
      </vt:variant>
      <vt:variant>
        <vt:i4>5</vt:i4>
      </vt:variant>
      <vt:variant>
        <vt:lpwstr>http://www.nevo.co.il/case/27513376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3407984</vt:i4>
      </vt:variant>
      <vt:variant>
        <vt:i4>51</vt:i4>
      </vt:variant>
      <vt:variant>
        <vt:i4>0</vt:i4>
      </vt:variant>
      <vt:variant>
        <vt:i4>5</vt:i4>
      </vt:variant>
      <vt:variant>
        <vt:lpwstr>http://www.nevo.co.il/case/27648787</vt:lpwstr>
      </vt:variant>
      <vt:variant>
        <vt:lpwstr/>
      </vt:variant>
      <vt:variant>
        <vt:i4>3997811</vt:i4>
      </vt:variant>
      <vt:variant>
        <vt:i4>48</vt:i4>
      </vt:variant>
      <vt:variant>
        <vt:i4>0</vt:i4>
      </vt:variant>
      <vt:variant>
        <vt:i4>5</vt:i4>
      </vt:variant>
      <vt:variant>
        <vt:lpwstr>http://www.nevo.co.il/case/27925239</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4128883</vt:i4>
      </vt:variant>
      <vt:variant>
        <vt:i4>42</vt:i4>
      </vt:variant>
      <vt:variant>
        <vt:i4>0</vt:i4>
      </vt:variant>
      <vt:variant>
        <vt:i4>5</vt:i4>
      </vt:variant>
      <vt:variant>
        <vt:lpwstr>http://www.nevo.co.il/case/5612338</vt:lpwstr>
      </vt:variant>
      <vt:variant>
        <vt:lpwstr/>
      </vt:variant>
      <vt:variant>
        <vt:i4>3407994</vt:i4>
      </vt:variant>
      <vt:variant>
        <vt:i4>39</vt:i4>
      </vt:variant>
      <vt:variant>
        <vt:i4>0</vt:i4>
      </vt:variant>
      <vt:variant>
        <vt:i4>5</vt:i4>
      </vt:variant>
      <vt:variant>
        <vt:lpwstr>http://www.nevo.co.il/case/28243273</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3276837</vt:i4>
      </vt:variant>
      <vt:variant>
        <vt:i4>18</vt:i4>
      </vt:variant>
      <vt:variant>
        <vt:i4>0</vt:i4>
      </vt:variant>
      <vt:variant>
        <vt:i4>5</vt:i4>
      </vt:variant>
      <vt:variant>
        <vt:lpwstr>http://www.nevo.co.il/law/70301/40ja.6</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http://www.nevo.co.il/law/70301/144.d</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6852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חמזה ח'טיב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20221130</vt:lpwstr>
  </property>
  <property fmtid="{D5CDD505-2E9C-101B-9397-08002B2CF9AE}" pid="13" name="TYPE_N_DATE">
    <vt:lpwstr>38020221130</vt:lpwstr>
  </property>
  <property fmtid="{D5CDD505-2E9C-101B-9397-08002B2CF9AE}" pid="14" name="WORDNUMPAGES">
    <vt:lpwstr>7</vt:lpwstr>
  </property>
  <property fmtid="{D5CDD505-2E9C-101B-9397-08002B2CF9AE}" pid="15" name="TYPE_ABS_DATE">
    <vt:lpwstr>380020221130</vt:lpwstr>
  </property>
  <property fmtid="{D5CDD505-2E9C-101B-9397-08002B2CF9AE}" pid="16" name="ISABSTRACT">
    <vt:lpwstr>Y</vt:lpwstr>
  </property>
  <property fmtid="{D5CDD505-2E9C-101B-9397-08002B2CF9AE}" pid="17" name="CASESLISTTMP1">
    <vt:lpwstr>13093721;28243273;5612338;28513828;27925239;27648787:2;27513376;27734980;28697218;28619472;28152132;28331430;27746030;27721185;28857823;27171364;5608124</vt:lpwstr>
  </property>
  <property fmtid="{D5CDD505-2E9C-101B-9397-08002B2CF9AE}" pid="18" name="LAWLISTTMP1">
    <vt:lpwstr>70301/144.a;275:2;144.g:2;40ja.6;144.d;144:2</vt:lpwstr>
  </property>
</Properties>
</file>