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03FB7" w:rsidRPr="00EE37F4" w14:paraId="784B1AA9" w14:textId="77777777" w:rsidTr="007A512C">
        <w:trPr>
          <w:trHeight w:hRule="exact" w:val="418"/>
          <w:jc w:val="center"/>
        </w:trPr>
        <w:tc>
          <w:tcPr>
            <w:tcW w:w="8721" w:type="dxa"/>
            <w:gridSpan w:val="2"/>
          </w:tcPr>
          <w:p w14:paraId="088F30AD" w14:textId="77777777" w:rsidR="00703FB7" w:rsidRPr="00EE37F4" w:rsidRDefault="00703FB7" w:rsidP="00E10D6F">
            <w:pPr>
              <w:pStyle w:val="a3"/>
              <w:jc w:val="center"/>
              <w:rPr>
                <w:rFonts w:ascii="Tahoma" w:hAnsi="Tahoma" w:cs="Tahoma"/>
                <w:color w:val="000080"/>
                <w:rtl/>
              </w:rPr>
            </w:pPr>
            <w:bookmarkStart w:id="0" w:name="FirstLawyer"/>
            <w:bookmarkStart w:id="1" w:name="LastJudge"/>
            <w:r w:rsidRPr="00EE37F4">
              <w:rPr>
                <w:rFonts w:ascii="Tahoma" w:hAnsi="Tahoma" w:cs="Tahoma"/>
                <w:b/>
                <w:bCs/>
                <w:color w:val="000080"/>
                <w:rtl/>
              </w:rPr>
              <w:t>בית משפט השלום בחדרה</w:t>
            </w:r>
          </w:p>
        </w:tc>
      </w:tr>
      <w:tr w:rsidR="00703FB7" w:rsidRPr="00EE37F4" w14:paraId="17C50054" w14:textId="77777777" w:rsidTr="007A512C">
        <w:trPr>
          <w:trHeight w:val="337"/>
          <w:jc w:val="center"/>
        </w:trPr>
        <w:tc>
          <w:tcPr>
            <w:tcW w:w="5057" w:type="dxa"/>
          </w:tcPr>
          <w:p w14:paraId="744ABFF9" w14:textId="77777777" w:rsidR="00703FB7" w:rsidRPr="00EE37F4" w:rsidRDefault="00703FB7" w:rsidP="00E10D6F">
            <w:pPr>
              <w:rPr>
                <w:rFonts w:cs="FrankRuehl"/>
                <w:sz w:val="28"/>
                <w:szCs w:val="28"/>
                <w:rtl/>
              </w:rPr>
            </w:pPr>
            <w:r w:rsidRPr="00EE37F4">
              <w:rPr>
                <w:rFonts w:cs="FrankRuehl"/>
                <w:sz w:val="28"/>
                <w:szCs w:val="28"/>
                <w:rtl/>
              </w:rPr>
              <w:t>ת"פ</w:t>
            </w:r>
            <w:r w:rsidRPr="00EE37F4">
              <w:rPr>
                <w:rFonts w:cs="FrankRuehl" w:hint="cs"/>
                <w:sz w:val="28"/>
                <w:szCs w:val="28"/>
                <w:rtl/>
              </w:rPr>
              <w:t xml:space="preserve"> </w:t>
            </w:r>
            <w:r w:rsidRPr="00EE37F4">
              <w:rPr>
                <w:rFonts w:cs="FrankRuehl"/>
                <w:sz w:val="28"/>
                <w:szCs w:val="28"/>
                <w:rtl/>
              </w:rPr>
              <w:t>40079-05-21</w:t>
            </w:r>
            <w:r w:rsidRPr="00EE37F4">
              <w:rPr>
                <w:rFonts w:cs="FrankRuehl" w:hint="cs"/>
                <w:sz w:val="28"/>
                <w:szCs w:val="28"/>
                <w:rtl/>
              </w:rPr>
              <w:t xml:space="preserve"> </w:t>
            </w:r>
            <w:r w:rsidRPr="00EE37F4">
              <w:rPr>
                <w:rFonts w:cs="FrankRuehl"/>
                <w:sz w:val="28"/>
                <w:szCs w:val="28"/>
                <w:rtl/>
              </w:rPr>
              <w:t>מדינת ישראל נ' אבו שנדי(אסיר)</w:t>
            </w:r>
          </w:p>
          <w:p w14:paraId="72B3B9F3" w14:textId="77777777" w:rsidR="00703FB7" w:rsidRPr="00EE37F4" w:rsidRDefault="00703FB7" w:rsidP="00E10D6F">
            <w:pPr>
              <w:pStyle w:val="a3"/>
              <w:rPr>
                <w:rFonts w:cs="FrankRuehl"/>
                <w:sz w:val="28"/>
                <w:szCs w:val="28"/>
                <w:rtl/>
              </w:rPr>
            </w:pPr>
          </w:p>
        </w:tc>
        <w:tc>
          <w:tcPr>
            <w:tcW w:w="3664" w:type="dxa"/>
          </w:tcPr>
          <w:p w14:paraId="73F1A146" w14:textId="77777777" w:rsidR="00703FB7" w:rsidRPr="00EE37F4" w:rsidRDefault="00703FB7" w:rsidP="00E10D6F">
            <w:pPr>
              <w:pStyle w:val="a3"/>
              <w:jc w:val="right"/>
              <w:rPr>
                <w:rFonts w:cs="FrankRuehl"/>
                <w:sz w:val="28"/>
                <w:szCs w:val="28"/>
                <w:rtl/>
              </w:rPr>
            </w:pPr>
          </w:p>
        </w:tc>
      </w:tr>
    </w:tbl>
    <w:p w14:paraId="7BAA60C4" w14:textId="77777777" w:rsidR="00703FB7" w:rsidRPr="00EE37F4" w:rsidRDefault="00703FB7" w:rsidP="00703FB7">
      <w:pPr>
        <w:pStyle w:val="a3"/>
        <w:rPr>
          <w:rtl/>
        </w:rPr>
      </w:pPr>
      <w:r w:rsidRPr="00EE37F4">
        <w:rPr>
          <w:rFonts w:hint="cs"/>
          <w:rtl/>
        </w:rPr>
        <w:t xml:space="preserve"> </w:t>
      </w:r>
    </w:p>
    <w:p w14:paraId="524F3FA1" w14:textId="77777777" w:rsidR="00703FB7" w:rsidRPr="00EE37F4" w:rsidRDefault="00703FB7" w:rsidP="00703FB7">
      <w:pPr>
        <w:rPr>
          <w:rtl/>
        </w:rPr>
      </w:pPr>
    </w:p>
    <w:p w14:paraId="4548EA37" w14:textId="77777777" w:rsidR="00703FB7" w:rsidRPr="00EE37F4" w:rsidRDefault="00703FB7" w:rsidP="00703FB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03FB7" w:rsidRPr="00EE37F4" w14:paraId="6C277FAD" w14:textId="77777777" w:rsidTr="00703FB7">
        <w:trPr>
          <w:trHeight w:val="295"/>
          <w:jc w:val="center"/>
        </w:trPr>
        <w:tc>
          <w:tcPr>
            <w:tcW w:w="923" w:type="dxa"/>
            <w:tcBorders>
              <w:top w:val="nil"/>
              <w:left w:val="nil"/>
              <w:bottom w:val="nil"/>
              <w:right w:val="nil"/>
            </w:tcBorders>
            <w:shd w:val="clear" w:color="auto" w:fill="auto"/>
          </w:tcPr>
          <w:p w14:paraId="194E1AF2" w14:textId="77777777" w:rsidR="00703FB7" w:rsidRPr="00EE37F4" w:rsidRDefault="00703FB7" w:rsidP="00703FB7">
            <w:pPr>
              <w:jc w:val="both"/>
              <w:rPr>
                <w:rFonts w:ascii="David" w:hAnsi="David"/>
                <w:sz w:val="26"/>
                <w:szCs w:val="26"/>
              </w:rPr>
            </w:pPr>
            <w:r w:rsidRPr="00EE37F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46C7D05" w14:textId="77777777" w:rsidR="00703FB7" w:rsidRPr="00EE37F4" w:rsidRDefault="00703FB7" w:rsidP="00E10D6F">
            <w:pPr>
              <w:rPr>
                <w:rFonts w:ascii="David" w:hAnsi="David"/>
                <w:b/>
                <w:bCs/>
                <w:sz w:val="26"/>
                <w:szCs w:val="26"/>
                <w:rtl/>
              </w:rPr>
            </w:pPr>
            <w:r w:rsidRPr="00EE37F4">
              <w:rPr>
                <w:rFonts w:ascii="David" w:hAnsi="David"/>
                <w:b/>
                <w:bCs/>
                <w:sz w:val="26"/>
                <w:szCs w:val="26"/>
                <w:rtl/>
              </w:rPr>
              <w:t>כבוד השופט  אלכס אחטר</w:t>
            </w:r>
          </w:p>
          <w:p w14:paraId="3105111E" w14:textId="77777777" w:rsidR="00703FB7" w:rsidRPr="00EE37F4" w:rsidRDefault="00703FB7" w:rsidP="00E10D6F">
            <w:pPr>
              <w:rPr>
                <w:rFonts w:ascii="David" w:hAnsi="David"/>
                <w:sz w:val="26"/>
                <w:szCs w:val="26"/>
                <w:rtl/>
              </w:rPr>
            </w:pPr>
          </w:p>
          <w:p w14:paraId="2A6E7FBF" w14:textId="77777777" w:rsidR="00703FB7" w:rsidRPr="00EE37F4" w:rsidRDefault="00703FB7" w:rsidP="00703FB7">
            <w:pPr>
              <w:jc w:val="both"/>
              <w:rPr>
                <w:rFonts w:ascii="David" w:hAnsi="David"/>
                <w:sz w:val="26"/>
                <w:szCs w:val="26"/>
              </w:rPr>
            </w:pPr>
          </w:p>
        </w:tc>
      </w:tr>
      <w:tr w:rsidR="00703FB7" w:rsidRPr="00EE37F4" w14:paraId="2584264E" w14:textId="77777777" w:rsidTr="00703FB7">
        <w:trPr>
          <w:trHeight w:val="355"/>
          <w:jc w:val="center"/>
        </w:trPr>
        <w:tc>
          <w:tcPr>
            <w:tcW w:w="923" w:type="dxa"/>
            <w:tcBorders>
              <w:top w:val="nil"/>
              <w:left w:val="nil"/>
              <w:bottom w:val="nil"/>
              <w:right w:val="nil"/>
            </w:tcBorders>
            <w:shd w:val="clear" w:color="auto" w:fill="auto"/>
          </w:tcPr>
          <w:p w14:paraId="425A0004" w14:textId="77777777" w:rsidR="00703FB7" w:rsidRPr="00EE37F4" w:rsidRDefault="00703FB7" w:rsidP="00703FB7">
            <w:pPr>
              <w:jc w:val="both"/>
              <w:rPr>
                <w:rFonts w:ascii="David" w:hAnsi="David"/>
                <w:sz w:val="26"/>
                <w:szCs w:val="26"/>
              </w:rPr>
            </w:pPr>
            <w:bookmarkStart w:id="2" w:name="FirstAppellant"/>
            <w:r w:rsidRPr="00EE37F4">
              <w:rPr>
                <w:rFonts w:ascii="David" w:hAnsi="David"/>
                <w:sz w:val="26"/>
                <w:szCs w:val="26"/>
                <w:rtl/>
              </w:rPr>
              <w:t>בעניין:</w:t>
            </w:r>
          </w:p>
        </w:tc>
        <w:tc>
          <w:tcPr>
            <w:tcW w:w="3219" w:type="dxa"/>
            <w:tcBorders>
              <w:top w:val="nil"/>
              <w:left w:val="nil"/>
              <w:bottom w:val="nil"/>
              <w:right w:val="nil"/>
            </w:tcBorders>
            <w:shd w:val="clear" w:color="auto" w:fill="auto"/>
          </w:tcPr>
          <w:p w14:paraId="11BF7026" w14:textId="77777777" w:rsidR="00703FB7" w:rsidRPr="00EE37F4" w:rsidRDefault="00703FB7" w:rsidP="00703FB7">
            <w:pPr>
              <w:suppressLineNumbers/>
            </w:pPr>
            <w:r w:rsidRPr="00EE37F4">
              <w:rPr>
                <w:rFonts w:ascii="Arial" w:hAnsi="Arial" w:hint="cs"/>
                <w:b/>
                <w:bCs/>
                <w:sz w:val="26"/>
                <w:szCs w:val="26"/>
                <w:rtl/>
              </w:rPr>
              <w:t>ה</w:t>
            </w:r>
            <w:r w:rsidRPr="00EE37F4">
              <w:rPr>
                <w:rFonts w:ascii="Arial" w:hAnsi="Arial"/>
                <w:b/>
                <w:bCs/>
                <w:sz w:val="26"/>
                <w:szCs w:val="26"/>
                <w:rtl/>
              </w:rPr>
              <w:t>מאשימה</w:t>
            </w:r>
          </w:p>
          <w:p w14:paraId="783E1B59" w14:textId="77777777" w:rsidR="00703FB7" w:rsidRPr="00EE37F4" w:rsidRDefault="00703FB7" w:rsidP="00E10D6F">
            <w:pPr>
              <w:rPr>
                <w:rFonts w:ascii="David" w:hAnsi="David"/>
                <w:sz w:val="26"/>
                <w:szCs w:val="26"/>
              </w:rPr>
            </w:pPr>
          </w:p>
        </w:tc>
        <w:tc>
          <w:tcPr>
            <w:tcW w:w="4678" w:type="dxa"/>
            <w:tcBorders>
              <w:top w:val="nil"/>
              <w:left w:val="nil"/>
              <w:bottom w:val="nil"/>
              <w:right w:val="nil"/>
            </w:tcBorders>
            <w:shd w:val="clear" w:color="auto" w:fill="auto"/>
            <w:vAlign w:val="center"/>
          </w:tcPr>
          <w:p w14:paraId="01AC125B" w14:textId="77777777" w:rsidR="00703FB7" w:rsidRPr="00EE37F4" w:rsidRDefault="00703FB7" w:rsidP="00703FB7">
            <w:pPr>
              <w:suppressLineNumbers/>
            </w:pPr>
            <w:r w:rsidRPr="00EE37F4">
              <w:rPr>
                <w:rFonts w:ascii="Arial" w:hAnsi="Arial"/>
                <w:b/>
                <w:bCs/>
                <w:sz w:val="26"/>
                <w:szCs w:val="26"/>
                <w:rtl/>
              </w:rPr>
              <w:t>מדינת ישראל</w:t>
            </w:r>
            <w:r w:rsidRPr="00EE37F4">
              <w:rPr>
                <w:rFonts w:ascii="Arial" w:hAnsi="Arial" w:hint="cs"/>
                <w:b/>
                <w:bCs/>
                <w:sz w:val="26"/>
                <w:szCs w:val="26"/>
                <w:rtl/>
              </w:rPr>
              <w:t xml:space="preserve"> ע"י ב"כ עו"ד דורית לוי פרנק</w:t>
            </w:r>
          </w:p>
          <w:p w14:paraId="4148EBA0" w14:textId="77777777" w:rsidR="00703FB7" w:rsidRPr="00EE37F4" w:rsidRDefault="00703FB7" w:rsidP="00E10D6F">
            <w:pPr>
              <w:rPr>
                <w:rFonts w:ascii="David" w:hAnsi="David"/>
                <w:sz w:val="26"/>
                <w:szCs w:val="26"/>
              </w:rPr>
            </w:pPr>
          </w:p>
        </w:tc>
      </w:tr>
      <w:bookmarkEnd w:id="2"/>
      <w:tr w:rsidR="00703FB7" w:rsidRPr="00EE37F4" w14:paraId="30746283" w14:textId="77777777" w:rsidTr="00703FB7">
        <w:trPr>
          <w:trHeight w:val="355"/>
          <w:jc w:val="center"/>
        </w:trPr>
        <w:tc>
          <w:tcPr>
            <w:tcW w:w="923" w:type="dxa"/>
            <w:tcBorders>
              <w:top w:val="nil"/>
              <w:left w:val="nil"/>
              <w:bottom w:val="nil"/>
              <w:right w:val="nil"/>
            </w:tcBorders>
            <w:shd w:val="clear" w:color="auto" w:fill="auto"/>
          </w:tcPr>
          <w:p w14:paraId="59BE4C43" w14:textId="77777777" w:rsidR="00703FB7" w:rsidRPr="00EE37F4" w:rsidRDefault="00703FB7" w:rsidP="00703FB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4807C94" w14:textId="77777777" w:rsidR="00703FB7" w:rsidRPr="00EE37F4" w:rsidRDefault="00703FB7" w:rsidP="00703FB7">
            <w:pPr>
              <w:jc w:val="center"/>
              <w:rPr>
                <w:rFonts w:ascii="David" w:hAnsi="David"/>
                <w:b/>
                <w:bCs/>
                <w:sz w:val="26"/>
                <w:szCs w:val="26"/>
                <w:rtl/>
              </w:rPr>
            </w:pPr>
          </w:p>
          <w:p w14:paraId="00383C98" w14:textId="77777777" w:rsidR="00703FB7" w:rsidRPr="00EE37F4" w:rsidRDefault="00703FB7" w:rsidP="00703FB7">
            <w:pPr>
              <w:jc w:val="center"/>
              <w:rPr>
                <w:rFonts w:ascii="David" w:hAnsi="David"/>
                <w:b/>
                <w:bCs/>
                <w:sz w:val="26"/>
                <w:szCs w:val="26"/>
                <w:rtl/>
              </w:rPr>
            </w:pPr>
            <w:r w:rsidRPr="00EE37F4">
              <w:rPr>
                <w:rFonts w:ascii="David" w:hAnsi="David"/>
                <w:b/>
                <w:bCs/>
                <w:sz w:val="26"/>
                <w:szCs w:val="26"/>
                <w:rtl/>
              </w:rPr>
              <w:t>נגד</w:t>
            </w:r>
          </w:p>
          <w:p w14:paraId="08794C65" w14:textId="77777777" w:rsidR="00703FB7" w:rsidRPr="00EE37F4" w:rsidRDefault="00703FB7" w:rsidP="00703FB7">
            <w:pPr>
              <w:jc w:val="both"/>
              <w:rPr>
                <w:rFonts w:ascii="David" w:hAnsi="David"/>
                <w:sz w:val="26"/>
                <w:szCs w:val="26"/>
              </w:rPr>
            </w:pPr>
          </w:p>
        </w:tc>
      </w:tr>
      <w:tr w:rsidR="00703FB7" w:rsidRPr="00EE37F4" w14:paraId="335F3028" w14:textId="77777777" w:rsidTr="00703FB7">
        <w:trPr>
          <w:trHeight w:val="355"/>
          <w:jc w:val="center"/>
        </w:trPr>
        <w:tc>
          <w:tcPr>
            <w:tcW w:w="923" w:type="dxa"/>
            <w:tcBorders>
              <w:top w:val="nil"/>
              <w:left w:val="nil"/>
              <w:bottom w:val="nil"/>
              <w:right w:val="nil"/>
            </w:tcBorders>
            <w:shd w:val="clear" w:color="auto" w:fill="auto"/>
          </w:tcPr>
          <w:p w14:paraId="7BF3F6B2" w14:textId="77777777" w:rsidR="00703FB7" w:rsidRPr="00EE37F4" w:rsidRDefault="00703FB7" w:rsidP="00E10D6F">
            <w:pPr>
              <w:rPr>
                <w:rFonts w:ascii="David" w:hAnsi="David"/>
                <w:sz w:val="26"/>
                <w:szCs w:val="26"/>
                <w:rtl/>
              </w:rPr>
            </w:pPr>
          </w:p>
        </w:tc>
        <w:tc>
          <w:tcPr>
            <w:tcW w:w="3219" w:type="dxa"/>
            <w:tcBorders>
              <w:top w:val="nil"/>
              <w:left w:val="nil"/>
              <w:bottom w:val="nil"/>
              <w:right w:val="nil"/>
            </w:tcBorders>
            <w:shd w:val="clear" w:color="auto" w:fill="auto"/>
          </w:tcPr>
          <w:p w14:paraId="594C07AE" w14:textId="77777777" w:rsidR="00703FB7" w:rsidRPr="00EE37F4" w:rsidRDefault="00703FB7" w:rsidP="00E10D6F">
            <w:pPr>
              <w:rPr>
                <w:rFonts w:ascii="Arial" w:hAnsi="Arial"/>
                <w:b/>
                <w:bCs/>
                <w:sz w:val="26"/>
                <w:szCs w:val="26"/>
                <w:rtl/>
              </w:rPr>
            </w:pPr>
            <w:r w:rsidRPr="00EE37F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4CF8DEE" w14:textId="77777777" w:rsidR="00703FB7" w:rsidRPr="00EE37F4" w:rsidRDefault="00703FB7" w:rsidP="00703FB7">
            <w:pPr>
              <w:suppressLineNumbers/>
            </w:pPr>
            <w:r w:rsidRPr="00EE37F4">
              <w:rPr>
                <w:rFonts w:ascii="Arial" w:hAnsi="Arial"/>
                <w:b/>
                <w:bCs/>
                <w:sz w:val="26"/>
                <w:szCs w:val="26"/>
                <w:rtl/>
              </w:rPr>
              <w:t>פאדי אבו שנדי (אסיר)</w:t>
            </w:r>
            <w:r w:rsidRPr="00EE37F4">
              <w:rPr>
                <w:rFonts w:ascii="Arial" w:hAnsi="Arial" w:hint="cs"/>
                <w:b/>
                <w:bCs/>
                <w:sz w:val="26"/>
                <w:szCs w:val="26"/>
                <w:rtl/>
              </w:rPr>
              <w:t xml:space="preserve"> ע"י ב"כ עו"ד מוחמד מסארווה</w:t>
            </w:r>
          </w:p>
          <w:p w14:paraId="3984B6A2" w14:textId="77777777" w:rsidR="00703FB7" w:rsidRPr="00EE37F4" w:rsidRDefault="00703FB7" w:rsidP="00E10D6F">
            <w:pPr>
              <w:rPr>
                <w:rFonts w:ascii="David" w:hAnsi="David"/>
                <w:sz w:val="26"/>
                <w:szCs w:val="26"/>
              </w:rPr>
            </w:pPr>
          </w:p>
        </w:tc>
      </w:tr>
      <w:tr w:rsidR="00703FB7" w:rsidRPr="00EE37F4" w14:paraId="240C7E9E" w14:textId="77777777" w:rsidTr="00703FB7">
        <w:trPr>
          <w:trHeight w:val="355"/>
          <w:jc w:val="center"/>
        </w:trPr>
        <w:tc>
          <w:tcPr>
            <w:tcW w:w="923" w:type="dxa"/>
            <w:tcBorders>
              <w:top w:val="nil"/>
              <w:left w:val="nil"/>
              <w:bottom w:val="nil"/>
              <w:right w:val="nil"/>
            </w:tcBorders>
            <w:shd w:val="clear" w:color="auto" w:fill="auto"/>
          </w:tcPr>
          <w:p w14:paraId="65C7370F" w14:textId="77777777" w:rsidR="00703FB7" w:rsidRPr="00EE37F4" w:rsidRDefault="00703FB7" w:rsidP="00703FB7">
            <w:pPr>
              <w:jc w:val="both"/>
              <w:rPr>
                <w:rFonts w:ascii="David" w:hAnsi="David"/>
                <w:sz w:val="26"/>
                <w:szCs w:val="26"/>
                <w:rtl/>
              </w:rPr>
            </w:pPr>
          </w:p>
        </w:tc>
        <w:tc>
          <w:tcPr>
            <w:tcW w:w="3219" w:type="dxa"/>
            <w:tcBorders>
              <w:top w:val="nil"/>
              <w:left w:val="nil"/>
              <w:bottom w:val="nil"/>
              <w:right w:val="nil"/>
            </w:tcBorders>
            <w:shd w:val="clear" w:color="auto" w:fill="auto"/>
          </w:tcPr>
          <w:p w14:paraId="2698340F" w14:textId="77777777" w:rsidR="00703FB7" w:rsidRPr="00EE37F4" w:rsidRDefault="00703FB7" w:rsidP="00703FB7">
            <w:pPr>
              <w:jc w:val="both"/>
              <w:rPr>
                <w:rFonts w:ascii="David" w:hAnsi="David"/>
                <w:sz w:val="26"/>
                <w:szCs w:val="26"/>
                <w:rtl/>
              </w:rPr>
            </w:pPr>
          </w:p>
        </w:tc>
        <w:tc>
          <w:tcPr>
            <w:tcW w:w="4678" w:type="dxa"/>
            <w:tcBorders>
              <w:top w:val="nil"/>
              <w:left w:val="nil"/>
              <w:bottom w:val="nil"/>
              <w:right w:val="nil"/>
            </w:tcBorders>
            <w:shd w:val="clear" w:color="auto" w:fill="auto"/>
          </w:tcPr>
          <w:p w14:paraId="3811F5B9" w14:textId="77777777" w:rsidR="00703FB7" w:rsidRPr="00EE37F4" w:rsidRDefault="00703FB7" w:rsidP="00703FB7">
            <w:pPr>
              <w:jc w:val="right"/>
              <w:rPr>
                <w:rFonts w:ascii="David" w:hAnsi="David"/>
                <w:sz w:val="26"/>
                <w:szCs w:val="26"/>
              </w:rPr>
            </w:pPr>
          </w:p>
        </w:tc>
      </w:tr>
    </w:tbl>
    <w:p w14:paraId="0E624706" w14:textId="77777777" w:rsidR="00E77ABF" w:rsidRPr="00E77ABF" w:rsidRDefault="00E77ABF" w:rsidP="00E77ABF">
      <w:pPr>
        <w:spacing w:before="120" w:after="120" w:line="240" w:lineRule="exact"/>
        <w:ind w:left="283" w:hanging="283"/>
        <w:jc w:val="both"/>
        <w:rPr>
          <w:rFonts w:ascii="FrankRuehl" w:hAnsi="FrankRuehl" w:cs="FrankRuehl"/>
          <w:rtl/>
        </w:rPr>
      </w:pPr>
    </w:p>
    <w:p w14:paraId="6B4B5990" w14:textId="77777777" w:rsidR="004B0EE2" w:rsidRDefault="004B0EE2" w:rsidP="004B0EE2">
      <w:pPr>
        <w:rPr>
          <w:sz w:val="26"/>
          <w:szCs w:val="26"/>
          <w:rtl/>
        </w:rPr>
      </w:pPr>
      <w:bookmarkStart w:id="3" w:name="LawTable"/>
      <w:bookmarkEnd w:id="3"/>
    </w:p>
    <w:p w14:paraId="44B7E5D8" w14:textId="77777777" w:rsidR="004B0EE2" w:rsidRPr="004B0EE2" w:rsidRDefault="004B0EE2" w:rsidP="004B0EE2">
      <w:pPr>
        <w:spacing w:before="120" w:after="120" w:line="240" w:lineRule="exact"/>
        <w:ind w:left="283" w:hanging="283"/>
        <w:jc w:val="both"/>
        <w:rPr>
          <w:rFonts w:ascii="FrankRuehl" w:hAnsi="FrankRuehl" w:cs="FrankRuehl"/>
          <w:rtl/>
        </w:rPr>
      </w:pPr>
    </w:p>
    <w:p w14:paraId="5DF9651C" w14:textId="77777777" w:rsidR="004B0EE2" w:rsidRPr="004B0EE2" w:rsidRDefault="004B0EE2" w:rsidP="004B0EE2">
      <w:pPr>
        <w:spacing w:before="120" w:after="120" w:line="240" w:lineRule="exact"/>
        <w:ind w:left="283" w:hanging="283"/>
        <w:jc w:val="both"/>
        <w:rPr>
          <w:rFonts w:ascii="FrankRuehl" w:hAnsi="FrankRuehl" w:cs="FrankRuehl"/>
          <w:rtl/>
        </w:rPr>
      </w:pPr>
    </w:p>
    <w:p w14:paraId="43A8D49D" w14:textId="77777777" w:rsidR="004B0EE2" w:rsidRPr="004B0EE2" w:rsidRDefault="004B0EE2" w:rsidP="004B0EE2">
      <w:pPr>
        <w:spacing w:before="120" w:after="120" w:line="240" w:lineRule="exact"/>
        <w:ind w:left="283" w:hanging="283"/>
        <w:jc w:val="both"/>
        <w:rPr>
          <w:rFonts w:ascii="FrankRuehl" w:hAnsi="FrankRuehl" w:cs="FrankRuehl"/>
          <w:rtl/>
        </w:rPr>
      </w:pPr>
      <w:r w:rsidRPr="004B0EE2">
        <w:rPr>
          <w:rFonts w:ascii="FrankRuehl" w:hAnsi="FrankRuehl" w:cs="FrankRuehl"/>
          <w:rtl/>
        </w:rPr>
        <w:t xml:space="preserve">חקיקה שאוזכרה: </w:t>
      </w:r>
    </w:p>
    <w:p w14:paraId="3EF16506" w14:textId="77777777" w:rsidR="004B0EE2" w:rsidRPr="004B0EE2" w:rsidRDefault="004B0EE2" w:rsidP="004B0EE2">
      <w:pPr>
        <w:spacing w:before="120" w:after="120" w:line="240" w:lineRule="exact"/>
        <w:ind w:left="283" w:hanging="283"/>
        <w:jc w:val="both"/>
        <w:rPr>
          <w:rFonts w:ascii="FrankRuehl" w:hAnsi="FrankRuehl" w:cs="FrankRuehl"/>
          <w:rtl/>
        </w:rPr>
      </w:pPr>
      <w:hyperlink r:id="rId7" w:history="1">
        <w:r w:rsidRPr="004B0EE2">
          <w:rPr>
            <w:rFonts w:ascii="FrankRuehl" w:hAnsi="FrankRuehl" w:cs="FrankRuehl"/>
            <w:color w:val="0000FF"/>
            <w:rtl/>
          </w:rPr>
          <w:t>חוק העונשין, תשל"ז-1977</w:t>
        </w:r>
      </w:hyperlink>
      <w:r w:rsidRPr="004B0EE2">
        <w:rPr>
          <w:rFonts w:ascii="FrankRuehl" w:hAnsi="FrankRuehl" w:cs="FrankRuehl"/>
          <w:rtl/>
        </w:rPr>
        <w:t xml:space="preserve">: סע'  </w:t>
      </w:r>
      <w:hyperlink r:id="rId8" w:history="1">
        <w:r w:rsidRPr="004B0EE2">
          <w:rPr>
            <w:rFonts w:ascii="FrankRuehl" w:hAnsi="FrankRuehl" w:cs="FrankRuehl"/>
            <w:color w:val="0000FF"/>
            <w:rtl/>
          </w:rPr>
          <w:t>29</w:t>
        </w:r>
      </w:hyperlink>
      <w:r w:rsidRPr="004B0EE2">
        <w:rPr>
          <w:rFonts w:ascii="FrankRuehl" w:hAnsi="FrankRuehl" w:cs="FrankRuehl"/>
          <w:rtl/>
        </w:rPr>
        <w:t xml:space="preserve">, </w:t>
      </w:r>
      <w:hyperlink r:id="rId9" w:history="1">
        <w:r w:rsidRPr="004B0EE2">
          <w:rPr>
            <w:rFonts w:ascii="FrankRuehl" w:hAnsi="FrankRuehl" w:cs="FrankRuehl"/>
            <w:color w:val="0000FF"/>
            <w:rtl/>
          </w:rPr>
          <w:t>144</w:t>
        </w:r>
      </w:hyperlink>
      <w:r w:rsidRPr="004B0EE2">
        <w:rPr>
          <w:rFonts w:ascii="FrankRuehl" w:hAnsi="FrankRuehl" w:cs="FrankRuehl"/>
          <w:rtl/>
        </w:rPr>
        <w:t xml:space="preserve">, </w:t>
      </w:r>
      <w:hyperlink r:id="rId10" w:history="1">
        <w:r w:rsidRPr="004B0EE2">
          <w:rPr>
            <w:rFonts w:ascii="FrankRuehl" w:hAnsi="FrankRuehl" w:cs="FrankRuehl"/>
            <w:color w:val="0000FF"/>
            <w:rtl/>
          </w:rPr>
          <w:t>152</w:t>
        </w:r>
      </w:hyperlink>
      <w:r w:rsidRPr="004B0EE2">
        <w:rPr>
          <w:rFonts w:ascii="FrankRuehl" w:hAnsi="FrankRuehl" w:cs="FrankRuehl"/>
          <w:rtl/>
        </w:rPr>
        <w:t xml:space="preserve">, </w:t>
      </w:r>
      <w:hyperlink r:id="rId11" w:history="1">
        <w:r w:rsidRPr="004B0EE2">
          <w:rPr>
            <w:rFonts w:ascii="FrankRuehl" w:hAnsi="FrankRuehl" w:cs="FrankRuehl"/>
            <w:color w:val="0000FF"/>
            <w:rtl/>
          </w:rPr>
          <w:t>274.1.</w:t>
        </w:r>
      </w:hyperlink>
      <w:r w:rsidRPr="004B0EE2">
        <w:rPr>
          <w:rFonts w:ascii="FrankRuehl" w:hAnsi="FrankRuehl" w:cs="FrankRuehl"/>
          <w:rtl/>
        </w:rPr>
        <w:t xml:space="preserve">, </w:t>
      </w:r>
      <w:hyperlink r:id="rId12" w:history="1">
        <w:r w:rsidRPr="004B0EE2">
          <w:rPr>
            <w:rFonts w:ascii="FrankRuehl" w:hAnsi="FrankRuehl" w:cs="FrankRuehl"/>
            <w:color w:val="0000FF"/>
            <w:rtl/>
          </w:rPr>
          <w:t>274.2.</w:t>
        </w:r>
      </w:hyperlink>
      <w:r w:rsidRPr="004B0EE2">
        <w:rPr>
          <w:rFonts w:ascii="FrankRuehl" w:hAnsi="FrankRuehl" w:cs="FrankRuehl"/>
          <w:rtl/>
        </w:rPr>
        <w:t xml:space="preserve">, </w:t>
      </w:r>
      <w:hyperlink r:id="rId13" w:history="1">
        <w:r w:rsidRPr="004B0EE2">
          <w:rPr>
            <w:rFonts w:ascii="FrankRuehl" w:hAnsi="FrankRuehl" w:cs="FrankRuehl"/>
            <w:color w:val="0000FF"/>
            <w:rtl/>
          </w:rPr>
          <w:t>274.3</w:t>
        </w:r>
      </w:hyperlink>
    </w:p>
    <w:p w14:paraId="4DBD76CA" w14:textId="77777777" w:rsidR="004B0EE2" w:rsidRPr="004B0EE2" w:rsidRDefault="004B0EE2" w:rsidP="004B0EE2">
      <w:pPr>
        <w:rPr>
          <w:sz w:val="26"/>
          <w:szCs w:val="26"/>
          <w:rtl/>
        </w:rPr>
      </w:pPr>
      <w:bookmarkStart w:id="4" w:name="LawTable_End"/>
      <w:bookmarkEnd w:id="4"/>
    </w:p>
    <w:p w14:paraId="7882F487" w14:textId="77777777" w:rsidR="00703FB7" w:rsidRPr="00E77ABF" w:rsidRDefault="00703FB7" w:rsidP="00E77AB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3FB7" w14:paraId="69FD1DEE" w14:textId="77777777" w:rsidTr="00703FB7">
        <w:trPr>
          <w:trHeight w:val="355"/>
          <w:jc w:val="center"/>
        </w:trPr>
        <w:tc>
          <w:tcPr>
            <w:tcW w:w="8820" w:type="dxa"/>
            <w:tcBorders>
              <w:top w:val="nil"/>
              <w:left w:val="nil"/>
              <w:bottom w:val="nil"/>
              <w:right w:val="nil"/>
            </w:tcBorders>
            <w:shd w:val="clear" w:color="auto" w:fill="auto"/>
          </w:tcPr>
          <w:p w14:paraId="52EBD461" w14:textId="77777777" w:rsidR="00EE37F4" w:rsidRPr="00EE37F4" w:rsidRDefault="00EE37F4" w:rsidP="00EE37F4">
            <w:pPr>
              <w:jc w:val="center"/>
              <w:rPr>
                <w:rFonts w:ascii="David" w:hAnsi="David"/>
                <w:b/>
                <w:bCs/>
                <w:sz w:val="32"/>
                <w:szCs w:val="32"/>
                <w:u w:val="single"/>
                <w:rtl/>
              </w:rPr>
            </w:pPr>
            <w:bookmarkStart w:id="5" w:name="PsakDin" w:colFirst="0" w:colLast="0"/>
            <w:bookmarkEnd w:id="0"/>
            <w:bookmarkEnd w:id="1"/>
            <w:r w:rsidRPr="00EE37F4">
              <w:rPr>
                <w:rFonts w:ascii="David" w:hAnsi="David"/>
                <w:b/>
                <w:bCs/>
                <w:sz w:val="32"/>
                <w:szCs w:val="32"/>
                <w:u w:val="single"/>
                <w:rtl/>
              </w:rPr>
              <w:t>גזר דין</w:t>
            </w:r>
          </w:p>
          <w:p w14:paraId="3C3F7876" w14:textId="77777777" w:rsidR="00703FB7" w:rsidRPr="00EE37F4" w:rsidRDefault="00703FB7" w:rsidP="00EE37F4">
            <w:pPr>
              <w:jc w:val="center"/>
              <w:rPr>
                <w:rFonts w:ascii="David" w:hAnsi="David"/>
                <w:bCs/>
                <w:sz w:val="32"/>
                <w:szCs w:val="32"/>
                <w:u w:val="single"/>
                <w:rtl/>
              </w:rPr>
            </w:pPr>
          </w:p>
        </w:tc>
      </w:tr>
      <w:bookmarkEnd w:id="5"/>
    </w:tbl>
    <w:p w14:paraId="2E723636" w14:textId="77777777" w:rsidR="00703FB7" w:rsidRPr="000F2247" w:rsidRDefault="00703FB7" w:rsidP="00703FB7">
      <w:pPr>
        <w:rPr>
          <w:rFonts w:ascii="Arial" w:hAnsi="Arial"/>
          <w:b/>
          <w:bCs/>
          <w:sz w:val="26"/>
          <w:szCs w:val="26"/>
          <w:rtl/>
        </w:rPr>
      </w:pPr>
    </w:p>
    <w:p w14:paraId="6E968E08" w14:textId="77777777" w:rsidR="00703FB7" w:rsidRDefault="00703FB7" w:rsidP="00703FB7">
      <w:pPr>
        <w:spacing w:line="360" w:lineRule="auto"/>
        <w:jc w:val="both"/>
        <w:rPr>
          <w:rFonts w:ascii="Arial" w:hAnsi="Arial"/>
          <w:sz w:val="26"/>
          <w:szCs w:val="26"/>
          <w:rtl/>
        </w:rPr>
      </w:pPr>
      <w:bookmarkStart w:id="6" w:name="ABSTRACT_START"/>
      <w:bookmarkEnd w:id="6"/>
      <w:r>
        <w:rPr>
          <w:rFonts w:ascii="Arial" w:hAnsi="Arial" w:hint="cs"/>
          <w:sz w:val="26"/>
          <w:szCs w:val="26"/>
          <w:rtl/>
        </w:rPr>
        <w:t xml:space="preserve">הנאשם הורשע על פי הודאתו בעבירות המיוחסות לו בכתב האישום המתוקן וזאת במסגרת תיקון כתב האישום מיום 10/3/22, תיקון אשר מקורו במשא ומתן שהתנהל בין הצדדים. </w:t>
      </w:r>
    </w:p>
    <w:p w14:paraId="20D3AFA3" w14:textId="77777777" w:rsidR="00703FB7" w:rsidRDefault="00703FB7" w:rsidP="00703FB7">
      <w:pPr>
        <w:spacing w:line="360" w:lineRule="auto"/>
        <w:jc w:val="both"/>
        <w:rPr>
          <w:rFonts w:ascii="Arial" w:hAnsi="Arial"/>
          <w:sz w:val="26"/>
          <w:szCs w:val="26"/>
          <w:rtl/>
        </w:rPr>
      </w:pPr>
      <w:bookmarkStart w:id="7" w:name="ABSTRACT_END"/>
      <w:bookmarkEnd w:id="7"/>
    </w:p>
    <w:p w14:paraId="7405B4E3"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בהתאם להכרעת הדין ולאור תיקון כתב האישום הורשע הנאשם בעבירות של תקיפת שוטר בנסיבות מחמירות, עבירה לפי סעיף </w:t>
      </w:r>
      <w:hyperlink r:id="rId14" w:history="1">
        <w:r w:rsidR="007A512C" w:rsidRPr="007A512C">
          <w:rPr>
            <w:rStyle w:val="Hyperlink"/>
            <w:rFonts w:ascii="Arial" w:hAnsi="Arial"/>
            <w:sz w:val="26"/>
            <w:szCs w:val="26"/>
            <w:rtl/>
          </w:rPr>
          <w:t>274(1)+(2)+(3)</w:t>
        </w:r>
      </w:hyperlink>
      <w:r>
        <w:rPr>
          <w:rFonts w:ascii="Arial" w:hAnsi="Arial" w:hint="cs"/>
          <w:sz w:val="26"/>
          <w:szCs w:val="26"/>
          <w:rtl/>
        </w:rPr>
        <w:t>+</w:t>
      </w:r>
      <w:hyperlink r:id="rId15" w:history="1">
        <w:r w:rsidR="007A512C" w:rsidRPr="007A512C">
          <w:rPr>
            <w:rStyle w:val="Hyperlink"/>
            <w:rFonts w:ascii="Arial" w:hAnsi="Arial" w:hint="eastAsia"/>
            <w:sz w:val="26"/>
            <w:szCs w:val="26"/>
            <w:rtl/>
          </w:rPr>
          <w:t>סעיף</w:t>
        </w:r>
        <w:r w:rsidR="007A512C" w:rsidRPr="007A512C">
          <w:rPr>
            <w:rStyle w:val="Hyperlink"/>
            <w:rFonts w:ascii="Arial" w:hAnsi="Arial"/>
            <w:sz w:val="26"/>
            <w:szCs w:val="26"/>
            <w:rtl/>
          </w:rPr>
          <w:t xml:space="preserve"> 29</w:t>
        </w:r>
      </w:hyperlink>
      <w:r>
        <w:rPr>
          <w:rFonts w:ascii="Arial" w:hAnsi="Arial" w:hint="cs"/>
          <w:sz w:val="26"/>
          <w:szCs w:val="26"/>
          <w:rtl/>
        </w:rPr>
        <w:t xml:space="preserve"> ל</w:t>
      </w:r>
      <w:hyperlink r:id="rId16" w:history="1">
        <w:r w:rsidR="00EE37F4" w:rsidRPr="00EE37F4">
          <w:rPr>
            <w:rFonts w:ascii="Arial" w:hAnsi="Arial"/>
            <w:color w:val="0000FF"/>
            <w:sz w:val="26"/>
            <w:szCs w:val="26"/>
            <w:u w:val="single"/>
            <w:rtl/>
          </w:rPr>
          <w:t>חוק העונשין</w:t>
        </w:r>
      </w:hyperlink>
      <w:r>
        <w:rPr>
          <w:rFonts w:ascii="Arial" w:hAnsi="Arial" w:hint="cs"/>
          <w:sz w:val="26"/>
          <w:szCs w:val="26"/>
          <w:rtl/>
        </w:rPr>
        <w:t xml:space="preserve"> ובגין עבירה של התפרעות, עבירה לפי </w:t>
      </w:r>
      <w:hyperlink r:id="rId17" w:history="1">
        <w:r w:rsidR="007A512C" w:rsidRPr="007A512C">
          <w:rPr>
            <w:rStyle w:val="Hyperlink"/>
            <w:rFonts w:ascii="Arial" w:hAnsi="Arial" w:hint="eastAsia"/>
            <w:sz w:val="26"/>
            <w:szCs w:val="26"/>
            <w:rtl/>
          </w:rPr>
          <w:t>סעיף</w:t>
        </w:r>
        <w:r w:rsidR="007A512C" w:rsidRPr="007A512C">
          <w:rPr>
            <w:rStyle w:val="Hyperlink"/>
            <w:rFonts w:ascii="Arial" w:hAnsi="Arial"/>
            <w:sz w:val="26"/>
            <w:szCs w:val="26"/>
            <w:rtl/>
          </w:rPr>
          <w:t xml:space="preserve"> 152</w:t>
        </w:r>
      </w:hyperlink>
      <w:r>
        <w:rPr>
          <w:rFonts w:ascii="Arial" w:hAnsi="Arial" w:hint="cs"/>
          <w:sz w:val="26"/>
          <w:szCs w:val="26"/>
          <w:rtl/>
        </w:rPr>
        <w:t xml:space="preserve"> לחוק העונשין, הכל כעולה מעובדות כתב האישום המתוקן מיום 10/3/22. </w:t>
      </w:r>
    </w:p>
    <w:p w14:paraId="19F95CE8" w14:textId="77777777" w:rsidR="00703FB7" w:rsidRDefault="00703FB7" w:rsidP="00703FB7">
      <w:pPr>
        <w:spacing w:line="360" w:lineRule="auto"/>
        <w:jc w:val="both"/>
        <w:rPr>
          <w:rFonts w:ascii="Arial" w:hAnsi="Arial"/>
          <w:sz w:val="26"/>
          <w:szCs w:val="26"/>
          <w:rtl/>
        </w:rPr>
      </w:pPr>
    </w:p>
    <w:p w14:paraId="0E6DEE40"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בין הצדדים לא גובשה הסכמה לעניין העונש אשר ראוי ויוטל על הנאשם ובהתאם להסכמת הצדדים נדחתה ישיבת הטיעונים לעונש ליום 28/4/22. </w:t>
      </w:r>
    </w:p>
    <w:p w14:paraId="2A59C90B" w14:textId="77777777" w:rsidR="00703FB7" w:rsidRDefault="00703FB7" w:rsidP="00703FB7">
      <w:pPr>
        <w:spacing w:line="360" w:lineRule="auto"/>
        <w:jc w:val="both"/>
        <w:rPr>
          <w:rFonts w:ascii="Arial" w:hAnsi="Arial"/>
          <w:sz w:val="26"/>
          <w:szCs w:val="26"/>
          <w:rtl/>
        </w:rPr>
      </w:pPr>
    </w:p>
    <w:p w14:paraId="518282E3" w14:textId="77777777" w:rsidR="00703FB7" w:rsidRDefault="00703FB7" w:rsidP="00703FB7">
      <w:pPr>
        <w:spacing w:line="360" w:lineRule="auto"/>
        <w:jc w:val="both"/>
        <w:rPr>
          <w:rFonts w:ascii="Arial" w:hAnsi="Arial"/>
          <w:b/>
          <w:bCs/>
          <w:sz w:val="26"/>
          <w:szCs w:val="26"/>
          <w:u w:val="single"/>
          <w:rtl/>
        </w:rPr>
      </w:pPr>
      <w:r>
        <w:rPr>
          <w:rFonts w:ascii="Arial" w:hAnsi="Arial" w:hint="cs"/>
          <w:b/>
          <w:bCs/>
          <w:sz w:val="26"/>
          <w:szCs w:val="26"/>
          <w:u w:val="single"/>
          <w:rtl/>
        </w:rPr>
        <w:t xml:space="preserve">טיעוני המאשימה לעונש: </w:t>
      </w:r>
    </w:p>
    <w:p w14:paraId="16E41AC8"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במסגרת טיעוניה, עתרה המאשימה לקביעת מתחם ענישה בגין העבירות בהן הורשע הנאשם בין 18-36 חודשי מאסר בפועל לצד ענישה הצופה פני עתיד. </w:t>
      </w:r>
    </w:p>
    <w:p w14:paraId="47E415BD" w14:textId="77777777" w:rsidR="00703FB7" w:rsidRDefault="00703FB7" w:rsidP="00703FB7">
      <w:pPr>
        <w:spacing w:line="360" w:lineRule="auto"/>
        <w:jc w:val="both"/>
        <w:rPr>
          <w:rFonts w:ascii="Arial" w:hAnsi="Arial"/>
          <w:sz w:val="26"/>
          <w:szCs w:val="26"/>
          <w:rtl/>
        </w:rPr>
      </w:pPr>
    </w:p>
    <w:p w14:paraId="1422DE83"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ב"כ המאשימה טענה במסגרת טיעוניה, כי בהתאם לנסיבות ולעובדות המפורטות בכתב האישום המתוקן, השתתף הנאשם בהתפרעויות על רקע מבצע שומר חומות, במהלכן של התפרעויות אלה הושלחו צמיגים לכביש, זיקוקים, בקבוקי תבערה ויודו אבנים לעבר רכבי השוטרים, בנסיבות אלה הנאשם יחד עם אחרים זרק מספר אבנים לעבר שוטר אשר פגעו ברגלו, והנאשם נעצר רק לאחר ניהול מרדף בעקבותיו. </w:t>
      </w:r>
    </w:p>
    <w:p w14:paraId="18BEFBD1" w14:textId="77777777" w:rsidR="00703FB7" w:rsidRDefault="00703FB7" w:rsidP="00703FB7">
      <w:pPr>
        <w:spacing w:line="360" w:lineRule="auto"/>
        <w:jc w:val="both"/>
        <w:rPr>
          <w:rFonts w:ascii="Arial" w:hAnsi="Arial"/>
          <w:sz w:val="26"/>
          <w:szCs w:val="26"/>
          <w:rtl/>
        </w:rPr>
      </w:pPr>
    </w:p>
    <w:p w14:paraId="71CF4B8D"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לעמדת המאשימה הערכים אשר נפגעו כתוצאה ממעשי הנאשם הן פגיעה בשלטון החוק, האינטרס של השמירה על הסדר הציבורי ושמירה על שלומם כבודם וביטחונם של אנשי החוק והמשטרה. </w:t>
      </w:r>
    </w:p>
    <w:p w14:paraId="38925D21" w14:textId="77777777" w:rsidR="00703FB7" w:rsidRDefault="00703FB7" w:rsidP="00703FB7">
      <w:pPr>
        <w:spacing w:line="360" w:lineRule="auto"/>
        <w:jc w:val="both"/>
        <w:rPr>
          <w:rFonts w:ascii="Arial" w:hAnsi="Arial"/>
          <w:sz w:val="26"/>
          <w:szCs w:val="26"/>
          <w:rtl/>
        </w:rPr>
      </w:pPr>
    </w:p>
    <w:p w14:paraId="620B8D08"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המאשימה תמכה את טיעוניה בפסיקה, וציינה כי בנסיבות ביצוע העבירות  של מקרה זה, ניתן ללמוד כי מעשיו של הנאשם מצוי ברף החמור והגבוה וזאת בין היתר לאור העובדה שהעבירות בוצעו בצוותא בשותפות עם רבים אחרים, תוך שימוש בנשק חם והנזקים שנגרמו מביצוע העבירות ומהשתתפותו של הנאשם בהתפרעויות ילוו את תושבי המדינה ובכללם אנשי הביטחון גם לאחר שוך הסערה. עוד צוין כי מדובר בעבירות אשר בוצעו על רקע אידאולוגי לאומני וכמובן שהנאשם יכול היה להתעלם מנוכחות במקום ומהשתתפותו באירועים אלה. </w:t>
      </w:r>
    </w:p>
    <w:p w14:paraId="702E6822" w14:textId="77777777" w:rsidR="00703FB7" w:rsidRDefault="00703FB7" w:rsidP="00703FB7">
      <w:pPr>
        <w:spacing w:line="360" w:lineRule="auto"/>
        <w:jc w:val="both"/>
        <w:rPr>
          <w:rFonts w:ascii="Arial" w:hAnsi="Arial"/>
          <w:sz w:val="26"/>
          <w:szCs w:val="26"/>
          <w:rtl/>
        </w:rPr>
      </w:pPr>
    </w:p>
    <w:p w14:paraId="3F5DE6B3"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באשר לנסיבות שאינן קשורות לביצוע העבירה, הדגישה ב"כ המאשימה בטיעוניה שהנאשם אכן הודה, חסך זמן שיפוטי יקר, אך בד בבד לא ניתן להתעלם מעברו הפלילי כפי שהדבר מתבטא בת/1, לנאשם 4 הרשעות קודמות מהן 2 מאוחרות להליך זה. </w:t>
      </w:r>
    </w:p>
    <w:p w14:paraId="10682EBB" w14:textId="77777777" w:rsidR="00703FB7" w:rsidRDefault="00703FB7" w:rsidP="00703FB7">
      <w:pPr>
        <w:spacing w:line="360" w:lineRule="auto"/>
        <w:jc w:val="both"/>
        <w:rPr>
          <w:rFonts w:ascii="Arial" w:hAnsi="Arial"/>
          <w:sz w:val="26"/>
          <w:szCs w:val="26"/>
          <w:rtl/>
        </w:rPr>
      </w:pPr>
    </w:p>
    <w:p w14:paraId="07D57D46"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כך גם נטען שהנאשם ריצה בעברו עונשי מאסר בגין עבירות אלימות כך שניתן ללמוד שדרכו של הנאשם הייתה ונותרה עבריינית. </w:t>
      </w:r>
    </w:p>
    <w:p w14:paraId="2433A8E5" w14:textId="77777777" w:rsidR="00703FB7" w:rsidRDefault="00703FB7" w:rsidP="00703FB7">
      <w:pPr>
        <w:spacing w:line="360" w:lineRule="auto"/>
        <w:jc w:val="both"/>
        <w:rPr>
          <w:rFonts w:ascii="Arial" w:hAnsi="Arial"/>
          <w:sz w:val="26"/>
          <w:szCs w:val="26"/>
          <w:rtl/>
        </w:rPr>
      </w:pPr>
    </w:p>
    <w:p w14:paraId="6CE31116"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בנסיבות אלה ביקשה ב"כ המאשימה למקם את עונשו של הנאשם בתוך המתחם בחלק העליון, בצירוף הטלת ענישה נלווית צופה פני עתיד וקנס. </w:t>
      </w:r>
    </w:p>
    <w:p w14:paraId="5E136629" w14:textId="77777777" w:rsidR="00703FB7" w:rsidRDefault="00703FB7" w:rsidP="00703FB7">
      <w:pPr>
        <w:spacing w:line="360" w:lineRule="auto"/>
        <w:jc w:val="both"/>
        <w:rPr>
          <w:rFonts w:ascii="Arial" w:hAnsi="Arial"/>
          <w:sz w:val="26"/>
          <w:szCs w:val="26"/>
          <w:rtl/>
        </w:rPr>
      </w:pPr>
    </w:p>
    <w:p w14:paraId="294325C3" w14:textId="77777777" w:rsidR="00703FB7" w:rsidRPr="00781990" w:rsidRDefault="00703FB7" w:rsidP="00703FB7">
      <w:pPr>
        <w:spacing w:line="360" w:lineRule="auto"/>
        <w:jc w:val="both"/>
        <w:rPr>
          <w:rFonts w:ascii="Arial" w:hAnsi="Arial"/>
          <w:b/>
          <w:bCs/>
          <w:sz w:val="26"/>
          <w:szCs w:val="26"/>
          <w:u w:val="single"/>
          <w:rtl/>
        </w:rPr>
      </w:pPr>
      <w:r w:rsidRPr="00781990">
        <w:rPr>
          <w:rFonts w:ascii="Arial" w:hAnsi="Arial" w:hint="cs"/>
          <w:b/>
          <w:bCs/>
          <w:sz w:val="26"/>
          <w:szCs w:val="26"/>
          <w:u w:val="single"/>
          <w:rtl/>
        </w:rPr>
        <w:lastRenderedPageBreak/>
        <w:t xml:space="preserve">טיעוני ב"כ הנאשם לעונש: </w:t>
      </w:r>
    </w:p>
    <w:p w14:paraId="100C6EC7" w14:textId="77777777" w:rsidR="00703FB7" w:rsidRDefault="00703FB7" w:rsidP="00703FB7">
      <w:pPr>
        <w:spacing w:line="360" w:lineRule="auto"/>
        <w:jc w:val="both"/>
        <w:rPr>
          <w:rFonts w:ascii="Arial" w:hAnsi="Arial"/>
          <w:sz w:val="26"/>
          <w:szCs w:val="26"/>
          <w:rtl/>
        </w:rPr>
      </w:pPr>
      <w:r w:rsidRPr="00781990">
        <w:rPr>
          <w:rFonts w:ascii="Arial" w:hAnsi="Arial" w:hint="cs"/>
          <w:sz w:val="26"/>
          <w:szCs w:val="26"/>
          <w:rtl/>
        </w:rPr>
        <w:t xml:space="preserve">ב"כ הנאשם </w:t>
      </w:r>
      <w:r>
        <w:rPr>
          <w:rFonts w:ascii="Arial" w:hAnsi="Arial" w:hint="cs"/>
          <w:sz w:val="26"/>
          <w:szCs w:val="26"/>
          <w:rtl/>
        </w:rPr>
        <w:t xml:space="preserve"> ציין במסגרת טיעוניו כי מתחם העונש ההולם למעשי העבירות בהן הורשע הנאשם נע בין 3-15 עונשי מאסר, לצד ענישה הצופה פני עתיד, כתימוכין לכך הפנה את בית המשפט לפסיקה מתאימה, כך גם ציין ב"כ הנאשם כי האירוע מושא הליך זה שלפני התרחש בכפר קרע, ולא במקום שבו התרחשו רוב המהומות, לדבריו לא הייתה סכנה ממשית של פגיעה באזרחים יהודיים, שכן האירוע ארע בכפר עצמו. </w:t>
      </w:r>
    </w:p>
    <w:p w14:paraId="48027FF7"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ב"כ הנאשם ציין שמרשו אכן הודה בעבירות המיוחסות לו בכתב האישום המתוקן, אך ביקש להדגיש שהשוטר הנפגע לא נזקק לטיפול רפואי. </w:t>
      </w:r>
    </w:p>
    <w:p w14:paraId="22F3FF00" w14:textId="77777777" w:rsidR="00703FB7" w:rsidRDefault="00703FB7" w:rsidP="00703FB7">
      <w:pPr>
        <w:spacing w:line="360" w:lineRule="auto"/>
        <w:jc w:val="both"/>
        <w:rPr>
          <w:rFonts w:ascii="Arial" w:hAnsi="Arial"/>
          <w:sz w:val="26"/>
          <w:szCs w:val="26"/>
          <w:rtl/>
        </w:rPr>
      </w:pPr>
    </w:p>
    <w:p w14:paraId="058A556E"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באשר לנסיבות הנאשם הודגש כי הנאשם גדל במשפחה קשת יום, אביו נפטר לפני שנה, אמו לא עובדת, הנאשם עצמו לא למד בבית ספר רגיל אלא בבית ספר לחינוך מיוחד וזאת עד לכיתה י"א ולאחר שסיים את הלימודים החל לעזור בפרנסת המשפחה. </w:t>
      </w:r>
    </w:p>
    <w:p w14:paraId="26FC19CE" w14:textId="77777777" w:rsidR="00703FB7" w:rsidRDefault="00703FB7" w:rsidP="00703FB7">
      <w:pPr>
        <w:spacing w:line="360" w:lineRule="auto"/>
        <w:jc w:val="both"/>
        <w:rPr>
          <w:rFonts w:ascii="Arial" w:hAnsi="Arial"/>
          <w:sz w:val="26"/>
          <w:szCs w:val="26"/>
          <w:rtl/>
        </w:rPr>
      </w:pPr>
    </w:p>
    <w:p w14:paraId="3076BA32"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ב"כ הנאשם ביקש להדגיש שבמקרה זה לא ייחסה המאשימה לנאשם עבירות על חוק המאבק בטרור כך גם לא יוחסה לו עבירה לפי </w:t>
      </w:r>
      <w:hyperlink r:id="rId18" w:history="1">
        <w:r w:rsidR="007A512C" w:rsidRPr="007A512C">
          <w:rPr>
            <w:rStyle w:val="Hyperlink"/>
            <w:rFonts w:ascii="Arial" w:hAnsi="Arial" w:hint="eastAsia"/>
            <w:sz w:val="26"/>
            <w:szCs w:val="26"/>
            <w:rtl/>
          </w:rPr>
          <w:t>סעיף</w:t>
        </w:r>
        <w:r w:rsidR="007A512C" w:rsidRPr="007A512C">
          <w:rPr>
            <w:rStyle w:val="Hyperlink"/>
            <w:rFonts w:ascii="Arial" w:hAnsi="Arial"/>
            <w:sz w:val="26"/>
            <w:szCs w:val="26"/>
            <w:rtl/>
          </w:rPr>
          <w:t xml:space="preserve"> 144</w:t>
        </w:r>
      </w:hyperlink>
      <w:r>
        <w:rPr>
          <w:rFonts w:ascii="Arial" w:hAnsi="Arial" w:hint="cs"/>
          <w:sz w:val="26"/>
          <w:szCs w:val="26"/>
          <w:rtl/>
        </w:rPr>
        <w:t xml:space="preserve"> לחוק, כלומר עבירות על רקע גזעני ולאומני. </w:t>
      </w:r>
    </w:p>
    <w:p w14:paraId="55D1D925" w14:textId="77777777" w:rsidR="00703FB7" w:rsidRDefault="00703FB7" w:rsidP="00703FB7">
      <w:pPr>
        <w:spacing w:line="360" w:lineRule="auto"/>
        <w:jc w:val="both"/>
        <w:rPr>
          <w:rFonts w:ascii="Arial" w:hAnsi="Arial"/>
          <w:sz w:val="26"/>
          <w:szCs w:val="26"/>
          <w:rtl/>
        </w:rPr>
      </w:pPr>
    </w:p>
    <w:p w14:paraId="6E843722" w14:textId="77777777" w:rsidR="00703FB7" w:rsidRPr="009049EC" w:rsidRDefault="00703FB7" w:rsidP="00703FB7">
      <w:pPr>
        <w:spacing w:line="360" w:lineRule="auto"/>
        <w:jc w:val="both"/>
        <w:rPr>
          <w:rFonts w:ascii="Arial" w:hAnsi="Arial"/>
          <w:sz w:val="26"/>
          <w:szCs w:val="26"/>
          <w:u w:val="single"/>
          <w:rtl/>
        </w:rPr>
      </w:pPr>
      <w:r w:rsidRPr="009049EC">
        <w:rPr>
          <w:rFonts w:ascii="Arial" w:hAnsi="Arial" w:hint="cs"/>
          <w:sz w:val="26"/>
          <w:szCs w:val="26"/>
          <w:u w:val="single"/>
          <w:rtl/>
        </w:rPr>
        <w:t xml:space="preserve">הנאשם עצור מתאריך 13/5/21.  שוחרר למעצר בפיקוח אלקטרוני ביום 8/6/21 וביום 12/8/21 נעצר שוב עד תום ההליכים. </w:t>
      </w:r>
    </w:p>
    <w:p w14:paraId="6143F342" w14:textId="77777777" w:rsidR="00703FB7" w:rsidRDefault="00703FB7" w:rsidP="00703FB7">
      <w:pPr>
        <w:spacing w:line="360" w:lineRule="auto"/>
        <w:jc w:val="both"/>
        <w:rPr>
          <w:rFonts w:ascii="Arial" w:hAnsi="Arial"/>
          <w:sz w:val="26"/>
          <w:szCs w:val="26"/>
          <w:rtl/>
        </w:rPr>
      </w:pPr>
    </w:p>
    <w:p w14:paraId="06D81800"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הנאשם ביקש לומר את דברו הביע צער על העבירות אותן ביצע, ציין שאסור לו לעבור את העבירות האלה לרבות ההשתתפות וההתקהלות, הנאשם אמר בדבריו "אני מצטער הייתי צריך לשבת בבית עם המשפחה, הייתי עם אנשים שאני לא מכיר אותם מהכפר, אני רוצה להתחתן יש לי בית, אני רוצה לבנות לי בית עם משפחה". </w:t>
      </w:r>
    </w:p>
    <w:p w14:paraId="2B1D767E" w14:textId="77777777" w:rsidR="00703FB7" w:rsidRDefault="00703FB7" w:rsidP="00703FB7">
      <w:pPr>
        <w:spacing w:line="360" w:lineRule="auto"/>
        <w:jc w:val="both"/>
        <w:rPr>
          <w:rFonts w:ascii="Arial" w:hAnsi="Arial"/>
          <w:sz w:val="26"/>
          <w:szCs w:val="26"/>
          <w:rtl/>
        </w:rPr>
      </w:pPr>
    </w:p>
    <w:p w14:paraId="245785FC" w14:textId="77777777" w:rsidR="00703FB7" w:rsidRPr="006A6F43" w:rsidRDefault="00703FB7" w:rsidP="00703FB7">
      <w:pPr>
        <w:spacing w:line="360" w:lineRule="auto"/>
        <w:jc w:val="both"/>
        <w:rPr>
          <w:rFonts w:ascii="Arial" w:hAnsi="Arial"/>
          <w:b/>
          <w:bCs/>
          <w:sz w:val="26"/>
          <w:szCs w:val="26"/>
          <w:u w:val="single"/>
          <w:rtl/>
        </w:rPr>
      </w:pPr>
      <w:r w:rsidRPr="006A6F43">
        <w:rPr>
          <w:rFonts w:ascii="Arial" w:hAnsi="Arial" w:hint="cs"/>
          <w:b/>
          <w:bCs/>
          <w:sz w:val="26"/>
          <w:szCs w:val="26"/>
          <w:u w:val="single"/>
          <w:rtl/>
        </w:rPr>
        <w:t xml:space="preserve">דיון והכרעה: </w:t>
      </w:r>
    </w:p>
    <w:p w14:paraId="4CBBCF97"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אין צורך להכביר מילים אודות חומרת העבירות בהן הורשע הנאשם והפגיעה בערכים המוגנים בבסיס עבירות אלה. </w:t>
      </w:r>
    </w:p>
    <w:p w14:paraId="5C17B2CA" w14:textId="77777777" w:rsidR="00703FB7" w:rsidRDefault="00703FB7" w:rsidP="00703FB7">
      <w:pPr>
        <w:spacing w:line="360" w:lineRule="auto"/>
        <w:jc w:val="both"/>
        <w:rPr>
          <w:rFonts w:ascii="Arial" w:hAnsi="Arial"/>
          <w:sz w:val="26"/>
          <w:szCs w:val="26"/>
          <w:rtl/>
        </w:rPr>
      </w:pPr>
    </w:p>
    <w:p w14:paraId="1432CE8B"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במעשיו של הנאשם קיים פוטנציאל ממשי של סיכון, לחיי אדם, לגופו ולבריאותו ובעניין זה נקבע לא אחת שיש לנקוט מדיניות שתרתיע ותרסן התפרעויות העלולות לסחוף המון רב ולצאת מכלל שליטה. </w:t>
      </w:r>
    </w:p>
    <w:p w14:paraId="7C2A7832"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עבירות בהן הורשע הנאשם מבטאות פגיעה קשה בתחושת הביטחון האישי של כל אזרח במדינה, על אחת כמה וכמה על רקע התקופה שבה בוצעו עבירות אלה, ומכלול ההתרחשויות ברחבי המדינה באותה עת. </w:t>
      </w:r>
    </w:p>
    <w:p w14:paraId="0451FDDE" w14:textId="77777777" w:rsidR="00703FB7" w:rsidRDefault="00703FB7" w:rsidP="00703FB7">
      <w:pPr>
        <w:spacing w:line="360" w:lineRule="auto"/>
        <w:jc w:val="both"/>
        <w:rPr>
          <w:rFonts w:ascii="Arial" w:hAnsi="Arial"/>
          <w:sz w:val="26"/>
          <w:szCs w:val="26"/>
          <w:rtl/>
        </w:rPr>
      </w:pPr>
    </w:p>
    <w:p w14:paraId="5884F01C"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רק לאחרונה, קבע בית המשפט המחוזי בחיפה במסגרת </w:t>
      </w:r>
      <w:hyperlink r:id="rId19" w:history="1">
        <w:r w:rsidR="00EE37F4" w:rsidRPr="00EE37F4">
          <w:rPr>
            <w:rFonts w:ascii="Arial" w:hAnsi="Arial"/>
            <w:color w:val="0000FF"/>
            <w:sz w:val="26"/>
            <w:szCs w:val="26"/>
            <w:u w:val="single"/>
            <w:rtl/>
          </w:rPr>
          <w:t>עפ"ג 26998-04-22</w:t>
        </w:r>
      </w:hyperlink>
      <w:r>
        <w:rPr>
          <w:rFonts w:ascii="Arial" w:hAnsi="Arial" w:hint="cs"/>
          <w:sz w:val="26"/>
          <w:szCs w:val="26"/>
          <w:rtl/>
        </w:rPr>
        <w:t xml:space="preserve"> מ"י נ' אבו היג'א, לעניין זה כדלהלן: "לגישתנו אין מקום להקל עם מי שתוך קריאת תיגר על ריבונות המדינה, בצוותא חדא עם פורעים רבים נוספים, המון מוסח ממש, מידה אבנים אל עבר כוחות המדינה,  פוגע (בעצמו או ע"י אחרים הפועלים עמו) בניידת משטרה פגיעה קשה ובכך אף גורם לחדירת רסיסים לעינו של שוטר, מי שעת נתפס ע"י אנשי המשטרה, מאיים עליהם איומי </w:t>
      </w:r>
      <w:r>
        <w:rPr>
          <w:rFonts w:ascii="Arial" w:hAnsi="Arial"/>
          <w:sz w:val="26"/>
          <w:szCs w:val="26"/>
          <w:rtl/>
        </w:rPr>
        <w:t>–</w:t>
      </w:r>
      <w:r>
        <w:rPr>
          <w:rFonts w:ascii="Arial" w:hAnsi="Arial" w:hint="cs"/>
          <w:sz w:val="26"/>
          <w:szCs w:val="26"/>
          <w:rtl/>
        </w:rPr>
        <w:t xml:space="preserve"> רצח קשים בעלי אופי לאומני מובהק יורק לעברם ותוקף אותם. לעניות דעתנו, הענישה שהוטלה על המשיב דכאן אינה נותנת ביטוי הולם לחומרת מעשיו בנסיבות בהן נעשו". </w:t>
      </w:r>
    </w:p>
    <w:p w14:paraId="7EFC406E" w14:textId="77777777" w:rsidR="00703FB7" w:rsidRDefault="00703FB7" w:rsidP="00703FB7">
      <w:pPr>
        <w:spacing w:line="360" w:lineRule="auto"/>
        <w:jc w:val="both"/>
        <w:rPr>
          <w:rFonts w:ascii="Arial" w:hAnsi="Arial"/>
          <w:sz w:val="26"/>
          <w:szCs w:val="26"/>
          <w:rtl/>
        </w:rPr>
      </w:pPr>
    </w:p>
    <w:p w14:paraId="2E40A922"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ב</w:t>
      </w:r>
      <w:hyperlink r:id="rId20" w:history="1">
        <w:r w:rsidR="00EE37F4" w:rsidRPr="00EE37F4">
          <w:rPr>
            <w:rFonts w:ascii="Arial" w:hAnsi="Arial"/>
            <w:color w:val="0000FF"/>
            <w:sz w:val="26"/>
            <w:szCs w:val="26"/>
            <w:u w:val="single"/>
            <w:rtl/>
          </w:rPr>
          <w:t>ע"פ 901/22</w:t>
        </w:r>
      </w:hyperlink>
      <w:r>
        <w:rPr>
          <w:rFonts w:ascii="Arial" w:hAnsi="Arial" w:hint="cs"/>
          <w:sz w:val="26"/>
          <w:szCs w:val="26"/>
          <w:rtl/>
        </w:rPr>
        <w:t xml:space="preserve"> מ"י נ' אסוועד עמד בית המשפט העליון על החומרה הגלומה בעבירות התפרעויות המונים וקבע "יש לנקוט במדיניות ענישה אשר תרתיע ותרסן התפרעויות העלולות לסחוף המון רב ולצאת מגדר שליטה". </w:t>
      </w:r>
    </w:p>
    <w:p w14:paraId="01A549DC" w14:textId="77777777" w:rsidR="00703FB7" w:rsidRDefault="00703FB7" w:rsidP="00703FB7">
      <w:pPr>
        <w:spacing w:line="360" w:lineRule="auto"/>
        <w:jc w:val="both"/>
        <w:rPr>
          <w:rFonts w:ascii="Arial" w:hAnsi="Arial"/>
          <w:sz w:val="26"/>
          <w:szCs w:val="26"/>
          <w:rtl/>
        </w:rPr>
      </w:pPr>
    </w:p>
    <w:p w14:paraId="3D0F1B7E"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בית המשפט המחוזי בחיפה, בעניין היג'א אשר הוזכר לעיל, קיבל את ערעור המדינה וציין "כי אכן באה שעתו של השינוי וכי עת לפעול להחמרת מדיניות ענישה, כך שזו תהלום את חומרת המעשים ואת פגיעתם הרעה, תטמון בחובה מניעה (המושגת ע"י סילוק הפורעים מרחובות ישראל לתקופה ממושכת) ותביא להרתעה אמיתית, הן כלפי הפורע העומד לדין (יהיה מוצאו אשר יהיה), הן כלפי פורעים פוטנציאלים וכאלה, למרבה הצער, רבים המה".</w:t>
      </w:r>
    </w:p>
    <w:p w14:paraId="079E8ED0" w14:textId="77777777" w:rsidR="00703FB7" w:rsidRDefault="00703FB7" w:rsidP="00703FB7">
      <w:pPr>
        <w:spacing w:line="360" w:lineRule="auto"/>
        <w:jc w:val="both"/>
        <w:rPr>
          <w:rFonts w:ascii="Arial" w:hAnsi="Arial"/>
          <w:sz w:val="26"/>
          <w:szCs w:val="26"/>
          <w:rtl/>
        </w:rPr>
      </w:pPr>
    </w:p>
    <w:p w14:paraId="68D97EED"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בהמשך נקבע תוך הדגשת העובדה שבית המשפט מודע לכך שמסך כלל המתפרעים בתקופת מבצע "שומר חומות" נעצרו מעטים מהם, ומעטים עוד יותר הובאו לדין, אולם, הודגש כי חרף זאת ישנה חשיבות להטלת רף ענישה גבוה וזאת לצורך הרתעת המוני המשתתפים הפוטנציאלים באופן שהענישה שתוטל על אלה שהובאו לדין, תהיה ענישה משמעותית אשר תבטא הלימה בין העונש שראוי שיוטל על הנאשם לבין המעשים החמורים שעליהם ייתן את הדין. </w:t>
      </w:r>
    </w:p>
    <w:p w14:paraId="7AE7413B" w14:textId="77777777" w:rsidR="00703FB7" w:rsidRDefault="00703FB7" w:rsidP="00703FB7">
      <w:pPr>
        <w:spacing w:line="360" w:lineRule="auto"/>
        <w:jc w:val="both"/>
        <w:rPr>
          <w:rFonts w:ascii="Arial" w:hAnsi="Arial"/>
          <w:sz w:val="26"/>
          <w:szCs w:val="26"/>
          <w:rtl/>
        </w:rPr>
      </w:pPr>
    </w:p>
    <w:p w14:paraId="14BE6D4C"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בית המשפט קובע שבנסיבות העניין מוטלת אחריות גם על מערכת אכיפת החוק לסיוע לשימור ערכי קדושת החיים, שלמות הגוף והרכוש, באופן שיוטלו עונשים הולמים אשר יעבירו מסר ברור וחד של גינוי והסתייגות תקיפה מהמעשה. בהתאם לכך צוין כי מתחם העונש ההולם למתחם עבירות בהן הורשע הנאשם ראוי שיועמד על תקופות מאסר ארוכות כך שהדבר יביא להרתעה קונקרטית  ותעורר פחד ויראה כלפי מי שישקול להצטרף, "להיגרר" להשתתף או ליזום התפרעויות אלימות כך שהרף התחתון של עונש המאסר יועמד על 12 חודשים וזאת לכל הפחות. </w:t>
      </w:r>
    </w:p>
    <w:p w14:paraId="6873AFA2" w14:textId="77777777" w:rsidR="00703FB7" w:rsidRDefault="00703FB7" w:rsidP="00703FB7">
      <w:pPr>
        <w:spacing w:line="360" w:lineRule="auto"/>
        <w:jc w:val="both"/>
        <w:rPr>
          <w:rFonts w:ascii="Arial" w:hAnsi="Arial"/>
          <w:sz w:val="26"/>
          <w:szCs w:val="26"/>
          <w:rtl/>
        </w:rPr>
      </w:pPr>
    </w:p>
    <w:p w14:paraId="3925CE71"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ראו לעניין זה גם </w:t>
      </w:r>
      <w:hyperlink r:id="rId21" w:history="1">
        <w:r w:rsidR="00EE37F4" w:rsidRPr="00EE37F4">
          <w:rPr>
            <w:rFonts w:ascii="Arial" w:hAnsi="Arial"/>
            <w:color w:val="0000FF"/>
            <w:sz w:val="26"/>
            <w:szCs w:val="26"/>
            <w:u w:val="single"/>
            <w:rtl/>
          </w:rPr>
          <w:t>עפ"ג 26952-04-22</w:t>
        </w:r>
      </w:hyperlink>
      <w:r>
        <w:rPr>
          <w:rFonts w:ascii="Arial" w:hAnsi="Arial" w:hint="cs"/>
          <w:sz w:val="26"/>
          <w:szCs w:val="26"/>
          <w:rtl/>
        </w:rPr>
        <w:t xml:space="preserve"> מ"י נ' אנטקלי. </w:t>
      </w:r>
    </w:p>
    <w:p w14:paraId="7A6D90CD" w14:textId="77777777" w:rsidR="00703FB7" w:rsidRDefault="00703FB7" w:rsidP="00703FB7">
      <w:pPr>
        <w:spacing w:line="360" w:lineRule="auto"/>
        <w:jc w:val="both"/>
        <w:rPr>
          <w:rFonts w:ascii="Arial" w:hAnsi="Arial"/>
          <w:sz w:val="26"/>
          <w:szCs w:val="26"/>
          <w:rtl/>
        </w:rPr>
      </w:pPr>
    </w:p>
    <w:p w14:paraId="5858FAD0"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לאור כל האמור לעיל אני קובע שמתחם העונש ההולם למעשי העבירות שביצע הנאשם בהליך זה שלפני נע בין 12 </w:t>
      </w:r>
      <w:r>
        <w:rPr>
          <w:rFonts w:ascii="Arial" w:hAnsi="Arial"/>
          <w:sz w:val="26"/>
          <w:szCs w:val="26"/>
          <w:rtl/>
        </w:rPr>
        <w:t>–</w:t>
      </w:r>
      <w:r>
        <w:rPr>
          <w:rFonts w:ascii="Arial" w:hAnsi="Arial" w:hint="cs"/>
          <w:sz w:val="26"/>
          <w:szCs w:val="26"/>
          <w:rtl/>
        </w:rPr>
        <w:t xml:space="preserve"> 36 חודשים לצד עונש מאסר מותנה, קנס ופיצוי. </w:t>
      </w:r>
    </w:p>
    <w:p w14:paraId="689ADE98" w14:textId="77777777" w:rsidR="00703FB7" w:rsidRDefault="00703FB7" w:rsidP="00703FB7">
      <w:pPr>
        <w:spacing w:line="360" w:lineRule="auto"/>
        <w:jc w:val="both"/>
        <w:rPr>
          <w:rFonts w:ascii="Arial" w:hAnsi="Arial"/>
          <w:sz w:val="26"/>
          <w:szCs w:val="26"/>
          <w:rtl/>
        </w:rPr>
      </w:pPr>
    </w:p>
    <w:p w14:paraId="185A4FAD" w14:textId="77777777" w:rsidR="00703FB7" w:rsidRPr="00061756" w:rsidRDefault="00703FB7" w:rsidP="00703FB7">
      <w:pPr>
        <w:spacing w:line="360" w:lineRule="auto"/>
        <w:jc w:val="both"/>
        <w:rPr>
          <w:rFonts w:ascii="Arial" w:hAnsi="Arial"/>
          <w:b/>
          <w:bCs/>
          <w:sz w:val="26"/>
          <w:szCs w:val="26"/>
          <w:u w:val="single"/>
          <w:rtl/>
        </w:rPr>
      </w:pPr>
      <w:r w:rsidRPr="00061756">
        <w:rPr>
          <w:rFonts w:ascii="Arial" w:hAnsi="Arial" w:hint="cs"/>
          <w:b/>
          <w:bCs/>
          <w:sz w:val="26"/>
          <w:szCs w:val="26"/>
          <w:u w:val="single"/>
          <w:rtl/>
        </w:rPr>
        <w:t xml:space="preserve">הנסיבות שאינן קשורות בביצוע העבירה: </w:t>
      </w:r>
    </w:p>
    <w:p w14:paraId="5BAF6D3F"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הנאשם הודה בעבירות המיוחסות לו בכתב האישום המתוקן, חסך זמן שיפוטי יקר, ולחובתו 4 הרשעות בלבד, אשר אינן דומות במהותן לעבירות מושא הליך זה שלפני. מדובר בנאשם יליד שנת 1988, צעיר יחסית בגילו, אשר אומנם השתתף בהתפרעות בצוותא עם אחרים כפי שהדבר מתבטא בכתב האישום, אולם אין חולק שהוא לא זה אשר יזם וארגן התפרעות זו. </w:t>
      </w:r>
    </w:p>
    <w:p w14:paraId="73FEFC13" w14:textId="77777777" w:rsidR="00703FB7" w:rsidRDefault="00703FB7" w:rsidP="00703FB7">
      <w:pPr>
        <w:spacing w:line="360" w:lineRule="auto"/>
        <w:jc w:val="both"/>
        <w:rPr>
          <w:rFonts w:ascii="Arial" w:hAnsi="Arial"/>
          <w:sz w:val="26"/>
          <w:szCs w:val="26"/>
          <w:rtl/>
        </w:rPr>
      </w:pPr>
    </w:p>
    <w:p w14:paraId="18195E37" w14:textId="77777777" w:rsidR="00703FB7" w:rsidRPr="00061756" w:rsidRDefault="00703FB7" w:rsidP="00703FB7">
      <w:pPr>
        <w:spacing w:line="360" w:lineRule="auto"/>
        <w:jc w:val="both"/>
        <w:rPr>
          <w:rFonts w:ascii="Arial" w:hAnsi="Arial"/>
          <w:b/>
          <w:bCs/>
          <w:sz w:val="26"/>
          <w:szCs w:val="26"/>
          <w:u w:val="single"/>
          <w:rtl/>
        </w:rPr>
      </w:pPr>
      <w:r w:rsidRPr="00061756">
        <w:rPr>
          <w:rFonts w:ascii="Arial" w:hAnsi="Arial" w:hint="cs"/>
          <w:b/>
          <w:bCs/>
          <w:sz w:val="26"/>
          <w:szCs w:val="26"/>
          <w:u w:val="single"/>
          <w:rtl/>
        </w:rPr>
        <w:t xml:space="preserve">קביעת מתחם העונש המתאים: </w:t>
      </w:r>
    </w:p>
    <w:p w14:paraId="20401A75"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בשכלול העובדות והנתונים והפסיקה, במיוחד זו מהעת האחרונה של בית המשפט המחוזי בחיפה, סבורני שיש למקם את עונשו של הנאשם ברף שמעט מעל הרף התחתון כלומר הטלת מאסר בפועל לתקופה של 13 חודשים וזאת לאור נסיבות ביצוע העבירות ובמיוחד לאור תקיפתו של השוטר בנסיבות מחמירות ומנוסתו של הנאשם מזירת האירוע, לצד ענישה הצופה פני עתיד, קנס ופיצוי לנפגע. </w:t>
      </w:r>
    </w:p>
    <w:p w14:paraId="5643B000" w14:textId="77777777" w:rsidR="00703FB7" w:rsidRDefault="00703FB7" w:rsidP="00703FB7">
      <w:pPr>
        <w:spacing w:line="360" w:lineRule="auto"/>
        <w:jc w:val="both"/>
        <w:rPr>
          <w:rFonts w:ascii="Arial" w:hAnsi="Arial"/>
          <w:sz w:val="26"/>
          <w:szCs w:val="26"/>
          <w:rtl/>
        </w:rPr>
      </w:pPr>
    </w:p>
    <w:p w14:paraId="7DC3E45C" w14:textId="77777777" w:rsidR="00703FB7" w:rsidRDefault="00703FB7" w:rsidP="00703FB7">
      <w:pPr>
        <w:spacing w:line="360" w:lineRule="auto"/>
        <w:jc w:val="both"/>
        <w:rPr>
          <w:rFonts w:ascii="Arial" w:hAnsi="Arial"/>
          <w:sz w:val="26"/>
          <w:szCs w:val="26"/>
          <w:rtl/>
        </w:rPr>
      </w:pPr>
      <w:r>
        <w:rPr>
          <w:rFonts w:ascii="Arial" w:hAnsi="Arial" w:hint="cs"/>
          <w:sz w:val="26"/>
          <w:szCs w:val="26"/>
          <w:rtl/>
        </w:rPr>
        <w:t xml:space="preserve">בהתאם לכך ולאור כל האמור לעיל, אני מטיל על הנאשם את העונשים הבאים: </w:t>
      </w:r>
    </w:p>
    <w:p w14:paraId="5F1CA0FF" w14:textId="77777777" w:rsidR="00703FB7" w:rsidRDefault="00703FB7" w:rsidP="00703FB7">
      <w:pPr>
        <w:spacing w:line="360" w:lineRule="auto"/>
        <w:jc w:val="both"/>
        <w:rPr>
          <w:rFonts w:ascii="Arial" w:hAnsi="Arial"/>
          <w:sz w:val="26"/>
          <w:szCs w:val="26"/>
          <w:rtl/>
        </w:rPr>
      </w:pPr>
    </w:p>
    <w:p w14:paraId="68592EFA" w14:textId="77777777" w:rsidR="00703FB7" w:rsidRDefault="00703FB7" w:rsidP="00703FB7">
      <w:pPr>
        <w:spacing w:line="360" w:lineRule="auto"/>
        <w:ind w:left="720" w:hanging="720"/>
        <w:jc w:val="both"/>
        <w:rPr>
          <w:rFonts w:ascii="Arial" w:hAnsi="Arial"/>
          <w:sz w:val="26"/>
          <w:szCs w:val="26"/>
          <w:rtl/>
        </w:rPr>
      </w:pPr>
      <w:r>
        <w:rPr>
          <w:rFonts w:ascii="Arial" w:hAnsi="Arial" w:hint="cs"/>
          <w:sz w:val="26"/>
          <w:szCs w:val="26"/>
          <w:rtl/>
        </w:rPr>
        <w:t>1.</w:t>
      </w:r>
      <w:r>
        <w:rPr>
          <w:rFonts w:ascii="Arial" w:hAnsi="Arial" w:hint="cs"/>
          <w:sz w:val="26"/>
          <w:szCs w:val="26"/>
          <w:rtl/>
        </w:rPr>
        <w:tab/>
        <w:t xml:space="preserve">מאסר בפועל למשך 13 חודשים בניכוי ימי מעצרו  בגין תיק זה. 13/5/21 ועד 8/6/21 ויתרת תקופת המאסר תחושב מיום 12/8/21. </w:t>
      </w:r>
    </w:p>
    <w:p w14:paraId="406C0C94" w14:textId="77777777" w:rsidR="00703FB7" w:rsidRDefault="00703FB7" w:rsidP="00703FB7">
      <w:pPr>
        <w:spacing w:line="360" w:lineRule="auto"/>
        <w:jc w:val="both"/>
        <w:rPr>
          <w:rFonts w:ascii="Arial" w:hAnsi="Arial"/>
          <w:sz w:val="26"/>
          <w:szCs w:val="26"/>
          <w:rtl/>
        </w:rPr>
      </w:pPr>
    </w:p>
    <w:p w14:paraId="0C2B68DA" w14:textId="77777777" w:rsidR="00703FB7" w:rsidRDefault="00703FB7" w:rsidP="00703FB7">
      <w:pPr>
        <w:spacing w:line="360" w:lineRule="auto"/>
        <w:ind w:left="720" w:hanging="720"/>
        <w:jc w:val="both"/>
        <w:rPr>
          <w:rFonts w:ascii="Arial" w:hAnsi="Arial"/>
          <w:sz w:val="26"/>
          <w:szCs w:val="26"/>
          <w:rtl/>
        </w:rPr>
      </w:pPr>
      <w:r>
        <w:rPr>
          <w:rFonts w:ascii="Arial" w:hAnsi="Arial" w:hint="cs"/>
          <w:sz w:val="26"/>
          <w:szCs w:val="26"/>
          <w:rtl/>
        </w:rPr>
        <w:t>2.</w:t>
      </w:r>
      <w:r>
        <w:rPr>
          <w:rFonts w:ascii="Arial" w:hAnsi="Arial" w:hint="cs"/>
          <w:sz w:val="26"/>
          <w:szCs w:val="26"/>
          <w:rtl/>
        </w:rPr>
        <w:tab/>
        <w:t xml:space="preserve">מאסר על תנאי לתקופה של 6 חדשים למשך 3 שנים והתנאי שהנאשם לא יעבור בפרק זמן זה לאחר שחרורו מריצוי תום מאסרו בגין תיק זה על עבירות בהן הורשע בהליך </w:t>
      </w:r>
    </w:p>
    <w:p w14:paraId="786239ED" w14:textId="77777777" w:rsidR="00703FB7" w:rsidRDefault="00703FB7" w:rsidP="00703FB7">
      <w:pPr>
        <w:spacing w:line="360" w:lineRule="auto"/>
        <w:ind w:left="720" w:hanging="720"/>
        <w:jc w:val="both"/>
        <w:rPr>
          <w:rFonts w:ascii="Arial" w:hAnsi="Arial"/>
          <w:sz w:val="26"/>
          <w:szCs w:val="26"/>
          <w:rtl/>
        </w:rPr>
      </w:pPr>
      <w:r>
        <w:rPr>
          <w:rFonts w:ascii="Arial" w:hAnsi="Arial"/>
          <w:sz w:val="26"/>
          <w:szCs w:val="26"/>
          <w:rtl/>
        </w:rPr>
        <w:tab/>
      </w:r>
      <w:r>
        <w:rPr>
          <w:rFonts w:ascii="Arial" w:hAnsi="Arial" w:hint="cs"/>
          <w:sz w:val="26"/>
          <w:szCs w:val="26"/>
          <w:rtl/>
        </w:rPr>
        <w:t xml:space="preserve">זה שלפני. </w:t>
      </w:r>
    </w:p>
    <w:p w14:paraId="6B5524EB" w14:textId="77777777" w:rsidR="00703FB7" w:rsidRDefault="00703FB7" w:rsidP="00703FB7">
      <w:pPr>
        <w:spacing w:line="360" w:lineRule="auto"/>
        <w:ind w:left="720" w:hanging="720"/>
        <w:jc w:val="both"/>
        <w:rPr>
          <w:rFonts w:ascii="Arial" w:hAnsi="Arial"/>
          <w:sz w:val="26"/>
          <w:szCs w:val="26"/>
          <w:rtl/>
        </w:rPr>
      </w:pPr>
    </w:p>
    <w:p w14:paraId="3C7633E6" w14:textId="77777777" w:rsidR="00703FB7" w:rsidRDefault="00703FB7" w:rsidP="00703FB7">
      <w:pPr>
        <w:spacing w:line="360" w:lineRule="auto"/>
        <w:ind w:left="720" w:hanging="720"/>
        <w:jc w:val="both"/>
        <w:rPr>
          <w:rFonts w:ascii="Arial" w:hAnsi="Arial"/>
          <w:sz w:val="26"/>
          <w:szCs w:val="26"/>
          <w:rtl/>
        </w:rPr>
      </w:pPr>
      <w:r>
        <w:rPr>
          <w:rFonts w:ascii="Arial" w:hAnsi="Arial" w:hint="cs"/>
          <w:sz w:val="26"/>
          <w:szCs w:val="26"/>
          <w:rtl/>
        </w:rPr>
        <w:t>3.</w:t>
      </w:r>
      <w:r>
        <w:rPr>
          <w:rFonts w:ascii="Arial" w:hAnsi="Arial" w:hint="cs"/>
          <w:sz w:val="26"/>
          <w:szCs w:val="26"/>
          <w:rtl/>
        </w:rPr>
        <w:tab/>
        <w:t xml:space="preserve">קנס בסך 3,000 ₪ ופיצוי לשוטר מר דורון מדר בסך של 2,000 ₪. </w:t>
      </w:r>
    </w:p>
    <w:p w14:paraId="1DB1C105" w14:textId="77777777" w:rsidR="00703FB7" w:rsidRDefault="00703FB7" w:rsidP="00703FB7">
      <w:pPr>
        <w:pStyle w:val="a9"/>
        <w:spacing w:line="360" w:lineRule="auto"/>
        <w:rPr>
          <w:rFonts w:ascii="David" w:hAnsi="David" w:cs="David"/>
          <w:rtl/>
        </w:rPr>
      </w:pPr>
      <w:r>
        <w:rPr>
          <w:rFonts w:ascii="David" w:hAnsi="David" w:cs="David"/>
          <w:rtl/>
        </w:rPr>
        <w:t xml:space="preserve">יש לשלם את הקנס </w:t>
      </w:r>
      <w:r>
        <w:rPr>
          <w:rFonts w:ascii="David" w:hAnsi="David" w:cs="David" w:hint="cs"/>
          <w:rtl/>
        </w:rPr>
        <w:t xml:space="preserve">והפיצוי </w:t>
      </w:r>
      <w:r>
        <w:rPr>
          <w:rFonts w:ascii="David" w:hAnsi="David" w:cs="David"/>
          <w:rtl/>
        </w:rPr>
        <w:t xml:space="preserve">לחשבון המרכז לגביית קנסות, אגרות והוצאות ברשות האכיפה והגבייה, החל מחלוף 3 ימים מרגע מתן גזר הדין ועד ליום </w:t>
      </w:r>
      <w:r>
        <w:rPr>
          <w:rFonts w:ascii="David" w:hAnsi="David" w:cs="David" w:hint="cs"/>
          <w:rtl/>
        </w:rPr>
        <w:t>20/12/22</w:t>
      </w:r>
      <w:r>
        <w:rPr>
          <w:rFonts w:ascii="David" w:hAnsi="David" w:cs="David"/>
          <w:rtl/>
        </w:rPr>
        <w:t xml:space="preserve"> וזאת באחת מהדרכים הבאות:</w:t>
      </w:r>
    </w:p>
    <w:p w14:paraId="474694B6" w14:textId="77777777" w:rsidR="00703FB7" w:rsidRDefault="00703FB7" w:rsidP="00703FB7">
      <w:pPr>
        <w:pStyle w:val="a9"/>
        <w:numPr>
          <w:ilvl w:val="0"/>
          <w:numId w:val="1"/>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22" w:history="1">
        <w:r>
          <w:rPr>
            <w:rStyle w:val="Hyperlink"/>
            <w:rFonts w:ascii="Arial" w:hAnsi="Arial" w:cs="Arial"/>
          </w:rPr>
          <w:t>www.eca.gov.il</w:t>
        </w:r>
      </w:hyperlink>
      <w:r>
        <w:rPr>
          <w:rFonts w:ascii="Arial" w:hAnsi="Arial" w:cs="Arial"/>
        </w:rPr>
        <w:t xml:space="preserve"> </w:t>
      </w:r>
      <w:r w:rsidR="00EE37F4">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79C3F749" w14:textId="77777777" w:rsidR="00703FB7" w:rsidRDefault="00703FB7" w:rsidP="00703FB7">
      <w:pPr>
        <w:pStyle w:val="a9"/>
        <w:numPr>
          <w:ilvl w:val="0"/>
          <w:numId w:val="1"/>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EE37F4">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6DF29E4F" w14:textId="77777777" w:rsidR="00703FB7" w:rsidRDefault="00703FB7" w:rsidP="00703FB7">
      <w:pPr>
        <w:pStyle w:val="a9"/>
        <w:numPr>
          <w:ilvl w:val="0"/>
          <w:numId w:val="1"/>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0FB02108" w14:textId="77777777" w:rsidR="00703FB7" w:rsidRDefault="00703FB7" w:rsidP="00703FB7">
      <w:pPr>
        <w:spacing w:line="360" w:lineRule="auto"/>
        <w:rPr>
          <w:rFonts w:ascii="David" w:hAnsi="David"/>
          <w:b/>
          <w:bCs/>
          <w:rtl/>
        </w:rPr>
      </w:pPr>
    </w:p>
    <w:p w14:paraId="72EFEBC5" w14:textId="77777777" w:rsidR="00703FB7" w:rsidRDefault="00703FB7" w:rsidP="00703FB7">
      <w:pPr>
        <w:spacing w:line="360" w:lineRule="auto"/>
        <w:rPr>
          <w:rFonts w:ascii="David" w:hAnsi="David"/>
          <w:b/>
          <w:bCs/>
          <w:rtl/>
        </w:rPr>
      </w:pPr>
      <w:r>
        <w:rPr>
          <w:rFonts w:ascii="David" w:hAnsi="David" w:hint="cs"/>
          <w:b/>
          <w:bCs/>
          <w:rtl/>
        </w:rPr>
        <w:t xml:space="preserve">למען הסר ספק תקופת מאסר בגין תיק זה תרוצה במצטבר לכל עונש מאסר אותו נושא הנאשם נכון לעת זו. </w:t>
      </w:r>
    </w:p>
    <w:p w14:paraId="7934E9C9" w14:textId="77777777" w:rsidR="00703FB7" w:rsidRDefault="00703FB7" w:rsidP="00703FB7">
      <w:pPr>
        <w:spacing w:line="360" w:lineRule="auto"/>
        <w:rPr>
          <w:rFonts w:ascii="David" w:hAnsi="David"/>
          <w:b/>
          <w:bCs/>
          <w:rtl/>
        </w:rPr>
      </w:pPr>
    </w:p>
    <w:p w14:paraId="7DF9C2B8" w14:textId="77777777" w:rsidR="00703FB7" w:rsidRDefault="00703FB7" w:rsidP="00703FB7">
      <w:pPr>
        <w:spacing w:line="360" w:lineRule="auto"/>
        <w:rPr>
          <w:rFonts w:ascii="David" w:hAnsi="David"/>
          <w:b/>
          <w:bCs/>
          <w:rtl/>
        </w:rPr>
      </w:pPr>
      <w:r>
        <w:rPr>
          <w:rFonts w:ascii="David" w:hAnsi="David" w:hint="cs"/>
          <w:b/>
          <w:bCs/>
          <w:rtl/>
        </w:rPr>
        <w:t xml:space="preserve">גזר דין זה מהווה פקודת מאסר. </w:t>
      </w:r>
    </w:p>
    <w:p w14:paraId="71B0130A" w14:textId="77777777" w:rsidR="00703FB7" w:rsidRDefault="00703FB7" w:rsidP="00703FB7">
      <w:pPr>
        <w:spacing w:line="360" w:lineRule="auto"/>
        <w:rPr>
          <w:rFonts w:ascii="David" w:hAnsi="David"/>
          <w:b/>
          <w:bCs/>
        </w:rPr>
      </w:pPr>
    </w:p>
    <w:p w14:paraId="0AD74CC3" w14:textId="77777777" w:rsidR="00703FB7" w:rsidRDefault="00EE37F4" w:rsidP="00703FB7">
      <w:pPr>
        <w:spacing w:line="360" w:lineRule="auto"/>
        <w:jc w:val="both"/>
      </w:pPr>
      <w:r w:rsidRPr="00EE37F4">
        <w:rPr>
          <w:b/>
          <w:bCs/>
          <w:color w:val="FFFFFF"/>
          <w:sz w:val="2"/>
          <w:szCs w:val="2"/>
          <w:rtl/>
        </w:rPr>
        <w:t>5129371</w:t>
      </w:r>
      <w:r w:rsidR="00703FB7">
        <w:rPr>
          <w:rFonts w:hint="cs"/>
          <w:b/>
          <w:bCs/>
          <w:rtl/>
        </w:rPr>
        <w:t xml:space="preserve">זכות ערעור לבית המשפט המחוזי בחיפה  תוך 45 ימים מהיום. </w:t>
      </w:r>
    </w:p>
    <w:p w14:paraId="00A89E80" w14:textId="77777777" w:rsidR="00703FB7" w:rsidRPr="00EE37F4" w:rsidRDefault="00EE37F4" w:rsidP="00703FB7">
      <w:pPr>
        <w:rPr>
          <w:color w:val="FFFFFF"/>
          <w:sz w:val="2"/>
          <w:szCs w:val="2"/>
        </w:rPr>
      </w:pPr>
      <w:r w:rsidRPr="00EE37F4">
        <w:rPr>
          <w:color w:val="FFFFFF"/>
          <w:sz w:val="2"/>
          <w:szCs w:val="2"/>
          <w:rtl/>
        </w:rPr>
        <w:t>54678313</w:t>
      </w:r>
    </w:p>
    <w:p w14:paraId="5FD536D1" w14:textId="77777777" w:rsidR="00703FB7" w:rsidRPr="000F2247" w:rsidRDefault="00703FB7" w:rsidP="00703FB7">
      <w:pPr>
        <w:rPr>
          <w:rFonts w:ascii="Arial" w:hAnsi="Arial"/>
          <w:b/>
          <w:bCs/>
          <w:sz w:val="26"/>
          <w:szCs w:val="26"/>
          <w:rtl/>
        </w:rPr>
      </w:pPr>
    </w:p>
    <w:p w14:paraId="11A4D11D" w14:textId="77777777" w:rsidR="00703FB7" w:rsidRPr="00EB4599" w:rsidRDefault="00EE37F4" w:rsidP="00703FB7">
      <w:pPr>
        <w:rPr>
          <w:rFonts w:ascii="Arial" w:hAnsi="Arial"/>
          <w:b/>
          <w:bCs/>
          <w:sz w:val="26"/>
          <w:szCs w:val="26"/>
          <w:rtl/>
        </w:rPr>
      </w:pPr>
      <w:bookmarkStart w:id="8" w:name="Nitan"/>
      <w:r>
        <w:rPr>
          <w:rFonts w:ascii="Arial" w:hAnsi="Arial"/>
          <w:b/>
          <w:bCs/>
          <w:sz w:val="26"/>
          <w:szCs w:val="26"/>
          <w:rtl/>
        </w:rPr>
        <w:t xml:space="preserve">ניתן היום,  י"ח אייר תשפ"ב, 19 מאי 2022, בהעדר הצדדים. </w:t>
      </w:r>
      <w:bookmarkEnd w:id="8"/>
    </w:p>
    <w:p w14:paraId="7AF6F4A9" w14:textId="77777777" w:rsidR="00703FB7" w:rsidRPr="000F2247" w:rsidRDefault="00703FB7" w:rsidP="00EE37F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F150143" w14:textId="77777777" w:rsidR="00703FB7" w:rsidRPr="007A512C" w:rsidRDefault="007A512C" w:rsidP="00703FB7">
      <w:pPr>
        <w:jc w:val="center"/>
        <w:rPr>
          <w:rFonts w:ascii="Arial" w:hAnsi="Arial"/>
          <w:b/>
          <w:bCs/>
          <w:color w:val="FFFFFF"/>
          <w:sz w:val="2"/>
          <w:szCs w:val="2"/>
          <w:rtl/>
        </w:rPr>
      </w:pPr>
      <w:r w:rsidRPr="007A512C">
        <w:rPr>
          <w:rFonts w:ascii="Arial" w:hAnsi="Arial"/>
          <w:b/>
          <w:bCs/>
          <w:color w:val="FFFFFF"/>
          <w:sz w:val="2"/>
          <w:szCs w:val="2"/>
          <w:rtl/>
        </w:rPr>
        <w:t>5129371</w:t>
      </w:r>
    </w:p>
    <w:p w14:paraId="13DE4993" w14:textId="77777777" w:rsidR="0007773D" w:rsidRPr="007A512C" w:rsidRDefault="007A512C" w:rsidP="00EE37F4">
      <w:pPr>
        <w:keepNext/>
        <w:rPr>
          <w:rFonts w:ascii="David" w:hAnsi="David"/>
          <w:color w:val="FFFFFF"/>
          <w:sz w:val="2"/>
          <w:szCs w:val="2"/>
          <w:rtl/>
        </w:rPr>
      </w:pPr>
      <w:r w:rsidRPr="007A512C">
        <w:rPr>
          <w:rFonts w:ascii="David" w:hAnsi="David"/>
          <w:color w:val="FFFFFF"/>
          <w:sz w:val="2"/>
          <w:szCs w:val="2"/>
          <w:rtl/>
        </w:rPr>
        <w:t>54678313</w:t>
      </w:r>
    </w:p>
    <w:p w14:paraId="51B944F9" w14:textId="77777777" w:rsidR="00EE37F4" w:rsidRPr="00EE37F4" w:rsidRDefault="00EE37F4" w:rsidP="00EE37F4">
      <w:pPr>
        <w:keepNext/>
        <w:rPr>
          <w:rFonts w:ascii="David" w:hAnsi="David"/>
          <w:color w:val="000000"/>
          <w:sz w:val="22"/>
          <w:szCs w:val="22"/>
          <w:rtl/>
        </w:rPr>
      </w:pPr>
      <w:r w:rsidRPr="00EE37F4">
        <w:rPr>
          <w:rFonts w:ascii="David" w:hAnsi="David"/>
          <w:color w:val="000000"/>
          <w:sz w:val="22"/>
          <w:szCs w:val="22"/>
          <w:rtl/>
        </w:rPr>
        <w:t>אלכס אחטר 54678313</w:t>
      </w:r>
    </w:p>
    <w:p w14:paraId="4B97E39E" w14:textId="77777777" w:rsidR="00EE37F4" w:rsidRDefault="00EE37F4" w:rsidP="00EE37F4">
      <w:r w:rsidRPr="00EE37F4">
        <w:rPr>
          <w:color w:val="000000"/>
          <w:rtl/>
        </w:rPr>
        <w:t>נוסח מסמך זה כפוף לשינויי ניסוח ועריכה</w:t>
      </w:r>
    </w:p>
    <w:p w14:paraId="1D03F21A" w14:textId="77777777" w:rsidR="00EE37F4" w:rsidRDefault="00EE37F4" w:rsidP="00EE37F4">
      <w:pPr>
        <w:rPr>
          <w:rtl/>
        </w:rPr>
      </w:pPr>
    </w:p>
    <w:p w14:paraId="3B6B90C9" w14:textId="77777777" w:rsidR="00EE37F4" w:rsidRDefault="00EE37F4" w:rsidP="00EE37F4">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89E317C" w14:textId="77777777" w:rsidR="007A512C" w:rsidRPr="007A512C" w:rsidRDefault="007A512C" w:rsidP="007A512C">
      <w:pPr>
        <w:keepNext/>
        <w:rPr>
          <w:rFonts w:ascii="David" w:hAnsi="David"/>
          <w:color w:val="000000"/>
          <w:sz w:val="22"/>
          <w:szCs w:val="22"/>
          <w:rtl/>
        </w:rPr>
      </w:pPr>
    </w:p>
    <w:sectPr w:rsidR="007A512C" w:rsidRPr="007A512C" w:rsidSect="007A512C">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CB58A" w14:textId="77777777" w:rsidR="00FF17E0" w:rsidRDefault="00FF17E0" w:rsidP="00EA70D3">
      <w:r>
        <w:separator/>
      </w:r>
    </w:p>
  </w:endnote>
  <w:endnote w:type="continuationSeparator" w:id="0">
    <w:p w14:paraId="4E5425DC" w14:textId="77777777" w:rsidR="00FF17E0" w:rsidRDefault="00FF17E0" w:rsidP="00EA7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14B4C" w14:textId="77777777" w:rsidR="007A512C" w:rsidRDefault="007A512C" w:rsidP="007A51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C2606C" w14:textId="77777777" w:rsidR="00E10D6F" w:rsidRPr="007A512C" w:rsidRDefault="007A512C" w:rsidP="007A512C">
    <w:pPr>
      <w:pStyle w:val="a5"/>
      <w:pBdr>
        <w:top w:val="single" w:sz="4" w:space="1" w:color="auto"/>
        <w:between w:val="single" w:sz="4" w:space="0" w:color="auto"/>
      </w:pBdr>
      <w:spacing w:after="60"/>
      <w:jc w:val="center"/>
      <w:rPr>
        <w:rFonts w:ascii="FrankRuehl" w:hAnsi="FrankRuehl" w:cs="FrankRuehl"/>
        <w:color w:val="000000"/>
      </w:rPr>
    </w:pPr>
    <w:r w:rsidRPr="007A51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7770F" w14:textId="77777777" w:rsidR="007A512C" w:rsidRDefault="007A512C" w:rsidP="007A51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7144">
      <w:rPr>
        <w:rFonts w:ascii="FrankRuehl" w:hAnsi="FrankRuehl" w:cs="FrankRuehl"/>
        <w:noProof/>
        <w:rtl/>
      </w:rPr>
      <w:t>1</w:t>
    </w:r>
    <w:r>
      <w:rPr>
        <w:rFonts w:ascii="FrankRuehl" w:hAnsi="FrankRuehl" w:cs="FrankRuehl"/>
        <w:rtl/>
      </w:rPr>
      <w:fldChar w:fldCharType="end"/>
    </w:r>
  </w:p>
  <w:p w14:paraId="2F7F5604" w14:textId="77777777" w:rsidR="00E10D6F" w:rsidRPr="007A512C" w:rsidRDefault="007A512C" w:rsidP="007A512C">
    <w:pPr>
      <w:pStyle w:val="a5"/>
      <w:pBdr>
        <w:top w:val="single" w:sz="4" w:space="1" w:color="auto"/>
        <w:between w:val="single" w:sz="4" w:space="0" w:color="auto"/>
      </w:pBdr>
      <w:spacing w:after="60"/>
      <w:jc w:val="center"/>
      <w:rPr>
        <w:rFonts w:ascii="FrankRuehl" w:hAnsi="FrankRuehl" w:cs="FrankRuehl"/>
        <w:color w:val="000000"/>
      </w:rPr>
    </w:pPr>
    <w:r w:rsidRPr="007A512C">
      <w:rPr>
        <w:rFonts w:ascii="FrankRuehl" w:hAnsi="FrankRuehl" w:cs="FrankRuehl"/>
        <w:color w:val="000000"/>
      </w:rPr>
      <w:pict w14:anchorId="38CDE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91FB8" w14:textId="77777777" w:rsidR="00FF17E0" w:rsidRDefault="00FF17E0" w:rsidP="00EA70D3">
      <w:r>
        <w:separator/>
      </w:r>
    </w:p>
  </w:footnote>
  <w:footnote w:type="continuationSeparator" w:id="0">
    <w:p w14:paraId="0E57D32F" w14:textId="77777777" w:rsidR="00FF17E0" w:rsidRDefault="00FF17E0" w:rsidP="00EA7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38729" w14:textId="77777777" w:rsidR="00EE37F4" w:rsidRPr="007A512C" w:rsidRDefault="007A512C" w:rsidP="007A51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40079-05-21</w:t>
    </w:r>
    <w:r>
      <w:rPr>
        <w:rFonts w:ascii="David" w:hAnsi="David"/>
        <w:color w:val="000000"/>
        <w:sz w:val="22"/>
        <w:szCs w:val="22"/>
        <w:rtl/>
      </w:rPr>
      <w:tab/>
      <w:t xml:space="preserve"> מדינת ישראל נ' פאדי אבו שנדי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BFF71" w14:textId="77777777" w:rsidR="00EE37F4" w:rsidRPr="007A512C" w:rsidRDefault="007A512C" w:rsidP="007A51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40079-05-21</w:t>
    </w:r>
    <w:r>
      <w:rPr>
        <w:rFonts w:ascii="David" w:hAnsi="David"/>
        <w:color w:val="000000"/>
        <w:sz w:val="22"/>
        <w:szCs w:val="22"/>
        <w:rtl/>
      </w:rPr>
      <w:tab/>
      <w:t xml:space="preserve"> מדינת ישראל נ' פאדי אבו שנדי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num w:numId="1" w16cid:durableId="14012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3FB7"/>
    <w:rsid w:val="0007773D"/>
    <w:rsid w:val="000E647F"/>
    <w:rsid w:val="00237144"/>
    <w:rsid w:val="004B0EE2"/>
    <w:rsid w:val="005D381D"/>
    <w:rsid w:val="00703FB7"/>
    <w:rsid w:val="007A512C"/>
    <w:rsid w:val="009A4E4C"/>
    <w:rsid w:val="009E29FE"/>
    <w:rsid w:val="00A36563"/>
    <w:rsid w:val="00E10D6F"/>
    <w:rsid w:val="00E229E0"/>
    <w:rsid w:val="00E77ABF"/>
    <w:rsid w:val="00EA70D3"/>
    <w:rsid w:val="00EE37F4"/>
    <w:rsid w:val="00FD54C2"/>
    <w:rsid w:val="00FF1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819EA4"/>
  <w15:chartTrackingRefBased/>
  <w15:docId w15:val="{CC8B3A38-C751-4BD2-BC6B-2265C1E7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3F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3FB7"/>
    <w:pPr>
      <w:tabs>
        <w:tab w:val="center" w:pos="4153"/>
        <w:tab w:val="right" w:pos="8306"/>
      </w:tabs>
    </w:pPr>
  </w:style>
  <w:style w:type="character" w:customStyle="1" w:styleId="a4">
    <w:name w:val="כותרת עליונה תו"/>
    <w:link w:val="a3"/>
    <w:rsid w:val="00703FB7"/>
    <w:rPr>
      <w:rFonts w:ascii="Times New Roman" w:eastAsia="Times New Roman" w:hAnsi="Times New Roman" w:cs="David"/>
      <w:sz w:val="24"/>
      <w:szCs w:val="24"/>
    </w:rPr>
  </w:style>
  <w:style w:type="paragraph" w:styleId="a5">
    <w:name w:val="footer"/>
    <w:basedOn w:val="a"/>
    <w:link w:val="a6"/>
    <w:rsid w:val="00703FB7"/>
    <w:pPr>
      <w:tabs>
        <w:tab w:val="center" w:pos="4153"/>
        <w:tab w:val="right" w:pos="8306"/>
      </w:tabs>
    </w:pPr>
  </w:style>
  <w:style w:type="character" w:customStyle="1" w:styleId="a6">
    <w:name w:val="כותרת תחתונה תו"/>
    <w:link w:val="a5"/>
    <w:rsid w:val="00703FB7"/>
    <w:rPr>
      <w:rFonts w:ascii="Times New Roman" w:eastAsia="Times New Roman" w:hAnsi="Times New Roman" w:cs="David"/>
      <w:sz w:val="24"/>
      <w:szCs w:val="24"/>
    </w:rPr>
  </w:style>
  <w:style w:type="table" w:styleId="a7">
    <w:name w:val="Table Grid"/>
    <w:basedOn w:val="a1"/>
    <w:rsid w:val="00703F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3FB7"/>
  </w:style>
  <w:style w:type="paragraph" w:styleId="a9">
    <w:name w:val="List Paragraph"/>
    <w:basedOn w:val="a"/>
    <w:qFormat/>
    <w:rsid w:val="00703FB7"/>
    <w:pPr>
      <w:ind w:left="720"/>
      <w:contextualSpacing/>
    </w:pPr>
    <w:rPr>
      <w:rFonts w:cs="Times New Roman"/>
    </w:rPr>
  </w:style>
  <w:style w:type="character" w:styleId="Hyperlink">
    <w:name w:val="Hyperlink"/>
    <w:rsid w:val="00703F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9" TargetMode="External"/><Relationship Id="rId13" Type="http://schemas.openxmlformats.org/officeDocument/2006/relationships/hyperlink" Target="http://www.nevo.co.il/law/70301/274.3" TargetMode="External"/><Relationship Id="rId18" Type="http://schemas.openxmlformats.org/officeDocument/2006/relationships/hyperlink" Target="http://www.nevo.co.il/law/70301/14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8533264"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74.2." TargetMode="External"/><Relationship Id="rId17" Type="http://schemas.openxmlformats.org/officeDocument/2006/relationships/hyperlink" Target="http://www.nevo.co.il/law/70301/15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829693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4.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152" TargetMode="External"/><Relationship Id="rId19" Type="http://schemas.openxmlformats.org/officeDocument/2006/relationships/hyperlink" Target="http://www.nevo.co.il/case/28533308"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274.1.;274.2.;274.3" TargetMode="External"/><Relationship Id="rId22" Type="http://schemas.openxmlformats.org/officeDocument/2006/relationships/hyperlink" Target="http://www.eca.gov.il"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1555</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9312</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7864368</vt:i4>
      </vt:variant>
      <vt:variant>
        <vt:i4>45</vt:i4>
      </vt:variant>
      <vt:variant>
        <vt:i4>0</vt:i4>
      </vt:variant>
      <vt:variant>
        <vt:i4>5</vt:i4>
      </vt:variant>
      <vt:variant>
        <vt:lpwstr>http://www.eca.gov.il/</vt:lpwstr>
      </vt:variant>
      <vt:variant>
        <vt:lpwstr/>
      </vt:variant>
      <vt:variant>
        <vt:i4>3276925</vt:i4>
      </vt:variant>
      <vt:variant>
        <vt:i4>42</vt:i4>
      </vt:variant>
      <vt:variant>
        <vt:i4>0</vt:i4>
      </vt:variant>
      <vt:variant>
        <vt:i4>5</vt:i4>
      </vt:variant>
      <vt:variant>
        <vt:lpwstr>http://www.nevo.co.il/case/28533264</vt:lpwstr>
      </vt:variant>
      <vt:variant>
        <vt:lpwstr/>
      </vt:variant>
      <vt:variant>
        <vt:i4>3473532</vt:i4>
      </vt:variant>
      <vt:variant>
        <vt:i4>39</vt:i4>
      </vt:variant>
      <vt:variant>
        <vt:i4>0</vt:i4>
      </vt:variant>
      <vt:variant>
        <vt:i4>5</vt:i4>
      </vt:variant>
      <vt:variant>
        <vt:lpwstr>http://www.nevo.co.il/case/28296934</vt:lpwstr>
      </vt:variant>
      <vt:variant>
        <vt:lpwstr/>
      </vt:variant>
      <vt:variant>
        <vt:i4>3407996</vt:i4>
      </vt:variant>
      <vt:variant>
        <vt:i4>36</vt:i4>
      </vt:variant>
      <vt:variant>
        <vt:i4>0</vt:i4>
      </vt:variant>
      <vt:variant>
        <vt:i4>5</vt:i4>
      </vt:variant>
      <vt:variant>
        <vt:lpwstr>http://www.nevo.co.il/case/28533308</vt:lpwstr>
      </vt:variant>
      <vt:variant>
        <vt:lpwstr/>
      </vt:variant>
      <vt:variant>
        <vt:i4>6357092</vt:i4>
      </vt:variant>
      <vt:variant>
        <vt:i4>33</vt:i4>
      </vt:variant>
      <vt:variant>
        <vt:i4>0</vt:i4>
      </vt:variant>
      <vt:variant>
        <vt:i4>5</vt:i4>
      </vt:variant>
      <vt:variant>
        <vt:lpwstr>http://www.nevo.co.il/law/70301/144</vt:lpwstr>
      </vt:variant>
      <vt:variant>
        <vt:lpwstr/>
      </vt:variant>
      <vt:variant>
        <vt:i4>6291556</vt:i4>
      </vt:variant>
      <vt:variant>
        <vt:i4>30</vt:i4>
      </vt:variant>
      <vt:variant>
        <vt:i4>0</vt:i4>
      </vt:variant>
      <vt:variant>
        <vt:i4>5</vt:i4>
      </vt:variant>
      <vt:variant>
        <vt:lpwstr>http://www.nevo.co.il/law/70301/152</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7602280</vt:i4>
      </vt:variant>
      <vt:variant>
        <vt:i4>21</vt:i4>
      </vt:variant>
      <vt:variant>
        <vt:i4>0</vt:i4>
      </vt:variant>
      <vt:variant>
        <vt:i4>5</vt:i4>
      </vt:variant>
      <vt:variant>
        <vt:lpwstr>http://www.nevo.co.il/law/70301/274.1.;274.2.;274.3</vt:lpwstr>
      </vt:variant>
      <vt:variant>
        <vt:lpwstr/>
      </vt:variant>
      <vt:variant>
        <vt:i4>4980819</vt:i4>
      </vt:variant>
      <vt:variant>
        <vt:i4>18</vt:i4>
      </vt:variant>
      <vt:variant>
        <vt:i4>0</vt:i4>
      </vt:variant>
      <vt:variant>
        <vt:i4>5</vt:i4>
      </vt:variant>
      <vt:variant>
        <vt:lpwstr>http://www.nevo.co.il/law/70301/274.3</vt:lpwstr>
      </vt:variant>
      <vt:variant>
        <vt:lpwstr/>
      </vt:variant>
      <vt:variant>
        <vt:i4>6422625</vt:i4>
      </vt:variant>
      <vt:variant>
        <vt:i4>15</vt:i4>
      </vt:variant>
      <vt:variant>
        <vt:i4>0</vt:i4>
      </vt:variant>
      <vt:variant>
        <vt:i4>5</vt:i4>
      </vt:variant>
      <vt:variant>
        <vt:lpwstr>http://www.nevo.co.il/law/70301/274.2.</vt:lpwstr>
      </vt:variant>
      <vt:variant>
        <vt:lpwstr/>
      </vt:variant>
      <vt:variant>
        <vt:i4>6422626</vt:i4>
      </vt:variant>
      <vt:variant>
        <vt:i4>12</vt:i4>
      </vt:variant>
      <vt:variant>
        <vt:i4>0</vt:i4>
      </vt:variant>
      <vt:variant>
        <vt:i4>5</vt:i4>
      </vt:variant>
      <vt:variant>
        <vt:lpwstr>http://www.nevo.co.il/law/70301/274.1.</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40079</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פאדי אבו שנדי </vt:lpwstr>
  </property>
  <property fmtid="{D5CDD505-2E9C-101B-9397-08002B2CF9AE}" pid="10" name="LAWYER">
    <vt:lpwstr>דורית לוי פרנק;מוחמד מסארווה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20220519</vt:lpwstr>
  </property>
  <property fmtid="{D5CDD505-2E9C-101B-9397-08002B2CF9AE}" pid="14" name="TYPE_N_DATE">
    <vt:lpwstr>38020220519</vt:lpwstr>
  </property>
  <property fmtid="{D5CDD505-2E9C-101B-9397-08002B2CF9AE}" pid="15" name="WORDNUMPAGES">
    <vt:lpwstr>6</vt:lpwstr>
  </property>
  <property fmtid="{D5CDD505-2E9C-101B-9397-08002B2CF9AE}" pid="16" name="TYPE_ABS_DATE">
    <vt:lpwstr>380020220519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28533308;28296934;28533264</vt:lpwstr>
  </property>
  <property fmtid="{D5CDD505-2E9C-101B-9397-08002B2CF9AE}" pid="36" name="LAWLISTTMP1">
    <vt:lpwstr>70301/274.1;274.2;274.3;029;152;144</vt:lpwstr>
  </property>
</Properties>
</file>