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8B3BE9" w:rsidRPr="006B1300" w14:paraId="62D07E1B" w14:textId="77777777" w:rsidTr="00E663A9">
        <w:trPr>
          <w:trHeight w:hRule="exact" w:val="418"/>
          <w:jc w:val="center"/>
        </w:trPr>
        <w:tc>
          <w:tcPr>
            <w:tcW w:w="8721" w:type="dxa"/>
            <w:gridSpan w:val="2"/>
          </w:tcPr>
          <w:p w14:paraId="681E05C6" w14:textId="77777777" w:rsidR="008B3BE9" w:rsidRPr="006B1300" w:rsidRDefault="008B3BE9" w:rsidP="00962F26">
            <w:pPr>
              <w:pStyle w:val="a3"/>
              <w:jc w:val="center"/>
              <w:rPr>
                <w:rFonts w:ascii="Tahoma" w:hAnsi="Tahoma" w:cs="Tahoma"/>
                <w:color w:val="000080"/>
                <w:rtl/>
              </w:rPr>
            </w:pPr>
            <w:bookmarkStart w:id="0" w:name="LastJudge"/>
            <w:r w:rsidRPr="006B1300">
              <w:rPr>
                <w:rFonts w:ascii="Tahoma" w:hAnsi="Tahoma" w:cs="Tahoma"/>
                <w:b/>
                <w:bCs/>
                <w:color w:val="000080"/>
                <w:rtl/>
              </w:rPr>
              <w:t>בית משפט השלום בבאר שבע</w:t>
            </w:r>
          </w:p>
        </w:tc>
      </w:tr>
      <w:tr w:rsidR="008B3BE9" w:rsidRPr="006B1300" w14:paraId="6A53D511" w14:textId="77777777" w:rsidTr="00E663A9">
        <w:trPr>
          <w:trHeight w:val="337"/>
          <w:jc w:val="center"/>
        </w:trPr>
        <w:tc>
          <w:tcPr>
            <w:tcW w:w="5054" w:type="dxa"/>
          </w:tcPr>
          <w:p w14:paraId="7382B157" w14:textId="77777777" w:rsidR="008B3BE9" w:rsidRPr="006B1300" w:rsidRDefault="008B3BE9" w:rsidP="00962F26">
            <w:pPr>
              <w:rPr>
                <w:rFonts w:ascii="David" w:hAnsi="David"/>
                <w:b/>
                <w:bCs/>
                <w:sz w:val="28"/>
                <w:szCs w:val="28"/>
                <w:rtl/>
              </w:rPr>
            </w:pPr>
            <w:r w:rsidRPr="006B1300">
              <w:rPr>
                <w:rFonts w:ascii="David" w:hAnsi="David"/>
                <w:b/>
                <w:bCs/>
                <w:sz w:val="28"/>
                <w:szCs w:val="28"/>
                <w:rtl/>
              </w:rPr>
              <w:t>ת"פ 4658-05-21 מדינת ישראל נ' אבו רקיק</w:t>
            </w:r>
          </w:p>
          <w:p w14:paraId="77DA4725" w14:textId="77777777" w:rsidR="008B3BE9" w:rsidRPr="006B1300" w:rsidRDefault="008B3BE9" w:rsidP="00962F26">
            <w:pPr>
              <w:pStyle w:val="a3"/>
              <w:rPr>
                <w:rFonts w:ascii="David" w:hAnsi="David"/>
                <w:b/>
                <w:bCs/>
                <w:sz w:val="28"/>
                <w:szCs w:val="28"/>
                <w:rtl/>
              </w:rPr>
            </w:pPr>
          </w:p>
        </w:tc>
        <w:tc>
          <w:tcPr>
            <w:tcW w:w="3667" w:type="dxa"/>
          </w:tcPr>
          <w:p w14:paraId="0BE8500E" w14:textId="77777777" w:rsidR="008B3BE9" w:rsidRPr="006B1300" w:rsidRDefault="008B3BE9" w:rsidP="00962F26">
            <w:pPr>
              <w:pStyle w:val="a3"/>
              <w:jc w:val="right"/>
              <w:rPr>
                <w:rFonts w:cs="FrankRuehl"/>
                <w:sz w:val="28"/>
                <w:szCs w:val="28"/>
                <w:rtl/>
              </w:rPr>
            </w:pPr>
          </w:p>
        </w:tc>
      </w:tr>
    </w:tbl>
    <w:p w14:paraId="2D21DEEB" w14:textId="77777777" w:rsidR="008B3BE9" w:rsidRPr="006B1300" w:rsidRDefault="008B3BE9" w:rsidP="008B3BE9">
      <w:pPr>
        <w:pStyle w:val="a3"/>
        <w:rPr>
          <w:rtl/>
        </w:rPr>
      </w:pPr>
      <w:r w:rsidRPr="006B1300">
        <w:rPr>
          <w:rFonts w:hint="cs"/>
          <w:rtl/>
        </w:rPr>
        <w:t xml:space="preserve"> </w:t>
      </w:r>
    </w:p>
    <w:p w14:paraId="0771ACE0" w14:textId="77777777" w:rsidR="008B3BE9" w:rsidRPr="006B1300" w:rsidRDefault="008B3BE9" w:rsidP="008B3BE9">
      <w:pPr>
        <w:rPr>
          <w:rFonts w:ascii="Arial" w:hAnsi="Arial"/>
          <w:b/>
          <w:bCs/>
          <w:sz w:val="26"/>
          <w:szCs w:val="26"/>
          <w:rtl/>
        </w:rPr>
      </w:pPr>
    </w:p>
    <w:p w14:paraId="2F01B623" w14:textId="77777777" w:rsidR="008B3BE9" w:rsidRPr="006B1300" w:rsidRDefault="008B3BE9" w:rsidP="008B3BE9">
      <w:pPr>
        <w:rPr>
          <w:rFonts w:ascii="Arial" w:hAnsi="Arial"/>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8B3BE9" w:rsidRPr="006B1300" w14:paraId="05350B24" w14:textId="77777777" w:rsidTr="008B3BE9">
        <w:trPr>
          <w:trHeight w:val="295"/>
          <w:jc w:val="center"/>
        </w:trPr>
        <w:tc>
          <w:tcPr>
            <w:tcW w:w="923" w:type="dxa"/>
            <w:tcBorders>
              <w:top w:val="nil"/>
              <w:left w:val="nil"/>
              <w:bottom w:val="nil"/>
              <w:right w:val="nil"/>
            </w:tcBorders>
            <w:shd w:val="clear" w:color="auto" w:fill="auto"/>
          </w:tcPr>
          <w:p w14:paraId="6FB52F5C" w14:textId="77777777" w:rsidR="008B3BE9" w:rsidRPr="006B1300" w:rsidRDefault="008B3BE9" w:rsidP="008B3BE9">
            <w:pPr>
              <w:jc w:val="both"/>
              <w:rPr>
                <w:rFonts w:ascii="David" w:hAnsi="David"/>
                <w:b/>
                <w:bCs/>
                <w:sz w:val="26"/>
                <w:szCs w:val="26"/>
              </w:rPr>
            </w:pPr>
            <w:r w:rsidRPr="006B1300">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14E6C3AD" w14:textId="77777777" w:rsidR="008B3BE9" w:rsidRPr="006B1300" w:rsidRDefault="008B3BE9" w:rsidP="00962F26">
            <w:pPr>
              <w:rPr>
                <w:rFonts w:ascii="David" w:hAnsi="David"/>
                <w:b/>
                <w:bCs/>
                <w:sz w:val="26"/>
                <w:szCs w:val="26"/>
                <w:rtl/>
              </w:rPr>
            </w:pPr>
            <w:r w:rsidRPr="006B1300">
              <w:rPr>
                <w:rFonts w:ascii="David" w:hAnsi="David"/>
                <w:b/>
                <w:bCs/>
                <w:sz w:val="26"/>
                <w:szCs w:val="26"/>
                <w:rtl/>
              </w:rPr>
              <w:t>כבוד השופטת   שוש שטרית</w:t>
            </w:r>
          </w:p>
          <w:p w14:paraId="73ED8302" w14:textId="77777777" w:rsidR="008B3BE9" w:rsidRPr="006B1300" w:rsidRDefault="008B3BE9" w:rsidP="00962F26">
            <w:pPr>
              <w:rPr>
                <w:rFonts w:ascii="David" w:hAnsi="David"/>
                <w:sz w:val="26"/>
                <w:szCs w:val="26"/>
                <w:rtl/>
              </w:rPr>
            </w:pPr>
          </w:p>
          <w:p w14:paraId="79C7E8A5" w14:textId="77777777" w:rsidR="008B3BE9" w:rsidRPr="006B1300" w:rsidRDefault="008B3BE9" w:rsidP="008B3BE9">
            <w:pPr>
              <w:jc w:val="both"/>
              <w:rPr>
                <w:rFonts w:ascii="David" w:hAnsi="David"/>
                <w:sz w:val="26"/>
                <w:szCs w:val="26"/>
              </w:rPr>
            </w:pPr>
          </w:p>
        </w:tc>
      </w:tr>
      <w:tr w:rsidR="008B3BE9" w:rsidRPr="006B1300" w14:paraId="4CE09484" w14:textId="77777777" w:rsidTr="008B3BE9">
        <w:trPr>
          <w:trHeight w:val="355"/>
          <w:jc w:val="center"/>
        </w:trPr>
        <w:tc>
          <w:tcPr>
            <w:tcW w:w="923" w:type="dxa"/>
            <w:tcBorders>
              <w:top w:val="nil"/>
              <w:left w:val="nil"/>
              <w:bottom w:val="nil"/>
              <w:right w:val="nil"/>
            </w:tcBorders>
            <w:shd w:val="clear" w:color="auto" w:fill="auto"/>
          </w:tcPr>
          <w:p w14:paraId="5EF907AB" w14:textId="77777777" w:rsidR="008B3BE9" w:rsidRPr="006B1300" w:rsidRDefault="008B3BE9" w:rsidP="008B3BE9">
            <w:pPr>
              <w:jc w:val="both"/>
              <w:rPr>
                <w:rFonts w:ascii="David" w:hAnsi="David"/>
                <w:sz w:val="26"/>
                <w:szCs w:val="26"/>
              </w:rPr>
            </w:pPr>
            <w:bookmarkStart w:id="1" w:name="FirstAppellant"/>
            <w:bookmarkStart w:id="2" w:name="FirstLawyer"/>
          </w:p>
        </w:tc>
        <w:tc>
          <w:tcPr>
            <w:tcW w:w="3219" w:type="dxa"/>
            <w:tcBorders>
              <w:top w:val="nil"/>
              <w:left w:val="nil"/>
              <w:bottom w:val="nil"/>
              <w:right w:val="nil"/>
            </w:tcBorders>
            <w:shd w:val="clear" w:color="auto" w:fill="auto"/>
          </w:tcPr>
          <w:p w14:paraId="12A80FAE" w14:textId="77777777" w:rsidR="008B3BE9" w:rsidRPr="006B1300" w:rsidRDefault="008B3BE9" w:rsidP="008B3BE9">
            <w:pPr>
              <w:suppressLineNumbers/>
            </w:pPr>
            <w:r w:rsidRPr="006B1300">
              <w:rPr>
                <w:rFonts w:ascii="Arial" w:hAnsi="Arial" w:hint="cs"/>
                <w:b/>
                <w:bCs/>
                <w:sz w:val="26"/>
                <w:szCs w:val="26"/>
                <w:rtl/>
              </w:rPr>
              <w:t>ה</w:t>
            </w:r>
            <w:r w:rsidRPr="006B1300">
              <w:rPr>
                <w:rFonts w:ascii="Arial" w:hAnsi="Arial"/>
                <w:b/>
                <w:bCs/>
                <w:sz w:val="26"/>
                <w:szCs w:val="26"/>
                <w:rtl/>
              </w:rPr>
              <w:t>מאשימה</w:t>
            </w:r>
          </w:p>
          <w:p w14:paraId="546E308B" w14:textId="77777777" w:rsidR="008B3BE9" w:rsidRPr="006B1300" w:rsidRDefault="008B3BE9" w:rsidP="00962F26">
            <w:pPr>
              <w:rPr>
                <w:rFonts w:ascii="David" w:hAnsi="David"/>
                <w:sz w:val="26"/>
                <w:szCs w:val="26"/>
              </w:rPr>
            </w:pPr>
          </w:p>
        </w:tc>
        <w:tc>
          <w:tcPr>
            <w:tcW w:w="4678" w:type="dxa"/>
            <w:tcBorders>
              <w:top w:val="nil"/>
              <w:left w:val="nil"/>
              <w:bottom w:val="nil"/>
              <w:right w:val="nil"/>
            </w:tcBorders>
            <w:shd w:val="clear" w:color="auto" w:fill="auto"/>
            <w:vAlign w:val="center"/>
          </w:tcPr>
          <w:p w14:paraId="22493664" w14:textId="77777777" w:rsidR="008B3BE9" w:rsidRPr="006B1300" w:rsidRDefault="008B3BE9" w:rsidP="008B3BE9">
            <w:pPr>
              <w:suppressLineNumbers/>
              <w:rPr>
                <w:rFonts w:ascii="Arial" w:hAnsi="Arial"/>
                <w:b/>
                <w:bCs/>
                <w:sz w:val="26"/>
                <w:szCs w:val="26"/>
                <w:rtl/>
              </w:rPr>
            </w:pPr>
            <w:r w:rsidRPr="006B1300">
              <w:rPr>
                <w:rFonts w:ascii="Arial" w:hAnsi="Arial"/>
                <w:b/>
                <w:bCs/>
                <w:sz w:val="26"/>
                <w:szCs w:val="26"/>
                <w:rtl/>
              </w:rPr>
              <w:t>מדינת ישראל</w:t>
            </w:r>
            <w:r w:rsidRPr="006B1300">
              <w:rPr>
                <w:rFonts w:ascii="Arial" w:hAnsi="Arial" w:hint="cs"/>
                <w:b/>
                <w:bCs/>
                <w:sz w:val="26"/>
                <w:szCs w:val="26"/>
                <w:rtl/>
              </w:rPr>
              <w:t xml:space="preserve"> </w:t>
            </w:r>
            <w:r w:rsidRPr="006B1300">
              <w:rPr>
                <w:rFonts w:ascii="Arial" w:hAnsi="Arial"/>
                <w:b/>
                <w:bCs/>
                <w:sz w:val="26"/>
                <w:szCs w:val="26"/>
                <w:rtl/>
              </w:rPr>
              <w:t>–</w:t>
            </w:r>
            <w:r w:rsidRPr="006B1300">
              <w:rPr>
                <w:rFonts w:ascii="Arial" w:hAnsi="Arial" w:hint="cs"/>
                <w:b/>
                <w:bCs/>
                <w:sz w:val="26"/>
                <w:szCs w:val="26"/>
                <w:rtl/>
              </w:rPr>
              <w:t xml:space="preserve"> תביעות נגב</w:t>
            </w:r>
          </w:p>
          <w:p w14:paraId="6DB85166" w14:textId="77777777" w:rsidR="008B3BE9" w:rsidRPr="006B1300" w:rsidRDefault="008B3BE9" w:rsidP="008B3BE9">
            <w:pPr>
              <w:suppressLineNumbers/>
              <w:rPr>
                <w:b/>
                <w:bCs/>
                <w:sz w:val="26"/>
                <w:szCs w:val="26"/>
              </w:rPr>
            </w:pPr>
            <w:r w:rsidRPr="006B1300">
              <w:rPr>
                <w:rFonts w:ascii="Arial" w:hAnsi="Arial"/>
                <w:b/>
                <w:bCs/>
                <w:sz w:val="26"/>
                <w:szCs w:val="26"/>
                <w:rtl/>
              </w:rPr>
              <w:t>ע"י ב"כ עוה"ד</w:t>
            </w:r>
            <w:r w:rsidRPr="006B1300">
              <w:rPr>
                <w:rFonts w:hint="cs"/>
                <w:sz w:val="26"/>
                <w:szCs w:val="26"/>
                <w:rtl/>
              </w:rPr>
              <w:t xml:space="preserve"> </w:t>
            </w:r>
            <w:r w:rsidRPr="006B1300">
              <w:rPr>
                <w:rFonts w:hint="cs"/>
                <w:b/>
                <w:bCs/>
                <w:sz w:val="26"/>
                <w:szCs w:val="26"/>
                <w:rtl/>
              </w:rPr>
              <w:t xml:space="preserve">לי מגן </w:t>
            </w:r>
          </w:p>
          <w:p w14:paraId="5317A34D" w14:textId="77777777" w:rsidR="008B3BE9" w:rsidRPr="006B1300" w:rsidRDefault="008B3BE9" w:rsidP="00962F26">
            <w:pPr>
              <w:rPr>
                <w:rFonts w:ascii="David" w:hAnsi="David"/>
                <w:sz w:val="26"/>
                <w:szCs w:val="26"/>
              </w:rPr>
            </w:pPr>
          </w:p>
        </w:tc>
      </w:tr>
      <w:bookmarkEnd w:id="1"/>
      <w:bookmarkEnd w:id="2"/>
      <w:tr w:rsidR="008B3BE9" w:rsidRPr="006B1300" w14:paraId="42CE136D" w14:textId="77777777" w:rsidTr="008B3BE9">
        <w:trPr>
          <w:trHeight w:val="355"/>
          <w:jc w:val="center"/>
        </w:trPr>
        <w:tc>
          <w:tcPr>
            <w:tcW w:w="923" w:type="dxa"/>
            <w:tcBorders>
              <w:top w:val="nil"/>
              <w:left w:val="nil"/>
              <w:bottom w:val="nil"/>
              <w:right w:val="nil"/>
            </w:tcBorders>
            <w:shd w:val="clear" w:color="auto" w:fill="auto"/>
          </w:tcPr>
          <w:p w14:paraId="5EAE7A19" w14:textId="77777777" w:rsidR="008B3BE9" w:rsidRPr="006B1300" w:rsidRDefault="008B3BE9" w:rsidP="008B3BE9">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668EEB5E" w14:textId="77777777" w:rsidR="008B3BE9" w:rsidRPr="006B1300" w:rsidRDefault="008B3BE9" w:rsidP="008B3BE9">
            <w:pPr>
              <w:jc w:val="center"/>
              <w:rPr>
                <w:rFonts w:ascii="David" w:hAnsi="David"/>
                <w:b/>
                <w:bCs/>
                <w:sz w:val="26"/>
                <w:szCs w:val="26"/>
                <w:rtl/>
              </w:rPr>
            </w:pPr>
          </w:p>
          <w:p w14:paraId="13E870A2" w14:textId="77777777" w:rsidR="008B3BE9" w:rsidRPr="006B1300" w:rsidRDefault="008B3BE9" w:rsidP="008B3BE9">
            <w:pPr>
              <w:jc w:val="center"/>
              <w:rPr>
                <w:rFonts w:ascii="David" w:hAnsi="David"/>
                <w:b/>
                <w:bCs/>
                <w:sz w:val="26"/>
                <w:szCs w:val="26"/>
                <w:rtl/>
              </w:rPr>
            </w:pPr>
            <w:r w:rsidRPr="006B1300">
              <w:rPr>
                <w:rFonts w:ascii="David" w:hAnsi="David"/>
                <w:b/>
                <w:bCs/>
                <w:sz w:val="26"/>
                <w:szCs w:val="26"/>
                <w:rtl/>
              </w:rPr>
              <w:t>נגד</w:t>
            </w:r>
          </w:p>
          <w:p w14:paraId="5735B783" w14:textId="77777777" w:rsidR="008B3BE9" w:rsidRPr="006B1300" w:rsidRDefault="008B3BE9" w:rsidP="008B3BE9">
            <w:pPr>
              <w:jc w:val="both"/>
              <w:rPr>
                <w:rFonts w:ascii="David" w:hAnsi="David"/>
                <w:sz w:val="26"/>
                <w:szCs w:val="26"/>
              </w:rPr>
            </w:pPr>
          </w:p>
        </w:tc>
      </w:tr>
      <w:tr w:rsidR="008B3BE9" w:rsidRPr="006B1300" w14:paraId="49ADF4C3" w14:textId="77777777" w:rsidTr="008B3BE9">
        <w:trPr>
          <w:trHeight w:val="355"/>
          <w:jc w:val="center"/>
        </w:trPr>
        <w:tc>
          <w:tcPr>
            <w:tcW w:w="923" w:type="dxa"/>
            <w:tcBorders>
              <w:top w:val="nil"/>
              <w:left w:val="nil"/>
              <w:bottom w:val="nil"/>
              <w:right w:val="nil"/>
            </w:tcBorders>
            <w:shd w:val="clear" w:color="auto" w:fill="auto"/>
          </w:tcPr>
          <w:p w14:paraId="76CC1995" w14:textId="77777777" w:rsidR="008B3BE9" w:rsidRPr="006B1300" w:rsidRDefault="008B3BE9" w:rsidP="00962F26">
            <w:pPr>
              <w:rPr>
                <w:rFonts w:ascii="David" w:hAnsi="David"/>
                <w:sz w:val="26"/>
                <w:szCs w:val="26"/>
                <w:rtl/>
              </w:rPr>
            </w:pPr>
          </w:p>
        </w:tc>
        <w:tc>
          <w:tcPr>
            <w:tcW w:w="3219" w:type="dxa"/>
            <w:tcBorders>
              <w:top w:val="nil"/>
              <w:left w:val="nil"/>
              <w:bottom w:val="nil"/>
              <w:right w:val="nil"/>
            </w:tcBorders>
            <w:shd w:val="clear" w:color="auto" w:fill="auto"/>
          </w:tcPr>
          <w:p w14:paraId="0EFE52EE" w14:textId="77777777" w:rsidR="008B3BE9" w:rsidRPr="006B1300" w:rsidRDefault="008B3BE9" w:rsidP="00962F26">
            <w:pPr>
              <w:rPr>
                <w:rFonts w:ascii="Arial" w:hAnsi="Arial"/>
                <w:b/>
                <w:bCs/>
                <w:sz w:val="26"/>
                <w:szCs w:val="26"/>
                <w:rtl/>
              </w:rPr>
            </w:pPr>
            <w:r w:rsidRPr="006B1300">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4DC03A38" w14:textId="77777777" w:rsidR="008B3BE9" w:rsidRPr="006B1300" w:rsidRDefault="008B3BE9" w:rsidP="008B3BE9">
            <w:pPr>
              <w:suppressLineNumbers/>
              <w:rPr>
                <w:rFonts w:ascii="Arial" w:hAnsi="Arial"/>
                <w:b/>
                <w:bCs/>
                <w:sz w:val="26"/>
                <w:szCs w:val="26"/>
                <w:rtl/>
              </w:rPr>
            </w:pPr>
            <w:r w:rsidRPr="006B1300">
              <w:rPr>
                <w:rFonts w:ascii="Arial" w:hAnsi="Arial"/>
                <w:b/>
                <w:bCs/>
                <w:sz w:val="26"/>
                <w:szCs w:val="26"/>
                <w:rtl/>
              </w:rPr>
              <w:t>אבראהים אבו רקיק</w:t>
            </w:r>
            <w:r w:rsidRPr="006B1300">
              <w:rPr>
                <w:rFonts w:ascii="Arial" w:hAnsi="Arial" w:hint="cs"/>
                <w:b/>
                <w:bCs/>
                <w:sz w:val="26"/>
                <w:szCs w:val="26"/>
                <w:rtl/>
              </w:rPr>
              <w:t xml:space="preserve"> </w:t>
            </w:r>
          </w:p>
          <w:p w14:paraId="6286544D" w14:textId="77777777" w:rsidR="008B3BE9" w:rsidRPr="006B1300" w:rsidRDefault="008B3BE9" w:rsidP="008B3BE9">
            <w:pPr>
              <w:suppressLineNumbers/>
              <w:rPr>
                <w:b/>
                <w:bCs/>
                <w:sz w:val="26"/>
                <w:szCs w:val="26"/>
              </w:rPr>
            </w:pPr>
            <w:r w:rsidRPr="006B1300">
              <w:rPr>
                <w:rFonts w:ascii="Arial" w:hAnsi="Arial"/>
                <w:b/>
                <w:bCs/>
                <w:sz w:val="26"/>
                <w:szCs w:val="26"/>
                <w:rtl/>
              </w:rPr>
              <w:t>ע"י ב"כ עוה"ד</w:t>
            </w:r>
            <w:r w:rsidRPr="006B1300">
              <w:rPr>
                <w:rFonts w:hint="cs"/>
                <w:b/>
                <w:bCs/>
                <w:sz w:val="26"/>
                <w:szCs w:val="26"/>
                <w:rtl/>
              </w:rPr>
              <w:t xml:space="preserve"> מוני בן מוחה</w:t>
            </w:r>
          </w:p>
          <w:p w14:paraId="565D05A2" w14:textId="77777777" w:rsidR="008B3BE9" w:rsidRPr="006B1300" w:rsidRDefault="008B3BE9" w:rsidP="00962F26">
            <w:pPr>
              <w:rPr>
                <w:rFonts w:ascii="David" w:hAnsi="David"/>
                <w:sz w:val="26"/>
                <w:szCs w:val="26"/>
              </w:rPr>
            </w:pPr>
          </w:p>
        </w:tc>
      </w:tr>
    </w:tbl>
    <w:p w14:paraId="3193BFAC" w14:textId="77777777" w:rsidR="00E663A9" w:rsidRPr="00E663A9" w:rsidRDefault="00E663A9" w:rsidP="00E663A9">
      <w:pPr>
        <w:spacing w:before="120" w:after="120" w:line="240" w:lineRule="exact"/>
        <w:ind w:left="283" w:hanging="283"/>
        <w:jc w:val="both"/>
        <w:rPr>
          <w:rFonts w:ascii="FrankRuehl" w:hAnsi="FrankRuehl" w:cs="FrankRuehl"/>
          <w:rtl/>
        </w:rPr>
      </w:pPr>
    </w:p>
    <w:p w14:paraId="0C2CF35E" w14:textId="77777777" w:rsidR="00890475" w:rsidRPr="00890475" w:rsidRDefault="00890475" w:rsidP="00890475">
      <w:pPr>
        <w:spacing w:before="120" w:after="120" w:line="240" w:lineRule="exact"/>
        <w:ind w:left="283" w:hanging="283"/>
        <w:jc w:val="both"/>
        <w:rPr>
          <w:rFonts w:ascii="FrankRuehl" w:hAnsi="FrankRuehl" w:cs="FrankRuehl"/>
          <w:rtl/>
        </w:rPr>
      </w:pPr>
    </w:p>
    <w:p w14:paraId="3381145F" w14:textId="77777777" w:rsidR="00314450" w:rsidRDefault="00314450" w:rsidP="00314450">
      <w:pPr>
        <w:rPr>
          <w:rtl/>
        </w:rPr>
      </w:pPr>
      <w:bookmarkStart w:id="3" w:name="LawTable"/>
      <w:bookmarkEnd w:id="3"/>
    </w:p>
    <w:p w14:paraId="79F75554" w14:textId="77777777" w:rsidR="00314450" w:rsidRPr="00314450" w:rsidRDefault="00314450" w:rsidP="00314450">
      <w:pPr>
        <w:spacing w:before="120" w:after="120" w:line="240" w:lineRule="exact"/>
        <w:ind w:left="283" w:hanging="283"/>
        <w:jc w:val="both"/>
        <w:rPr>
          <w:rFonts w:ascii="FrankRuehl" w:hAnsi="FrankRuehl" w:cs="FrankRuehl"/>
          <w:rtl/>
        </w:rPr>
      </w:pPr>
    </w:p>
    <w:p w14:paraId="20916909" w14:textId="77777777" w:rsidR="00314450" w:rsidRPr="00314450" w:rsidRDefault="00314450" w:rsidP="00314450">
      <w:pPr>
        <w:spacing w:before="120" w:after="120" w:line="240" w:lineRule="exact"/>
        <w:ind w:left="283" w:hanging="283"/>
        <w:jc w:val="both"/>
        <w:rPr>
          <w:rFonts w:ascii="FrankRuehl" w:hAnsi="FrankRuehl" w:cs="FrankRuehl"/>
          <w:rtl/>
        </w:rPr>
      </w:pPr>
    </w:p>
    <w:p w14:paraId="057738F1" w14:textId="77777777" w:rsidR="00314450" w:rsidRPr="00314450" w:rsidRDefault="00314450" w:rsidP="00314450">
      <w:pPr>
        <w:spacing w:before="120" w:after="120" w:line="240" w:lineRule="exact"/>
        <w:ind w:left="283" w:hanging="283"/>
        <w:jc w:val="both"/>
        <w:rPr>
          <w:rFonts w:ascii="FrankRuehl" w:hAnsi="FrankRuehl" w:cs="FrankRuehl"/>
          <w:rtl/>
        </w:rPr>
      </w:pPr>
      <w:r w:rsidRPr="00314450">
        <w:rPr>
          <w:rFonts w:ascii="FrankRuehl" w:hAnsi="FrankRuehl" w:cs="FrankRuehl"/>
          <w:rtl/>
        </w:rPr>
        <w:t xml:space="preserve">חקיקה שאוזכרה: </w:t>
      </w:r>
    </w:p>
    <w:p w14:paraId="49D031A5" w14:textId="77777777" w:rsidR="00314450" w:rsidRPr="00314450" w:rsidRDefault="00314450" w:rsidP="00314450">
      <w:pPr>
        <w:spacing w:before="120" w:after="120" w:line="240" w:lineRule="exact"/>
        <w:ind w:left="283" w:hanging="283"/>
        <w:jc w:val="both"/>
        <w:rPr>
          <w:rFonts w:ascii="FrankRuehl" w:hAnsi="FrankRuehl" w:cs="FrankRuehl"/>
          <w:rtl/>
        </w:rPr>
      </w:pPr>
      <w:hyperlink r:id="rId7" w:history="1">
        <w:r w:rsidRPr="00314450">
          <w:rPr>
            <w:rFonts w:ascii="FrankRuehl" w:hAnsi="FrankRuehl" w:cs="FrankRuehl"/>
            <w:color w:val="0000FF"/>
            <w:rtl/>
          </w:rPr>
          <w:t>חוק העונשין, תשל"ז-1977</w:t>
        </w:r>
      </w:hyperlink>
      <w:r w:rsidRPr="00314450">
        <w:rPr>
          <w:rFonts w:ascii="FrankRuehl" w:hAnsi="FrankRuehl" w:cs="FrankRuehl"/>
          <w:rtl/>
        </w:rPr>
        <w:t xml:space="preserve">: סע'  </w:t>
      </w:r>
      <w:hyperlink r:id="rId8" w:history="1">
        <w:r w:rsidRPr="00314450">
          <w:rPr>
            <w:rFonts w:ascii="FrankRuehl" w:hAnsi="FrankRuehl" w:cs="FrankRuehl"/>
            <w:color w:val="0000FF"/>
            <w:rtl/>
          </w:rPr>
          <w:t>144(א)</w:t>
        </w:r>
      </w:hyperlink>
    </w:p>
    <w:p w14:paraId="530D5457" w14:textId="77777777" w:rsidR="00314450" w:rsidRPr="00314450" w:rsidRDefault="00314450" w:rsidP="00314450">
      <w:pPr>
        <w:rPr>
          <w:rtl/>
        </w:rPr>
      </w:pPr>
      <w:bookmarkStart w:id="4" w:name="LawTable_End"/>
      <w:bookmarkEnd w:id="4"/>
    </w:p>
    <w:p w14:paraId="41697FCC" w14:textId="77777777" w:rsidR="006B1300" w:rsidRPr="00890475" w:rsidRDefault="006B1300" w:rsidP="00890475"/>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B3BE9" w:rsidRPr="000A36B1" w14:paraId="40E522BA" w14:textId="77777777" w:rsidTr="008B3BE9">
        <w:trPr>
          <w:trHeight w:val="355"/>
          <w:jc w:val="center"/>
        </w:trPr>
        <w:tc>
          <w:tcPr>
            <w:tcW w:w="8820" w:type="dxa"/>
            <w:tcBorders>
              <w:top w:val="nil"/>
              <w:left w:val="nil"/>
              <w:bottom w:val="nil"/>
              <w:right w:val="nil"/>
            </w:tcBorders>
            <w:shd w:val="clear" w:color="auto" w:fill="auto"/>
          </w:tcPr>
          <w:p w14:paraId="0758880F" w14:textId="77777777" w:rsidR="006B1300" w:rsidRPr="006B1300" w:rsidRDefault="006B1300" w:rsidP="006B1300">
            <w:pPr>
              <w:jc w:val="center"/>
              <w:rPr>
                <w:rFonts w:ascii="David" w:hAnsi="David"/>
                <w:b/>
                <w:bCs/>
                <w:sz w:val="32"/>
                <w:szCs w:val="32"/>
                <w:rtl/>
              </w:rPr>
            </w:pPr>
            <w:bookmarkStart w:id="5" w:name="PsakDin" w:colFirst="0" w:colLast="0"/>
            <w:bookmarkEnd w:id="0"/>
            <w:r w:rsidRPr="006B1300">
              <w:rPr>
                <w:rFonts w:ascii="David" w:hAnsi="David"/>
                <w:b/>
                <w:bCs/>
                <w:sz w:val="32"/>
                <w:szCs w:val="32"/>
                <w:rtl/>
              </w:rPr>
              <w:t>גזר דין</w:t>
            </w:r>
          </w:p>
          <w:p w14:paraId="6A685DD8" w14:textId="77777777" w:rsidR="008B3BE9" w:rsidRPr="006B1300" w:rsidRDefault="008B3BE9" w:rsidP="006B1300">
            <w:pPr>
              <w:jc w:val="center"/>
              <w:rPr>
                <w:rFonts w:ascii="David" w:hAnsi="David"/>
                <w:bCs/>
                <w:sz w:val="32"/>
                <w:szCs w:val="32"/>
                <w:rtl/>
              </w:rPr>
            </w:pPr>
          </w:p>
        </w:tc>
      </w:tr>
      <w:bookmarkEnd w:id="5"/>
    </w:tbl>
    <w:p w14:paraId="31720BB1" w14:textId="77777777" w:rsidR="008B3BE9" w:rsidRPr="000F2247" w:rsidRDefault="008B3BE9" w:rsidP="008B3BE9">
      <w:pPr>
        <w:rPr>
          <w:rFonts w:ascii="Arial" w:hAnsi="Arial"/>
          <w:b/>
          <w:bCs/>
          <w:sz w:val="26"/>
          <w:szCs w:val="26"/>
          <w:rtl/>
        </w:rPr>
      </w:pPr>
    </w:p>
    <w:p w14:paraId="7F376222" w14:textId="77777777" w:rsidR="008B3BE9" w:rsidRDefault="008B3BE9" w:rsidP="008B3BE9">
      <w:pPr>
        <w:spacing w:line="360" w:lineRule="auto"/>
        <w:jc w:val="both"/>
        <w:rPr>
          <w:rtl/>
        </w:rPr>
      </w:pPr>
      <w:bookmarkStart w:id="6" w:name="NGCSBookmark"/>
      <w:bookmarkStart w:id="7" w:name="ABSTRACT_START"/>
      <w:bookmarkEnd w:id="6"/>
      <w:bookmarkEnd w:id="7"/>
      <w:r>
        <w:rPr>
          <w:rtl/>
        </w:rPr>
        <w:t xml:space="preserve">על יסוד הודאתו בעובדות כתב האישום המתוקן,  הורשע הנאשם בהחזקת חלק של נשק / תחמושת, עבירה לפי </w:t>
      </w:r>
      <w:hyperlink r:id="rId9" w:history="1">
        <w:r w:rsidR="00E663A9" w:rsidRPr="00E663A9">
          <w:rPr>
            <w:rStyle w:val="Hyperlink"/>
            <w:rtl/>
          </w:rPr>
          <w:t>סעיף 144(א)</w:t>
        </w:r>
      </w:hyperlink>
      <w:r>
        <w:rPr>
          <w:rtl/>
        </w:rPr>
        <w:t xml:space="preserve"> סיפא ל</w:t>
      </w:r>
      <w:hyperlink r:id="rId10" w:history="1">
        <w:r w:rsidR="006B1300" w:rsidRPr="006B1300">
          <w:rPr>
            <w:color w:val="0000FF"/>
            <w:u w:val="single"/>
            <w:rtl/>
          </w:rPr>
          <w:t>חוק העונשין</w:t>
        </w:r>
      </w:hyperlink>
      <w:r>
        <w:rPr>
          <w:rtl/>
        </w:rPr>
        <w:t>, תשל"ז – 1977.</w:t>
      </w:r>
    </w:p>
    <w:p w14:paraId="0ABCB495" w14:textId="77777777" w:rsidR="008B3BE9" w:rsidRDefault="008B3BE9" w:rsidP="008B3BE9">
      <w:pPr>
        <w:spacing w:line="360" w:lineRule="auto"/>
        <w:jc w:val="both"/>
        <w:rPr>
          <w:rFonts w:ascii="Arial" w:hAnsi="Arial"/>
          <w:b/>
          <w:bCs/>
          <w:u w:val="single"/>
        </w:rPr>
      </w:pPr>
      <w:bookmarkStart w:id="8" w:name="ABSTRACT_END"/>
      <w:bookmarkEnd w:id="8"/>
    </w:p>
    <w:p w14:paraId="04685FEB" w14:textId="77777777" w:rsidR="008B3BE9" w:rsidRDefault="008B3BE9" w:rsidP="008B3BE9">
      <w:pPr>
        <w:spacing w:line="360" w:lineRule="auto"/>
        <w:jc w:val="both"/>
        <w:rPr>
          <w:rFonts w:ascii="Arial" w:hAnsi="Arial"/>
          <w:b/>
          <w:bCs/>
          <w:u w:val="single"/>
          <w:rtl/>
        </w:rPr>
      </w:pPr>
      <w:r>
        <w:rPr>
          <w:rFonts w:ascii="Arial" w:hAnsi="Arial"/>
          <w:b/>
          <w:bCs/>
          <w:u w:val="single"/>
          <w:rtl/>
        </w:rPr>
        <w:t>כתב האישום המתוקן</w:t>
      </w:r>
    </w:p>
    <w:p w14:paraId="33347F28" w14:textId="77777777" w:rsidR="008B3BE9" w:rsidRPr="008B3BE9" w:rsidRDefault="008B3BE9" w:rsidP="008B3BE9">
      <w:pPr>
        <w:spacing w:line="360" w:lineRule="auto"/>
        <w:jc w:val="both"/>
        <w:rPr>
          <w:rFonts w:ascii="Arial" w:hAnsi="Arial"/>
          <w:color w:val="000000"/>
          <w:rtl/>
        </w:rPr>
      </w:pPr>
      <w:r>
        <w:rPr>
          <w:rFonts w:ascii="Arial" w:hAnsi="Arial"/>
          <w:rtl/>
        </w:rPr>
        <w:t xml:space="preserve">על פי העובדות, החזיק הנאשם במתחם לול </w:t>
      </w:r>
      <w:r w:rsidRPr="008B3BE9">
        <w:rPr>
          <w:rFonts w:ascii="Arial" w:hAnsi="Arial"/>
          <w:color w:val="000000"/>
          <w:rtl/>
        </w:rPr>
        <w:t xml:space="preserve">תרנגולים שבמתחם ביתו, 23 חלקי מתכת פנימיים אשר שימשו גופי מחסניות של אקדח חצי אוטומטי מסוג גלוק וחלק מתכת אשר שימש מדפס לרובה סער הגליל,  בעשותו כמתואר החזיק חלק, אביזר או תחמושת שלא כדין. </w:t>
      </w:r>
    </w:p>
    <w:p w14:paraId="7FFEF1A0" w14:textId="77777777" w:rsidR="008B3BE9" w:rsidRPr="008B3BE9" w:rsidRDefault="008B3BE9" w:rsidP="008B3BE9">
      <w:pPr>
        <w:spacing w:line="360" w:lineRule="auto"/>
        <w:jc w:val="both"/>
        <w:rPr>
          <w:rFonts w:ascii="Arial" w:hAnsi="Arial"/>
          <w:color w:val="000000"/>
          <w:rtl/>
        </w:rPr>
      </w:pPr>
    </w:p>
    <w:p w14:paraId="72888DFE" w14:textId="77777777" w:rsidR="008B3BE9" w:rsidRDefault="008B3BE9" w:rsidP="008B3BE9">
      <w:pPr>
        <w:spacing w:line="360" w:lineRule="auto"/>
        <w:jc w:val="both"/>
        <w:rPr>
          <w:rtl/>
        </w:rPr>
      </w:pPr>
      <w:r>
        <w:rPr>
          <w:rtl/>
        </w:rPr>
        <w:t xml:space="preserve">במסגרת הסדר הטיעון אליו הגיעו הצדדים הוסכם כי המאשימה תגביל טיעוניה לעונש מאסר של עד 6 חודשים שירוצו בעבודות שירות, ואילו ההגנה תביא טיעוניה באופן חופשי. </w:t>
      </w:r>
    </w:p>
    <w:p w14:paraId="7BBC47AD" w14:textId="77777777" w:rsidR="008B3BE9" w:rsidRPr="008B3BE9" w:rsidRDefault="008B3BE9" w:rsidP="008B3BE9">
      <w:pPr>
        <w:spacing w:line="360" w:lineRule="auto"/>
        <w:jc w:val="both"/>
        <w:rPr>
          <w:rFonts w:ascii="Arial" w:hAnsi="Arial"/>
          <w:b/>
          <w:bCs/>
          <w:color w:val="000000"/>
          <w:u w:val="single"/>
          <w:rtl/>
        </w:rPr>
      </w:pPr>
    </w:p>
    <w:p w14:paraId="0116A22D" w14:textId="77777777" w:rsidR="008B3BE9" w:rsidRPr="008B3BE9" w:rsidRDefault="008B3BE9" w:rsidP="008B3BE9">
      <w:pPr>
        <w:spacing w:line="360" w:lineRule="auto"/>
        <w:jc w:val="both"/>
        <w:rPr>
          <w:rFonts w:ascii="Arial" w:hAnsi="Arial"/>
          <w:b/>
          <w:bCs/>
          <w:color w:val="000000"/>
          <w:u w:val="single"/>
          <w:rtl/>
        </w:rPr>
      </w:pPr>
      <w:r w:rsidRPr="008B3BE9">
        <w:rPr>
          <w:rFonts w:ascii="Arial" w:hAnsi="Arial"/>
          <w:b/>
          <w:bCs/>
          <w:color w:val="000000"/>
          <w:u w:val="single"/>
          <w:rtl/>
        </w:rPr>
        <w:t>טיעוני הצדדים לעונש</w:t>
      </w:r>
    </w:p>
    <w:p w14:paraId="5C58423B" w14:textId="77777777" w:rsidR="008B3BE9" w:rsidRDefault="008B3BE9" w:rsidP="008B3BE9">
      <w:pPr>
        <w:spacing w:line="360" w:lineRule="auto"/>
        <w:jc w:val="both"/>
        <w:rPr>
          <w:noProof/>
          <w:rtl/>
        </w:rPr>
      </w:pPr>
      <w:r>
        <w:rPr>
          <w:rtl/>
        </w:rPr>
        <w:lastRenderedPageBreak/>
        <w:t>כראיה לעונש הגישה ב"כ המאשימה את ת/1</w:t>
      </w:r>
      <w:r>
        <w:rPr>
          <w:rFonts w:hint="cs"/>
          <w:rtl/>
        </w:rPr>
        <w:t xml:space="preserve"> -</w:t>
      </w:r>
      <w:r>
        <w:rPr>
          <w:rtl/>
        </w:rPr>
        <w:t xml:space="preserve"> צילום חלקי מתכת ששימשו גופי</w:t>
      </w:r>
      <w:r>
        <w:rPr>
          <w:rFonts w:hint="cs"/>
          <w:rtl/>
        </w:rPr>
        <w:t>ם פנימיים</w:t>
      </w:r>
      <w:r>
        <w:rPr>
          <w:rtl/>
        </w:rPr>
        <w:t xml:space="preserve"> </w:t>
      </w:r>
      <w:r>
        <w:rPr>
          <w:rFonts w:hint="cs"/>
          <w:rtl/>
        </w:rPr>
        <w:t>ל</w:t>
      </w:r>
      <w:r>
        <w:rPr>
          <w:rtl/>
        </w:rPr>
        <w:t xml:space="preserve">מחסניות. בטיעוניה לעונש עמדה על הפגיעה בערכים המוגנים שביסוד האיסור להחזיק נשק ותחמושת שלא כדין. נטען כי </w:t>
      </w:r>
      <w:r w:rsidRPr="009E509D">
        <w:rPr>
          <w:rtl/>
        </w:rPr>
        <w:t>בהחזקת נשק על כל חלקיו קם חשש להסלמת</w:t>
      </w:r>
      <w:r>
        <w:rPr>
          <w:rtl/>
        </w:rPr>
        <w:t xml:space="preserve"> סכסוכים ומעשי אלימות בין אם בזדון ובין אם מחמת טעות, כשבהקשר זה ציינה ב"כ המאשימה כי הוראת החיקוק הרלוונטית לא עושה אבחנה לעניין העונש, בין החזקת נשק יורה שבכוחו להמית לחלק מנשק. </w:t>
      </w:r>
    </w:p>
    <w:p w14:paraId="40F1BFE1" w14:textId="77777777" w:rsidR="008B3BE9" w:rsidRDefault="008B3BE9" w:rsidP="008B3BE9">
      <w:pPr>
        <w:spacing w:line="360" w:lineRule="auto"/>
        <w:jc w:val="both"/>
      </w:pPr>
      <w:r>
        <w:rPr>
          <w:rtl/>
        </w:rPr>
        <w:t>לדידה של המאשימה, בשים לב לאמור ונוכח שהנאשם החזיק 23 חלקי</w:t>
      </w:r>
      <w:r>
        <w:rPr>
          <w:rFonts w:hint="cs"/>
          <w:rtl/>
        </w:rPr>
        <w:t xml:space="preserve"> פנים של</w:t>
      </w:r>
      <w:r>
        <w:rPr>
          <w:rtl/>
        </w:rPr>
        <w:t xml:space="preserve"> מחסניות של אקדח חצי אוטומטי, מתחם העונש ההולם צריך וינוע בין מספר חודשים קצר ועד 6 חודשים שיכול וירוצו בעבודות</w:t>
      </w:r>
      <w:r>
        <w:rPr>
          <w:rFonts w:hint="cs"/>
          <w:rtl/>
        </w:rPr>
        <w:t xml:space="preserve">. אשר לעונשו של הנאשם סברה כי זה </w:t>
      </w:r>
      <w:r>
        <w:rPr>
          <w:rtl/>
        </w:rPr>
        <w:t>צריך וי</w:t>
      </w:r>
      <w:r>
        <w:rPr>
          <w:rFonts w:hint="cs"/>
          <w:rtl/>
        </w:rPr>
        <w:t>י</w:t>
      </w:r>
      <w:r>
        <w:rPr>
          <w:rtl/>
        </w:rPr>
        <w:t xml:space="preserve">גזר בתוך המתחם </w:t>
      </w:r>
      <w:r w:rsidRPr="00654B2E">
        <w:rPr>
          <w:rtl/>
        </w:rPr>
        <w:t xml:space="preserve">בשים לב לעברו הנקי והודאתו במיוחס לו, וזאת לצד ענישה צופה פני עתיד. </w:t>
      </w:r>
      <w:r w:rsidRPr="00654B2E">
        <w:rPr>
          <w:rFonts w:hint="cs"/>
          <w:rtl/>
        </w:rPr>
        <w:t xml:space="preserve">בתימוכין למתחם לו עתרה, הפנתה המאשימה ל </w:t>
      </w:r>
      <w:hyperlink r:id="rId11" w:history="1">
        <w:r w:rsidR="006B1300" w:rsidRPr="006B1300">
          <w:rPr>
            <w:color w:val="0000FF"/>
            <w:u w:val="single"/>
            <w:rtl/>
          </w:rPr>
          <w:t>ת.פ 59911-06-21</w:t>
        </w:r>
      </w:hyperlink>
      <w:r w:rsidRPr="00654B2E">
        <w:rPr>
          <w:rtl/>
        </w:rPr>
        <w:t xml:space="preserve"> </w:t>
      </w:r>
      <w:r w:rsidRPr="00654B2E">
        <w:rPr>
          <w:rFonts w:hint="cs"/>
          <w:b/>
          <w:bCs/>
          <w:rtl/>
        </w:rPr>
        <w:t>מדינת ישראל נ' שאהין שאהין</w:t>
      </w:r>
      <w:r w:rsidRPr="00654B2E">
        <w:rPr>
          <w:rFonts w:hint="cs"/>
          <w:rtl/>
        </w:rPr>
        <w:t>, שם נטען, נקבע מ</w:t>
      </w:r>
      <w:r w:rsidRPr="00654B2E">
        <w:rPr>
          <w:rtl/>
        </w:rPr>
        <w:t xml:space="preserve">תחם דומה </w:t>
      </w:r>
      <w:r w:rsidRPr="00654B2E">
        <w:rPr>
          <w:rFonts w:hint="cs"/>
          <w:rtl/>
        </w:rPr>
        <w:t xml:space="preserve">בנסיבות בהן הורשע נאשם בהחזקת </w:t>
      </w:r>
      <w:r w:rsidRPr="00654B2E">
        <w:rPr>
          <w:rtl/>
        </w:rPr>
        <w:t xml:space="preserve"> 20 כדורי</w:t>
      </w:r>
      <w:r w:rsidRPr="00654B2E">
        <w:rPr>
          <w:rFonts w:hint="cs"/>
          <w:rtl/>
        </w:rPr>
        <w:t xml:space="preserve"> אקדח</w:t>
      </w:r>
      <w:r w:rsidRPr="00654B2E">
        <w:rPr>
          <w:rtl/>
        </w:rPr>
        <w:t>.</w:t>
      </w:r>
    </w:p>
    <w:p w14:paraId="155AF601" w14:textId="77777777" w:rsidR="008B3BE9" w:rsidRDefault="008B3BE9" w:rsidP="008B3BE9">
      <w:pPr>
        <w:spacing w:line="360" w:lineRule="auto"/>
        <w:jc w:val="both"/>
      </w:pPr>
      <w:r w:rsidRPr="00EA04A7">
        <w:rPr>
          <w:b/>
          <w:bCs/>
          <w:rtl/>
        </w:rPr>
        <w:t xml:space="preserve">ב"כ הנאשם, עו"ד </w:t>
      </w:r>
      <w:r>
        <w:rPr>
          <w:rFonts w:hint="cs"/>
          <w:b/>
          <w:bCs/>
          <w:rtl/>
        </w:rPr>
        <w:t xml:space="preserve">מוני </w:t>
      </w:r>
      <w:r w:rsidRPr="00EA04A7">
        <w:rPr>
          <w:b/>
          <w:bCs/>
          <w:rtl/>
        </w:rPr>
        <w:t>בן מוחה</w:t>
      </w:r>
      <w:r>
        <w:rPr>
          <w:rFonts w:hint="cs"/>
          <w:b/>
          <w:bCs/>
          <w:rtl/>
        </w:rPr>
        <w:t>,</w:t>
      </w:r>
      <w:r>
        <w:rPr>
          <w:rtl/>
        </w:rPr>
        <w:t xml:space="preserve"> עתר לקביעת מתחם עונש הולם למעשה העבירה כך שינוע בין מאסר על תנאי ועד מספר קצר של חודשים שירוצו בעבודות שירות. בטיעוניו טען לעובדה כי חלקי הנשק אותם החזיק הנאשם הם למעשי חתיכת פח שבעבר הייתה חלק פנימי של מחסני שכשלעצמו אינו שלם, וכי היו חלק מהברזל אותו אוסף  הנאשם לצרכי פרנסה כטענתו בשטח ובמשטרה,</w:t>
      </w:r>
      <w:r>
        <w:rPr>
          <w:rFonts w:hint="cs"/>
          <w:rtl/>
        </w:rPr>
        <w:t xml:space="preserve"> </w:t>
      </w:r>
      <w:r>
        <w:rPr>
          <w:rtl/>
        </w:rPr>
        <w:t>שם הוסיף וטען כי לא ידע למה שמשו  חלקי ברזל אלו בעבר. ב"כ הנאשם הוסיף והפנה לעובדה כי בחצרו של הנאשם נמצאו חלקי ברזל רבים ושונים אשר ברי לכל כי אינם שמישים וכי לא ניתן</w:t>
      </w:r>
      <w:r>
        <w:rPr>
          <w:rFonts w:hint="cs"/>
          <w:rtl/>
        </w:rPr>
        <w:t xml:space="preserve"> לעשות בהם שימוש כבעבר,</w:t>
      </w:r>
      <w:r>
        <w:rPr>
          <w:rtl/>
        </w:rPr>
        <w:t xml:space="preserve"> מה שמבטל לגמרי כל פוטנציאל לסיכון כזה או אחר הנובע דרך כלל מהחזקה של חלקי נשק ותחמושת כגון, נשק כדורים ואף מחסנית.  </w:t>
      </w:r>
    </w:p>
    <w:p w14:paraId="5D9C40FB" w14:textId="77777777" w:rsidR="008B3BE9" w:rsidRDefault="008B3BE9" w:rsidP="008B3BE9">
      <w:pPr>
        <w:spacing w:line="360" w:lineRule="auto"/>
        <w:jc w:val="both"/>
        <w:rPr>
          <w:rtl/>
        </w:rPr>
      </w:pPr>
      <w:r>
        <w:rPr>
          <w:rtl/>
        </w:rPr>
        <w:t xml:space="preserve">עוד הוסיף וטען כי מידת אשמו של הנאשם הינה ברף הנמוך כשבין היתר יש להביא בחשבון העדר כל כוונה או מחשבה פלילית מצדו. </w:t>
      </w:r>
    </w:p>
    <w:p w14:paraId="4E75B500" w14:textId="77777777" w:rsidR="008B3BE9" w:rsidRDefault="008B3BE9" w:rsidP="008B3BE9">
      <w:pPr>
        <w:spacing w:line="360" w:lineRule="auto"/>
        <w:jc w:val="both"/>
        <w:rPr>
          <w:rFonts w:ascii="Arial" w:hAnsi="Arial"/>
          <w:rtl/>
        </w:rPr>
      </w:pPr>
      <w:r>
        <w:rPr>
          <w:rtl/>
        </w:rPr>
        <w:t>לדידו של הסנגור נוכח הנסיבות הקשורות בביצוע העבירה ראוי ונכון לבטל את הרשעת הנאשם שהינו נעדר עבר פלילי וזו הסתבכותו הראשונה. עם זאת, לאור עמדת הנאשם אשר בקש לסיים עניינו, לא טען בעניין. אשר לעונשו של הנאשם ציין בעברו הנקי, הודאתו המידית בהחזקת חלקי התחמושת ועתר לקבוע את העונש בחלק התחתון של המתחם.</w:t>
      </w:r>
    </w:p>
    <w:p w14:paraId="14AD9659" w14:textId="77777777" w:rsidR="008B3BE9" w:rsidRDefault="008B3BE9" w:rsidP="008B3BE9">
      <w:pPr>
        <w:spacing w:line="360" w:lineRule="auto"/>
        <w:jc w:val="both"/>
        <w:rPr>
          <w:rFonts w:ascii="Arial" w:hAnsi="Arial"/>
          <w:b/>
          <w:bCs/>
          <w:sz w:val="26"/>
          <w:szCs w:val="26"/>
          <w:u w:val="single"/>
          <w:rtl/>
        </w:rPr>
      </w:pPr>
    </w:p>
    <w:p w14:paraId="626D8389" w14:textId="77777777" w:rsidR="008B3BE9" w:rsidRDefault="008B3BE9" w:rsidP="008B3BE9">
      <w:pPr>
        <w:spacing w:line="360" w:lineRule="auto"/>
        <w:jc w:val="both"/>
        <w:rPr>
          <w:rFonts w:ascii="Arial" w:hAnsi="Arial"/>
          <w:b/>
          <w:bCs/>
          <w:sz w:val="26"/>
          <w:szCs w:val="26"/>
          <w:u w:val="single"/>
          <w:rtl/>
        </w:rPr>
      </w:pPr>
      <w:r>
        <w:rPr>
          <w:rFonts w:ascii="Arial" w:hAnsi="Arial"/>
          <w:b/>
          <w:bCs/>
          <w:sz w:val="26"/>
          <w:szCs w:val="26"/>
          <w:u w:val="single"/>
          <w:rtl/>
        </w:rPr>
        <w:t>דיון והכרעה</w:t>
      </w:r>
    </w:p>
    <w:p w14:paraId="1E5C093F" w14:textId="77777777" w:rsidR="008B3BE9" w:rsidRDefault="008B3BE9" w:rsidP="008B3BE9">
      <w:pPr>
        <w:spacing w:line="360" w:lineRule="auto"/>
        <w:jc w:val="both"/>
        <w:rPr>
          <w:rFonts w:ascii="Arial" w:hAnsi="Arial"/>
          <w:b/>
          <w:bCs/>
          <w:sz w:val="26"/>
          <w:szCs w:val="26"/>
          <w:u w:val="single"/>
          <w:rtl/>
        </w:rPr>
      </w:pPr>
    </w:p>
    <w:p w14:paraId="4BDB6DA2" w14:textId="77777777" w:rsidR="008B3BE9" w:rsidRDefault="008B3BE9" w:rsidP="008B3BE9">
      <w:pPr>
        <w:spacing w:line="360" w:lineRule="auto"/>
        <w:jc w:val="both"/>
        <w:rPr>
          <w:rFonts w:ascii="Arial" w:hAnsi="Arial"/>
          <w:b/>
          <w:bCs/>
          <w:u w:val="single"/>
          <w:rtl/>
        </w:rPr>
      </w:pPr>
      <w:r>
        <w:rPr>
          <w:rFonts w:ascii="Arial" w:hAnsi="Arial"/>
          <w:b/>
          <w:bCs/>
          <w:u w:val="single"/>
          <w:rtl/>
        </w:rPr>
        <w:t>מתחם העונש ההולם</w:t>
      </w:r>
    </w:p>
    <w:p w14:paraId="3C09BF16" w14:textId="77777777" w:rsidR="008B3BE9" w:rsidRDefault="008B3BE9" w:rsidP="008B3BE9">
      <w:pPr>
        <w:spacing w:after="160" w:line="360" w:lineRule="auto"/>
        <w:contextualSpacing/>
        <w:jc w:val="both"/>
      </w:pPr>
      <w:r>
        <w:rPr>
          <w:rtl/>
        </w:rPr>
        <w:t xml:space="preserve">העיקרון המנחה בענישה הוא ההלימה, היינו יחס הולם בין חומרת מעשה העבירה ונסיבותיו ומידת אשם הנאשם, לבין סוג ומידת העונש המוטל עליו. בקביעת מתחם העונש ההולם, בית המשפט נדרש להתחשב בערך החברתי שנפגע ובמידת הפגיעה בו, בנסיבות הקשורות לביצוע העבירה ובמדיניות הענישה הנהוגה. </w:t>
      </w:r>
    </w:p>
    <w:p w14:paraId="5CF483A9" w14:textId="77777777" w:rsidR="008B3BE9" w:rsidRDefault="008B3BE9" w:rsidP="008B3BE9">
      <w:pPr>
        <w:spacing w:after="160" w:line="360" w:lineRule="auto"/>
        <w:contextualSpacing/>
        <w:jc w:val="both"/>
        <w:rPr>
          <w:rtl/>
        </w:rPr>
      </w:pPr>
    </w:p>
    <w:p w14:paraId="2B6BCDFA" w14:textId="77777777" w:rsidR="008B3BE9" w:rsidRDefault="008B3BE9" w:rsidP="008B3BE9">
      <w:pPr>
        <w:spacing w:after="160" w:line="360" w:lineRule="auto"/>
        <w:contextualSpacing/>
        <w:jc w:val="both"/>
        <w:rPr>
          <w:rtl/>
        </w:rPr>
      </w:pPr>
      <w:r>
        <w:rPr>
          <w:b/>
          <w:bCs/>
          <w:rtl/>
        </w:rPr>
        <w:t xml:space="preserve">הערכים החברתיים המוגנים </w:t>
      </w:r>
      <w:r>
        <w:rPr>
          <w:rtl/>
        </w:rPr>
        <w:t xml:space="preserve">בבסיס האיסור על החזקת נשק </w:t>
      </w:r>
      <w:r>
        <w:rPr>
          <w:rFonts w:hint="cs"/>
          <w:rtl/>
        </w:rPr>
        <w:t xml:space="preserve">ותחמושת </w:t>
      </w:r>
      <w:r>
        <w:rPr>
          <w:rtl/>
        </w:rPr>
        <w:t xml:space="preserve">הם השמירה על הגוף והחיים, שמירה על הסדר הציבורי והביטחון האישי והציבורי. כידוע, החזקת כלי נשק ללא היתר בחברה האזרחית לרבות השימוש בו, פוגעים בתחושת הביטחון של הציבור ואף תורמים לעליית </w:t>
      </w:r>
      <w:r>
        <w:rPr>
          <w:rtl/>
        </w:rPr>
        <w:lastRenderedPageBreak/>
        <w:t xml:space="preserve">הביקוש בנשק בלתי חוקי, אשר זמינותו, מעודדת </w:t>
      </w:r>
      <w:r>
        <w:rPr>
          <w:rFonts w:hint="cs"/>
          <w:rtl/>
        </w:rPr>
        <w:t xml:space="preserve">בין היתר </w:t>
      </w:r>
      <w:r>
        <w:rPr>
          <w:rtl/>
        </w:rPr>
        <w:t xml:space="preserve">את השימוש בו, כך ויש שסכסוכים של מה בכך המסלימים לאירועים קטלניים.  </w:t>
      </w:r>
    </w:p>
    <w:p w14:paraId="61C9B2A8" w14:textId="77777777" w:rsidR="008B3BE9" w:rsidRDefault="008B3BE9" w:rsidP="008B3BE9">
      <w:pPr>
        <w:spacing w:before="240" w:line="360" w:lineRule="auto"/>
        <w:jc w:val="both"/>
        <w:rPr>
          <w:rFonts w:ascii="David" w:hAnsi="David"/>
          <w:rtl/>
        </w:rPr>
      </w:pPr>
      <w:r>
        <w:rPr>
          <w:rtl/>
        </w:rPr>
        <w:t>שקולי ההרתעה הם האינטרס הציבורי הראשון במעלה שכן אלה מהווים תנאי הכרחי למאבק בתופעה של החזקה ושימוש בנשק ללא היתר בחברה האזרחית</w:t>
      </w:r>
      <w:r>
        <w:rPr>
          <w:rFonts w:hint="cs"/>
          <w:rtl/>
        </w:rPr>
        <w:t>, אשר זה מכבר הפכה מכת מדינה, ועד ש</w:t>
      </w:r>
      <w:r>
        <w:rPr>
          <w:rtl/>
        </w:rPr>
        <w:t>נדרשה התערבות המחוקק ב</w:t>
      </w:r>
      <w:r>
        <w:rPr>
          <w:rFonts w:ascii="David" w:hAnsi="David"/>
          <w:rtl/>
        </w:rPr>
        <w:t>הוראת השעה שבתיקון מספר 140 ב</w:t>
      </w:r>
      <w:hyperlink r:id="rId12" w:history="1">
        <w:r w:rsidR="006B1300" w:rsidRPr="006B1300">
          <w:rPr>
            <w:rFonts w:ascii="David" w:hAnsi="David"/>
            <w:color w:val="0000FF"/>
            <w:u w:val="single"/>
            <w:rtl/>
          </w:rPr>
          <w:t>חוק העונשין</w:t>
        </w:r>
      </w:hyperlink>
      <w:r>
        <w:rPr>
          <w:rFonts w:ascii="David" w:hAnsi="David"/>
          <w:rtl/>
        </w:rPr>
        <w:t xml:space="preserve">, תשפ"ב – 2021  (להלן: </w:t>
      </w:r>
      <w:r>
        <w:rPr>
          <w:rFonts w:ascii="David" w:hAnsi="David"/>
          <w:b/>
          <w:bCs/>
          <w:rtl/>
        </w:rPr>
        <w:t>התיקון</w:t>
      </w:r>
      <w:r>
        <w:rPr>
          <w:rFonts w:ascii="David" w:hAnsi="David"/>
          <w:rtl/>
        </w:rPr>
        <w:t xml:space="preserve"> </w:t>
      </w:r>
      <w:r>
        <w:rPr>
          <w:rFonts w:ascii="David" w:hAnsi="David"/>
          <w:b/>
          <w:bCs/>
          <w:rtl/>
        </w:rPr>
        <w:t>לחוק</w:t>
      </w:r>
      <w:r>
        <w:rPr>
          <w:rFonts w:ascii="David" w:hAnsi="David"/>
          <w:rtl/>
        </w:rPr>
        <w:t xml:space="preserve">) אשר </w:t>
      </w:r>
      <w:r>
        <w:rPr>
          <w:rFonts w:ascii="David" w:hAnsi="David" w:hint="cs"/>
          <w:rtl/>
        </w:rPr>
        <w:t xml:space="preserve">תוך קביעת עונש מינימום על עבירות נשק קורא </w:t>
      </w:r>
      <w:r>
        <w:rPr>
          <w:rFonts w:ascii="David" w:hAnsi="David"/>
          <w:rtl/>
        </w:rPr>
        <w:t>באופן מכוון וברור  להחמרת הענישה</w:t>
      </w:r>
      <w:r>
        <w:rPr>
          <w:rFonts w:ascii="David" w:hAnsi="David" w:hint="cs"/>
          <w:rtl/>
        </w:rPr>
        <w:t xml:space="preserve">. </w:t>
      </w:r>
      <w:r>
        <w:rPr>
          <w:rFonts w:ascii="David" w:hAnsi="David"/>
          <w:rtl/>
        </w:rPr>
        <w:t xml:space="preserve"> </w:t>
      </w:r>
    </w:p>
    <w:p w14:paraId="11D7B1C6" w14:textId="77777777" w:rsidR="008B3BE9" w:rsidRDefault="008B3BE9" w:rsidP="008B3BE9">
      <w:pPr>
        <w:spacing w:after="160" w:line="360" w:lineRule="auto"/>
        <w:jc w:val="both"/>
        <w:rPr>
          <w:rFonts w:ascii="Miriam" w:hAnsi="Miriam" w:cs="Miriam"/>
          <w:sz w:val="22"/>
          <w:szCs w:val="22"/>
          <w:rtl/>
        </w:rPr>
      </w:pPr>
      <w:r>
        <w:rPr>
          <w:rFonts w:ascii="David" w:hAnsi="David"/>
          <w:rtl/>
        </w:rPr>
        <w:t xml:space="preserve">הדברים האמורים מקבלים </w:t>
      </w:r>
      <w:r>
        <w:rPr>
          <w:rFonts w:ascii="David" w:hAnsi="David" w:hint="cs"/>
          <w:rtl/>
        </w:rPr>
        <w:t>ביטוי ממשי</w:t>
      </w:r>
      <w:r>
        <w:rPr>
          <w:rFonts w:ascii="David" w:hAnsi="David"/>
          <w:rtl/>
        </w:rPr>
        <w:t xml:space="preserve"> בדברי בית המשפט ב</w:t>
      </w:r>
      <w:hyperlink r:id="rId13" w:history="1">
        <w:r w:rsidR="006B1300" w:rsidRPr="006B1300">
          <w:rPr>
            <w:rFonts w:ascii="David" w:hAnsi="David"/>
            <w:color w:val="0000FF"/>
            <w:u w:val="single"/>
            <w:rtl/>
          </w:rPr>
          <w:t>ע"פ 2482/22</w:t>
        </w:r>
      </w:hyperlink>
      <w:r>
        <w:rPr>
          <w:rFonts w:ascii="David" w:hAnsi="David"/>
          <w:rtl/>
        </w:rPr>
        <w:t xml:space="preserve"> </w:t>
      </w:r>
      <w:r>
        <w:rPr>
          <w:rFonts w:ascii="David" w:hAnsi="David"/>
          <w:b/>
          <w:bCs/>
          <w:rtl/>
        </w:rPr>
        <w:t>מדינת ישראל נ' קדורה</w:t>
      </w:r>
      <w:r>
        <w:rPr>
          <w:rFonts w:ascii="David" w:hAnsi="David"/>
          <w:rtl/>
        </w:rPr>
        <w:t xml:space="preserve"> (14.4.2022),  המתמצתים באופן מדויק וישיר את הפגיעה בערכים המוגנים שבעבירות הנשק, במידת פגיעתן ההולכת ומעמיקה בחברה הישראלית ובעיקר בחובת בתי המשפט לענישה מכבידה כדי להרתיע</w:t>
      </w:r>
      <w:r>
        <w:rPr>
          <w:rFonts w:ascii="David" w:hAnsi="David" w:hint="cs"/>
          <w:rtl/>
        </w:rPr>
        <w:t xml:space="preserve">. </w:t>
      </w:r>
    </w:p>
    <w:p w14:paraId="1ACBAB22" w14:textId="77777777" w:rsidR="008B3BE9" w:rsidRDefault="008B3BE9" w:rsidP="008B3BE9">
      <w:pPr>
        <w:spacing w:line="360" w:lineRule="auto"/>
        <w:jc w:val="both"/>
        <w:rPr>
          <w:rFonts w:ascii="David" w:hAnsi="David"/>
          <w:spacing w:val="10"/>
          <w:rtl/>
        </w:rPr>
      </w:pPr>
      <w:r>
        <w:rPr>
          <w:b/>
          <w:bCs/>
          <w:rtl/>
        </w:rPr>
        <w:t xml:space="preserve">בחינת נסיבות הקשורות בביצוע העבירה </w:t>
      </w:r>
      <w:r>
        <w:rPr>
          <w:rtl/>
        </w:rPr>
        <w:t xml:space="preserve">בעניין דידן מעלה כי מידת פגיעתו של הנאשם בערכים המוגנים </w:t>
      </w:r>
      <w:r>
        <w:rPr>
          <w:rFonts w:ascii="David" w:hAnsi="David" w:hint="cs"/>
          <w:spacing w:val="10"/>
          <w:rtl/>
        </w:rPr>
        <w:t xml:space="preserve">היא בעצמה נמוכה ביותר. </w:t>
      </w:r>
    </w:p>
    <w:p w14:paraId="127105A8" w14:textId="77777777" w:rsidR="008B3BE9" w:rsidRDefault="008B3BE9" w:rsidP="008B3BE9">
      <w:pPr>
        <w:spacing w:line="360" w:lineRule="auto"/>
        <w:jc w:val="both"/>
        <w:rPr>
          <w:rFonts w:ascii="David" w:hAnsi="David"/>
          <w:spacing w:val="10"/>
          <w:rtl/>
        </w:rPr>
      </w:pPr>
      <w:r>
        <w:rPr>
          <w:rFonts w:ascii="David" w:hAnsi="David" w:hint="cs"/>
          <w:spacing w:val="10"/>
          <w:rtl/>
        </w:rPr>
        <w:t>המדובר בחלקים פנימיים של מה שהיו פעם מחסניות, ואשר נראה כי רק בעלי ידע כזה או אחר בתחום הנשק יטיבו לזהות כי מדובר בחלקים הפנימיים של מחסנית. בכל מקרה, אין ולא יכול להיות חולק כי לא דומה החזקת אקדח שבכוחו להמית להחזקת כדורים ו/או מחסנית בלבד, ודאי שלא להחזקה של חלקים פנימיים של מה שהיה פעם מחסנית. בעניין דידן ניתן לומר כי חלקי התחמושת שנתפסו אצל הנאשם אינם שמישים והסיכונים הפוטנציאלים הנשקפים מעצם החזקתם הינם קלושים ביותר. בהקשר זה יפים דברי בית המשפט ב</w:t>
      </w:r>
      <w:hyperlink r:id="rId14" w:history="1">
        <w:r w:rsidR="006B1300" w:rsidRPr="006B1300">
          <w:rPr>
            <w:rFonts w:ascii="David" w:hAnsi="David"/>
            <w:color w:val="0000FF"/>
            <w:spacing w:val="10"/>
            <w:u w:val="single"/>
            <w:rtl/>
          </w:rPr>
          <w:t>ע"פ 1323/13</w:t>
        </w:r>
      </w:hyperlink>
      <w:r>
        <w:rPr>
          <w:rFonts w:ascii="David" w:hAnsi="David" w:hint="cs"/>
          <w:spacing w:val="10"/>
          <w:rtl/>
        </w:rPr>
        <w:t xml:space="preserve"> </w:t>
      </w:r>
      <w:r w:rsidRPr="006C29C6">
        <w:rPr>
          <w:rFonts w:ascii="David" w:hAnsi="David" w:hint="cs"/>
          <w:b/>
          <w:bCs/>
          <w:spacing w:val="10"/>
          <w:rtl/>
        </w:rPr>
        <w:t>רך חסן נ' מדינת ישראל</w:t>
      </w:r>
      <w:r>
        <w:rPr>
          <w:rFonts w:ascii="David" w:hAnsi="David" w:hint="cs"/>
          <w:spacing w:val="10"/>
          <w:rtl/>
        </w:rPr>
        <w:t xml:space="preserve"> ( 05.06.2013):   </w:t>
      </w:r>
    </w:p>
    <w:p w14:paraId="14F2AA64" w14:textId="77777777" w:rsidR="008B3BE9" w:rsidRDefault="008B3BE9" w:rsidP="008B3BE9">
      <w:pPr>
        <w:spacing w:line="360" w:lineRule="auto"/>
        <w:jc w:val="both"/>
        <w:rPr>
          <w:rFonts w:ascii="David" w:hAnsi="David"/>
          <w:spacing w:val="10"/>
          <w:rtl/>
        </w:rPr>
      </w:pPr>
    </w:p>
    <w:p w14:paraId="3C7F862F" w14:textId="77777777" w:rsidR="008B3BE9" w:rsidRDefault="008B3BE9" w:rsidP="008B3BE9">
      <w:pPr>
        <w:spacing w:line="360" w:lineRule="auto"/>
        <w:ind w:left="1134" w:right="1134"/>
        <w:jc w:val="both"/>
        <w:rPr>
          <w:rFonts w:ascii="Arial" w:hAnsi="Arial" w:cs="Arial"/>
        </w:rPr>
      </w:pPr>
      <w:r>
        <w:rPr>
          <w:rFonts w:ascii="David" w:hAnsi="David"/>
          <w:b/>
          <w:bCs/>
          <w:rtl/>
        </w:rPr>
        <w:t>"מתחם העונש ההולם בעבירות המבוצעות בנשק</w:t>
      </w:r>
      <w:r w:rsidR="006B1300">
        <w:rPr>
          <w:rFonts w:ascii="David" w:hAnsi="David"/>
          <w:b/>
          <w:bCs/>
          <w:rtl/>
        </w:rPr>
        <w:t xml:space="preserve"> </w:t>
      </w:r>
      <w:r>
        <w:rPr>
          <w:rFonts w:ascii="David" w:hAnsi="David"/>
          <w:b/>
          <w:bCs/>
          <w:rtl/>
        </w:rPr>
        <w:t xml:space="preserve"> צריך שיקבע בהתאם לסוג הנשק שבו מדובר. שהרי, </w:t>
      </w:r>
      <w:r>
        <w:rPr>
          <w:rFonts w:ascii="Miriam" w:hAnsi="Miriam" w:cs="Miriam"/>
          <w:b/>
          <w:bCs/>
          <w:rtl/>
        </w:rPr>
        <w:t>סוג הנשק</w:t>
      </w:r>
      <w:r>
        <w:rPr>
          <w:rFonts w:ascii="David" w:hAnsi="David"/>
          <w:b/>
          <w:bCs/>
          <w:rtl/>
        </w:rPr>
        <w:t xml:space="preserve">, כמו-גם </w:t>
      </w:r>
      <w:r>
        <w:rPr>
          <w:rFonts w:ascii="Miriam" w:hAnsi="Miriam" w:cs="Miriam"/>
          <w:b/>
          <w:bCs/>
          <w:rtl/>
        </w:rPr>
        <w:t>ההיקף</w:t>
      </w:r>
      <w:r>
        <w:rPr>
          <w:rFonts w:ascii="David" w:hAnsi="David"/>
          <w:b/>
          <w:bCs/>
          <w:rtl/>
        </w:rPr>
        <w:t xml:space="preserve"> שבו נסחר, הוחזק, הובל וכיוצא באלה, הם </w:t>
      </w:r>
      <w:r>
        <w:rPr>
          <w:rFonts w:ascii="Miriam" w:hAnsi="Miriam" w:cs="Miriam"/>
          <w:b/>
          <w:bCs/>
          <w:rtl/>
        </w:rPr>
        <w:t xml:space="preserve">נסיבות הקשורות בביצוע העבירה </w:t>
      </w:r>
      <w:r>
        <w:rPr>
          <w:rFonts w:ascii="David" w:hAnsi="David"/>
          <w:b/>
          <w:bCs/>
          <w:rtl/>
        </w:rPr>
        <w:t>והם שקובעים את פוטנציאל הנזק הכרוך במעשה העבירה. ברי כי סחר בעשרות מטעני חבלה המכילים עשרות קילוגרמים של חומר נפץ אינו שקול מבחינה עונשית-גמולית לסחר ברימון הלם בודד"</w:t>
      </w:r>
      <w:r>
        <w:rPr>
          <w:rFonts w:ascii="Arial" w:hAnsi="Arial" w:cs="Arial" w:hint="cs"/>
          <w:rtl/>
        </w:rPr>
        <w:t>.</w:t>
      </w:r>
    </w:p>
    <w:p w14:paraId="034B9A56" w14:textId="77777777" w:rsidR="008B3BE9" w:rsidRDefault="008B3BE9" w:rsidP="008B3BE9">
      <w:pPr>
        <w:spacing w:line="360" w:lineRule="auto"/>
        <w:jc w:val="both"/>
        <w:rPr>
          <w:rFonts w:ascii="David" w:hAnsi="David"/>
          <w:spacing w:val="10"/>
          <w:rtl/>
        </w:rPr>
      </w:pPr>
    </w:p>
    <w:p w14:paraId="066C7FE1" w14:textId="77777777" w:rsidR="008B3BE9" w:rsidRDefault="008B3BE9" w:rsidP="008B3BE9">
      <w:pPr>
        <w:spacing w:line="360" w:lineRule="auto"/>
        <w:jc w:val="both"/>
        <w:rPr>
          <w:rFonts w:ascii="David" w:hAnsi="David"/>
          <w:rtl/>
        </w:rPr>
      </w:pPr>
      <w:r>
        <w:rPr>
          <w:rFonts w:ascii="David" w:hAnsi="David" w:hint="cs"/>
          <w:spacing w:val="10"/>
          <w:rtl/>
        </w:rPr>
        <w:t xml:space="preserve">לדברים האמורים נוסיף לציין להעדר </w:t>
      </w:r>
      <w:r>
        <w:rPr>
          <w:rFonts w:ascii="David" w:hAnsi="David" w:hint="cs"/>
          <w:rtl/>
        </w:rPr>
        <w:t xml:space="preserve">תכנון ו/או כוונה להחזקת חלקי התחמושת למטרות פליליות, ונדגיש כי טענת הנאשם להחזקתם כחלק מאסופת הברזל שבחצרו, לא נסתרה. </w:t>
      </w:r>
      <w:r>
        <w:rPr>
          <w:rFonts w:ascii="David" w:hAnsi="David"/>
          <w:rtl/>
        </w:rPr>
        <w:t xml:space="preserve"> </w:t>
      </w:r>
    </w:p>
    <w:p w14:paraId="0B729BC8" w14:textId="77777777" w:rsidR="008B3BE9" w:rsidRDefault="008B3BE9" w:rsidP="008B3BE9">
      <w:pPr>
        <w:pStyle w:val="a9"/>
        <w:rPr>
          <w:rFonts w:ascii="Arial" w:hAnsi="Arial" w:cs="Arial"/>
          <w:rtl/>
        </w:rPr>
      </w:pPr>
    </w:p>
    <w:p w14:paraId="46CF053D" w14:textId="77777777" w:rsidR="008B3BE9" w:rsidRDefault="008B3BE9" w:rsidP="008B3BE9">
      <w:pPr>
        <w:spacing w:line="360" w:lineRule="auto"/>
        <w:jc w:val="both"/>
        <w:rPr>
          <w:rFonts w:ascii="David" w:hAnsi="David"/>
          <w:rtl/>
        </w:rPr>
      </w:pPr>
      <w:r>
        <w:rPr>
          <w:rFonts w:ascii="Arial" w:hAnsi="Arial" w:hint="cs"/>
          <w:b/>
          <w:bCs/>
          <w:rtl/>
        </w:rPr>
        <w:t xml:space="preserve">בחינת </w:t>
      </w:r>
      <w:r>
        <w:rPr>
          <w:rFonts w:ascii="Arial" w:hAnsi="Arial"/>
          <w:b/>
          <w:bCs/>
          <w:rtl/>
        </w:rPr>
        <w:t xml:space="preserve">ענישה נוהגת </w:t>
      </w:r>
      <w:r>
        <w:rPr>
          <w:rFonts w:ascii="Arial" w:hAnsi="Arial" w:hint="cs"/>
          <w:b/>
          <w:bCs/>
          <w:rtl/>
        </w:rPr>
        <w:t xml:space="preserve">בנסיבות הקרובות יותר למקרה הנדון </w:t>
      </w:r>
      <w:r w:rsidRPr="00113D30">
        <w:rPr>
          <w:rFonts w:ascii="Arial" w:hAnsi="Arial" w:hint="cs"/>
          <w:rtl/>
        </w:rPr>
        <w:t>מעלה מתחם ענישה לו טען הסנגור, כזה הנע בין מאסר על תנאי ועד מאסר קצר שיכול וירוצה בעבודות שירות. כך למשל,</w:t>
      </w:r>
      <w:r>
        <w:rPr>
          <w:rFonts w:ascii="Arial" w:hAnsi="Arial" w:hint="cs"/>
          <w:b/>
          <w:bCs/>
          <w:rtl/>
        </w:rPr>
        <w:t xml:space="preserve"> </w:t>
      </w:r>
      <w:r>
        <w:rPr>
          <w:rFonts w:ascii="Arial" w:hAnsi="Arial"/>
          <w:rtl/>
        </w:rPr>
        <w:t>ב</w:t>
      </w:r>
      <w:hyperlink r:id="rId15" w:history="1">
        <w:r w:rsidR="006B1300" w:rsidRPr="006B1300">
          <w:rPr>
            <w:rFonts w:ascii="Arial" w:hAnsi="Arial"/>
            <w:color w:val="0000FF"/>
            <w:u w:val="single"/>
            <w:rtl/>
          </w:rPr>
          <w:t>ת"פ ( עכו) 59911-06-21</w:t>
        </w:r>
      </w:hyperlink>
      <w:r>
        <w:rPr>
          <w:rFonts w:ascii="Arial" w:hAnsi="Arial"/>
          <w:rtl/>
        </w:rPr>
        <w:t xml:space="preserve"> </w:t>
      </w:r>
      <w:r>
        <w:rPr>
          <w:rFonts w:ascii="Arial" w:hAnsi="Arial"/>
          <w:b/>
          <w:bCs/>
          <w:rtl/>
        </w:rPr>
        <w:t>מדינת ישראל נ' שאהין שאהין</w:t>
      </w:r>
      <w:r>
        <w:rPr>
          <w:rFonts w:ascii="Arial" w:hAnsi="Arial"/>
          <w:rtl/>
        </w:rPr>
        <w:t xml:space="preserve"> (ניתן ב 15.9.22), קבע בית המשפט את מתחם העונש של נאשם שהורשע </w:t>
      </w:r>
      <w:r>
        <w:rPr>
          <w:rFonts w:ascii="Arial" w:hAnsi="Arial"/>
          <w:b/>
          <w:bCs/>
          <w:rtl/>
        </w:rPr>
        <w:t>ב</w:t>
      </w:r>
      <w:r>
        <w:rPr>
          <w:rFonts w:ascii="David" w:hAnsi="David"/>
          <w:b/>
          <w:bCs/>
          <w:rtl/>
        </w:rPr>
        <w:t>החזקת 20 כדורים מסוג 9 מ"מ בבית</w:t>
      </w:r>
      <w:r>
        <w:rPr>
          <w:rFonts w:ascii="David" w:hAnsi="David"/>
          <w:rtl/>
        </w:rPr>
        <w:t xml:space="preserve">ו, כך שינוע בין </w:t>
      </w:r>
      <w:r>
        <w:rPr>
          <w:rFonts w:ascii="David" w:hAnsi="David"/>
          <w:b/>
          <w:bCs/>
          <w:rtl/>
        </w:rPr>
        <w:t>מאסר על תנאי ועד 6 חודשי מאסר בפועל</w:t>
      </w:r>
      <w:r>
        <w:rPr>
          <w:rFonts w:ascii="David" w:hAnsi="David"/>
          <w:rtl/>
        </w:rPr>
        <w:t xml:space="preserve">. </w:t>
      </w:r>
    </w:p>
    <w:p w14:paraId="0F08CB95" w14:textId="77777777" w:rsidR="008B3BE9" w:rsidRDefault="008B3BE9" w:rsidP="008B3BE9">
      <w:pPr>
        <w:spacing w:line="360" w:lineRule="auto"/>
        <w:jc w:val="both"/>
        <w:rPr>
          <w:rFonts w:ascii="David" w:hAnsi="David"/>
        </w:rPr>
      </w:pPr>
      <w:r>
        <w:rPr>
          <w:rFonts w:ascii="David" w:hAnsi="David" w:hint="cs"/>
          <w:rtl/>
        </w:rPr>
        <w:t xml:space="preserve">לציין כי המאשימה הפנתה למקרה הנ"ל אם כי שלא כטענת ב"כ, מתחם העונש אותו קבע בית המשפט מתחיל ממאסר על תנאי ולא מספר חודשים קצר, כטענתה. </w:t>
      </w:r>
    </w:p>
    <w:p w14:paraId="5F76DE95" w14:textId="77777777" w:rsidR="008B3BE9" w:rsidRDefault="008B3BE9" w:rsidP="008B3BE9">
      <w:pPr>
        <w:spacing w:line="360" w:lineRule="auto"/>
        <w:jc w:val="both"/>
        <w:rPr>
          <w:rFonts w:ascii="David" w:hAnsi="David"/>
          <w:rtl/>
        </w:rPr>
      </w:pPr>
    </w:p>
    <w:p w14:paraId="6E45D098" w14:textId="77777777" w:rsidR="008B3BE9" w:rsidRPr="00500BD5" w:rsidRDefault="008B3BE9" w:rsidP="008B3BE9">
      <w:pPr>
        <w:spacing w:line="360" w:lineRule="auto"/>
        <w:jc w:val="both"/>
        <w:rPr>
          <w:rFonts w:ascii="David" w:hAnsi="David"/>
          <w:b/>
          <w:bCs/>
          <w:rtl/>
        </w:rPr>
      </w:pPr>
      <w:r>
        <w:rPr>
          <w:rFonts w:ascii="David" w:hAnsi="David"/>
          <w:rtl/>
        </w:rPr>
        <w:t>ב</w:t>
      </w:r>
      <w:hyperlink r:id="rId16" w:history="1">
        <w:r w:rsidR="006B1300" w:rsidRPr="006B1300">
          <w:rPr>
            <w:rFonts w:ascii="David" w:hAnsi="David"/>
            <w:color w:val="0000FF"/>
            <w:u w:val="single"/>
            <w:rtl/>
          </w:rPr>
          <w:t>תפ (טב') 26182-10-14</w:t>
        </w:r>
      </w:hyperlink>
      <w:r>
        <w:rPr>
          <w:rFonts w:ascii="David" w:hAnsi="David"/>
          <w:rtl/>
        </w:rPr>
        <w:t xml:space="preserve"> </w:t>
      </w:r>
      <w:r>
        <w:rPr>
          <w:rFonts w:ascii="David" w:hAnsi="David"/>
          <w:b/>
          <w:bCs/>
          <w:rtl/>
        </w:rPr>
        <w:t>מדינת ישראל נ. עצאם אבו חנין</w:t>
      </w:r>
      <w:r>
        <w:rPr>
          <w:rFonts w:ascii="David" w:hAnsi="David"/>
          <w:rtl/>
        </w:rPr>
        <w:t xml:space="preserve"> (ניתן ב 9.2.16) הורשע נאשם בהחזקת  כמות גדולה של תחמושת אשר לגביה קבע בית המשפט כי נועדה לשם אספנות או מזכרת</w:t>
      </w:r>
      <w:r>
        <w:rPr>
          <w:rFonts w:ascii="David" w:hAnsi="David" w:hint="cs"/>
          <w:rtl/>
        </w:rPr>
        <w:t xml:space="preserve">. </w:t>
      </w:r>
      <w:r w:rsidRPr="00500BD5">
        <w:rPr>
          <w:rFonts w:ascii="David" w:hAnsi="David"/>
          <w:b/>
          <w:bCs/>
          <w:rtl/>
        </w:rPr>
        <w:t xml:space="preserve">מתחם העונש ההולם נקבע בין מאסר על תנאי ועד 8 חודשי מאסר בפועל. </w:t>
      </w:r>
    </w:p>
    <w:p w14:paraId="07604897" w14:textId="77777777" w:rsidR="008B3BE9" w:rsidRDefault="008B3BE9" w:rsidP="008B3BE9">
      <w:pPr>
        <w:spacing w:line="360" w:lineRule="auto"/>
        <w:jc w:val="both"/>
        <w:rPr>
          <w:rFonts w:ascii="David" w:hAnsi="David"/>
          <w:rtl/>
        </w:rPr>
      </w:pPr>
    </w:p>
    <w:p w14:paraId="13CD7597" w14:textId="77777777" w:rsidR="008B3BE9" w:rsidRPr="00500BD5" w:rsidRDefault="008B3BE9" w:rsidP="008B3BE9">
      <w:pPr>
        <w:spacing w:line="360" w:lineRule="auto"/>
        <w:jc w:val="both"/>
        <w:rPr>
          <w:rFonts w:ascii="Arial" w:hAnsi="Arial" w:cs="Arial"/>
          <w:b/>
          <w:bCs/>
          <w:rtl/>
        </w:rPr>
      </w:pPr>
      <w:r>
        <w:rPr>
          <w:rFonts w:ascii="David" w:hAnsi="David"/>
          <w:rtl/>
        </w:rPr>
        <w:t>ב</w:t>
      </w:r>
      <w:hyperlink r:id="rId17" w:history="1">
        <w:r w:rsidR="006B1300" w:rsidRPr="006B1300">
          <w:rPr>
            <w:rFonts w:ascii="David" w:hAnsi="David"/>
            <w:color w:val="0000FF"/>
            <w:u w:val="single"/>
            <w:rtl/>
          </w:rPr>
          <w:t>ת"פ (רח') 20860-10-12</w:t>
        </w:r>
      </w:hyperlink>
      <w:r>
        <w:rPr>
          <w:rFonts w:ascii="David" w:hAnsi="David"/>
          <w:rtl/>
        </w:rPr>
        <w:t xml:space="preserve"> </w:t>
      </w:r>
      <w:r>
        <w:rPr>
          <w:rFonts w:ascii="David" w:hAnsi="David"/>
          <w:b/>
          <w:bCs/>
          <w:rtl/>
        </w:rPr>
        <w:t>מדינת ישראל נגד בן יונה</w:t>
      </w:r>
      <w:r>
        <w:rPr>
          <w:rFonts w:ascii="David" w:hAnsi="David"/>
          <w:rtl/>
        </w:rPr>
        <w:t xml:space="preserve"> (ניתן ב 3.12.14) נקבע מתחם העונש ההולם בנסיבות בהן החזיק הנאשם בנכס חשוד וחלקי תחמושת שכללו, מחסניות לרובה סער ו56 כדורי 5.56 לרובה סער שהושארו מאז שירותו הצבאי, כך שינוע </w:t>
      </w:r>
      <w:r w:rsidRPr="00500BD5">
        <w:rPr>
          <w:rFonts w:ascii="David" w:hAnsi="David"/>
          <w:b/>
          <w:bCs/>
          <w:rtl/>
        </w:rPr>
        <w:t xml:space="preserve">בין מאסר על תנאי ועד מספר חודשי מאסר שירוצו בעבודות שירות. </w:t>
      </w:r>
    </w:p>
    <w:p w14:paraId="4C24E631" w14:textId="77777777" w:rsidR="008B3BE9" w:rsidRDefault="008B3BE9" w:rsidP="008B3BE9">
      <w:pPr>
        <w:spacing w:line="360" w:lineRule="auto"/>
        <w:jc w:val="both"/>
        <w:rPr>
          <w:rFonts w:ascii="Arial" w:hAnsi="Arial" w:cs="Arial"/>
          <w:rtl/>
        </w:rPr>
      </w:pPr>
    </w:p>
    <w:p w14:paraId="3E9FB274" w14:textId="77777777" w:rsidR="008B3BE9" w:rsidRDefault="008B3BE9" w:rsidP="008B3BE9">
      <w:pPr>
        <w:spacing w:line="360" w:lineRule="auto"/>
        <w:jc w:val="both"/>
        <w:rPr>
          <w:rFonts w:ascii="Arial" w:hAnsi="Arial" w:cs="Arial"/>
          <w:rtl/>
        </w:rPr>
      </w:pPr>
      <w:r w:rsidRPr="00550E9E">
        <w:rPr>
          <w:rFonts w:ascii="David" w:hAnsi="David" w:hint="cs"/>
          <w:rtl/>
        </w:rPr>
        <w:t>מכלל הדברים האמורים, סבורני</w:t>
      </w:r>
      <w:r>
        <w:rPr>
          <w:rFonts w:ascii="David" w:hAnsi="David" w:hint="cs"/>
          <w:rtl/>
        </w:rPr>
        <w:t>,</w:t>
      </w:r>
      <w:r w:rsidRPr="00550E9E">
        <w:rPr>
          <w:rFonts w:ascii="David" w:hAnsi="David" w:hint="cs"/>
          <w:rtl/>
        </w:rPr>
        <w:t xml:space="preserve"> כי מתחם העונש ההולם את מעשה העבירה בנסיבות ביצועה נכון כי ינוע בין </w:t>
      </w:r>
      <w:r w:rsidRPr="00550E9E">
        <w:rPr>
          <w:rFonts w:ascii="David" w:hAnsi="David"/>
          <w:rtl/>
        </w:rPr>
        <w:t>מאסר על תנאי ועד</w:t>
      </w:r>
      <w:r w:rsidRPr="00550E9E">
        <w:rPr>
          <w:rFonts w:ascii="David" w:hAnsi="David" w:hint="cs"/>
          <w:rtl/>
        </w:rPr>
        <w:t xml:space="preserve"> מאסר קצר שיכול וירוצה בעבודות שירות. </w:t>
      </w:r>
    </w:p>
    <w:p w14:paraId="0F8DDF04" w14:textId="77777777" w:rsidR="008B3BE9" w:rsidRDefault="008B3BE9" w:rsidP="008B3BE9">
      <w:pPr>
        <w:spacing w:line="360" w:lineRule="auto"/>
        <w:jc w:val="both"/>
        <w:rPr>
          <w:rFonts w:ascii="Arial" w:hAnsi="Arial" w:cs="Arial"/>
          <w:rtl/>
        </w:rPr>
      </w:pPr>
    </w:p>
    <w:p w14:paraId="50B14BE2" w14:textId="77777777" w:rsidR="008B3BE9" w:rsidRPr="00D35713" w:rsidRDefault="008B3BE9" w:rsidP="008B3BE9">
      <w:pPr>
        <w:rPr>
          <w:rFonts w:ascii="David" w:hAnsi="David"/>
          <w:b/>
          <w:bCs/>
          <w:sz w:val="26"/>
          <w:szCs w:val="26"/>
          <w:u w:val="single"/>
        </w:rPr>
      </w:pPr>
      <w:r w:rsidRPr="00D35713">
        <w:rPr>
          <w:rFonts w:ascii="David" w:hAnsi="David"/>
          <w:b/>
          <w:bCs/>
          <w:sz w:val="26"/>
          <w:szCs w:val="26"/>
          <w:u w:val="single"/>
          <w:rtl/>
        </w:rPr>
        <w:t xml:space="preserve">עונשו של הנאשם </w:t>
      </w:r>
    </w:p>
    <w:p w14:paraId="3CB8F61E" w14:textId="77777777" w:rsidR="008B3BE9" w:rsidRDefault="008B3BE9" w:rsidP="008B3BE9">
      <w:pPr>
        <w:pStyle w:val="a9"/>
        <w:rPr>
          <w:rFonts w:ascii="David" w:hAnsi="David" w:cs="David"/>
        </w:rPr>
      </w:pPr>
    </w:p>
    <w:p w14:paraId="1EC6AEA6" w14:textId="77777777" w:rsidR="008B3BE9" w:rsidRPr="00D35713" w:rsidRDefault="008B3BE9" w:rsidP="008B3BE9">
      <w:pPr>
        <w:spacing w:line="360" w:lineRule="auto"/>
        <w:jc w:val="both"/>
        <w:rPr>
          <w:rFonts w:ascii="Arial" w:hAnsi="Arial" w:cs="Arial"/>
          <w:rtl/>
        </w:rPr>
      </w:pPr>
      <w:r w:rsidRPr="00D35713">
        <w:rPr>
          <w:rFonts w:ascii="David" w:hAnsi="David"/>
          <w:rtl/>
        </w:rPr>
        <w:t xml:space="preserve">הנאשם </w:t>
      </w:r>
      <w:r>
        <w:rPr>
          <w:rFonts w:ascii="David" w:hAnsi="David" w:hint="cs"/>
          <w:rtl/>
        </w:rPr>
        <w:t xml:space="preserve">יליד 1996, נעדר עבר פלילי, </w:t>
      </w:r>
      <w:r w:rsidRPr="00D35713">
        <w:rPr>
          <w:rFonts w:ascii="David" w:hAnsi="David"/>
          <w:rtl/>
        </w:rPr>
        <w:t>שיתף פעולה, נטל אחריות</w:t>
      </w:r>
      <w:r>
        <w:rPr>
          <w:rFonts w:ascii="David" w:hAnsi="David" w:hint="cs"/>
          <w:rtl/>
        </w:rPr>
        <w:t xml:space="preserve"> על מעשיו</w:t>
      </w:r>
      <w:r w:rsidRPr="00D35713">
        <w:rPr>
          <w:rFonts w:ascii="David" w:hAnsi="David"/>
          <w:rtl/>
        </w:rPr>
        <w:t xml:space="preserve"> והודה בהזדמנות הראשונה</w:t>
      </w:r>
      <w:r>
        <w:rPr>
          <w:rFonts w:ascii="David" w:hAnsi="David" w:hint="cs"/>
          <w:rtl/>
        </w:rPr>
        <w:t xml:space="preserve"> ו</w:t>
      </w:r>
      <w:r>
        <w:rPr>
          <w:rFonts w:ascii="David" w:hAnsi="David"/>
          <w:rtl/>
        </w:rPr>
        <w:t xml:space="preserve">בכך חסך </w:t>
      </w:r>
      <w:r>
        <w:rPr>
          <w:rFonts w:ascii="David" w:hAnsi="David" w:hint="cs"/>
          <w:rtl/>
        </w:rPr>
        <w:t>משאבים ציבוריים יקרי ערך עבור כלל הגורמים הנדרשים לניהול ההליך המשפטי</w:t>
      </w:r>
      <w:r w:rsidRPr="00D35713">
        <w:rPr>
          <w:rFonts w:ascii="David" w:hAnsi="David"/>
          <w:rtl/>
        </w:rPr>
        <w:t xml:space="preserve">. </w:t>
      </w:r>
    </w:p>
    <w:p w14:paraId="4726D04D" w14:textId="77777777" w:rsidR="008B3BE9" w:rsidRDefault="008B3BE9" w:rsidP="008B3BE9">
      <w:pPr>
        <w:pStyle w:val="a9"/>
        <w:rPr>
          <w:rFonts w:ascii="Arial" w:hAnsi="Arial" w:cs="Arial"/>
          <w:rtl/>
        </w:rPr>
      </w:pPr>
    </w:p>
    <w:p w14:paraId="3711E414" w14:textId="77777777" w:rsidR="008B3BE9" w:rsidRPr="00D35713" w:rsidRDefault="008B3BE9" w:rsidP="008B3BE9">
      <w:pPr>
        <w:spacing w:line="360" w:lineRule="auto"/>
        <w:jc w:val="both"/>
        <w:rPr>
          <w:rFonts w:ascii="David" w:hAnsi="David"/>
        </w:rPr>
      </w:pPr>
      <w:r w:rsidRPr="00D35713">
        <w:rPr>
          <w:rFonts w:ascii="David" w:hAnsi="David"/>
          <w:rtl/>
        </w:rPr>
        <w:t xml:space="preserve">בנסיבות המקלות </w:t>
      </w:r>
      <w:r>
        <w:rPr>
          <w:rFonts w:ascii="David" w:hAnsi="David" w:hint="cs"/>
          <w:rtl/>
        </w:rPr>
        <w:t>של ביצוע העבירה לצד עברו הנקי של הנאשם, יש למקם את עונשו בתחתית מתחם העונש אותו קבעתי. אשר על כן, אני גוזרת על הנאשם את העונשים הבאים:</w:t>
      </w:r>
    </w:p>
    <w:p w14:paraId="44679F65" w14:textId="77777777" w:rsidR="008B3BE9" w:rsidRDefault="008B3BE9" w:rsidP="008B3BE9">
      <w:pPr>
        <w:pStyle w:val="a9"/>
        <w:rPr>
          <w:rFonts w:ascii="Arial" w:hAnsi="Arial" w:cs="Arial"/>
        </w:rPr>
      </w:pPr>
    </w:p>
    <w:p w14:paraId="565AAE25" w14:textId="77777777" w:rsidR="008B3BE9" w:rsidRPr="00330F17" w:rsidRDefault="008B3BE9" w:rsidP="008B3BE9">
      <w:pPr>
        <w:pStyle w:val="a9"/>
        <w:numPr>
          <w:ilvl w:val="0"/>
          <w:numId w:val="1"/>
        </w:numPr>
        <w:overflowPunct w:val="0"/>
        <w:autoSpaceDE w:val="0"/>
        <w:autoSpaceDN w:val="0"/>
        <w:spacing w:line="360" w:lineRule="auto"/>
        <w:jc w:val="both"/>
        <w:rPr>
          <w:rFonts w:ascii="David" w:hAnsi="David" w:cs="David"/>
          <w:rtl/>
        </w:rPr>
      </w:pPr>
      <w:r w:rsidRPr="00330F17">
        <w:rPr>
          <w:rFonts w:ascii="David" w:hAnsi="David" w:cs="David"/>
          <w:rtl/>
        </w:rPr>
        <w:t>מאסר על תנאי לתקופה של</w:t>
      </w:r>
      <w:r w:rsidR="006B1300">
        <w:rPr>
          <w:rFonts w:ascii="David" w:hAnsi="David" w:cs="David"/>
          <w:rtl/>
        </w:rPr>
        <w:t xml:space="preserve"> </w:t>
      </w:r>
      <w:r w:rsidRPr="00330F17">
        <w:rPr>
          <w:rFonts w:ascii="David" w:hAnsi="David" w:cs="David"/>
          <w:rtl/>
        </w:rPr>
        <w:t xml:space="preserve"> 6</w:t>
      </w:r>
      <w:r w:rsidR="006B1300">
        <w:rPr>
          <w:rFonts w:ascii="David" w:hAnsi="David" w:cs="David"/>
          <w:rtl/>
        </w:rPr>
        <w:t xml:space="preserve"> </w:t>
      </w:r>
      <w:r w:rsidRPr="00330F17">
        <w:rPr>
          <w:rFonts w:ascii="David" w:hAnsi="David" w:cs="David"/>
          <w:rtl/>
        </w:rPr>
        <w:t xml:space="preserve"> חודשים, למשך</w:t>
      </w:r>
      <w:r w:rsidR="006B1300">
        <w:rPr>
          <w:rFonts w:ascii="David" w:hAnsi="David" w:cs="David"/>
          <w:rtl/>
        </w:rPr>
        <w:t xml:space="preserve"> </w:t>
      </w:r>
      <w:r w:rsidRPr="00330F17">
        <w:rPr>
          <w:rFonts w:ascii="David" w:hAnsi="David" w:cs="David"/>
          <w:rtl/>
        </w:rPr>
        <w:t xml:space="preserve"> 3</w:t>
      </w:r>
      <w:r w:rsidR="006B1300">
        <w:rPr>
          <w:rFonts w:ascii="David" w:hAnsi="David" w:cs="David"/>
          <w:rtl/>
        </w:rPr>
        <w:t xml:space="preserve"> </w:t>
      </w:r>
      <w:r w:rsidRPr="00330F17">
        <w:rPr>
          <w:rFonts w:ascii="David" w:hAnsi="David" w:cs="David"/>
          <w:rtl/>
        </w:rPr>
        <w:t xml:space="preserve"> שנים מ</w:t>
      </w:r>
      <w:r>
        <w:rPr>
          <w:rFonts w:ascii="David" w:hAnsi="David" w:cs="David" w:hint="cs"/>
          <w:rtl/>
        </w:rPr>
        <w:t>יום הקראת גזר הדין</w:t>
      </w:r>
      <w:r w:rsidRPr="00330F17">
        <w:rPr>
          <w:rFonts w:ascii="David" w:hAnsi="David" w:cs="David"/>
          <w:rtl/>
        </w:rPr>
        <w:t>, והתנאי הוא כי הנאשם לא יעבור בתקופה זו עבירת נשק, תחמושת או חלקי נשק</w:t>
      </w:r>
      <w:r>
        <w:rPr>
          <w:rFonts w:ascii="David" w:hAnsi="David" w:cs="David" w:hint="cs"/>
          <w:rtl/>
        </w:rPr>
        <w:t xml:space="preserve">. </w:t>
      </w:r>
      <w:r w:rsidRPr="00330F17">
        <w:rPr>
          <w:rFonts w:ascii="David" w:hAnsi="David" w:cs="David"/>
          <w:rtl/>
        </w:rPr>
        <w:t xml:space="preserve"> </w:t>
      </w:r>
    </w:p>
    <w:p w14:paraId="6FD7B414" w14:textId="77777777" w:rsidR="008B3BE9" w:rsidRPr="00330F17" w:rsidRDefault="008B3BE9" w:rsidP="008B3BE9">
      <w:pPr>
        <w:overflowPunct w:val="0"/>
        <w:autoSpaceDE w:val="0"/>
        <w:autoSpaceDN w:val="0"/>
        <w:spacing w:line="360" w:lineRule="auto"/>
        <w:jc w:val="both"/>
        <w:rPr>
          <w:rFonts w:ascii="David" w:hAnsi="David"/>
          <w:rtl/>
        </w:rPr>
      </w:pPr>
    </w:p>
    <w:p w14:paraId="41246006" w14:textId="77777777" w:rsidR="008B3BE9" w:rsidRPr="00330F17" w:rsidRDefault="008B3BE9" w:rsidP="008B3BE9">
      <w:pPr>
        <w:pStyle w:val="a9"/>
        <w:numPr>
          <w:ilvl w:val="0"/>
          <w:numId w:val="1"/>
        </w:numPr>
        <w:overflowPunct w:val="0"/>
        <w:autoSpaceDE w:val="0"/>
        <w:autoSpaceDN w:val="0"/>
        <w:spacing w:line="360" w:lineRule="auto"/>
        <w:jc w:val="both"/>
        <w:rPr>
          <w:rFonts w:ascii="David" w:hAnsi="David" w:cs="David"/>
          <w:rtl/>
        </w:rPr>
      </w:pPr>
      <w:r w:rsidRPr="00330F17">
        <w:rPr>
          <w:rFonts w:ascii="David" w:hAnsi="David" w:cs="David"/>
          <w:rtl/>
        </w:rPr>
        <w:t>התחייבות כספית בסך של 1,500 ₪ להימנע מלעבור עבירת נשק חלקי נשק או תחמושת</w:t>
      </w:r>
      <w:r w:rsidR="006B1300">
        <w:rPr>
          <w:rFonts w:ascii="David" w:hAnsi="David" w:cs="David"/>
          <w:rtl/>
        </w:rPr>
        <w:t xml:space="preserve"> </w:t>
      </w:r>
      <w:r w:rsidRPr="00330F17">
        <w:rPr>
          <w:rFonts w:ascii="David" w:hAnsi="David" w:cs="David"/>
          <w:rtl/>
        </w:rPr>
        <w:t xml:space="preserve"> בתוך שלוש שנים מיום הקראת גזר הדין. </w:t>
      </w:r>
      <w:r w:rsidR="006B1300">
        <w:rPr>
          <w:rFonts w:ascii="David" w:hAnsi="David" w:cs="David"/>
          <w:rtl/>
        </w:rPr>
        <w:t xml:space="preserve"> </w:t>
      </w:r>
      <w:r w:rsidRPr="00330F17">
        <w:rPr>
          <w:rFonts w:ascii="David" w:hAnsi="David" w:cs="David"/>
          <w:rtl/>
        </w:rPr>
        <w:t xml:space="preserve"> </w:t>
      </w:r>
    </w:p>
    <w:p w14:paraId="2B848A4B" w14:textId="77777777" w:rsidR="008B3BE9" w:rsidRDefault="008B3BE9" w:rsidP="008B3BE9">
      <w:pPr>
        <w:overflowPunct w:val="0"/>
        <w:autoSpaceDE w:val="0"/>
        <w:autoSpaceDN w:val="0"/>
        <w:spacing w:line="360" w:lineRule="auto"/>
        <w:jc w:val="both"/>
        <w:rPr>
          <w:rFonts w:ascii="David" w:hAnsi="David"/>
          <w:rtl/>
        </w:rPr>
      </w:pPr>
    </w:p>
    <w:p w14:paraId="16BA16FF" w14:textId="77777777" w:rsidR="008B3BE9" w:rsidRDefault="006B1300" w:rsidP="008B3BE9">
      <w:pPr>
        <w:overflowPunct w:val="0"/>
        <w:autoSpaceDE w:val="0"/>
        <w:autoSpaceDN w:val="0"/>
        <w:spacing w:line="360" w:lineRule="auto"/>
        <w:ind w:left="720" w:hanging="720"/>
        <w:jc w:val="both"/>
        <w:rPr>
          <w:rFonts w:ascii="David" w:hAnsi="David"/>
          <w:rtl/>
        </w:rPr>
      </w:pPr>
      <w:r w:rsidRPr="006B1300">
        <w:rPr>
          <w:rFonts w:ascii="David" w:hAnsi="David"/>
          <w:color w:val="FFFFFF"/>
          <w:sz w:val="2"/>
          <w:szCs w:val="2"/>
          <w:rtl/>
        </w:rPr>
        <w:t>5129371</w:t>
      </w:r>
      <w:r w:rsidR="008B3BE9">
        <w:rPr>
          <w:rFonts w:ascii="David" w:hAnsi="David"/>
          <w:rtl/>
        </w:rPr>
        <w:t>צו להשמדה/חילוט מוצגים על פי החלטת קצין חילוט.</w:t>
      </w:r>
    </w:p>
    <w:p w14:paraId="7C10ED81" w14:textId="77777777" w:rsidR="008B3BE9" w:rsidRDefault="006B1300" w:rsidP="008B3BE9">
      <w:pPr>
        <w:overflowPunct w:val="0"/>
        <w:autoSpaceDE w:val="0"/>
        <w:autoSpaceDN w:val="0"/>
        <w:spacing w:line="360" w:lineRule="auto"/>
        <w:rPr>
          <w:rFonts w:ascii="David" w:hAnsi="David"/>
          <w:rtl/>
        </w:rPr>
      </w:pPr>
      <w:r w:rsidRPr="006B1300">
        <w:rPr>
          <w:rFonts w:ascii="David" w:hAnsi="David"/>
          <w:color w:val="FFFFFF"/>
          <w:sz w:val="2"/>
          <w:szCs w:val="2"/>
          <w:rtl/>
        </w:rPr>
        <w:t>54678313</w:t>
      </w:r>
      <w:r w:rsidR="008B3BE9">
        <w:rPr>
          <w:rFonts w:ascii="David" w:hAnsi="David"/>
          <w:rtl/>
        </w:rPr>
        <w:t xml:space="preserve">הודעה זכות הערעור. </w:t>
      </w:r>
    </w:p>
    <w:p w14:paraId="307468E6" w14:textId="77777777" w:rsidR="008B3BE9" w:rsidRDefault="008B3BE9" w:rsidP="008B3BE9">
      <w:pPr>
        <w:spacing w:line="360" w:lineRule="auto"/>
        <w:jc w:val="both"/>
        <w:rPr>
          <w:rFonts w:ascii="David" w:hAnsi="David"/>
          <w:rtl/>
        </w:rPr>
      </w:pPr>
    </w:p>
    <w:p w14:paraId="7CE8FCEB" w14:textId="77777777" w:rsidR="008B3BE9" w:rsidRPr="000F2247" w:rsidRDefault="006B1300" w:rsidP="008B3BE9">
      <w:pPr>
        <w:rPr>
          <w:rFonts w:ascii="Arial" w:hAnsi="Arial"/>
          <w:b/>
          <w:bCs/>
          <w:sz w:val="26"/>
          <w:szCs w:val="26"/>
          <w:rtl/>
        </w:rPr>
      </w:pPr>
      <w:bookmarkStart w:id="9" w:name="Nitan"/>
      <w:r>
        <w:rPr>
          <w:rFonts w:ascii="Arial" w:hAnsi="Arial"/>
          <w:rtl/>
        </w:rPr>
        <w:t xml:space="preserve">ניתן היום,  י"ט כסלו תשפ"ג, 13 דצמבר 2022, בהעדר הצדדים. </w:t>
      </w:r>
      <w:bookmarkEnd w:id="9"/>
    </w:p>
    <w:p w14:paraId="113BBA83" w14:textId="77777777" w:rsidR="008B3BE9" w:rsidRPr="000F2247" w:rsidRDefault="008B3BE9" w:rsidP="006B1300">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B6EDFE0" w14:textId="77777777" w:rsidR="008B3BE9" w:rsidRPr="000F2247" w:rsidRDefault="008B3BE9" w:rsidP="008B3BE9">
      <w:pPr>
        <w:jc w:val="center"/>
        <w:rPr>
          <w:rFonts w:ascii="Arial" w:hAnsi="Arial"/>
          <w:b/>
          <w:bCs/>
          <w:sz w:val="26"/>
          <w:szCs w:val="26"/>
          <w:rtl/>
        </w:rPr>
      </w:pPr>
    </w:p>
    <w:p w14:paraId="278F5544" w14:textId="77777777" w:rsidR="00281A7C" w:rsidRPr="006B1300" w:rsidRDefault="00281A7C" w:rsidP="006B1300">
      <w:pPr>
        <w:keepNext/>
        <w:rPr>
          <w:rFonts w:ascii="David" w:hAnsi="David"/>
          <w:color w:val="000000"/>
          <w:sz w:val="22"/>
          <w:szCs w:val="22"/>
          <w:rtl/>
        </w:rPr>
      </w:pPr>
    </w:p>
    <w:p w14:paraId="40C6D0B8" w14:textId="77777777" w:rsidR="006B1300" w:rsidRPr="006B1300" w:rsidRDefault="006B1300" w:rsidP="006B1300">
      <w:pPr>
        <w:keepNext/>
        <w:rPr>
          <w:rFonts w:ascii="David" w:hAnsi="David"/>
          <w:color w:val="000000"/>
          <w:sz w:val="22"/>
          <w:szCs w:val="22"/>
          <w:rtl/>
        </w:rPr>
      </w:pPr>
      <w:r w:rsidRPr="006B1300">
        <w:rPr>
          <w:rFonts w:ascii="David" w:hAnsi="David"/>
          <w:color w:val="000000"/>
          <w:sz w:val="22"/>
          <w:szCs w:val="22"/>
          <w:rtl/>
        </w:rPr>
        <w:t>שוש שטרית 54678313</w:t>
      </w:r>
    </w:p>
    <w:p w14:paraId="2641F378" w14:textId="77777777" w:rsidR="006B1300" w:rsidRDefault="006B1300" w:rsidP="006B1300">
      <w:r w:rsidRPr="006B1300">
        <w:rPr>
          <w:color w:val="000000"/>
          <w:rtl/>
        </w:rPr>
        <w:t>נוסח מסמך זה כפוף לשינויי ניסוח ועריכה</w:t>
      </w:r>
    </w:p>
    <w:p w14:paraId="4B260727" w14:textId="77777777" w:rsidR="006B1300" w:rsidRDefault="006B1300" w:rsidP="006B1300">
      <w:pPr>
        <w:rPr>
          <w:rtl/>
        </w:rPr>
      </w:pPr>
    </w:p>
    <w:p w14:paraId="0CED44BA" w14:textId="77777777" w:rsidR="006B1300" w:rsidRDefault="006B1300" w:rsidP="006B1300">
      <w:pPr>
        <w:jc w:val="center"/>
        <w:rPr>
          <w:color w:val="0000FF"/>
          <w:u w:val="single"/>
        </w:rPr>
      </w:pPr>
      <w:hyperlink r:id="rId18" w:history="1">
        <w:r>
          <w:rPr>
            <w:color w:val="0000FF"/>
            <w:u w:val="single"/>
            <w:rtl/>
          </w:rPr>
          <w:t>בעניין עריכה ושינויים במסמכי פסיקה, חקיקה ועוד באתר נבו – הקש כאן</w:t>
        </w:r>
      </w:hyperlink>
    </w:p>
    <w:p w14:paraId="05725A15" w14:textId="77777777" w:rsidR="006B1300" w:rsidRPr="006B1300" w:rsidRDefault="006B1300" w:rsidP="006B1300">
      <w:pPr>
        <w:jc w:val="center"/>
        <w:rPr>
          <w:color w:val="0000FF"/>
          <w:u w:val="single"/>
        </w:rPr>
      </w:pPr>
    </w:p>
    <w:sectPr w:rsidR="006B1300" w:rsidRPr="006B1300" w:rsidSect="006B1300">
      <w:headerReference w:type="even" r:id="rId19"/>
      <w:headerReference w:type="default" r:id="rId20"/>
      <w:footerReference w:type="even" r:id="rId21"/>
      <w:footerReference w:type="default" r:id="rId22"/>
      <w:pgSz w:w="11907" w:h="16840" w:code="9"/>
      <w:pgMar w:top="1701" w:right="1701" w:bottom="1843"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885FA7" w14:textId="77777777" w:rsidR="000B4432" w:rsidRDefault="000B4432" w:rsidP="006E61A1">
      <w:r>
        <w:separator/>
      </w:r>
    </w:p>
  </w:endnote>
  <w:endnote w:type="continuationSeparator" w:id="0">
    <w:p w14:paraId="1A36737E" w14:textId="77777777" w:rsidR="000B4432" w:rsidRDefault="000B4432" w:rsidP="006E6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3672F" w14:textId="77777777" w:rsidR="006B1300" w:rsidRDefault="006B1300" w:rsidP="006B130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31A33E4" w14:textId="77777777" w:rsidR="00962F26" w:rsidRPr="006B1300" w:rsidRDefault="006B1300" w:rsidP="006B130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345A7F" w14:textId="77777777" w:rsidR="006B1300" w:rsidRDefault="006B1300" w:rsidP="006B130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233FA">
      <w:rPr>
        <w:rFonts w:ascii="FrankRuehl" w:hAnsi="FrankRuehl" w:cs="FrankRuehl"/>
        <w:noProof/>
        <w:rtl/>
      </w:rPr>
      <w:t>1</w:t>
    </w:r>
    <w:r>
      <w:rPr>
        <w:rFonts w:ascii="FrankRuehl" w:hAnsi="FrankRuehl" w:cs="FrankRuehl"/>
        <w:rtl/>
      </w:rPr>
      <w:fldChar w:fldCharType="end"/>
    </w:r>
  </w:p>
  <w:p w14:paraId="08806F57" w14:textId="77777777" w:rsidR="00962F26" w:rsidRPr="006B1300" w:rsidRDefault="006B1300" w:rsidP="006B130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6943C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D34187" w14:textId="77777777" w:rsidR="000B4432" w:rsidRDefault="000B4432" w:rsidP="006E61A1">
      <w:r>
        <w:separator/>
      </w:r>
    </w:p>
  </w:footnote>
  <w:footnote w:type="continuationSeparator" w:id="0">
    <w:p w14:paraId="284BD339" w14:textId="77777777" w:rsidR="000B4432" w:rsidRDefault="000B4432" w:rsidP="006E6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73243" w14:textId="77777777" w:rsidR="006B1300" w:rsidRPr="006B1300" w:rsidRDefault="006B1300" w:rsidP="006B130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4658-05-21</w:t>
    </w:r>
    <w:r>
      <w:rPr>
        <w:rFonts w:ascii="David" w:hAnsi="David"/>
        <w:color w:val="000000"/>
        <w:sz w:val="22"/>
        <w:szCs w:val="22"/>
        <w:rtl/>
      </w:rPr>
      <w:tab/>
      <w:t xml:space="preserve"> מדינת ישראל תביעות נגב נ' אבראהים אבו רקיק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C1FF31" w14:textId="77777777" w:rsidR="006B1300" w:rsidRPr="006B1300" w:rsidRDefault="006B1300" w:rsidP="006B130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4658-05-21</w:t>
    </w:r>
    <w:r>
      <w:rPr>
        <w:rFonts w:ascii="David" w:hAnsi="David"/>
        <w:color w:val="000000"/>
        <w:sz w:val="22"/>
        <w:szCs w:val="22"/>
        <w:rtl/>
      </w:rPr>
      <w:tab/>
      <w:t xml:space="preserve"> מדינת ישראל תביעות נגב נ' אבראהים אבו רקיק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96C10"/>
    <w:multiLevelType w:val="hybridMultilevel"/>
    <w:tmpl w:val="74A2F2A6"/>
    <w:lvl w:ilvl="0" w:tplc="7740414C">
      <w:start w:val="1"/>
      <w:numFmt w:val="hebrew1"/>
      <w:lvlText w:val="%1."/>
      <w:lvlJc w:val="left"/>
      <w:pPr>
        <w:ind w:left="720" w:hanging="360"/>
      </w:pPr>
      <w:rPr>
        <w:rFonts w:ascii="David" w:hAnsi="Davi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4867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B3BE9"/>
    <w:rsid w:val="000039F9"/>
    <w:rsid w:val="000B4432"/>
    <w:rsid w:val="001B5A3B"/>
    <w:rsid w:val="00281A7C"/>
    <w:rsid w:val="00314450"/>
    <w:rsid w:val="003233FA"/>
    <w:rsid w:val="00517C19"/>
    <w:rsid w:val="00626E22"/>
    <w:rsid w:val="006B1300"/>
    <w:rsid w:val="006E61A1"/>
    <w:rsid w:val="00890475"/>
    <w:rsid w:val="008B3BE9"/>
    <w:rsid w:val="00962F26"/>
    <w:rsid w:val="00970ABB"/>
    <w:rsid w:val="00D613E9"/>
    <w:rsid w:val="00DD1E33"/>
    <w:rsid w:val="00E663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BA6BE33"/>
  <w15:chartTrackingRefBased/>
  <w15:docId w15:val="{4422A6CB-FB71-4A9A-803F-A154B0D98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B3BE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B3BE9"/>
    <w:pPr>
      <w:tabs>
        <w:tab w:val="center" w:pos="4153"/>
        <w:tab w:val="right" w:pos="8306"/>
      </w:tabs>
    </w:pPr>
  </w:style>
  <w:style w:type="character" w:customStyle="1" w:styleId="a4">
    <w:name w:val="כותרת עליונה תו"/>
    <w:link w:val="a3"/>
    <w:rsid w:val="008B3BE9"/>
    <w:rPr>
      <w:rFonts w:ascii="Times New Roman" w:eastAsia="Times New Roman" w:hAnsi="Times New Roman" w:cs="David"/>
      <w:sz w:val="24"/>
      <w:szCs w:val="24"/>
    </w:rPr>
  </w:style>
  <w:style w:type="paragraph" w:styleId="a5">
    <w:name w:val="footer"/>
    <w:basedOn w:val="a"/>
    <w:link w:val="a6"/>
    <w:rsid w:val="008B3BE9"/>
    <w:pPr>
      <w:tabs>
        <w:tab w:val="center" w:pos="4153"/>
        <w:tab w:val="right" w:pos="8306"/>
      </w:tabs>
    </w:pPr>
  </w:style>
  <w:style w:type="character" w:customStyle="1" w:styleId="a6">
    <w:name w:val="כותרת תחתונה תו"/>
    <w:link w:val="a5"/>
    <w:rsid w:val="008B3BE9"/>
    <w:rPr>
      <w:rFonts w:ascii="Times New Roman" w:eastAsia="Times New Roman" w:hAnsi="Times New Roman" w:cs="David"/>
      <w:sz w:val="24"/>
      <w:szCs w:val="24"/>
    </w:rPr>
  </w:style>
  <w:style w:type="table" w:styleId="a7">
    <w:name w:val="Table Grid"/>
    <w:basedOn w:val="a1"/>
    <w:rsid w:val="008B3BE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B3BE9"/>
  </w:style>
  <w:style w:type="paragraph" w:styleId="a9">
    <w:name w:val="List Paragraph"/>
    <w:basedOn w:val="a"/>
    <w:qFormat/>
    <w:rsid w:val="008B3BE9"/>
    <w:pPr>
      <w:ind w:left="720"/>
      <w:contextualSpacing/>
    </w:pPr>
    <w:rPr>
      <w:rFonts w:eastAsia="Calibri" w:cs="Times New Roman"/>
    </w:rPr>
  </w:style>
  <w:style w:type="character" w:styleId="Hyperlink">
    <w:name w:val="Hyperlink"/>
    <w:rsid w:val="006B13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case/28513828" TargetMode="External"/><Relationship Id="rId18"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3978846" TargetMode="External"/><Relationship Id="rId2" Type="http://schemas.openxmlformats.org/officeDocument/2006/relationships/styles" Target="styles.xml"/><Relationship Id="rId16" Type="http://schemas.openxmlformats.org/officeDocument/2006/relationships/hyperlink" Target="http://www.nevo.co.il/case/18099950"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7738282"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7738282" TargetMode="External"/><Relationship Id="rId23"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6473037"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1301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7792</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3801201</vt:i4>
      </vt:variant>
      <vt:variant>
        <vt:i4>30</vt:i4>
      </vt:variant>
      <vt:variant>
        <vt:i4>0</vt:i4>
      </vt:variant>
      <vt:variant>
        <vt:i4>5</vt:i4>
      </vt:variant>
      <vt:variant>
        <vt:lpwstr>http://www.nevo.co.il/case/3978846</vt:lpwstr>
      </vt:variant>
      <vt:variant>
        <vt:lpwstr/>
      </vt:variant>
      <vt:variant>
        <vt:i4>3997820</vt:i4>
      </vt:variant>
      <vt:variant>
        <vt:i4>27</vt:i4>
      </vt:variant>
      <vt:variant>
        <vt:i4>0</vt:i4>
      </vt:variant>
      <vt:variant>
        <vt:i4>5</vt:i4>
      </vt:variant>
      <vt:variant>
        <vt:lpwstr>http://www.nevo.co.il/case/18099950</vt:lpwstr>
      </vt:variant>
      <vt:variant>
        <vt:lpwstr/>
      </vt:variant>
      <vt:variant>
        <vt:i4>3473522</vt:i4>
      </vt:variant>
      <vt:variant>
        <vt:i4>24</vt:i4>
      </vt:variant>
      <vt:variant>
        <vt:i4>0</vt:i4>
      </vt:variant>
      <vt:variant>
        <vt:i4>5</vt:i4>
      </vt:variant>
      <vt:variant>
        <vt:lpwstr>http://www.nevo.co.il/case/27738282</vt:lpwstr>
      </vt:variant>
      <vt:variant>
        <vt:lpwstr/>
      </vt:variant>
      <vt:variant>
        <vt:i4>3539056</vt:i4>
      </vt:variant>
      <vt:variant>
        <vt:i4>21</vt:i4>
      </vt:variant>
      <vt:variant>
        <vt:i4>0</vt:i4>
      </vt:variant>
      <vt:variant>
        <vt:i4>5</vt:i4>
      </vt:variant>
      <vt:variant>
        <vt:lpwstr>http://www.nevo.co.il/case/6473037</vt:lpwstr>
      </vt:variant>
      <vt:variant>
        <vt:lpwstr/>
      </vt:variant>
      <vt:variant>
        <vt:i4>3539061</vt:i4>
      </vt:variant>
      <vt:variant>
        <vt:i4>18</vt:i4>
      </vt:variant>
      <vt:variant>
        <vt:i4>0</vt:i4>
      </vt:variant>
      <vt:variant>
        <vt:i4>5</vt:i4>
      </vt:variant>
      <vt:variant>
        <vt:lpwstr>http://www.nevo.co.il/case/28513828</vt:lpwstr>
      </vt:variant>
      <vt:variant>
        <vt:lpwstr/>
      </vt:variant>
      <vt:variant>
        <vt:i4>7995492</vt:i4>
      </vt:variant>
      <vt:variant>
        <vt:i4>15</vt:i4>
      </vt:variant>
      <vt:variant>
        <vt:i4>0</vt:i4>
      </vt:variant>
      <vt:variant>
        <vt:i4>5</vt:i4>
      </vt:variant>
      <vt:variant>
        <vt:lpwstr>http://www.nevo.co.il/law/70301</vt:lpwstr>
      </vt:variant>
      <vt:variant>
        <vt:lpwstr/>
      </vt:variant>
      <vt:variant>
        <vt:i4>3473522</vt:i4>
      </vt:variant>
      <vt:variant>
        <vt:i4>12</vt:i4>
      </vt:variant>
      <vt:variant>
        <vt:i4>0</vt:i4>
      </vt:variant>
      <vt:variant>
        <vt:i4>5</vt:i4>
      </vt:variant>
      <vt:variant>
        <vt:lpwstr>http://www.nevo.co.il/case/27738282</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2025-01-19T17:46:00Z</dcterms:created>
  <dcterms:modified xsi:type="dcterms:W3CDTF">2025-01-19T17:46:00Z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4658</vt:lpwstr>
  </property>
  <property fmtid="{D5CDD505-2E9C-101B-9397-08002B2CF9AE}" pid="6" name="NEWPARTB">
    <vt:lpwstr>05</vt:lpwstr>
  </property>
  <property fmtid="{D5CDD505-2E9C-101B-9397-08002B2CF9AE}" pid="7" name="NEWPARTC">
    <vt:lpwstr>21</vt:lpwstr>
  </property>
  <property fmtid="{D5CDD505-2E9C-101B-9397-08002B2CF9AE}" pid="8" name="APPELLANT">
    <vt:lpwstr>מדינת ישראל תביעות נגב</vt:lpwstr>
  </property>
  <property fmtid="{D5CDD505-2E9C-101B-9397-08002B2CF9AE}" pid="9" name="APPELLEE">
    <vt:lpwstr>אבראהים אבו רקיק</vt:lpwstr>
  </property>
  <property fmtid="{D5CDD505-2E9C-101B-9397-08002B2CF9AE}" pid="10" name="LAWYER">
    <vt:lpwstr>לי מגן;מוני בן מוחה</vt:lpwstr>
  </property>
  <property fmtid="{D5CDD505-2E9C-101B-9397-08002B2CF9AE}" pid="11" name="JUDGE">
    <vt:lpwstr>שוש שטרית</vt:lpwstr>
  </property>
  <property fmtid="{D5CDD505-2E9C-101B-9397-08002B2CF9AE}" pid="12" name="CITY">
    <vt:lpwstr>ב"ש</vt:lpwstr>
  </property>
  <property fmtid="{D5CDD505-2E9C-101B-9397-08002B2CF9AE}" pid="13" name="DATE">
    <vt:lpwstr>20221213</vt:lpwstr>
  </property>
  <property fmtid="{D5CDD505-2E9C-101B-9397-08002B2CF9AE}" pid="14" name="TYPE_N_DATE">
    <vt:lpwstr>38020221213</vt:lpwstr>
  </property>
  <property fmtid="{D5CDD505-2E9C-101B-9397-08002B2CF9AE}" pid="15" name="WORDNUMPAGES">
    <vt:lpwstr>4</vt:lpwstr>
  </property>
  <property fmtid="{D5CDD505-2E9C-101B-9397-08002B2CF9AE}" pid="16" name="TYPE_ABS_DATE">
    <vt:lpwstr>380020221213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27738282:2;28513828;6473037;18099950;3978846</vt:lpwstr>
  </property>
  <property fmtid="{D5CDD505-2E9C-101B-9397-08002B2CF9AE}" pid="36" name="LAWLISTTMP1">
    <vt:lpwstr>70301/144.a</vt:lpwstr>
  </property>
</Properties>
</file>