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B631C1" w:rsidRPr="00B974B7" w14:paraId="05BBFBEB" w14:textId="77777777" w:rsidTr="00351F4C">
        <w:trPr>
          <w:trHeight w:hRule="exact" w:val="704"/>
          <w:jc w:val="center"/>
        </w:trPr>
        <w:tc>
          <w:tcPr>
            <w:tcW w:w="8523" w:type="dxa"/>
          </w:tcPr>
          <w:p w14:paraId="24FFD5DB" w14:textId="77777777" w:rsidR="00B631C1" w:rsidRPr="00B974B7" w:rsidRDefault="00B631C1" w:rsidP="003F06B4">
            <w:pPr>
              <w:pStyle w:val="a3"/>
              <w:jc w:val="center"/>
              <w:rPr>
                <w:rFonts w:ascii="Tahoma" w:hAnsi="Tahoma"/>
                <w:noProof w:val="0"/>
                <w:color w:val="000080"/>
                <w:sz w:val="32"/>
                <w:szCs w:val="32"/>
                <w:rtl/>
              </w:rPr>
            </w:pPr>
            <w:bookmarkStart w:id="0" w:name="FirstLawyer"/>
            <w:bookmarkStart w:id="1" w:name="LastJudge"/>
            <w:r w:rsidRPr="00B974B7">
              <w:rPr>
                <w:rFonts w:ascii="Tahoma" w:hAnsi="Tahoma"/>
                <w:color w:val="000080"/>
                <w:sz w:val="32"/>
                <w:szCs w:val="32"/>
                <w:rtl/>
              </w:rPr>
              <w:t>בית משפט השלום בעכו</w:t>
            </w:r>
          </w:p>
        </w:tc>
      </w:tr>
      <w:tr w:rsidR="00B631C1" w:rsidRPr="00B974B7" w14:paraId="6100D804" w14:textId="77777777" w:rsidTr="00351F4C">
        <w:trPr>
          <w:trHeight w:val="337"/>
          <w:jc w:val="center"/>
        </w:trPr>
        <w:tc>
          <w:tcPr>
            <w:tcW w:w="8523" w:type="dxa"/>
          </w:tcPr>
          <w:p w14:paraId="17BC132E" w14:textId="77777777" w:rsidR="00B631C1" w:rsidRPr="00B974B7" w:rsidRDefault="00B631C1" w:rsidP="003F06B4">
            <w:pPr>
              <w:rPr>
                <w:b/>
                <w:bCs/>
                <w:noProof w:val="0"/>
                <w:sz w:val="26"/>
                <w:szCs w:val="26"/>
                <w:rtl/>
              </w:rPr>
            </w:pPr>
            <w:r w:rsidRPr="00B974B7">
              <w:rPr>
                <w:b/>
                <w:bCs/>
                <w:noProof w:val="0"/>
                <w:sz w:val="26"/>
                <w:szCs w:val="26"/>
                <w:rtl/>
              </w:rPr>
              <w:t xml:space="preserve">ת"פ 59911-06-21 מדינת ישראל נ' שאהין </w:t>
            </w:r>
          </w:p>
          <w:p w14:paraId="25389704" w14:textId="77777777" w:rsidR="00B631C1" w:rsidRPr="00B974B7" w:rsidRDefault="00B631C1" w:rsidP="003F06B4">
            <w:pPr>
              <w:rPr>
                <w:b/>
                <w:bCs/>
                <w:noProof w:val="0"/>
                <w:sz w:val="2"/>
                <w:szCs w:val="2"/>
                <w:rtl/>
              </w:rPr>
            </w:pPr>
          </w:p>
          <w:p w14:paraId="07063CFD" w14:textId="77777777" w:rsidR="00B631C1" w:rsidRPr="00B974B7" w:rsidRDefault="00B631C1" w:rsidP="003F06B4">
            <w:pPr>
              <w:rPr>
                <w:sz w:val="20"/>
                <w:szCs w:val="20"/>
                <w:rtl/>
              </w:rPr>
            </w:pPr>
            <w:r w:rsidRPr="00B974B7">
              <w:rPr>
                <w:rFonts w:hint="cs"/>
                <w:rtl/>
              </w:rPr>
              <w:t xml:space="preserve">                           </w:t>
            </w:r>
            <w:r w:rsidRPr="00B974B7">
              <w:rPr>
                <w:rFonts w:hint="cs"/>
                <w:sz w:val="20"/>
                <w:szCs w:val="20"/>
                <w:rtl/>
              </w:rPr>
              <w:t xml:space="preserve">                                       </w:t>
            </w:r>
          </w:p>
          <w:p w14:paraId="155E62CC" w14:textId="77777777" w:rsidR="00B631C1" w:rsidRPr="00B974B7" w:rsidRDefault="00B631C1" w:rsidP="003F06B4">
            <w:pPr>
              <w:rPr>
                <w:sz w:val="20"/>
                <w:szCs w:val="20"/>
                <w:rtl/>
              </w:rPr>
            </w:pPr>
            <w:r w:rsidRPr="00B974B7">
              <w:rPr>
                <w:rFonts w:hint="cs"/>
                <w:sz w:val="20"/>
                <w:szCs w:val="20"/>
                <w:rtl/>
              </w:rPr>
              <w:t xml:space="preserve">תיק חיצוני: </w:t>
            </w:r>
            <w:r w:rsidRPr="00B974B7">
              <w:rPr>
                <w:rFonts w:hint="eastAsia"/>
                <w:sz w:val="20"/>
                <w:szCs w:val="20"/>
              </w:rPr>
              <w:t>810381/2020</w:t>
            </w:r>
            <w:r w:rsidRPr="00B974B7">
              <w:rPr>
                <w:rFonts w:hint="cs"/>
                <w:sz w:val="20"/>
                <w:szCs w:val="20"/>
                <w:rtl/>
              </w:rPr>
              <w:t xml:space="preserve"> </w:t>
            </w:r>
            <w:r w:rsidRPr="00B974B7">
              <w:rPr>
                <w:sz w:val="20"/>
                <w:szCs w:val="20"/>
                <w:rtl/>
              </w:rPr>
              <w:t xml:space="preserve">  </w:t>
            </w:r>
          </w:p>
        </w:tc>
      </w:tr>
    </w:tbl>
    <w:p w14:paraId="786BFC39" w14:textId="77777777" w:rsidR="00B631C1" w:rsidRPr="00B974B7" w:rsidRDefault="00B631C1" w:rsidP="00351F4C">
      <w:pPr>
        <w:pStyle w:val="a3"/>
        <w:rPr>
          <w:rtl/>
        </w:rPr>
      </w:pPr>
      <w:r w:rsidRPr="00B974B7">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B631C1" w:rsidRPr="00B974B7" w14:paraId="4CF8B578" w14:textId="77777777" w:rsidTr="00B631C1">
        <w:trPr>
          <w:jc w:val="center"/>
        </w:trPr>
        <w:tc>
          <w:tcPr>
            <w:tcW w:w="743" w:type="dxa"/>
            <w:shd w:val="clear" w:color="auto" w:fill="auto"/>
          </w:tcPr>
          <w:p w14:paraId="61B810B0" w14:textId="77777777" w:rsidR="00B631C1" w:rsidRPr="00B974B7" w:rsidRDefault="00B631C1" w:rsidP="00B631C1">
            <w:pPr>
              <w:suppressLineNumbers/>
              <w:jc w:val="both"/>
              <w:rPr>
                <w:rFonts w:ascii="Arial" w:hAnsi="Arial"/>
                <w:b/>
                <w:bCs/>
                <w:sz w:val="26"/>
                <w:szCs w:val="26"/>
                <w:rtl/>
              </w:rPr>
            </w:pPr>
            <w:r w:rsidRPr="00B974B7">
              <w:rPr>
                <w:rFonts w:ascii="Arial" w:hAnsi="Arial" w:hint="cs"/>
                <w:b/>
                <w:bCs/>
                <w:sz w:val="26"/>
                <w:szCs w:val="26"/>
                <w:rtl/>
              </w:rPr>
              <w:t>ב</w:t>
            </w:r>
            <w:r w:rsidRPr="00B974B7">
              <w:rPr>
                <w:rFonts w:ascii="Arial" w:hAnsi="Arial"/>
                <w:b/>
                <w:bCs/>
                <w:sz w:val="26"/>
                <w:szCs w:val="26"/>
                <w:rtl/>
              </w:rPr>
              <w:t xml:space="preserve">פני </w:t>
            </w:r>
          </w:p>
        </w:tc>
        <w:tc>
          <w:tcPr>
            <w:tcW w:w="8077" w:type="dxa"/>
            <w:gridSpan w:val="2"/>
            <w:shd w:val="clear" w:color="auto" w:fill="auto"/>
          </w:tcPr>
          <w:p w14:paraId="6D65250C" w14:textId="77777777" w:rsidR="00B631C1" w:rsidRPr="00B974B7" w:rsidRDefault="00B631C1" w:rsidP="00B631C1">
            <w:pPr>
              <w:suppressLineNumbers/>
              <w:rPr>
                <w:rFonts w:ascii="Arial" w:hAnsi="Arial"/>
                <w:b/>
                <w:bCs/>
                <w:sz w:val="26"/>
                <w:szCs w:val="26"/>
                <w:rtl/>
              </w:rPr>
            </w:pPr>
            <w:r w:rsidRPr="00B974B7">
              <w:rPr>
                <w:rFonts w:ascii="Arial" w:hAnsi="Arial" w:hint="cs"/>
                <w:b/>
                <w:bCs/>
                <w:sz w:val="26"/>
                <w:szCs w:val="26"/>
                <w:rtl/>
              </w:rPr>
              <w:t>כבוד ה</w:t>
            </w:r>
            <w:r w:rsidRPr="00B974B7">
              <w:rPr>
                <w:rFonts w:ascii="Arial" w:hAnsi="Arial"/>
                <w:b/>
                <w:bCs/>
                <w:sz w:val="26"/>
                <w:szCs w:val="26"/>
                <w:rtl/>
              </w:rPr>
              <w:t>שופטת</w:t>
            </w:r>
            <w:r w:rsidRPr="00B974B7">
              <w:rPr>
                <w:rFonts w:ascii="Arial" w:hAnsi="Arial" w:hint="cs"/>
                <w:b/>
                <w:bCs/>
                <w:sz w:val="26"/>
                <w:szCs w:val="26"/>
                <w:rtl/>
              </w:rPr>
              <w:t xml:space="preserve"> </w:t>
            </w:r>
            <w:r w:rsidRPr="00B974B7">
              <w:rPr>
                <w:rFonts w:ascii="Arial" w:hAnsi="Arial"/>
                <w:b/>
                <w:bCs/>
                <w:sz w:val="26"/>
                <w:szCs w:val="26"/>
                <w:rtl/>
              </w:rPr>
              <w:t>שושנה פיינסוד-כהן</w:t>
            </w:r>
          </w:p>
          <w:p w14:paraId="5C4B39E4" w14:textId="77777777" w:rsidR="00B631C1" w:rsidRPr="00B974B7" w:rsidRDefault="00B631C1" w:rsidP="00B631C1">
            <w:pPr>
              <w:suppressLineNumbers/>
              <w:rPr>
                <w:sz w:val="26"/>
                <w:szCs w:val="26"/>
              </w:rPr>
            </w:pPr>
          </w:p>
        </w:tc>
      </w:tr>
      <w:tr w:rsidR="00B631C1" w:rsidRPr="00B974B7" w14:paraId="7D1B3371" w14:textId="77777777" w:rsidTr="00B631C1">
        <w:trPr>
          <w:jc w:val="center"/>
        </w:trPr>
        <w:tc>
          <w:tcPr>
            <w:tcW w:w="3249" w:type="dxa"/>
            <w:gridSpan w:val="2"/>
            <w:shd w:val="clear" w:color="auto" w:fill="auto"/>
          </w:tcPr>
          <w:p w14:paraId="7C56AE08" w14:textId="77777777" w:rsidR="00B631C1" w:rsidRPr="00B974B7" w:rsidRDefault="00B631C1" w:rsidP="00B631C1">
            <w:pPr>
              <w:suppressLineNumbers/>
              <w:rPr>
                <w:rtl/>
              </w:rPr>
            </w:pPr>
            <w:bookmarkStart w:id="2" w:name="FirstAppellant"/>
          </w:p>
          <w:p w14:paraId="245F6943" w14:textId="77777777" w:rsidR="00B631C1" w:rsidRPr="00B974B7" w:rsidRDefault="00B631C1" w:rsidP="00B631C1">
            <w:pPr>
              <w:suppressLineNumbers/>
              <w:rPr>
                <w:rFonts w:ascii="Arial" w:hAnsi="Arial"/>
                <w:b/>
                <w:bCs/>
                <w:noProof w:val="0"/>
                <w:sz w:val="26"/>
                <w:szCs w:val="26"/>
                <w:rtl/>
              </w:rPr>
            </w:pPr>
            <w:r w:rsidRPr="00B974B7">
              <w:rPr>
                <w:rFonts w:ascii="Arial" w:hAnsi="Arial"/>
                <w:b/>
                <w:bCs/>
                <w:noProof w:val="0"/>
                <w:sz w:val="26"/>
                <w:szCs w:val="26"/>
                <w:rtl/>
              </w:rPr>
              <w:t>מאשימה</w:t>
            </w:r>
          </w:p>
        </w:tc>
        <w:tc>
          <w:tcPr>
            <w:tcW w:w="5571" w:type="dxa"/>
            <w:shd w:val="clear" w:color="auto" w:fill="auto"/>
          </w:tcPr>
          <w:p w14:paraId="7B55E8A8" w14:textId="77777777" w:rsidR="00B631C1" w:rsidRPr="00B974B7" w:rsidRDefault="00B631C1" w:rsidP="00B631C1">
            <w:pPr>
              <w:suppressLineNumbers/>
              <w:rPr>
                <w:rtl/>
              </w:rPr>
            </w:pPr>
          </w:p>
          <w:p w14:paraId="29CB7383" w14:textId="77777777" w:rsidR="00B631C1" w:rsidRPr="00B974B7" w:rsidRDefault="00B631C1" w:rsidP="00B631C1">
            <w:pPr>
              <w:suppressLineNumbers/>
              <w:rPr>
                <w:b/>
                <w:bCs/>
                <w:noProof w:val="0"/>
                <w:sz w:val="26"/>
                <w:szCs w:val="26"/>
              </w:rPr>
            </w:pPr>
            <w:r w:rsidRPr="00B974B7">
              <w:rPr>
                <w:rFonts w:ascii="Arial" w:hAnsi="Arial"/>
                <w:b/>
                <w:bCs/>
                <w:noProof w:val="0"/>
                <w:sz w:val="26"/>
                <w:szCs w:val="26"/>
                <w:rtl/>
              </w:rPr>
              <w:t>מדינת ישראל</w:t>
            </w:r>
            <w:r w:rsidRPr="00B974B7">
              <w:rPr>
                <w:rFonts w:ascii="Arial" w:hAnsi="Arial"/>
                <w:b/>
                <w:bCs/>
                <w:noProof w:val="0"/>
                <w:sz w:val="26"/>
                <w:szCs w:val="26"/>
                <w:rtl/>
              </w:rPr>
              <w:br/>
            </w:r>
            <w:r w:rsidRPr="00B974B7">
              <w:rPr>
                <w:rFonts w:ascii="Arial" w:hAnsi="Arial" w:hint="cs"/>
                <w:b/>
                <w:bCs/>
                <w:noProof w:val="0"/>
                <w:sz w:val="26"/>
                <w:szCs w:val="26"/>
                <w:rtl/>
              </w:rPr>
              <w:t>ע"י שלוחת התביעות גליל</w:t>
            </w:r>
          </w:p>
        </w:tc>
      </w:tr>
      <w:bookmarkEnd w:id="2"/>
      <w:tr w:rsidR="00B631C1" w:rsidRPr="00B974B7" w14:paraId="3EF45E7C" w14:textId="77777777" w:rsidTr="00B631C1">
        <w:trPr>
          <w:jc w:val="center"/>
        </w:trPr>
        <w:tc>
          <w:tcPr>
            <w:tcW w:w="8820" w:type="dxa"/>
            <w:gridSpan w:val="3"/>
            <w:shd w:val="clear" w:color="auto" w:fill="auto"/>
          </w:tcPr>
          <w:p w14:paraId="17916180" w14:textId="77777777" w:rsidR="00B631C1" w:rsidRPr="00B974B7" w:rsidRDefault="00B631C1" w:rsidP="00B631C1">
            <w:pPr>
              <w:suppressLineNumbers/>
              <w:rPr>
                <w:rFonts w:ascii="Arial" w:hAnsi="Arial"/>
                <w:b/>
                <w:bCs/>
                <w:noProof w:val="0"/>
                <w:sz w:val="26"/>
                <w:szCs w:val="26"/>
                <w:rtl/>
              </w:rPr>
            </w:pPr>
          </w:p>
          <w:p w14:paraId="3F563142" w14:textId="77777777" w:rsidR="00B631C1" w:rsidRPr="00B974B7" w:rsidRDefault="00B631C1" w:rsidP="00B631C1">
            <w:pPr>
              <w:suppressLineNumbers/>
              <w:jc w:val="center"/>
              <w:rPr>
                <w:rFonts w:ascii="Arial" w:hAnsi="Arial"/>
                <w:b/>
                <w:bCs/>
                <w:noProof w:val="0"/>
                <w:sz w:val="26"/>
                <w:szCs w:val="26"/>
                <w:rtl/>
              </w:rPr>
            </w:pPr>
            <w:r w:rsidRPr="00B974B7">
              <w:rPr>
                <w:rFonts w:ascii="Arial" w:hAnsi="Arial"/>
                <w:b/>
                <w:bCs/>
                <w:noProof w:val="0"/>
                <w:sz w:val="26"/>
                <w:szCs w:val="26"/>
                <w:rtl/>
              </w:rPr>
              <w:t>נגד</w:t>
            </w:r>
          </w:p>
          <w:p w14:paraId="68AC8EEF" w14:textId="77777777" w:rsidR="00B631C1" w:rsidRPr="00B974B7" w:rsidRDefault="00B631C1" w:rsidP="00B631C1">
            <w:pPr>
              <w:suppressLineNumbers/>
              <w:rPr>
                <w:rFonts w:ascii="Arial" w:hAnsi="Arial"/>
                <w:b/>
                <w:bCs/>
                <w:noProof w:val="0"/>
                <w:sz w:val="26"/>
                <w:szCs w:val="26"/>
              </w:rPr>
            </w:pPr>
          </w:p>
        </w:tc>
      </w:tr>
      <w:tr w:rsidR="00B631C1" w:rsidRPr="00B974B7" w14:paraId="4839FF9F" w14:textId="77777777" w:rsidTr="00B631C1">
        <w:trPr>
          <w:jc w:val="center"/>
        </w:trPr>
        <w:tc>
          <w:tcPr>
            <w:tcW w:w="3249" w:type="dxa"/>
            <w:gridSpan w:val="2"/>
            <w:shd w:val="clear" w:color="auto" w:fill="auto"/>
          </w:tcPr>
          <w:p w14:paraId="3FD997F5" w14:textId="77777777" w:rsidR="00B631C1" w:rsidRPr="00B974B7" w:rsidRDefault="00B631C1" w:rsidP="00B631C1">
            <w:pPr>
              <w:suppressLineNumbers/>
              <w:rPr>
                <w:rFonts w:ascii="Arial" w:hAnsi="Arial"/>
                <w:b/>
                <w:bCs/>
                <w:noProof w:val="0"/>
                <w:sz w:val="26"/>
                <w:szCs w:val="26"/>
              </w:rPr>
            </w:pPr>
            <w:r w:rsidRPr="00B974B7">
              <w:rPr>
                <w:rFonts w:ascii="Arial" w:hAnsi="Arial"/>
                <w:b/>
                <w:bCs/>
                <w:noProof w:val="0"/>
                <w:sz w:val="26"/>
                <w:szCs w:val="26"/>
                <w:rtl/>
              </w:rPr>
              <w:t>נאשם</w:t>
            </w:r>
          </w:p>
        </w:tc>
        <w:tc>
          <w:tcPr>
            <w:tcW w:w="5571" w:type="dxa"/>
            <w:shd w:val="clear" w:color="auto" w:fill="auto"/>
          </w:tcPr>
          <w:p w14:paraId="19A774D6" w14:textId="77777777" w:rsidR="00B631C1" w:rsidRPr="00B974B7" w:rsidRDefault="00B631C1" w:rsidP="00B631C1">
            <w:pPr>
              <w:suppressLineNumbers/>
              <w:rPr>
                <w:rFonts w:ascii="Arial" w:hAnsi="Arial"/>
                <w:b/>
                <w:bCs/>
                <w:noProof w:val="0"/>
                <w:sz w:val="26"/>
                <w:szCs w:val="26"/>
                <w:rtl/>
              </w:rPr>
            </w:pPr>
            <w:r w:rsidRPr="00B974B7">
              <w:rPr>
                <w:rFonts w:ascii="Arial" w:hAnsi="Arial"/>
                <w:b/>
                <w:bCs/>
                <w:noProof w:val="0"/>
                <w:sz w:val="26"/>
                <w:szCs w:val="26"/>
                <w:rtl/>
              </w:rPr>
              <w:t>שאהין שאהין</w:t>
            </w:r>
            <w:r w:rsidRPr="00B974B7">
              <w:rPr>
                <w:rFonts w:ascii="Arial" w:hAnsi="Arial"/>
                <w:b/>
                <w:bCs/>
                <w:noProof w:val="0"/>
                <w:sz w:val="26"/>
                <w:szCs w:val="26"/>
                <w:rtl/>
              </w:rPr>
              <w:br/>
            </w:r>
            <w:r w:rsidRPr="00B974B7">
              <w:rPr>
                <w:rFonts w:ascii="Arial" w:hAnsi="Arial" w:hint="cs"/>
                <w:b/>
                <w:bCs/>
                <w:noProof w:val="0"/>
                <w:sz w:val="26"/>
                <w:szCs w:val="26"/>
                <w:rtl/>
              </w:rPr>
              <w:t>ע"י ב"כ עוה"ד עבדאללה חורי</w:t>
            </w:r>
          </w:p>
        </w:tc>
      </w:tr>
    </w:tbl>
    <w:p w14:paraId="74105458" w14:textId="77777777" w:rsidR="00351F4C" w:rsidRDefault="00351F4C">
      <w:pPr>
        <w:rPr>
          <w:rtl/>
        </w:rPr>
      </w:pPr>
    </w:p>
    <w:p w14:paraId="3180AF27" w14:textId="77777777" w:rsidR="00351F4C" w:rsidRPr="00351F4C" w:rsidRDefault="00351F4C" w:rsidP="00351F4C">
      <w:pPr>
        <w:spacing w:after="120" w:line="240" w:lineRule="exact"/>
        <w:ind w:left="283" w:hanging="283"/>
        <w:jc w:val="both"/>
        <w:rPr>
          <w:rFonts w:ascii="FrankRuehl" w:hAnsi="FrankRuehl" w:cs="FrankRuehl"/>
          <w:rtl/>
        </w:rPr>
      </w:pPr>
    </w:p>
    <w:p w14:paraId="30CC3653" w14:textId="77777777" w:rsidR="00811AF6" w:rsidRPr="00811AF6" w:rsidRDefault="00811AF6" w:rsidP="00811AF6">
      <w:pPr>
        <w:spacing w:before="120" w:after="120" w:line="240" w:lineRule="exact"/>
        <w:ind w:left="283" w:hanging="283"/>
        <w:jc w:val="both"/>
        <w:rPr>
          <w:rFonts w:ascii="FrankRuehl" w:hAnsi="FrankRuehl" w:cs="FrankRuehl"/>
          <w:noProof w:val="0"/>
          <w:rtl/>
        </w:rPr>
      </w:pPr>
    </w:p>
    <w:p w14:paraId="254CC8C0" w14:textId="77777777" w:rsidR="00930DFD" w:rsidRDefault="00930DFD" w:rsidP="00930DFD">
      <w:pPr>
        <w:jc w:val="center"/>
        <w:rPr>
          <w:rFonts w:ascii="Arial" w:hAnsi="Arial"/>
          <w:noProof w:val="0"/>
          <w:sz w:val="28"/>
          <w:szCs w:val="28"/>
          <w:rtl/>
        </w:rPr>
      </w:pPr>
      <w:bookmarkStart w:id="3" w:name="LawTable"/>
      <w:bookmarkEnd w:id="3"/>
    </w:p>
    <w:p w14:paraId="0DBE22E1" w14:textId="77777777" w:rsidR="00930DFD" w:rsidRPr="00930DFD" w:rsidRDefault="00930DFD" w:rsidP="00930DFD">
      <w:pPr>
        <w:spacing w:before="120" w:after="120" w:line="240" w:lineRule="exact"/>
        <w:ind w:left="283" w:hanging="283"/>
        <w:jc w:val="both"/>
        <w:rPr>
          <w:rFonts w:ascii="FrankRuehl" w:hAnsi="FrankRuehl" w:cs="FrankRuehl"/>
          <w:noProof w:val="0"/>
          <w:rtl/>
        </w:rPr>
      </w:pPr>
    </w:p>
    <w:p w14:paraId="524CBCE5" w14:textId="77777777" w:rsidR="00930DFD" w:rsidRPr="00930DFD" w:rsidRDefault="00930DFD" w:rsidP="00930DFD">
      <w:pPr>
        <w:spacing w:before="120" w:after="120" w:line="240" w:lineRule="exact"/>
        <w:ind w:left="283" w:hanging="283"/>
        <w:jc w:val="both"/>
        <w:rPr>
          <w:rFonts w:ascii="FrankRuehl" w:hAnsi="FrankRuehl" w:cs="FrankRuehl"/>
          <w:noProof w:val="0"/>
          <w:rtl/>
        </w:rPr>
      </w:pPr>
    </w:p>
    <w:p w14:paraId="64F78F01" w14:textId="77777777" w:rsidR="00930DFD" w:rsidRPr="00930DFD" w:rsidRDefault="00930DFD" w:rsidP="00930DFD">
      <w:pPr>
        <w:spacing w:before="120" w:after="120" w:line="240" w:lineRule="exact"/>
        <w:ind w:left="283" w:hanging="283"/>
        <w:jc w:val="both"/>
        <w:rPr>
          <w:rFonts w:ascii="FrankRuehl" w:hAnsi="FrankRuehl" w:cs="FrankRuehl"/>
          <w:noProof w:val="0"/>
          <w:rtl/>
        </w:rPr>
      </w:pPr>
      <w:r w:rsidRPr="00930DFD">
        <w:rPr>
          <w:rFonts w:ascii="FrankRuehl" w:hAnsi="FrankRuehl" w:cs="FrankRuehl"/>
          <w:noProof w:val="0"/>
          <w:rtl/>
        </w:rPr>
        <w:t xml:space="preserve">חקיקה שאוזכרה: </w:t>
      </w:r>
    </w:p>
    <w:p w14:paraId="08361633" w14:textId="77777777" w:rsidR="00930DFD" w:rsidRPr="00930DFD" w:rsidRDefault="00930DFD" w:rsidP="00930DFD">
      <w:pPr>
        <w:spacing w:before="120" w:after="120" w:line="240" w:lineRule="exact"/>
        <w:ind w:left="283" w:hanging="283"/>
        <w:jc w:val="both"/>
        <w:rPr>
          <w:rFonts w:ascii="FrankRuehl" w:hAnsi="FrankRuehl" w:cs="FrankRuehl"/>
          <w:noProof w:val="0"/>
          <w:rtl/>
        </w:rPr>
      </w:pPr>
      <w:hyperlink r:id="rId7" w:history="1">
        <w:r w:rsidRPr="00930DFD">
          <w:rPr>
            <w:rFonts w:ascii="FrankRuehl" w:hAnsi="FrankRuehl" w:cs="FrankRuehl"/>
            <w:noProof w:val="0"/>
            <w:color w:val="0000FF"/>
            <w:rtl/>
          </w:rPr>
          <w:t>חוק העונשין, תשל"ז-1977</w:t>
        </w:r>
      </w:hyperlink>
      <w:r w:rsidRPr="00930DFD">
        <w:rPr>
          <w:rFonts w:ascii="FrankRuehl" w:hAnsi="FrankRuehl" w:cs="FrankRuehl"/>
          <w:noProof w:val="0"/>
          <w:rtl/>
        </w:rPr>
        <w:t xml:space="preserve">: סע'  </w:t>
      </w:r>
      <w:hyperlink r:id="rId8" w:history="1">
        <w:r w:rsidRPr="00930DFD">
          <w:rPr>
            <w:rFonts w:ascii="FrankRuehl" w:hAnsi="FrankRuehl" w:cs="FrankRuehl"/>
            <w:noProof w:val="0"/>
            <w:color w:val="0000FF"/>
            <w:rtl/>
          </w:rPr>
          <w:t>144(א)</w:t>
        </w:r>
      </w:hyperlink>
    </w:p>
    <w:p w14:paraId="1DFE472B" w14:textId="77777777" w:rsidR="00930DFD" w:rsidRPr="00930DFD" w:rsidRDefault="00930DFD" w:rsidP="00930DFD">
      <w:pPr>
        <w:jc w:val="center"/>
        <w:rPr>
          <w:rFonts w:ascii="Arial" w:hAnsi="Arial"/>
          <w:noProof w:val="0"/>
          <w:sz w:val="28"/>
          <w:szCs w:val="28"/>
          <w:rtl/>
        </w:rPr>
      </w:pPr>
      <w:bookmarkStart w:id="4" w:name="LawTable_End"/>
      <w:bookmarkEnd w:id="4"/>
    </w:p>
    <w:p w14:paraId="3EFD0FA4" w14:textId="77777777" w:rsidR="00351F4C" w:rsidRPr="00811AF6" w:rsidRDefault="00351F4C" w:rsidP="00811AF6">
      <w:pPr>
        <w:jc w:val="center"/>
        <w:rPr>
          <w:rFonts w:ascii="Arial" w:hAnsi="Arial"/>
          <w:noProof w:val="0"/>
          <w:sz w:val="28"/>
          <w:szCs w:val="28"/>
          <w:rtl/>
        </w:rPr>
      </w:pPr>
    </w:p>
    <w:p w14:paraId="0D4DEA50" w14:textId="77777777" w:rsidR="00351F4C" w:rsidRPr="00B974B7" w:rsidRDefault="00351F4C" w:rsidP="00B974B7">
      <w:pPr>
        <w:bidi w:val="0"/>
        <w:jc w:val="center"/>
        <w:rPr>
          <w:rFonts w:ascii="Arial" w:hAnsi="Arial"/>
          <w:b/>
          <w:bCs/>
          <w:noProof w:val="0"/>
          <w:sz w:val="28"/>
          <w:szCs w:val="28"/>
          <w:u w:val="single"/>
          <w:rtl/>
        </w:rPr>
      </w:pPr>
      <w:bookmarkStart w:id="5" w:name="PsakDin"/>
      <w:r w:rsidRPr="00B974B7">
        <w:rPr>
          <w:rFonts w:ascii="Arial" w:hAnsi="Arial"/>
          <w:b/>
          <w:bCs/>
          <w:noProof w:val="0"/>
          <w:sz w:val="28"/>
          <w:szCs w:val="28"/>
          <w:u w:val="single"/>
          <w:rtl/>
        </w:rPr>
        <w:t>גזר דין</w:t>
      </w:r>
    </w:p>
    <w:bookmarkEnd w:id="5"/>
    <w:p w14:paraId="0122A97A" w14:textId="77777777" w:rsidR="00351F4C" w:rsidRPr="00B631C1" w:rsidRDefault="00351F4C" w:rsidP="00B631C1">
      <w:pPr>
        <w:bidi w:val="0"/>
        <w:jc w:val="center"/>
        <w:rPr>
          <w:rFonts w:ascii="Arial" w:hAnsi="Arial"/>
          <w:b/>
          <w:bCs/>
          <w:noProof w:val="0"/>
          <w:sz w:val="28"/>
          <w:szCs w:val="28"/>
          <w:u w:val="single"/>
        </w:rPr>
      </w:pPr>
    </w:p>
    <w:p w14:paraId="29CC5974" w14:textId="77777777" w:rsidR="00B631C1" w:rsidRDefault="00B631C1" w:rsidP="00B631C1">
      <w:pPr>
        <w:pStyle w:val="a9"/>
        <w:numPr>
          <w:ilvl w:val="0"/>
          <w:numId w:val="1"/>
        </w:numPr>
        <w:spacing w:line="360" w:lineRule="auto"/>
        <w:ind w:hanging="635"/>
        <w:jc w:val="both"/>
        <w:rPr>
          <w:rFonts w:ascii="Arial" w:hAnsi="Arial"/>
          <w:noProof w:val="0"/>
        </w:rPr>
      </w:pPr>
      <w:bookmarkStart w:id="6" w:name="NGCSBookmark"/>
      <w:bookmarkStart w:id="7" w:name="ABSTRACT_START"/>
      <w:bookmarkEnd w:id="0"/>
      <w:bookmarkEnd w:id="1"/>
      <w:bookmarkEnd w:id="6"/>
      <w:bookmarkEnd w:id="7"/>
      <w:r>
        <w:rPr>
          <w:rFonts w:ascii="Arial" w:hAnsi="Arial" w:hint="cs"/>
          <w:noProof w:val="0"/>
          <w:rtl/>
        </w:rPr>
        <w:t xml:space="preserve">הנאשם הורשע על פי הודאתו, בביצוע </w:t>
      </w:r>
      <w:r w:rsidRPr="00BE79E7">
        <w:rPr>
          <w:rFonts w:ascii="Arial" w:hAnsi="Arial" w:hint="cs"/>
          <w:b/>
          <w:bCs/>
          <w:noProof w:val="0"/>
          <w:rtl/>
        </w:rPr>
        <w:t>עבירת רכישת/ החזקת חלק של נשק או תחמושת-</w:t>
      </w:r>
      <w:r>
        <w:rPr>
          <w:rFonts w:ascii="Arial" w:hAnsi="Arial" w:hint="cs"/>
          <w:noProof w:val="0"/>
          <w:rtl/>
        </w:rPr>
        <w:t xml:space="preserve">עבירה לפי </w:t>
      </w:r>
      <w:hyperlink r:id="rId9" w:history="1">
        <w:r w:rsidR="00351F4C" w:rsidRPr="00351F4C">
          <w:rPr>
            <w:rStyle w:val="Hyperlink"/>
            <w:rFonts w:ascii="Arial" w:hAnsi="Arial" w:hint="eastAsia"/>
            <w:noProof w:val="0"/>
            <w:rtl/>
          </w:rPr>
          <w:t>סעיף</w:t>
        </w:r>
        <w:r w:rsidR="00351F4C" w:rsidRPr="00351F4C">
          <w:rPr>
            <w:rStyle w:val="Hyperlink"/>
            <w:rFonts w:ascii="Arial" w:hAnsi="Arial"/>
            <w:noProof w:val="0"/>
            <w:rtl/>
          </w:rPr>
          <w:t xml:space="preserve"> 144(א)</w:t>
        </w:r>
      </w:hyperlink>
      <w:r>
        <w:rPr>
          <w:rFonts w:ascii="Arial" w:hAnsi="Arial" w:hint="cs"/>
          <w:noProof w:val="0"/>
          <w:rtl/>
        </w:rPr>
        <w:t xml:space="preserve"> סיפא ל</w:t>
      </w:r>
      <w:hyperlink r:id="rId10" w:history="1">
        <w:r w:rsidR="00B974B7" w:rsidRPr="00B974B7">
          <w:rPr>
            <w:rFonts w:ascii="Arial" w:hAnsi="Arial"/>
            <w:noProof w:val="0"/>
            <w:color w:val="0000FF"/>
            <w:u w:val="single"/>
            <w:rtl/>
          </w:rPr>
          <w:t>חוק העונשין</w:t>
        </w:r>
      </w:hyperlink>
      <w:r>
        <w:rPr>
          <w:rFonts w:ascii="Arial" w:hAnsi="Arial" w:hint="cs"/>
          <w:noProof w:val="0"/>
          <w:rtl/>
        </w:rPr>
        <w:t xml:space="preserve">, תשל"ז- 1977 (להלן: </w:t>
      </w:r>
      <w:r w:rsidRPr="00BE79E7">
        <w:rPr>
          <w:rFonts w:ascii="Arial" w:hAnsi="Arial" w:hint="cs"/>
          <w:b/>
          <w:bCs/>
          <w:noProof w:val="0"/>
          <w:rtl/>
        </w:rPr>
        <w:t>"חוק העונשין"</w:t>
      </w:r>
      <w:r>
        <w:rPr>
          <w:rFonts w:ascii="Arial" w:hAnsi="Arial" w:hint="cs"/>
          <w:noProof w:val="0"/>
          <w:rtl/>
        </w:rPr>
        <w:t>).</w:t>
      </w:r>
    </w:p>
    <w:p w14:paraId="1F909075" w14:textId="77777777" w:rsidR="00B631C1" w:rsidRDefault="00B631C1" w:rsidP="00B631C1">
      <w:pPr>
        <w:pStyle w:val="a9"/>
        <w:spacing w:line="360" w:lineRule="auto"/>
        <w:jc w:val="both"/>
        <w:rPr>
          <w:rFonts w:ascii="Arial" w:hAnsi="Arial"/>
          <w:noProof w:val="0"/>
        </w:rPr>
      </w:pPr>
    </w:p>
    <w:p w14:paraId="0802AB44"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על פי עובדות כתב האישום המתוקן (</w:t>
      </w:r>
      <w:r w:rsidRPr="00726AB3">
        <w:rPr>
          <w:rFonts w:ascii="Arial" w:hAnsi="Arial" w:hint="cs"/>
          <w:b/>
          <w:bCs/>
          <w:noProof w:val="0"/>
          <w:rtl/>
        </w:rPr>
        <w:t>במ/1</w:t>
      </w:r>
      <w:r>
        <w:rPr>
          <w:rFonts w:ascii="Arial" w:hAnsi="Arial" w:hint="cs"/>
          <w:noProof w:val="0"/>
          <w:rtl/>
        </w:rPr>
        <w:t xml:space="preserve">) בהן הודה הנאשם, אזי במהלך חיפוש מיום 2.11.20 בביתו של הנאשם, נתפס הנאשם כשהוא  מחזיק בביתו קופסא ובה 20 כדורים מסוג 9מ"מ שבכוחם להמית אדם. </w:t>
      </w:r>
    </w:p>
    <w:p w14:paraId="697107DC" w14:textId="77777777" w:rsidR="00B631C1" w:rsidRPr="00726AB3" w:rsidRDefault="00B631C1" w:rsidP="00B631C1">
      <w:pPr>
        <w:pStyle w:val="a9"/>
        <w:rPr>
          <w:rFonts w:ascii="Arial" w:hAnsi="Arial"/>
          <w:noProof w:val="0"/>
          <w:rtl/>
        </w:rPr>
      </w:pPr>
    </w:p>
    <w:p w14:paraId="3047754D" w14:textId="77777777" w:rsidR="00B631C1" w:rsidRDefault="00B631C1" w:rsidP="00B631C1">
      <w:pPr>
        <w:pStyle w:val="a9"/>
        <w:numPr>
          <w:ilvl w:val="0"/>
          <w:numId w:val="1"/>
        </w:numPr>
        <w:spacing w:line="360" w:lineRule="auto"/>
        <w:ind w:hanging="635"/>
        <w:jc w:val="both"/>
        <w:rPr>
          <w:rFonts w:ascii="Arial" w:hAnsi="Arial"/>
          <w:noProof w:val="0"/>
        </w:rPr>
      </w:pPr>
      <w:bookmarkStart w:id="8" w:name="ABSTRACT_END"/>
      <w:bookmarkEnd w:id="8"/>
      <w:r>
        <w:rPr>
          <w:rFonts w:ascii="Arial" w:hAnsi="Arial" w:hint="cs"/>
          <w:noProof w:val="0"/>
          <w:rtl/>
        </w:rPr>
        <w:t xml:space="preserve">הצדדים טענו לעונש בפניי. </w:t>
      </w:r>
    </w:p>
    <w:p w14:paraId="406BDC32" w14:textId="77777777" w:rsidR="00B631C1" w:rsidRPr="004946F1" w:rsidRDefault="00B631C1" w:rsidP="00B631C1">
      <w:pPr>
        <w:rPr>
          <w:rFonts w:ascii="Arial" w:hAnsi="Arial"/>
          <w:noProof w:val="0"/>
          <w:rtl/>
        </w:rPr>
      </w:pPr>
    </w:p>
    <w:p w14:paraId="04EB401C" w14:textId="77777777" w:rsidR="00B631C1" w:rsidRDefault="00B631C1" w:rsidP="00B631C1">
      <w:pPr>
        <w:pStyle w:val="a9"/>
        <w:spacing w:line="360" w:lineRule="auto"/>
        <w:jc w:val="both"/>
        <w:rPr>
          <w:rFonts w:ascii="Arial" w:hAnsi="Arial"/>
          <w:noProof w:val="0"/>
          <w:u w:val="single"/>
        </w:rPr>
      </w:pPr>
      <w:r>
        <w:rPr>
          <w:rFonts w:ascii="Arial" w:hAnsi="Arial"/>
          <w:noProof w:val="0"/>
          <w:u w:val="single"/>
          <w:rtl/>
        </w:rPr>
        <w:t xml:space="preserve">הערכים המוגנים </w:t>
      </w:r>
    </w:p>
    <w:p w14:paraId="500732C2"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noProof w:val="0"/>
          <w:rtl/>
        </w:rPr>
        <w:t xml:space="preserve">מעשי הנאשם פוגעים בערכים המוגנים של חובת ההגנה על שלומו ובטחונו של הציבור. כמו גם חובת ההגנה על החיים כחלק בלתי נפרד מקדושת החיים. הסיכון הנובע מהחזקת כלי </w:t>
      </w:r>
      <w:r>
        <w:rPr>
          <w:rFonts w:ascii="Arial" w:hAnsi="Arial" w:hint="cs"/>
          <w:noProof w:val="0"/>
          <w:rtl/>
        </w:rPr>
        <w:t>תחמושת</w:t>
      </w:r>
      <w:r>
        <w:rPr>
          <w:rFonts w:ascii="Arial" w:hAnsi="Arial"/>
          <w:noProof w:val="0"/>
          <w:rtl/>
        </w:rPr>
        <w:t xml:space="preserve"> בידי ידיים שאינם מיומנות ואשר אינן מורשות לכך, עשוי להוביל ל</w:t>
      </w:r>
      <w:r>
        <w:rPr>
          <w:rtl/>
        </w:rPr>
        <w:t xml:space="preserve">התרחשותן של העבירות החמורות ביותר בספר החוקים ובפגיעה החמורה ביותר בגוף </w:t>
      </w:r>
      <w:r>
        <w:rPr>
          <w:rtl/>
        </w:rPr>
        <w:lastRenderedPageBreak/>
        <w:t xml:space="preserve">האדם. </w:t>
      </w:r>
      <w:r>
        <w:rPr>
          <w:rFonts w:ascii="Arial" w:hAnsi="Arial"/>
          <w:noProof w:val="0"/>
          <w:rtl/>
        </w:rPr>
        <w:t xml:space="preserve">הקלות הבלתי נסבלת בה עשויים מעשי עבירה מסוג זה לפגוע בגוף ונפש מחייבים נקיטת ענישה מוחשית ומרתיעה "למען יראו וייראו". בימים אלו בפרט, בהם הפכה תופעה זו ל"מכת מדינה" של ממש. </w:t>
      </w:r>
    </w:p>
    <w:p w14:paraId="3F332C58" w14:textId="77777777" w:rsidR="00B631C1" w:rsidRDefault="00B631C1" w:rsidP="00B631C1">
      <w:pPr>
        <w:pStyle w:val="a9"/>
        <w:spacing w:line="360" w:lineRule="auto"/>
        <w:jc w:val="both"/>
        <w:rPr>
          <w:rFonts w:ascii="Arial" w:hAnsi="Arial"/>
          <w:noProof w:val="0"/>
        </w:rPr>
      </w:pPr>
    </w:p>
    <w:p w14:paraId="29390D14" w14:textId="77777777" w:rsidR="00B631C1" w:rsidRPr="004B2408"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בשורה ארוכה של פסקי דין עמד בית משפט זה על חומרתן הרבה של עבירות נשק והחזקת תחמושת והסכנה הגבוהה שנשקפת מהן לשלום הציבור ובטחונו. לעניין זה ר' למשל דברי כב'</w:t>
      </w:r>
      <w:r>
        <w:rPr>
          <w:rFonts w:ascii="Arial" w:hAnsi="Arial" w:hint="cs"/>
          <w:noProof w:val="0"/>
        </w:rPr>
        <w:t xml:space="preserve"> </w:t>
      </w:r>
      <w:r>
        <w:rPr>
          <w:rFonts w:ascii="Arial" w:hAnsi="Arial" w:hint="cs"/>
          <w:noProof w:val="0"/>
          <w:rtl/>
        </w:rPr>
        <w:t>השופט מזוז ב</w:t>
      </w:r>
      <w:hyperlink r:id="rId11" w:history="1">
        <w:r w:rsidR="00B974B7" w:rsidRPr="00B974B7">
          <w:rPr>
            <w:rFonts w:ascii="David" w:hAnsi="David"/>
            <w:color w:val="0000FF"/>
            <w:u w:val="single"/>
            <w:rtl/>
          </w:rPr>
          <w:t>ע"פ 4406/19</w:t>
        </w:r>
      </w:hyperlink>
      <w:r w:rsidRPr="007D332E">
        <w:rPr>
          <w:rFonts w:ascii="David" w:hAnsi="David"/>
          <w:rtl/>
        </w:rPr>
        <w:t xml:space="preserve"> </w:t>
      </w:r>
      <w:r w:rsidRPr="007D332E">
        <w:rPr>
          <w:rFonts w:ascii="David" w:hAnsi="David"/>
          <w:b/>
          <w:u w:val="single"/>
          <w:rtl/>
        </w:rPr>
        <w:t>מדינת ישראל</w:t>
      </w:r>
      <w:r w:rsidRPr="007D332E">
        <w:rPr>
          <w:rFonts w:ascii="David" w:hAnsi="David"/>
          <w:b/>
          <w:rtl/>
        </w:rPr>
        <w:t xml:space="preserve"> נ</w:t>
      </w:r>
      <w:r>
        <w:rPr>
          <w:rFonts w:ascii="David" w:hAnsi="David" w:hint="cs"/>
          <w:b/>
          <w:rtl/>
        </w:rPr>
        <w:t>.</w:t>
      </w:r>
      <w:r w:rsidRPr="007D332E">
        <w:rPr>
          <w:rFonts w:ascii="David" w:hAnsi="David"/>
          <w:b/>
          <w:rtl/>
        </w:rPr>
        <w:t xml:space="preserve"> </w:t>
      </w:r>
      <w:r w:rsidRPr="007D332E">
        <w:rPr>
          <w:rFonts w:ascii="David" w:hAnsi="David"/>
          <w:b/>
          <w:u w:val="single"/>
          <w:rtl/>
        </w:rPr>
        <w:t>סובח</w:t>
      </w:r>
      <w:r w:rsidRPr="007D332E">
        <w:rPr>
          <w:rFonts w:ascii="David" w:hAnsi="David"/>
          <w:rtl/>
        </w:rPr>
        <w:t xml:space="preserve"> (פורסם</w:t>
      </w:r>
      <w:r w:rsidRPr="004B2408">
        <w:rPr>
          <w:rtl/>
        </w:rPr>
        <w:t xml:space="preserve"> בנבו</w:t>
      </w:r>
      <w:r>
        <w:rPr>
          <w:rFonts w:hint="cs"/>
          <w:rtl/>
        </w:rPr>
        <w:t>, 5.11.19)</w:t>
      </w:r>
      <w:r w:rsidRPr="004B2408">
        <w:rPr>
          <w:rFonts w:ascii="Century" w:hAnsi="Century"/>
          <w:rtl/>
        </w:rPr>
        <w:t>:</w:t>
      </w:r>
    </w:p>
    <w:p w14:paraId="0CB77B54" w14:textId="77777777" w:rsidR="00B631C1" w:rsidRDefault="00B631C1" w:rsidP="00B631C1">
      <w:pPr>
        <w:pStyle w:val="Ruller4"/>
        <w:spacing w:line="240" w:lineRule="auto"/>
        <w:ind w:left="794" w:right="426"/>
        <w:rPr>
          <w:rFonts w:ascii="Century" w:hAnsi="Century"/>
          <w:rtl/>
        </w:rPr>
      </w:pPr>
    </w:p>
    <w:p w14:paraId="76030ECB" w14:textId="77777777" w:rsidR="00B631C1" w:rsidRPr="007D332E" w:rsidRDefault="00B631C1" w:rsidP="00B631C1">
      <w:pPr>
        <w:spacing w:line="360" w:lineRule="auto"/>
        <w:ind w:left="794" w:right="426"/>
        <w:jc w:val="both"/>
        <w:rPr>
          <w:rFonts w:ascii="David" w:hAnsi="David"/>
          <w:b/>
          <w:bCs/>
          <w:noProof w:val="0"/>
          <w:spacing w:val="10"/>
        </w:rPr>
      </w:pPr>
      <w:r w:rsidRPr="007D332E">
        <w:rPr>
          <w:rFonts w:ascii="David" w:hAnsi="David"/>
          <w:b/>
          <w:bCs/>
          <w:spacing w:val="10"/>
          <w:rtl/>
        </w:rPr>
        <w:t xml:space="preserve">"...המאבק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זאת אף בלא שנעשה בנשק שימוש לביצוע עבירה נוספת. </w:t>
      </w:r>
    </w:p>
    <w:p w14:paraId="6E5B744F" w14:textId="77777777" w:rsidR="00B631C1" w:rsidRPr="007D332E" w:rsidRDefault="00B631C1" w:rsidP="00B631C1">
      <w:pPr>
        <w:spacing w:line="360" w:lineRule="auto"/>
        <w:ind w:left="794" w:right="426"/>
        <w:jc w:val="both"/>
        <w:rPr>
          <w:rFonts w:ascii="David" w:hAnsi="David"/>
          <w:noProof w:val="0"/>
          <w:spacing w:val="10"/>
          <w:rtl/>
        </w:rPr>
      </w:pPr>
      <w:r w:rsidRPr="007D332E">
        <w:rPr>
          <w:rFonts w:ascii="David" w:hAnsi="David"/>
          <w:b/>
          <w:bCs/>
          <w:spacing w:val="1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7D332E">
        <w:rPr>
          <w:rFonts w:ascii="David" w:hAnsi="David"/>
          <w:spacing w:val="10"/>
          <w:rtl/>
        </w:rPr>
        <w:t>".</w:t>
      </w:r>
    </w:p>
    <w:p w14:paraId="4589F090" w14:textId="77777777" w:rsidR="00B631C1" w:rsidRDefault="00B631C1" w:rsidP="00B631C1">
      <w:pPr>
        <w:spacing w:line="360" w:lineRule="auto"/>
        <w:ind w:left="794" w:right="426"/>
        <w:jc w:val="both"/>
        <w:rPr>
          <w:rFonts w:ascii="David" w:hAnsi="David"/>
          <w:noProof w:val="0"/>
          <w:spacing w:val="10"/>
          <w:rtl/>
        </w:rPr>
      </w:pPr>
      <w:r w:rsidRPr="007D332E">
        <w:rPr>
          <w:rFonts w:ascii="David" w:hAnsi="David"/>
          <w:noProof w:val="0"/>
          <w:spacing w:val="10"/>
          <w:rtl/>
        </w:rPr>
        <w:t>[ר' גם דברי בית המשפט ב</w:t>
      </w:r>
      <w:hyperlink r:id="rId12" w:history="1">
        <w:r w:rsidR="00B974B7" w:rsidRPr="00B974B7">
          <w:rPr>
            <w:rFonts w:ascii="David" w:hAnsi="David"/>
            <w:noProof w:val="0"/>
            <w:color w:val="0000FF"/>
            <w:spacing w:val="10"/>
            <w:u w:val="single"/>
            <w:rtl/>
          </w:rPr>
          <w:t>ע"פ 1944-20</w:t>
        </w:r>
      </w:hyperlink>
      <w:r w:rsidRPr="007D332E">
        <w:rPr>
          <w:rFonts w:ascii="David" w:hAnsi="David"/>
          <w:noProof w:val="0"/>
          <w:spacing w:val="10"/>
          <w:rtl/>
        </w:rPr>
        <w:t xml:space="preserve"> </w:t>
      </w:r>
      <w:r w:rsidRPr="007D332E">
        <w:rPr>
          <w:rFonts w:ascii="David" w:hAnsi="David"/>
          <w:noProof w:val="0"/>
          <w:spacing w:val="10"/>
          <w:u w:val="single"/>
          <w:rtl/>
        </w:rPr>
        <w:t>מדינת ישראל</w:t>
      </w:r>
      <w:r w:rsidRPr="007D332E">
        <w:rPr>
          <w:rFonts w:ascii="David" w:hAnsi="David"/>
          <w:noProof w:val="0"/>
          <w:spacing w:val="10"/>
          <w:rtl/>
        </w:rPr>
        <w:t xml:space="preserve"> נ</w:t>
      </w:r>
      <w:r w:rsidRPr="007D332E">
        <w:rPr>
          <w:rFonts w:ascii="David" w:hAnsi="David" w:hint="cs"/>
          <w:noProof w:val="0"/>
          <w:spacing w:val="10"/>
          <w:rtl/>
        </w:rPr>
        <w:t>.</w:t>
      </w:r>
      <w:r w:rsidRPr="007D332E">
        <w:rPr>
          <w:rFonts w:ascii="David" w:hAnsi="David"/>
          <w:noProof w:val="0"/>
          <w:spacing w:val="10"/>
          <w:rtl/>
        </w:rPr>
        <w:t xml:space="preserve"> </w:t>
      </w:r>
      <w:r w:rsidRPr="007D332E">
        <w:rPr>
          <w:rFonts w:ascii="David" w:hAnsi="David"/>
          <w:noProof w:val="0"/>
          <w:spacing w:val="10"/>
          <w:u w:val="single"/>
          <w:rtl/>
        </w:rPr>
        <w:t>מוחמד אמארה</w:t>
      </w:r>
      <w:r w:rsidRPr="007D332E">
        <w:rPr>
          <w:rFonts w:ascii="David" w:hAnsi="David"/>
          <w:noProof w:val="0"/>
          <w:spacing w:val="10"/>
          <w:rtl/>
        </w:rPr>
        <w:t xml:space="preserve"> (פורסם בנבו</w:t>
      </w:r>
      <w:r>
        <w:rPr>
          <w:rFonts w:ascii="David" w:hAnsi="David" w:hint="cs"/>
          <w:noProof w:val="0"/>
          <w:spacing w:val="10"/>
          <w:rtl/>
        </w:rPr>
        <w:t xml:space="preserve">, מיום 2.9.20]. </w:t>
      </w:r>
    </w:p>
    <w:p w14:paraId="57DE9383" w14:textId="77777777" w:rsidR="00B631C1" w:rsidRPr="00814F84" w:rsidRDefault="00B631C1" w:rsidP="00B631C1">
      <w:pPr>
        <w:spacing w:line="360" w:lineRule="auto"/>
        <w:ind w:left="794"/>
        <w:jc w:val="both"/>
        <w:rPr>
          <w:rFonts w:ascii="David" w:hAnsi="David"/>
          <w:noProof w:val="0"/>
          <w:spacing w:val="10"/>
        </w:rPr>
      </w:pPr>
      <w:r w:rsidRPr="00814F84">
        <w:rPr>
          <w:rFonts w:ascii="David" w:hAnsi="David"/>
          <w:noProof w:val="0"/>
          <w:spacing w:val="10"/>
          <w:rtl/>
        </w:rPr>
        <w:t>יפים דברים אלה אף לעניין החזקת חלקי תחמושת, המשמשים כלי בלעדיו אין לביצוע העבירות החמורות ביותר</w:t>
      </w:r>
      <w:r>
        <w:rPr>
          <w:rFonts w:ascii="David" w:hAnsi="David" w:hint="cs"/>
          <w:noProof w:val="0"/>
          <w:spacing w:val="10"/>
          <w:rtl/>
        </w:rPr>
        <w:t xml:space="preserve"> כאמור</w:t>
      </w:r>
      <w:r w:rsidRPr="00814F84">
        <w:rPr>
          <w:rFonts w:ascii="David" w:hAnsi="David"/>
          <w:noProof w:val="0"/>
          <w:spacing w:val="10"/>
          <w:rtl/>
        </w:rPr>
        <w:t xml:space="preserve">. </w:t>
      </w:r>
    </w:p>
    <w:p w14:paraId="10CDE235" w14:textId="77777777" w:rsidR="00B631C1" w:rsidRDefault="00B631C1" w:rsidP="00B631C1">
      <w:pPr>
        <w:spacing w:line="360" w:lineRule="auto"/>
        <w:ind w:left="360"/>
        <w:jc w:val="both"/>
        <w:rPr>
          <w:rFonts w:ascii="David" w:hAnsi="David"/>
          <w:noProof w:val="0"/>
          <w:rtl/>
        </w:rPr>
      </w:pPr>
      <w:r w:rsidRPr="00BE79E7">
        <w:rPr>
          <w:rFonts w:ascii="David" w:hAnsi="David"/>
          <w:noProof w:val="0"/>
          <w:rtl/>
        </w:rPr>
        <w:tab/>
      </w:r>
    </w:p>
    <w:p w14:paraId="456BC805" w14:textId="77777777" w:rsidR="00B631C1" w:rsidRPr="00BE79E7" w:rsidRDefault="00B631C1" w:rsidP="00B631C1">
      <w:pPr>
        <w:spacing w:line="360" w:lineRule="auto"/>
        <w:ind w:left="360" w:firstLine="360"/>
        <w:jc w:val="both"/>
        <w:rPr>
          <w:rFonts w:ascii="David" w:hAnsi="David"/>
          <w:noProof w:val="0"/>
          <w:u w:val="single"/>
          <w:rtl/>
        </w:rPr>
      </w:pPr>
      <w:r w:rsidRPr="00BE79E7">
        <w:rPr>
          <w:rFonts w:ascii="David" w:hAnsi="David" w:hint="cs"/>
          <w:noProof w:val="0"/>
          <w:u w:val="single"/>
          <w:rtl/>
        </w:rPr>
        <w:t xml:space="preserve">מתחם העונש ההולם </w:t>
      </w:r>
    </w:p>
    <w:p w14:paraId="52E54D91"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 xml:space="preserve">לא הוכח בפניי תכנון אשר קדם למעשה העבירה. באשר לכך, אמנם נדרש הנאשם להשיג את הכדורים מבעוד מועד טרם החזקתם בביתו. ואולם בהקשר זה, לא נסתרו טענות הנאשם, כי הגיעו לידיו כדין, בעת שהיה בידיו אישור החזקת נשק (הוגש וסומן </w:t>
      </w:r>
      <w:r w:rsidRPr="00B32ACB">
        <w:rPr>
          <w:rFonts w:ascii="Arial" w:hAnsi="Arial" w:hint="cs"/>
          <w:b/>
          <w:bCs/>
          <w:noProof w:val="0"/>
          <w:rtl/>
        </w:rPr>
        <w:t>נ/1</w:t>
      </w:r>
      <w:r w:rsidRPr="00B32ACB">
        <w:rPr>
          <w:rFonts w:ascii="Arial" w:hAnsi="Arial" w:hint="cs"/>
          <w:noProof w:val="0"/>
          <w:rtl/>
        </w:rPr>
        <w:t xml:space="preserve">) </w:t>
      </w:r>
      <w:r>
        <w:rPr>
          <w:rFonts w:ascii="Arial" w:hAnsi="Arial" w:hint="cs"/>
          <w:noProof w:val="0"/>
          <w:rtl/>
        </w:rPr>
        <w:t xml:space="preserve">כאשר רק המשך החזקתם על ידו, מעת פקיעת הרישיון, הנו שלא כדין.  </w:t>
      </w:r>
    </w:p>
    <w:p w14:paraId="41DDA724" w14:textId="77777777" w:rsidR="00B631C1" w:rsidRPr="00B32ACB" w:rsidRDefault="00B631C1" w:rsidP="00B631C1">
      <w:pPr>
        <w:pStyle w:val="a9"/>
        <w:spacing w:line="360" w:lineRule="auto"/>
        <w:jc w:val="both"/>
        <w:rPr>
          <w:rFonts w:ascii="Arial" w:hAnsi="Arial"/>
          <w:noProof w:val="0"/>
        </w:rPr>
      </w:pPr>
    </w:p>
    <w:p w14:paraId="6F61E665" w14:textId="77777777" w:rsidR="00B631C1" w:rsidRDefault="00B631C1" w:rsidP="00B631C1">
      <w:pPr>
        <w:pStyle w:val="a9"/>
        <w:numPr>
          <w:ilvl w:val="0"/>
          <w:numId w:val="1"/>
        </w:numPr>
        <w:spacing w:line="360" w:lineRule="auto"/>
        <w:ind w:hanging="635"/>
        <w:jc w:val="both"/>
        <w:rPr>
          <w:rFonts w:ascii="Arial" w:hAnsi="Arial"/>
          <w:noProof w:val="0"/>
        </w:rPr>
      </w:pPr>
      <w:r w:rsidRPr="00530E36">
        <w:rPr>
          <w:rFonts w:ascii="Arial" w:hAnsi="Arial" w:hint="cs"/>
          <w:noProof w:val="0"/>
          <w:rtl/>
        </w:rPr>
        <w:t xml:space="preserve">באשר לנסיבות אשר הובילו את הנאשם לביצוע העבירה, </w:t>
      </w:r>
      <w:r>
        <w:rPr>
          <w:rFonts w:ascii="Arial" w:hAnsi="Arial" w:hint="cs"/>
          <w:noProof w:val="0"/>
          <w:rtl/>
        </w:rPr>
        <w:t xml:space="preserve">טוען הנאשם כי הכדורים אשר הגיעו לידיו כדין נשכחו אצלו מפאת שכחה. </w:t>
      </w:r>
    </w:p>
    <w:p w14:paraId="19D09420" w14:textId="77777777" w:rsidR="00B631C1" w:rsidRPr="00B32ACB" w:rsidRDefault="00B631C1" w:rsidP="00B631C1">
      <w:pPr>
        <w:pStyle w:val="a9"/>
        <w:rPr>
          <w:rFonts w:ascii="Arial" w:hAnsi="Arial"/>
          <w:noProof w:val="0"/>
          <w:rtl/>
        </w:rPr>
      </w:pPr>
    </w:p>
    <w:p w14:paraId="71CF4499"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אין בפניי כי בעקבות מעשי הנאשם נגרם נזק. אין לאמוד את הנזק אשר עשוי היה להתרחש בעקבות מעשיו של הנאשם.</w:t>
      </w:r>
    </w:p>
    <w:p w14:paraId="37878B88" w14:textId="77777777" w:rsidR="00B631C1" w:rsidRPr="00B32ACB" w:rsidRDefault="00B631C1" w:rsidP="00B631C1">
      <w:pPr>
        <w:pStyle w:val="a9"/>
        <w:rPr>
          <w:rFonts w:ascii="Arial" w:hAnsi="Arial"/>
          <w:noProof w:val="0"/>
          <w:rtl/>
        </w:rPr>
      </w:pPr>
    </w:p>
    <w:p w14:paraId="6600B440"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lastRenderedPageBreak/>
        <w:t xml:space="preserve">המאשימה עותרת למתחם עונש הולם הנע בין מאסר על תנאי ועד 6 חודשי מאסר בפועל. </w:t>
      </w:r>
      <w:r w:rsidRPr="00B32ACB">
        <w:rPr>
          <w:rFonts w:ascii="Arial" w:hAnsi="Arial" w:hint="cs"/>
          <w:noProof w:val="0"/>
          <w:rtl/>
        </w:rPr>
        <w:t xml:space="preserve">הסנגור עותר למתחם הנע בין צו של"צ למאסר על תנאי. </w:t>
      </w:r>
      <w:r>
        <w:rPr>
          <w:rFonts w:ascii="Arial" w:hAnsi="Arial" w:hint="cs"/>
          <w:noProof w:val="0"/>
          <w:rtl/>
        </w:rPr>
        <w:t>הצדדים לא הפנו לפסיקה.</w:t>
      </w:r>
    </w:p>
    <w:p w14:paraId="440FDEE8" w14:textId="77777777" w:rsidR="00B631C1" w:rsidRPr="003F65E6" w:rsidRDefault="00B631C1" w:rsidP="00B631C1">
      <w:pPr>
        <w:pStyle w:val="a9"/>
        <w:rPr>
          <w:rFonts w:ascii="Arial" w:hAnsi="Arial"/>
          <w:noProof w:val="0"/>
          <w:rtl/>
        </w:rPr>
      </w:pPr>
    </w:p>
    <w:p w14:paraId="2FE73416" w14:textId="77777777" w:rsidR="00B631C1" w:rsidRPr="000408BE" w:rsidRDefault="00B631C1" w:rsidP="00B631C1">
      <w:pPr>
        <w:pStyle w:val="a9"/>
        <w:numPr>
          <w:ilvl w:val="0"/>
          <w:numId w:val="1"/>
        </w:numPr>
        <w:spacing w:line="360" w:lineRule="auto"/>
        <w:ind w:hanging="635"/>
        <w:jc w:val="both"/>
        <w:rPr>
          <w:rFonts w:ascii="Arial" w:hAnsi="Arial"/>
          <w:noProof w:val="0"/>
          <w:rtl/>
        </w:rPr>
      </w:pPr>
      <w:r w:rsidRPr="003F65E6">
        <w:rPr>
          <w:rFonts w:ascii="Arial" w:hAnsi="Arial"/>
          <w:noProof w:val="0"/>
          <w:rtl/>
        </w:rPr>
        <w:t xml:space="preserve">לעניין </w:t>
      </w:r>
      <w:r>
        <w:rPr>
          <w:rFonts w:ascii="Arial" w:hAnsi="Arial" w:hint="cs"/>
          <w:noProof w:val="0"/>
          <w:rtl/>
        </w:rPr>
        <w:t>מדיניות הענישה הנוהגת עיינתי למשל ב</w:t>
      </w:r>
      <w:hyperlink r:id="rId13" w:history="1">
        <w:r w:rsidR="00B974B7" w:rsidRPr="00B974B7">
          <w:rPr>
            <w:rFonts w:ascii="Arial" w:hAnsi="Arial"/>
            <w:noProof w:val="0"/>
            <w:color w:val="0000FF"/>
            <w:u w:val="single"/>
            <w:rtl/>
          </w:rPr>
          <w:t>תפ (טב') 26182-10-14</w:t>
        </w:r>
      </w:hyperlink>
      <w:r>
        <w:rPr>
          <w:rFonts w:ascii="Arial" w:hAnsi="Arial" w:hint="cs"/>
          <w:noProof w:val="0"/>
          <w:rtl/>
        </w:rPr>
        <w:t xml:space="preserve"> </w:t>
      </w:r>
      <w:r w:rsidRPr="004B790E">
        <w:rPr>
          <w:rFonts w:ascii="Arial" w:hAnsi="Arial" w:hint="cs"/>
          <w:noProof w:val="0"/>
          <w:u w:val="single"/>
          <w:rtl/>
        </w:rPr>
        <w:t>מדינת ישראל</w:t>
      </w:r>
      <w:r w:rsidRPr="004B790E">
        <w:rPr>
          <w:rFonts w:ascii="Arial" w:hAnsi="Arial" w:hint="cs"/>
          <w:noProof w:val="0"/>
          <w:rtl/>
        </w:rPr>
        <w:t xml:space="preserve"> נ. </w:t>
      </w:r>
      <w:r w:rsidRPr="004B790E">
        <w:rPr>
          <w:rFonts w:ascii="Arial" w:hAnsi="Arial" w:hint="cs"/>
          <w:noProof w:val="0"/>
          <w:u w:val="single"/>
          <w:rtl/>
        </w:rPr>
        <w:t xml:space="preserve">עצאם אבו חנין </w:t>
      </w:r>
      <w:r>
        <w:rPr>
          <w:rFonts w:ascii="Arial" w:hAnsi="Arial" w:hint="cs"/>
          <w:noProof w:val="0"/>
          <w:rtl/>
        </w:rPr>
        <w:t xml:space="preserve">(פורסם בנבו, ניתן ביום 9.2.1.6) באותו עניין בגין החזקת כלי תחמושת בכמות רבה אשר לגביה קבע בית המשפט כי לא נועדה לביצוע עבירה כי אם כמזכרת או לשם אספנות נקבע מתחם עונש הולם הנע בין מאסר על תנאי ועד 8 חודשי מאסר בפועל. </w:t>
      </w:r>
    </w:p>
    <w:p w14:paraId="53C6069C" w14:textId="77777777" w:rsidR="00B631C1" w:rsidRPr="000408BE" w:rsidRDefault="00B631C1" w:rsidP="00B631C1">
      <w:pPr>
        <w:pStyle w:val="a9"/>
        <w:rPr>
          <w:rFonts w:ascii="Arial" w:hAnsi="Arial"/>
          <w:noProof w:val="0"/>
          <w:rtl/>
        </w:rPr>
      </w:pPr>
    </w:p>
    <w:p w14:paraId="6EF8679C" w14:textId="77777777" w:rsidR="00B631C1" w:rsidRPr="003F65E6"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אשר ל</w:t>
      </w:r>
      <w:r w:rsidRPr="003F65E6">
        <w:rPr>
          <w:rFonts w:ascii="Arial" w:hAnsi="Arial"/>
          <w:noProof w:val="0"/>
          <w:rtl/>
        </w:rPr>
        <w:t xml:space="preserve">קביעת מתחם העונש ההולם בעבירות נשק, </w:t>
      </w:r>
      <w:r>
        <w:rPr>
          <w:rFonts w:ascii="Arial" w:hAnsi="Arial" w:hint="cs"/>
          <w:noProof w:val="0"/>
          <w:rtl/>
        </w:rPr>
        <w:t>כבר נפסק</w:t>
      </w:r>
      <w:r w:rsidRPr="003F65E6">
        <w:rPr>
          <w:rFonts w:ascii="Arial" w:hAnsi="Arial"/>
          <w:noProof w:val="0"/>
          <w:rtl/>
        </w:rPr>
        <w:t>, כי</w:t>
      </w:r>
    </w:p>
    <w:p w14:paraId="4AABBCD0" w14:textId="77777777" w:rsidR="00B631C1" w:rsidRDefault="00B631C1" w:rsidP="00B631C1">
      <w:pPr>
        <w:pStyle w:val="a9"/>
        <w:spacing w:line="360" w:lineRule="auto"/>
        <w:jc w:val="both"/>
        <w:rPr>
          <w:rFonts w:ascii="Arial" w:hAnsi="Arial"/>
          <w:noProof w:val="0"/>
          <w:rtl/>
        </w:rPr>
      </w:pPr>
      <w:r>
        <w:rPr>
          <w:b/>
          <w:bCs/>
          <w:sz w:val="28"/>
          <w:rtl/>
        </w:rPr>
        <w:t xml:space="preserve">"מתחם העונש ההולם בעבירות המבוצעות בנשק  צריך שיקבע בהתאם לסוג הנשק שבו מדובר. שהרי, </w:t>
      </w:r>
      <w:r>
        <w:rPr>
          <w:rFonts w:cs="Miriam"/>
          <w:b/>
          <w:bCs/>
          <w:sz w:val="28"/>
          <w:rtl/>
        </w:rPr>
        <w:t>סוג הנשק</w:t>
      </w:r>
      <w:r>
        <w:rPr>
          <w:b/>
          <w:bCs/>
          <w:sz w:val="28"/>
          <w:rtl/>
        </w:rPr>
        <w:t xml:space="preserve">, כמו-גם </w:t>
      </w:r>
      <w:r>
        <w:rPr>
          <w:rFonts w:cs="Miriam"/>
          <w:b/>
          <w:bCs/>
          <w:sz w:val="28"/>
          <w:rtl/>
        </w:rPr>
        <w:t>ההיקף</w:t>
      </w:r>
      <w:r>
        <w:rPr>
          <w:b/>
          <w:bCs/>
          <w:sz w:val="28"/>
          <w:rtl/>
        </w:rPr>
        <w:t xml:space="preserve"> שבו נסחר, הוחזק, הובל וכיוצא באלה, הם </w:t>
      </w:r>
      <w:r>
        <w:rPr>
          <w:rFonts w:cs="Miriam"/>
          <w:b/>
          <w:bCs/>
          <w:sz w:val="28"/>
          <w:rtl/>
        </w:rPr>
        <w:t xml:space="preserve">נסיבות הקשורות בביצוע העבירה </w:t>
      </w:r>
      <w:r>
        <w:rPr>
          <w:b/>
          <w:bCs/>
          <w:sz w:val="28"/>
          <w:rtl/>
        </w:rPr>
        <w:t>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w:t>
      </w:r>
      <w:r>
        <w:rPr>
          <w:sz w:val="28"/>
          <w:rtl/>
        </w:rPr>
        <w:t xml:space="preserve"> [</w:t>
      </w:r>
      <w:hyperlink r:id="rId14" w:history="1">
        <w:r w:rsidR="00B974B7" w:rsidRPr="00B974B7">
          <w:rPr>
            <w:rFonts w:ascii="Arial" w:hAnsi="Arial"/>
            <w:noProof w:val="0"/>
            <w:color w:val="0000FF"/>
            <w:u w:val="single"/>
            <w:rtl/>
          </w:rPr>
          <w:t>ע"פ 1323/13</w:t>
        </w:r>
      </w:hyperlink>
      <w:r>
        <w:rPr>
          <w:rFonts w:ascii="Arial" w:hAnsi="Arial"/>
          <w:noProof w:val="0"/>
          <w:rtl/>
        </w:rPr>
        <w:t xml:space="preserve"> </w:t>
      </w:r>
      <w:r>
        <w:rPr>
          <w:rFonts w:ascii="Arial" w:hAnsi="Arial"/>
          <w:noProof w:val="0"/>
          <w:u w:val="single"/>
          <w:rtl/>
        </w:rPr>
        <w:t>רך חסן</w:t>
      </w:r>
      <w:r>
        <w:rPr>
          <w:rFonts w:ascii="Arial" w:hAnsi="Arial"/>
          <w:noProof w:val="0"/>
          <w:rtl/>
        </w:rPr>
        <w:t xml:space="preserve"> נ. </w:t>
      </w:r>
      <w:r>
        <w:rPr>
          <w:rFonts w:ascii="Arial" w:hAnsi="Arial"/>
          <w:noProof w:val="0"/>
          <w:u w:val="single"/>
          <w:rtl/>
        </w:rPr>
        <w:t>מדינת ישראל</w:t>
      </w:r>
      <w:r>
        <w:rPr>
          <w:rFonts w:ascii="Arial" w:hAnsi="Arial"/>
          <w:noProof w:val="0"/>
          <w:rtl/>
        </w:rPr>
        <w:t xml:space="preserve"> (מיום 5.6.13)].</w:t>
      </w:r>
    </w:p>
    <w:p w14:paraId="39775C31" w14:textId="77777777" w:rsidR="00B631C1" w:rsidRDefault="00B631C1" w:rsidP="00B631C1">
      <w:pPr>
        <w:spacing w:line="360" w:lineRule="auto"/>
        <w:jc w:val="both"/>
        <w:rPr>
          <w:sz w:val="28"/>
          <w:rtl/>
        </w:rPr>
      </w:pPr>
      <w:r>
        <w:rPr>
          <w:rFonts w:ascii="Arial" w:hAnsi="Arial"/>
          <w:noProof w:val="0"/>
          <w:rtl/>
        </w:rPr>
        <w:t xml:space="preserve">  </w:t>
      </w:r>
    </w:p>
    <w:p w14:paraId="33189B78"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ב</w:t>
      </w:r>
      <w:hyperlink r:id="rId15" w:history="1">
        <w:r w:rsidR="00B974B7" w:rsidRPr="00B974B7">
          <w:rPr>
            <w:rFonts w:ascii="Arial" w:hAnsi="Arial"/>
            <w:noProof w:val="0"/>
            <w:color w:val="0000FF"/>
            <w:u w:val="single"/>
            <w:rtl/>
          </w:rPr>
          <w:t>ת"פ (רח') 20860-10-12</w:t>
        </w:r>
      </w:hyperlink>
      <w:r>
        <w:rPr>
          <w:rFonts w:ascii="Arial" w:hAnsi="Arial" w:hint="cs"/>
          <w:noProof w:val="0"/>
          <w:rtl/>
        </w:rPr>
        <w:t xml:space="preserve"> מדינת ישראל נגד בן יונה (פורסם  בנבו, ניתן ביום 3.12.14) נקבע, כי מתחם העונש ההולם בגין החזקת נכס החשוד כגנוב והחזקת חלקי תחמושת, 3 מחסניות לרובה סער ו56 כדורי 5.56 לרובה סער שנטען שהושארו מאז שירותו הצבאי נקבע מתחם עונש הולם הנע בין מאסר על תנאי ועד מספר חודשי מאסר שירוצו בעבודות שירות. </w:t>
      </w:r>
    </w:p>
    <w:p w14:paraId="52111200" w14:textId="77777777" w:rsidR="00B631C1" w:rsidRPr="003B41D9" w:rsidRDefault="00B631C1" w:rsidP="00B631C1">
      <w:pPr>
        <w:pStyle w:val="a9"/>
        <w:spacing w:line="360" w:lineRule="auto"/>
        <w:jc w:val="both"/>
        <w:rPr>
          <w:rFonts w:ascii="Arial" w:hAnsi="Arial"/>
          <w:noProof w:val="0"/>
        </w:rPr>
      </w:pPr>
    </w:p>
    <w:p w14:paraId="73EC67CF"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 xml:space="preserve">לענייננו, המדובר בהחזקת חלקי תחמושת. 20 כדורים מסוג 9 מ"מ אשר לא הוכח בפניי כי הגיעו לידי הנאשם שלא כדין. מונח בפניי כי הוחזקו על ידו שלא כדין. ברוח מדיניות הענישה הנוהגת, מוצאת אני לאמץ את מתחם העונש ההולם לו עותרת המאשימה ולקבוע כי הנו נע בין מאסר על תנאי ועד 6 חודשי מאסר שיכול וירוצו בעבודות שירות. </w:t>
      </w:r>
    </w:p>
    <w:p w14:paraId="4F5759EC" w14:textId="77777777" w:rsidR="00B631C1" w:rsidRPr="007F0EA9" w:rsidRDefault="00B631C1" w:rsidP="00B631C1">
      <w:pPr>
        <w:pStyle w:val="a9"/>
        <w:rPr>
          <w:rFonts w:ascii="Arial" w:hAnsi="Arial"/>
          <w:noProof w:val="0"/>
          <w:rtl/>
        </w:rPr>
      </w:pPr>
    </w:p>
    <w:p w14:paraId="652197F6" w14:textId="77777777" w:rsidR="00B631C1" w:rsidRPr="00B32ACB" w:rsidRDefault="00B631C1" w:rsidP="00B631C1">
      <w:pPr>
        <w:pStyle w:val="a9"/>
        <w:rPr>
          <w:rFonts w:ascii="Arial" w:hAnsi="Arial"/>
          <w:noProof w:val="0"/>
          <w:u w:val="single"/>
          <w:rtl/>
        </w:rPr>
      </w:pPr>
      <w:r w:rsidRPr="00B32ACB">
        <w:rPr>
          <w:rFonts w:ascii="Arial" w:hAnsi="Arial" w:hint="cs"/>
          <w:noProof w:val="0"/>
          <w:u w:val="single"/>
          <w:rtl/>
        </w:rPr>
        <w:t>מיקומו של הנאשם במתחם הענישה</w:t>
      </w:r>
    </w:p>
    <w:p w14:paraId="54CFA16A" w14:textId="77777777" w:rsidR="00B631C1" w:rsidRPr="00B32ACB" w:rsidRDefault="00B631C1" w:rsidP="00B631C1">
      <w:pPr>
        <w:pStyle w:val="a9"/>
        <w:rPr>
          <w:rFonts w:ascii="Arial" w:hAnsi="Arial"/>
          <w:noProof w:val="0"/>
          <w:rtl/>
        </w:rPr>
      </w:pPr>
    </w:p>
    <w:p w14:paraId="3C7052AC"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 xml:space="preserve">הנאשם יליד 1974, כבן 48 נשוי ואב לשני ילדים. לנאשם עסק של כוורות, משמש כדבוראי ומשווק דבש. </w:t>
      </w:r>
    </w:p>
    <w:p w14:paraId="3C20714B" w14:textId="77777777" w:rsidR="00B631C1" w:rsidRDefault="00B631C1" w:rsidP="00B631C1">
      <w:pPr>
        <w:pStyle w:val="a9"/>
        <w:spacing w:line="360" w:lineRule="auto"/>
        <w:jc w:val="both"/>
        <w:rPr>
          <w:rFonts w:ascii="Arial" w:hAnsi="Arial"/>
          <w:noProof w:val="0"/>
        </w:rPr>
      </w:pPr>
    </w:p>
    <w:p w14:paraId="43A717CC"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 xml:space="preserve">הנאשם שיתף פעולה, נטל אחריות והודה בהזדמנות הראשונה. בכך חסך זמן שיפוטי יקר. </w:t>
      </w:r>
    </w:p>
    <w:p w14:paraId="7C48C6DF" w14:textId="77777777" w:rsidR="00B631C1" w:rsidRPr="003F65E6" w:rsidRDefault="00B631C1" w:rsidP="00B631C1">
      <w:pPr>
        <w:pStyle w:val="a9"/>
        <w:rPr>
          <w:rFonts w:ascii="Arial" w:hAnsi="Arial"/>
          <w:noProof w:val="0"/>
          <w:rtl/>
        </w:rPr>
      </w:pPr>
    </w:p>
    <w:p w14:paraId="0F024A15"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לנאשם עבר פלילי (</w:t>
      </w:r>
      <w:r>
        <w:rPr>
          <w:rFonts w:ascii="Arial" w:hAnsi="Arial" w:hint="cs"/>
          <w:b/>
          <w:bCs/>
          <w:noProof w:val="0"/>
          <w:rtl/>
        </w:rPr>
        <w:t>ת/</w:t>
      </w:r>
      <w:r w:rsidRPr="003F65E6">
        <w:rPr>
          <w:rFonts w:ascii="Arial" w:hAnsi="Arial" w:hint="cs"/>
          <w:b/>
          <w:bCs/>
          <w:noProof w:val="0"/>
          <w:rtl/>
        </w:rPr>
        <w:t>1</w:t>
      </w:r>
      <w:r>
        <w:rPr>
          <w:rFonts w:ascii="Arial" w:hAnsi="Arial" w:hint="cs"/>
          <w:noProof w:val="0"/>
          <w:rtl/>
        </w:rPr>
        <w:t>). אמנם לחובתו של הנאשם עבר רלוונטי בדמות הרשעה משנת 2008, בגין ביצוע עבירת נשק משנת 2003 ואולם המדובר בעבירה שהתיישנה.</w:t>
      </w:r>
    </w:p>
    <w:p w14:paraId="65E0BED9" w14:textId="77777777" w:rsidR="00B631C1" w:rsidRPr="000B1FF0" w:rsidRDefault="00B631C1" w:rsidP="00B631C1">
      <w:pPr>
        <w:pStyle w:val="a9"/>
        <w:spacing w:line="360" w:lineRule="auto"/>
        <w:jc w:val="both"/>
        <w:rPr>
          <w:rFonts w:ascii="Arial" w:hAnsi="Arial"/>
          <w:noProof w:val="0"/>
        </w:rPr>
      </w:pPr>
    </w:p>
    <w:p w14:paraId="7A068603" w14:textId="77777777" w:rsidR="00B631C1" w:rsidRPr="00B32ACB"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לטענת הנאשם שירת בעברו והתנדב במג"ב וכן כי היה בעבר בעל רישיון להחזקת נשק (</w:t>
      </w:r>
      <w:r w:rsidRPr="00B11F73">
        <w:rPr>
          <w:rFonts w:ascii="Arial" w:hAnsi="Arial" w:hint="cs"/>
          <w:b/>
          <w:bCs/>
          <w:noProof w:val="0"/>
          <w:rtl/>
        </w:rPr>
        <w:t>נ/1</w:t>
      </w:r>
      <w:r>
        <w:rPr>
          <w:rFonts w:ascii="Arial" w:hAnsi="Arial" w:hint="cs"/>
          <w:noProof w:val="0"/>
          <w:rtl/>
        </w:rPr>
        <w:t>)</w:t>
      </w:r>
    </w:p>
    <w:p w14:paraId="6750129B" w14:textId="77777777" w:rsidR="00B631C1" w:rsidRPr="000B1FF0" w:rsidRDefault="00B631C1" w:rsidP="00B631C1">
      <w:pPr>
        <w:pStyle w:val="a9"/>
        <w:rPr>
          <w:rFonts w:ascii="Arial" w:hAnsi="Arial"/>
          <w:noProof w:val="0"/>
          <w:rtl/>
        </w:rPr>
      </w:pPr>
    </w:p>
    <w:p w14:paraId="05E6A558" w14:textId="77777777" w:rsidR="00B631C1" w:rsidRDefault="00B631C1" w:rsidP="00B631C1">
      <w:pPr>
        <w:pStyle w:val="a9"/>
        <w:numPr>
          <w:ilvl w:val="0"/>
          <w:numId w:val="1"/>
        </w:numPr>
        <w:spacing w:line="360" w:lineRule="auto"/>
        <w:ind w:hanging="635"/>
        <w:jc w:val="both"/>
        <w:rPr>
          <w:rFonts w:ascii="Arial" w:hAnsi="Arial"/>
          <w:noProof w:val="0"/>
        </w:rPr>
      </w:pPr>
      <w:r>
        <w:rPr>
          <w:rFonts w:ascii="Arial" w:hAnsi="Arial" w:hint="cs"/>
          <w:noProof w:val="0"/>
          <w:rtl/>
        </w:rPr>
        <w:t>בנסיבות המקלות יחסית של ביצוע העבירות, לצד העובדה כי עברו הרלוונטי של הנאשם התיישן, מוצאת אני להורות על מיקומו של הנאשם בחלק התחתון של מתחם הענישה, תוך החמרה בענישה צופה פני עתיד בעניינו של הנאשם.</w:t>
      </w:r>
    </w:p>
    <w:p w14:paraId="7C61DD0F" w14:textId="77777777" w:rsidR="00B631C1" w:rsidRPr="000B1FF0" w:rsidRDefault="00B631C1" w:rsidP="00B631C1">
      <w:pPr>
        <w:pStyle w:val="a9"/>
        <w:rPr>
          <w:rFonts w:ascii="Arial" w:hAnsi="Arial"/>
          <w:noProof w:val="0"/>
          <w:rtl/>
        </w:rPr>
      </w:pPr>
    </w:p>
    <w:p w14:paraId="516A7C36" w14:textId="77777777" w:rsidR="00B631C1" w:rsidRDefault="00B631C1" w:rsidP="00B631C1">
      <w:pPr>
        <w:pStyle w:val="a9"/>
        <w:numPr>
          <w:ilvl w:val="0"/>
          <w:numId w:val="1"/>
        </w:numPr>
        <w:spacing w:line="360" w:lineRule="auto"/>
        <w:ind w:hanging="635"/>
        <w:jc w:val="both"/>
        <w:rPr>
          <w:rFonts w:ascii="Arial" w:hAnsi="Arial"/>
          <w:noProof w:val="0"/>
          <w:u w:val="single"/>
        </w:rPr>
      </w:pPr>
      <w:r w:rsidRPr="000B1FF0">
        <w:rPr>
          <w:rFonts w:ascii="Arial" w:hAnsi="Arial" w:hint="cs"/>
          <w:noProof w:val="0"/>
          <w:u w:val="single"/>
          <w:rtl/>
        </w:rPr>
        <w:t>לאור כל האמור הנני גוזרת את דינו של הנאשם כדלקמן:</w:t>
      </w:r>
    </w:p>
    <w:p w14:paraId="7D2C15E1" w14:textId="77777777" w:rsidR="00B631C1" w:rsidRDefault="00B631C1" w:rsidP="00B631C1">
      <w:pPr>
        <w:overflowPunct w:val="0"/>
        <w:autoSpaceDE w:val="0"/>
        <w:autoSpaceDN w:val="0"/>
        <w:adjustRightInd w:val="0"/>
        <w:spacing w:line="360" w:lineRule="auto"/>
        <w:rPr>
          <w:b/>
          <w:bCs/>
          <w:u w:val="single"/>
        </w:rPr>
      </w:pPr>
    </w:p>
    <w:p w14:paraId="1F505905" w14:textId="77777777" w:rsidR="00B631C1" w:rsidRDefault="00B631C1" w:rsidP="00B631C1">
      <w:pPr>
        <w:overflowPunct w:val="0"/>
        <w:autoSpaceDE w:val="0"/>
        <w:autoSpaceDN w:val="0"/>
        <w:adjustRightInd w:val="0"/>
        <w:spacing w:line="360" w:lineRule="auto"/>
        <w:ind w:left="1440" w:hanging="720"/>
        <w:jc w:val="both"/>
      </w:pPr>
      <w:r>
        <w:rPr>
          <w:rFonts w:hint="cs"/>
          <w:rtl/>
        </w:rPr>
        <w:t>א.</w:t>
      </w:r>
      <w:r>
        <w:rPr>
          <w:rFonts w:hint="cs"/>
          <w:rtl/>
        </w:rPr>
        <w:tab/>
        <w:t xml:space="preserve">מאסר על תנאי לתקופה של  6  חודשים, למשך  3  שנים מהיום, והתנאי הוא כי הנאשם לא יעבור בתקופה זו עבירת נשק, תחמושת או חלקי נשק, ויורשע עליה בדין. </w:t>
      </w:r>
    </w:p>
    <w:p w14:paraId="6873C717" w14:textId="77777777" w:rsidR="00B631C1" w:rsidRDefault="00B631C1" w:rsidP="00B631C1">
      <w:pPr>
        <w:overflowPunct w:val="0"/>
        <w:autoSpaceDE w:val="0"/>
        <w:autoSpaceDN w:val="0"/>
        <w:adjustRightInd w:val="0"/>
        <w:spacing w:line="360" w:lineRule="auto"/>
      </w:pPr>
    </w:p>
    <w:p w14:paraId="3CA9B8FD" w14:textId="77777777" w:rsidR="00B631C1" w:rsidRDefault="00B631C1" w:rsidP="00B631C1">
      <w:pPr>
        <w:overflowPunct w:val="0"/>
        <w:autoSpaceDE w:val="0"/>
        <w:autoSpaceDN w:val="0"/>
        <w:adjustRightInd w:val="0"/>
        <w:spacing w:line="360" w:lineRule="auto"/>
        <w:ind w:left="1440" w:hanging="720"/>
        <w:jc w:val="both"/>
        <w:rPr>
          <w:rtl/>
        </w:rPr>
      </w:pPr>
      <w:r>
        <w:rPr>
          <w:rFonts w:hint="cs"/>
          <w:rtl/>
        </w:rPr>
        <w:t>ב.</w:t>
      </w:r>
      <w:r>
        <w:rPr>
          <w:rFonts w:hint="cs"/>
          <w:rtl/>
        </w:rPr>
        <w:tab/>
        <w:t>קנס בסך  2,000 ₪ , או 8  ימי מאסר תמורתו.  הקנס ישולם עד לא יאוחר מיום 1.8.22.</w:t>
      </w:r>
    </w:p>
    <w:p w14:paraId="562A9082" w14:textId="77777777" w:rsidR="00B631C1" w:rsidRDefault="00B631C1" w:rsidP="00B631C1">
      <w:pPr>
        <w:overflowPunct w:val="0"/>
        <w:autoSpaceDE w:val="0"/>
        <w:autoSpaceDN w:val="0"/>
        <w:adjustRightInd w:val="0"/>
        <w:spacing w:line="360" w:lineRule="auto"/>
        <w:ind w:left="720"/>
        <w:jc w:val="both"/>
        <w:rPr>
          <w:rtl/>
        </w:rPr>
      </w:pPr>
    </w:p>
    <w:p w14:paraId="39F6B9D2" w14:textId="77777777" w:rsidR="00B631C1" w:rsidRDefault="00B631C1" w:rsidP="00B631C1">
      <w:pPr>
        <w:spacing w:line="360" w:lineRule="auto"/>
        <w:ind w:left="1440" w:hanging="720"/>
        <w:jc w:val="both"/>
        <w:rPr>
          <w:rFonts w:ascii="Arial" w:hAnsi="Arial" w:cs="Arial"/>
          <w:sz w:val="22"/>
          <w:szCs w:val="22"/>
          <w:rtl/>
        </w:rPr>
      </w:pPr>
      <w:r>
        <w:rPr>
          <w:rFonts w:ascii="Arial" w:hAnsi="Arial" w:cs="Arial"/>
          <w:b/>
          <w:bCs/>
          <w:sz w:val="22"/>
          <w:szCs w:val="22"/>
          <w:rtl/>
        </w:rPr>
        <w:t>*</w:t>
      </w:r>
      <w:r>
        <w:rPr>
          <w:rFonts w:ascii="Arial" w:hAnsi="Arial" w:cs="Arial"/>
          <w:b/>
          <w:bCs/>
          <w:sz w:val="22"/>
          <w:szCs w:val="22"/>
          <w:rtl/>
        </w:rPr>
        <w:tab/>
        <w:t>בכרטיס אשראי</w:t>
      </w:r>
      <w:r>
        <w:rPr>
          <w:rFonts w:ascii="Arial" w:hAnsi="Arial" w:cs="Arial"/>
          <w:sz w:val="22"/>
          <w:szCs w:val="22"/>
          <w:rtl/>
        </w:rPr>
        <w:t xml:space="preserve"> – באתר המקוון של רשות האכיפה והגבייה, </w:t>
      </w:r>
      <w:hyperlink r:id="rId16" w:history="1">
        <w:r>
          <w:rPr>
            <w:rStyle w:val="Hyperlink"/>
            <w:rFonts w:ascii="Calibri" w:hAnsi="Calibri" w:cs="Arial"/>
            <w:color w:val="0563C1"/>
            <w:sz w:val="22"/>
            <w:szCs w:val="22"/>
          </w:rPr>
          <w:t>www.eca.gov.il</w:t>
        </w:r>
      </w:hyperlink>
      <w:r>
        <w:rPr>
          <w:rFonts w:ascii="Arial" w:hAnsi="Arial" w:cs="Arial"/>
          <w:sz w:val="22"/>
          <w:szCs w:val="22"/>
          <w:rtl/>
        </w:rPr>
        <w:t xml:space="preserve"> (ניתן לשלם בפריסה של עד 18 תשלומים בהסדר קרדיט) או חפש בגוגל "תשלום גביית קנסות". </w:t>
      </w:r>
    </w:p>
    <w:p w14:paraId="49438B06" w14:textId="77777777" w:rsidR="00B631C1" w:rsidRDefault="00B631C1" w:rsidP="00B631C1">
      <w:pPr>
        <w:spacing w:line="360" w:lineRule="auto"/>
        <w:ind w:left="1440" w:hanging="720"/>
        <w:jc w:val="both"/>
        <w:rPr>
          <w:rFonts w:ascii="Arial" w:hAnsi="Arial" w:cs="Arial"/>
          <w:sz w:val="22"/>
          <w:szCs w:val="22"/>
          <w:rtl/>
        </w:rPr>
      </w:pPr>
      <w:r>
        <w:rPr>
          <w:rFonts w:ascii="Arial" w:hAnsi="Arial" w:cs="Arial"/>
          <w:b/>
          <w:bCs/>
          <w:sz w:val="22"/>
          <w:szCs w:val="22"/>
          <w:rtl/>
        </w:rPr>
        <w:t>*</w:t>
      </w:r>
      <w:r w:rsidR="00B974B7">
        <w:rPr>
          <w:rFonts w:ascii="Arial" w:hAnsi="Arial" w:cs="Arial"/>
          <w:b/>
          <w:bCs/>
          <w:sz w:val="22"/>
          <w:szCs w:val="22"/>
          <w:rtl/>
        </w:rPr>
        <w:t xml:space="preserve">          </w:t>
      </w:r>
      <w:r>
        <w:rPr>
          <w:rFonts w:ascii="Arial" w:hAnsi="Arial" w:cs="Arial"/>
          <w:b/>
          <w:bCs/>
          <w:sz w:val="22"/>
          <w:szCs w:val="22"/>
          <w:rtl/>
        </w:rPr>
        <w:t xml:space="preserve"> מוקד שירות טלפוני בשירות עצמי (מרכז גבייה)</w:t>
      </w:r>
      <w:r>
        <w:rPr>
          <w:rFonts w:ascii="Arial" w:hAnsi="Arial" w:cs="Arial"/>
          <w:sz w:val="22"/>
          <w:szCs w:val="22"/>
          <w:rtl/>
        </w:rPr>
        <w:t xml:space="preserve"> – בטלפון *35592 או בטלפון: 073-2055000.</w:t>
      </w:r>
    </w:p>
    <w:p w14:paraId="3F3947F0" w14:textId="77777777" w:rsidR="00B631C1" w:rsidRDefault="00B631C1" w:rsidP="00B631C1">
      <w:pPr>
        <w:spacing w:line="360" w:lineRule="auto"/>
        <w:ind w:left="1440" w:hanging="720"/>
        <w:jc w:val="both"/>
        <w:rPr>
          <w:rFonts w:ascii="Arial" w:hAnsi="Arial" w:cs="Arial"/>
          <w:sz w:val="22"/>
          <w:szCs w:val="22"/>
          <w:rtl/>
        </w:rPr>
      </w:pPr>
      <w:r>
        <w:rPr>
          <w:rFonts w:ascii="Arial" w:hAnsi="Arial" w:cs="Arial"/>
          <w:b/>
          <w:bCs/>
          <w:sz w:val="22"/>
          <w:szCs w:val="22"/>
          <w:rtl/>
        </w:rPr>
        <w:t>*</w:t>
      </w:r>
      <w:r w:rsidR="00B974B7">
        <w:rPr>
          <w:rFonts w:ascii="Arial" w:hAnsi="Arial" w:cs="Arial"/>
          <w:b/>
          <w:bCs/>
          <w:sz w:val="22"/>
          <w:szCs w:val="22"/>
          <w:rtl/>
        </w:rPr>
        <w:t xml:space="preserve">          </w:t>
      </w:r>
      <w:r>
        <w:rPr>
          <w:rFonts w:ascii="Arial" w:hAnsi="Arial" w:cs="Arial"/>
          <w:b/>
          <w:bCs/>
          <w:sz w:val="22"/>
          <w:szCs w:val="22"/>
          <w:rtl/>
        </w:rPr>
        <w:t xml:space="preserve"> במזומן בכל סניף של בנק הדואר </w:t>
      </w:r>
      <w:r>
        <w:rPr>
          <w:rFonts w:ascii="Arial" w:hAnsi="Arial" w:cs="Arial"/>
          <w:sz w:val="22"/>
          <w:szCs w:val="22"/>
          <w:rtl/>
        </w:rPr>
        <w:t xml:space="preserve">– בהצגת תעודת זהות בלבד (אין צורך בשוברי תשלום). </w:t>
      </w:r>
    </w:p>
    <w:p w14:paraId="1389851A" w14:textId="77777777" w:rsidR="00B631C1" w:rsidRDefault="00B631C1" w:rsidP="00B631C1">
      <w:pPr>
        <w:overflowPunct w:val="0"/>
        <w:autoSpaceDE w:val="0"/>
        <w:autoSpaceDN w:val="0"/>
        <w:adjustRightInd w:val="0"/>
        <w:spacing w:line="360" w:lineRule="auto"/>
        <w:rPr>
          <w:rtl/>
        </w:rPr>
      </w:pPr>
    </w:p>
    <w:p w14:paraId="1DC3F1CA" w14:textId="77777777" w:rsidR="00B631C1" w:rsidRDefault="00B631C1" w:rsidP="00B631C1">
      <w:pPr>
        <w:overflowPunct w:val="0"/>
        <w:autoSpaceDE w:val="0"/>
        <w:autoSpaceDN w:val="0"/>
        <w:adjustRightInd w:val="0"/>
        <w:spacing w:line="360" w:lineRule="auto"/>
        <w:ind w:left="1440" w:hanging="720"/>
        <w:jc w:val="both"/>
        <w:rPr>
          <w:rtl/>
        </w:rPr>
      </w:pPr>
      <w:r>
        <w:rPr>
          <w:rFonts w:hint="cs"/>
          <w:rtl/>
        </w:rPr>
        <w:t>ג.</w:t>
      </w:r>
      <w:r>
        <w:rPr>
          <w:rFonts w:hint="cs"/>
          <w:rtl/>
        </w:rPr>
        <w:tab/>
        <w:t xml:space="preserve">הנאשם יצהיר על התחייבות כספית בסך של 5,000 ₪, להמנע מלעבור עבירת נשק חלקי נשק או תחמושת  בתוך שלוש שנים מהיום.  </w:t>
      </w:r>
    </w:p>
    <w:p w14:paraId="011FA6D5" w14:textId="77777777" w:rsidR="00B631C1" w:rsidRDefault="00B631C1" w:rsidP="00B631C1">
      <w:pPr>
        <w:overflowPunct w:val="0"/>
        <w:autoSpaceDE w:val="0"/>
        <w:autoSpaceDN w:val="0"/>
        <w:adjustRightInd w:val="0"/>
        <w:spacing w:line="360" w:lineRule="auto"/>
        <w:ind w:left="1440"/>
        <w:jc w:val="both"/>
        <w:rPr>
          <w:rtl/>
        </w:rPr>
      </w:pPr>
      <w:r>
        <w:rPr>
          <w:rFonts w:hint="cs"/>
          <w:rtl/>
        </w:rPr>
        <w:t>אם לא יצהיר  היום על ההתחייבות, יש לאסור אותו למשך  10   ימים.</w:t>
      </w:r>
    </w:p>
    <w:p w14:paraId="364FE1B1" w14:textId="77777777" w:rsidR="00B631C1" w:rsidRDefault="00B631C1" w:rsidP="00B631C1">
      <w:pPr>
        <w:overflowPunct w:val="0"/>
        <w:autoSpaceDE w:val="0"/>
        <w:autoSpaceDN w:val="0"/>
        <w:adjustRightInd w:val="0"/>
        <w:spacing w:line="360" w:lineRule="auto"/>
        <w:ind w:left="720" w:hanging="720"/>
        <w:jc w:val="both"/>
        <w:rPr>
          <w:rtl/>
        </w:rPr>
      </w:pPr>
    </w:p>
    <w:p w14:paraId="31921281" w14:textId="77777777" w:rsidR="00B631C1" w:rsidRDefault="00B631C1" w:rsidP="00B631C1">
      <w:pPr>
        <w:overflowPunct w:val="0"/>
        <w:autoSpaceDE w:val="0"/>
        <w:autoSpaceDN w:val="0"/>
        <w:adjustRightInd w:val="0"/>
        <w:spacing w:line="360" w:lineRule="auto"/>
        <w:ind w:left="720" w:hanging="720"/>
        <w:jc w:val="both"/>
        <w:rPr>
          <w:rtl/>
        </w:rPr>
      </w:pPr>
      <w:r>
        <w:rPr>
          <w:rFonts w:hint="cs"/>
          <w:rtl/>
        </w:rPr>
        <w:t>צו להשמדת התחמושת או חילוטה על פי החלטת קצין חילוט.</w:t>
      </w:r>
    </w:p>
    <w:p w14:paraId="4BDC9D94" w14:textId="77777777" w:rsidR="00B631C1" w:rsidRPr="00B974B7" w:rsidRDefault="00B974B7" w:rsidP="00B631C1">
      <w:pPr>
        <w:overflowPunct w:val="0"/>
        <w:autoSpaceDE w:val="0"/>
        <w:autoSpaceDN w:val="0"/>
        <w:adjustRightInd w:val="0"/>
        <w:spacing w:line="360" w:lineRule="auto"/>
        <w:rPr>
          <w:color w:val="FFFFFF"/>
          <w:sz w:val="2"/>
          <w:szCs w:val="2"/>
          <w:rtl/>
        </w:rPr>
      </w:pPr>
      <w:r w:rsidRPr="00B974B7">
        <w:rPr>
          <w:color w:val="FFFFFF"/>
          <w:sz w:val="2"/>
          <w:szCs w:val="2"/>
          <w:rtl/>
        </w:rPr>
        <w:t>5129371</w:t>
      </w:r>
    </w:p>
    <w:p w14:paraId="699611E0" w14:textId="77777777" w:rsidR="00B631C1" w:rsidRDefault="00B974B7" w:rsidP="00B631C1">
      <w:pPr>
        <w:overflowPunct w:val="0"/>
        <w:autoSpaceDE w:val="0"/>
        <w:autoSpaceDN w:val="0"/>
        <w:adjustRightInd w:val="0"/>
        <w:spacing w:line="360" w:lineRule="auto"/>
        <w:rPr>
          <w:rtl/>
        </w:rPr>
      </w:pPr>
      <w:r w:rsidRPr="00B974B7">
        <w:rPr>
          <w:color w:val="FFFFFF"/>
          <w:sz w:val="2"/>
          <w:szCs w:val="2"/>
          <w:rtl/>
        </w:rPr>
        <w:t>54678313</w:t>
      </w:r>
      <w:r w:rsidR="00B631C1">
        <w:rPr>
          <w:rFonts w:hint="cs"/>
          <w:rtl/>
        </w:rPr>
        <w:t xml:space="preserve">זכות ערעור תוך 45 יום מהיום. </w:t>
      </w:r>
    </w:p>
    <w:p w14:paraId="3D38B9C8" w14:textId="77777777" w:rsidR="00B631C1" w:rsidRPr="00B95D6E" w:rsidRDefault="00B631C1" w:rsidP="00B631C1">
      <w:pPr>
        <w:spacing w:line="360" w:lineRule="auto"/>
        <w:jc w:val="both"/>
        <w:rPr>
          <w:rFonts w:ascii="Arial" w:hAnsi="Arial"/>
          <w:noProof w:val="0"/>
          <w:rtl/>
        </w:rPr>
      </w:pPr>
    </w:p>
    <w:p w14:paraId="443C0DB7" w14:textId="77777777" w:rsidR="00B631C1" w:rsidRDefault="00B974B7" w:rsidP="00B631C1">
      <w:pPr>
        <w:tabs>
          <w:tab w:val="left" w:pos="2553"/>
        </w:tabs>
        <w:ind w:left="5040"/>
        <w:rPr>
          <w:rtl/>
        </w:rPr>
      </w:pPr>
      <w:bookmarkStart w:id="9" w:name="Nitan"/>
      <w:r>
        <w:rPr>
          <w:rFonts w:ascii="Arial" w:hAnsi="Arial"/>
          <w:noProof w:val="0"/>
          <w:rtl/>
        </w:rPr>
        <w:t xml:space="preserve">ניתנה היום, ב' אייר תשפ"ב, 03 מאי 2022, בהעדר הצדדים. </w:t>
      </w:r>
      <w:bookmarkEnd w:id="9"/>
      <w:r w:rsidR="00B631C1">
        <w:rPr>
          <w:rFonts w:hint="cs"/>
          <w:rtl/>
        </w:rPr>
        <w:t xml:space="preserve">     </w:t>
      </w:r>
    </w:p>
    <w:p w14:paraId="4EE6FA13" w14:textId="77777777" w:rsidR="00B631C1" w:rsidRDefault="00B631C1" w:rsidP="00B974B7">
      <w:pPr>
        <w:tabs>
          <w:tab w:val="left" w:pos="2553"/>
        </w:tabs>
      </w:pPr>
      <w:r>
        <w:rPr>
          <w:rFonts w:hint="cs"/>
          <w:rtl/>
        </w:rPr>
        <w:tab/>
      </w:r>
      <w:r>
        <w:rPr>
          <w:rFonts w:hint="cs"/>
          <w:rtl/>
        </w:rPr>
        <w:tab/>
      </w:r>
      <w:r>
        <w:rPr>
          <w:rFonts w:hint="cs"/>
          <w:rtl/>
        </w:rPr>
        <w:tab/>
      </w:r>
      <w:r>
        <w:rPr>
          <w:rFonts w:hint="cs"/>
          <w:rtl/>
        </w:rPr>
        <w:tab/>
        <w:t xml:space="preserve">        </w:t>
      </w:r>
    </w:p>
    <w:p w14:paraId="0E148784" w14:textId="77777777" w:rsidR="00B631C1" w:rsidRPr="00351F4C" w:rsidRDefault="00351F4C" w:rsidP="00B631C1">
      <w:pPr>
        <w:tabs>
          <w:tab w:val="left" w:pos="2553"/>
        </w:tabs>
        <w:rPr>
          <w:rFonts w:ascii="Arial" w:hAnsi="Arial"/>
          <w:noProof w:val="0"/>
          <w:color w:val="FFFFFF"/>
          <w:sz w:val="2"/>
          <w:szCs w:val="2"/>
          <w:rtl/>
        </w:rPr>
      </w:pPr>
      <w:r w:rsidRPr="00351F4C">
        <w:rPr>
          <w:rFonts w:ascii="Arial" w:hAnsi="Arial"/>
          <w:noProof w:val="0"/>
          <w:color w:val="FFFFFF"/>
          <w:sz w:val="2"/>
          <w:szCs w:val="2"/>
          <w:rtl/>
        </w:rPr>
        <w:t>5129371</w:t>
      </w:r>
    </w:p>
    <w:p w14:paraId="449F99E9" w14:textId="77777777" w:rsidR="00E9532E" w:rsidRPr="00351F4C" w:rsidRDefault="00351F4C" w:rsidP="00B974B7">
      <w:pPr>
        <w:keepNext/>
        <w:rPr>
          <w:rFonts w:ascii="David" w:hAnsi="David"/>
          <w:color w:val="FFFFFF"/>
          <w:sz w:val="2"/>
          <w:szCs w:val="2"/>
          <w:rtl/>
        </w:rPr>
      </w:pPr>
      <w:r w:rsidRPr="00351F4C">
        <w:rPr>
          <w:rFonts w:ascii="David" w:hAnsi="David"/>
          <w:color w:val="FFFFFF"/>
          <w:sz w:val="2"/>
          <w:szCs w:val="2"/>
          <w:rtl/>
        </w:rPr>
        <w:t>54678313</w:t>
      </w:r>
    </w:p>
    <w:p w14:paraId="39E05A02" w14:textId="77777777" w:rsidR="00B974B7" w:rsidRDefault="00B974B7" w:rsidP="00B974B7">
      <w:pPr>
        <w:rPr>
          <w:rtl/>
        </w:rPr>
      </w:pPr>
    </w:p>
    <w:p w14:paraId="6EE9DAD0" w14:textId="77777777" w:rsidR="00B974B7" w:rsidRDefault="00B974B7" w:rsidP="00B974B7">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1C7C4078" w14:textId="77777777" w:rsidR="00351F4C" w:rsidRPr="00351F4C" w:rsidRDefault="00351F4C" w:rsidP="00351F4C">
      <w:pPr>
        <w:keepNext/>
        <w:rPr>
          <w:rFonts w:ascii="David" w:hAnsi="David"/>
          <w:color w:val="000000"/>
          <w:sz w:val="22"/>
          <w:szCs w:val="22"/>
          <w:rtl/>
        </w:rPr>
      </w:pPr>
    </w:p>
    <w:p w14:paraId="65C20C70" w14:textId="77777777" w:rsidR="00351F4C" w:rsidRPr="00351F4C" w:rsidRDefault="00351F4C" w:rsidP="00351F4C">
      <w:pPr>
        <w:keepNext/>
        <w:rPr>
          <w:rFonts w:ascii="David" w:hAnsi="David"/>
          <w:color w:val="000000"/>
          <w:sz w:val="22"/>
          <w:szCs w:val="22"/>
          <w:rtl/>
        </w:rPr>
      </w:pPr>
      <w:r w:rsidRPr="00351F4C">
        <w:rPr>
          <w:rFonts w:ascii="David" w:hAnsi="David"/>
          <w:color w:val="000000"/>
          <w:sz w:val="22"/>
          <w:szCs w:val="22"/>
          <w:rtl/>
        </w:rPr>
        <w:t>שושנה פיינסוד כהן 54678313-/</w:t>
      </w:r>
    </w:p>
    <w:p w14:paraId="60642483" w14:textId="77777777" w:rsidR="00B974B7" w:rsidRPr="00B974B7" w:rsidRDefault="00351F4C" w:rsidP="00351F4C">
      <w:pPr>
        <w:rPr>
          <w:color w:val="0000FF"/>
          <w:u w:val="single"/>
        </w:rPr>
      </w:pPr>
      <w:r w:rsidRPr="00351F4C">
        <w:rPr>
          <w:color w:val="000000"/>
          <w:u w:val="single"/>
          <w:rtl/>
        </w:rPr>
        <w:t>נוסח מסמך זה כפוף לשינויי ניסוח ועריכה</w:t>
      </w:r>
    </w:p>
    <w:sectPr w:rsidR="00B974B7" w:rsidRPr="00B974B7" w:rsidSect="00351F4C">
      <w:headerReference w:type="even" r:id="rId18"/>
      <w:headerReference w:type="default" r:id="rId19"/>
      <w:footerReference w:type="even" r:id="rId20"/>
      <w:footerReference w:type="default" r:id="rId2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5E17A" w14:textId="77777777" w:rsidR="006774B8" w:rsidRDefault="006774B8" w:rsidP="00B045CD">
      <w:r>
        <w:separator/>
      </w:r>
    </w:p>
  </w:endnote>
  <w:endnote w:type="continuationSeparator" w:id="0">
    <w:p w14:paraId="08327B3C" w14:textId="77777777" w:rsidR="006774B8" w:rsidRDefault="006774B8" w:rsidP="00B0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6B7C7" w14:textId="77777777" w:rsidR="00351F4C" w:rsidRDefault="00351F4C" w:rsidP="00351F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F353FA1" w14:textId="77777777" w:rsidR="00B974B7" w:rsidRPr="00351F4C" w:rsidRDefault="00351F4C" w:rsidP="00351F4C">
    <w:pPr>
      <w:pStyle w:val="a5"/>
      <w:pBdr>
        <w:top w:val="single" w:sz="4" w:space="1" w:color="auto"/>
        <w:between w:val="single" w:sz="4" w:space="0" w:color="auto"/>
      </w:pBdr>
      <w:spacing w:after="60"/>
      <w:jc w:val="center"/>
      <w:rPr>
        <w:rFonts w:ascii="FrankRuehl" w:hAnsi="FrankRuehl" w:cs="FrankRuehl"/>
        <w:color w:val="000000"/>
      </w:rPr>
    </w:pPr>
    <w:r w:rsidRPr="00351F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3A2E4" w14:textId="77777777" w:rsidR="00351F4C" w:rsidRDefault="00351F4C" w:rsidP="00351F4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41704">
      <w:rPr>
        <w:rStyle w:val="a8"/>
        <w:rFonts w:ascii="FrankRuehl" w:hAnsi="FrankRuehl" w:cs="FrankRuehl"/>
        <w:rtl/>
      </w:rPr>
      <w:t>1</w:t>
    </w:r>
    <w:r>
      <w:rPr>
        <w:rStyle w:val="a8"/>
        <w:rFonts w:ascii="FrankRuehl" w:hAnsi="FrankRuehl" w:cs="FrankRuehl"/>
        <w:rtl/>
      </w:rPr>
      <w:fldChar w:fldCharType="end"/>
    </w:r>
  </w:p>
  <w:p w14:paraId="684CE170" w14:textId="77777777" w:rsidR="003F06B4" w:rsidRPr="00351F4C" w:rsidRDefault="00351F4C" w:rsidP="00351F4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51F4C">
      <w:rPr>
        <w:rStyle w:val="a8"/>
        <w:rFonts w:ascii="FrankRuehl" w:hAnsi="FrankRuehl" w:cs="FrankRuehl" w:hint="cs"/>
        <w:color w:val="000000"/>
      </w:rPr>
      <w:pict w14:anchorId="729BC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DC670" w14:textId="77777777" w:rsidR="006774B8" w:rsidRDefault="006774B8" w:rsidP="00B045CD">
      <w:r>
        <w:separator/>
      </w:r>
    </w:p>
  </w:footnote>
  <w:footnote w:type="continuationSeparator" w:id="0">
    <w:p w14:paraId="6A49F3FE" w14:textId="77777777" w:rsidR="006774B8" w:rsidRDefault="006774B8" w:rsidP="00B04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A123" w14:textId="77777777" w:rsidR="00B974B7" w:rsidRPr="00351F4C" w:rsidRDefault="00351F4C" w:rsidP="00351F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59911-06-21</w:t>
    </w:r>
    <w:r>
      <w:rPr>
        <w:rFonts w:ascii="David" w:hAnsi="David"/>
        <w:color w:val="000000"/>
        <w:sz w:val="22"/>
        <w:szCs w:val="22"/>
        <w:rtl/>
      </w:rPr>
      <w:tab/>
      <w:t xml:space="preserve"> מדינת ישראל נ' שאהין שאהין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FA2DD" w14:textId="77777777" w:rsidR="00B974B7" w:rsidRPr="00351F4C" w:rsidRDefault="00351F4C" w:rsidP="00351F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59911-06-21</w:t>
    </w:r>
    <w:r>
      <w:rPr>
        <w:rFonts w:ascii="David" w:hAnsi="David"/>
        <w:color w:val="000000"/>
        <w:sz w:val="22"/>
        <w:szCs w:val="22"/>
        <w:rtl/>
      </w:rPr>
      <w:tab/>
      <w:t xml:space="preserve"> מדינת ישראל נ' שאהין שאהין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A20AA"/>
    <w:multiLevelType w:val="hybridMultilevel"/>
    <w:tmpl w:val="8C60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65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31C1"/>
    <w:rsid w:val="0008000E"/>
    <w:rsid w:val="001B5A3B"/>
    <w:rsid w:val="00351F4C"/>
    <w:rsid w:val="003F06B4"/>
    <w:rsid w:val="0053086B"/>
    <w:rsid w:val="00641704"/>
    <w:rsid w:val="006774B8"/>
    <w:rsid w:val="007B27F3"/>
    <w:rsid w:val="00811AF6"/>
    <w:rsid w:val="0088497D"/>
    <w:rsid w:val="00930DFD"/>
    <w:rsid w:val="00A41A54"/>
    <w:rsid w:val="00B045CD"/>
    <w:rsid w:val="00B631C1"/>
    <w:rsid w:val="00B974B7"/>
    <w:rsid w:val="00E953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0D58DB"/>
  <w15:chartTrackingRefBased/>
  <w15:docId w15:val="{771E61F6-8EB4-42AA-8235-EB466454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31C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31C1"/>
    <w:pPr>
      <w:tabs>
        <w:tab w:val="center" w:pos="4153"/>
        <w:tab w:val="right" w:pos="8306"/>
      </w:tabs>
    </w:pPr>
  </w:style>
  <w:style w:type="character" w:customStyle="1" w:styleId="a4">
    <w:name w:val="כותרת עליונה תו"/>
    <w:link w:val="a3"/>
    <w:rsid w:val="00B631C1"/>
    <w:rPr>
      <w:rFonts w:ascii="Times New Roman" w:eastAsia="Times New Roman" w:hAnsi="Times New Roman" w:cs="David"/>
      <w:noProof/>
      <w:sz w:val="24"/>
      <w:szCs w:val="24"/>
    </w:rPr>
  </w:style>
  <w:style w:type="paragraph" w:styleId="a5">
    <w:name w:val="footer"/>
    <w:basedOn w:val="a"/>
    <w:link w:val="a6"/>
    <w:rsid w:val="00B631C1"/>
    <w:pPr>
      <w:tabs>
        <w:tab w:val="center" w:pos="4153"/>
        <w:tab w:val="right" w:pos="8306"/>
      </w:tabs>
    </w:pPr>
  </w:style>
  <w:style w:type="character" w:customStyle="1" w:styleId="a6">
    <w:name w:val="כותרת תחתונה תו"/>
    <w:link w:val="a5"/>
    <w:rsid w:val="00B631C1"/>
    <w:rPr>
      <w:rFonts w:ascii="Times New Roman" w:eastAsia="Times New Roman" w:hAnsi="Times New Roman" w:cs="David"/>
      <w:noProof/>
      <w:sz w:val="24"/>
      <w:szCs w:val="24"/>
    </w:rPr>
  </w:style>
  <w:style w:type="table" w:styleId="a7">
    <w:name w:val="Table Grid"/>
    <w:basedOn w:val="a1"/>
    <w:rsid w:val="00B631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31C1"/>
  </w:style>
  <w:style w:type="paragraph" w:styleId="a9">
    <w:name w:val="List Paragraph"/>
    <w:basedOn w:val="a"/>
    <w:qFormat/>
    <w:rsid w:val="00B631C1"/>
    <w:pPr>
      <w:ind w:left="720"/>
      <w:contextualSpacing/>
    </w:pPr>
  </w:style>
  <w:style w:type="paragraph" w:customStyle="1" w:styleId="Ruller4">
    <w:name w:val="Ruller4"/>
    <w:basedOn w:val="a"/>
    <w:rsid w:val="00B631C1"/>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styleId="Hyperlink">
    <w:name w:val="Hyperlink"/>
    <w:rsid w:val="00B631C1"/>
    <w:rPr>
      <w:color w:val="0000FF"/>
      <w:u w:val="single"/>
    </w:rPr>
  </w:style>
  <w:style w:type="character" w:styleId="aa">
    <w:name w:val="line number"/>
    <w:rsid w:val="00B63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1809995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26538254"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824863" TargetMode="External"/><Relationship Id="rId5" Type="http://schemas.openxmlformats.org/officeDocument/2006/relationships/footnotes" Target="footnotes.xml"/><Relationship Id="rId15" Type="http://schemas.openxmlformats.org/officeDocument/2006/relationships/hyperlink" Target="http://www.nevo.co.il/case/3978846"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473037"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1119</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6701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7864368</vt:i4>
      </vt:variant>
      <vt:variant>
        <vt:i4>27</vt:i4>
      </vt:variant>
      <vt:variant>
        <vt:i4>0</vt:i4>
      </vt:variant>
      <vt:variant>
        <vt:i4>5</vt:i4>
      </vt:variant>
      <vt:variant>
        <vt:lpwstr>http://www.eca.gov.il/</vt:lpwstr>
      </vt:variant>
      <vt:variant>
        <vt:lpwstr/>
      </vt:variant>
      <vt:variant>
        <vt:i4>3801201</vt:i4>
      </vt:variant>
      <vt:variant>
        <vt:i4>24</vt:i4>
      </vt:variant>
      <vt:variant>
        <vt:i4>0</vt:i4>
      </vt:variant>
      <vt:variant>
        <vt:i4>5</vt:i4>
      </vt:variant>
      <vt:variant>
        <vt:lpwstr>http://www.nevo.co.il/case/3978846</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3997820</vt:i4>
      </vt:variant>
      <vt:variant>
        <vt:i4>18</vt:i4>
      </vt:variant>
      <vt:variant>
        <vt:i4>0</vt:i4>
      </vt:variant>
      <vt:variant>
        <vt:i4>5</vt:i4>
      </vt:variant>
      <vt:variant>
        <vt:lpwstr>http://www.nevo.co.il/case/18099950</vt:lpwstr>
      </vt:variant>
      <vt:variant>
        <vt:lpwstr/>
      </vt:variant>
      <vt:variant>
        <vt:i4>3801203</vt:i4>
      </vt:variant>
      <vt:variant>
        <vt:i4>15</vt:i4>
      </vt:variant>
      <vt:variant>
        <vt:i4>0</vt:i4>
      </vt:variant>
      <vt:variant>
        <vt:i4>5</vt:i4>
      </vt:variant>
      <vt:variant>
        <vt:lpwstr>http://www.nevo.co.il/case/26538254</vt:lpwstr>
      </vt:variant>
      <vt:variant>
        <vt:lpwstr/>
      </vt:variant>
      <vt:variant>
        <vt:i4>3670139</vt:i4>
      </vt:variant>
      <vt:variant>
        <vt:i4>12</vt:i4>
      </vt:variant>
      <vt:variant>
        <vt:i4>0</vt:i4>
      </vt:variant>
      <vt:variant>
        <vt:i4>5</vt:i4>
      </vt:variant>
      <vt:variant>
        <vt:lpwstr>http://www.nevo.co.il/case/25824863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59911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שאהין שאהין</vt:lpwstr>
  </property>
  <property fmtid="{D5CDD505-2E9C-101B-9397-08002B2CF9AE}" pid="10" name="LAWYER">
    <vt:lpwstr>עבדאללה חורי</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20220503</vt:lpwstr>
  </property>
  <property fmtid="{D5CDD505-2E9C-101B-9397-08002B2CF9AE}" pid="14" name="TYPE_N_DATE">
    <vt:lpwstr>38020220503</vt:lpwstr>
  </property>
  <property fmtid="{D5CDD505-2E9C-101B-9397-08002B2CF9AE}" pid="15" name="WORDNUMPAGES">
    <vt:lpwstr>4</vt:lpwstr>
  </property>
  <property fmtid="{D5CDD505-2E9C-101B-9397-08002B2CF9AE}" pid="16" name="TYPE_ABS_DATE">
    <vt:lpwstr>380020220503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25824863;26538254;18099950;6473037;3978846</vt:lpwstr>
  </property>
  <property fmtid="{D5CDD505-2E9C-101B-9397-08002B2CF9AE}" pid="36" name="LAWLISTTMP1">
    <vt:lpwstr>70301/144.a</vt:lpwstr>
  </property>
</Properties>
</file>