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42" w:type="dxa"/>
        <w:jc w:val="center"/>
        <w:tblLook w:val="0000" w:firstRow="0" w:lastRow="0" w:firstColumn="0" w:lastColumn="0" w:noHBand="0" w:noVBand="0"/>
      </w:tblPr>
      <w:tblGrid>
        <w:gridCol w:w="276"/>
        <w:gridCol w:w="5042"/>
        <w:gridCol w:w="3847"/>
        <w:gridCol w:w="277"/>
      </w:tblGrid>
      <w:tr w:rsidR="007C0569" w:rsidRPr="00FC2A61" w14:paraId="68B137CA" w14:textId="77777777" w:rsidTr="004A7CB6">
        <w:trPr>
          <w:gridBefore w:val="1"/>
          <w:wBefore w:w="276" w:type="dxa"/>
          <w:trHeight w:hRule="exact" w:val="644"/>
          <w:jc w:val="center"/>
        </w:trPr>
        <w:tc>
          <w:tcPr>
            <w:tcW w:w="9166" w:type="dxa"/>
            <w:gridSpan w:val="3"/>
          </w:tcPr>
          <w:p w14:paraId="76A9BC7E" w14:textId="77777777" w:rsidR="007C0569" w:rsidRPr="00FC2A61" w:rsidRDefault="007C0569" w:rsidP="004A7CB6">
            <w:pPr>
              <w:pStyle w:val="a3"/>
              <w:jc w:val="center"/>
              <w:rPr>
                <w:rFonts w:ascii="Tahoma" w:hAnsi="Tahoma" w:cs="Tahoma"/>
                <w:color w:val="000080"/>
                <w:rtl/>
              </w:rPr>
            </w:pPr>
            <w:bookmarkStart w:id="0" w:name="LastJudge"/>
            <w:r w:rsidRPr="00FC2A61">
              <w:rPr>
                <w:rFonts w:ascii="Tahoma" w:hAnsi="Tahoma" w:cs="Tahoma"/>
                <w:b/>
                <w:bCs/>
                <w:color w:val="000080"/>
                <w:rtl/>
              </w:rPr>
              <w:t>בית משפט השלום ברמלה</w:t>
            </w:r>
          </w:p>
        </w:tc>
      </w:tr>
      <w:tr w:rsidR="007C0569" w:rsidRPr="00FC2A61" w14:paraId="79A7035B" w14:textId="77777777" w:rsidTr="004A7CB6">
        <w:trPr>
          <w:gridAfter w:val="1"/>
          <w:wAfter w:w="277" w:type="dxa"/>
          <w:trHeight w:val="519"/>
          <w:jc w:val="center"/>
        </w:trPr>
        <w:tc>
          <w:tcPr>
            <w:tcW w:w="5318" w:type="dxa"/>
            <w:gridSpan w:val="2"/>
          </w:tcPr>
          <w:p w14:paraId="71B630B3" w14:textId="77777777" w:rsidR="007C0569" w:rsidRPr="00FC2A61" w:rsidRDefault="007C0569" w:rsidP="004A7CB6">
            <w:pPr>
              <w:rPr>
                <w:rFonts w:ascii="David" w:hAnsi="David"/>
                <w:b/>
                <w:bCs/>
                <w:sz w:val="28"/>
                <w:szCs w:val="28"/>
                <w:rtl/>
              </w:rPr>
            </w:pPr>
            <w:r w:rsidRPr="00FC2A61">
              <w:rPr>
                <w:rFonts w:ascii="David" w:hAnsi="David"/>
                <w:b/>
                <w:bCs/>
                <w:sz w:val="28"/>
                <w:szCs w:val="28"/>
                <w:rtl/>
              </w:rPr>
              <w:t>ת"פ 1064-10-21 מדינת ישראל נ' עבד אל האדי</w:t>
            </w:r>
          </w:p>
          <w:p w14:paraId="75772794" w14:textId="77777777" w:rsidR="007C0569" w:rsidRPr="00FC2A61" w:rsidRDefault="007C0569" w:rsidP="004A7CB6">
            <w:pPr>
              <w:pStyle w:val="a3"/>
              <w:rPr>
                <w:rFonts w:ascii="David" w:hAnsi="David"/>
                <w:b/>
                <w:bCs/>
                <w:sz w:val="28"/>
                <w:szCs w:val="28"/>
                <w:rtl/>
              </w:rPr>
            </w:pPr>
            <w:r w:rsidRPr="00FC2A61">
              <w:rPr>
                <w:rFonts w:ascii="David" w:hAnsi="David" w:hint="cs"/>
                <w:b/>
                <w:bCs/>
                <w:sz w:val="28"/>
                <w:szCs w:val="28"/>
                <w:rtl/>
              </w:rPr>
              <w:t xml:space="preserve">ת"פ 20714-02-19 </w:t>
            </w:r>
            <w:r w:rsidRPr="00FC2A61">
              <w:rPr>
                <w:rFonts w:ascii="David" w:hAnsi="David"/>
                <w:b/>
                <w:bCs/>
                <w:sz w:val="28"/>
                <w:szCs w:val="28"/>
                <w:rtl/>
              </w:rPr>
              <w:t>מדינת ישראל נ' עבד אל האדי</w:t>
            </w:r>
          </w:p>
        </w:tc>
        <w:tc>
          <w:tcPr>
            <w:tcW w:w="3847" w:type="dxa"/>
          </w:tcPr>
          <w:p w14:paraId="77364FF9" w14:textId="77777777" w:rsidR="007C0569" w:rsidRPr="00FC2A61" w:rsidRDefault="007C0569" w:rsidP="004A7CB6">
            <w:pPr>
              <w:pStyle w:val="a3"/>
              <w:jc w:val="right"/>
              <w:rPr>
                <w:rFonts w:ascii="David" w:hAnsi="David"/>
                <w:b/>
                <w:bCs/>
                <w:sz w:val="28"/>
                <w:szCs w:val="28"/>
                <w:rtl/>
              </w:rPr>
            </w:pPr>
          </w:p>
        </w:tc>
      </w:tr>
    </w:tbl>
    <w:p w14:paraId="1738BCA9" w14:textId="77777777" w:rsidR="007C0569" w:rsidRPr="00FC2A61" w:rsidRDefault="007C0569" w:rsidP="007C0569">
      <w:pPr>
        <w:pStyle w:val="a3"/>
        <w:rPr>
          <w:rtl/>
        </w:rPr>
      </w:pPr>
      <w:r w:rsidRPr="00FC2A61">
        <w:rPr>
          <w:rFonts w:hint="cs"/>
          <w:rtl/>
        </w:rPr>
        <w:t xml:space="preserve"> </w:t>
      </w:r>
    </w:p>
    <w:p w14:paraId="76AA69F2" w14:textId="77777777" w:rsidR="007C0569" w:rsidRPr="00FC2A61" w:rsidRDefault="007C0569" w:rsidP="007C0569">
      <w:pPr>
        <w:rPr>
          <w:rtl/>
        </w:rPr>
      </w:pPr>
    </w:p>
    <w:p w14:paraId="02AF5EDB" w14:textId="77777777" w:rsidR="007C0569" w:rsidRPr="00FC2A61" w:rsidRDefault="007C0569" w:rsidP="007C0569">
      <w:pPr>
        <w:rPr>
          <w:rtl/>
        </w:rPr>
      </w:pPr>
    </w:p>
    <w:tbl>
      <w:tblPr>
        <w:bidiVisual/>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3422"/>
        <w:gridCol w:w="4976"/>
      </w:tblGrid>
      <w:tr w:rsidR="007C0569" w:rsidRPr="00FC2A61" w14:paraId="484F2AC4" w14:textId="77777777" w:rsidTr="007C0569">
        <w:trPr>
          <w:trHeight w:val="312"/>
          <w:jc w:val="center"/>
        </w:trPr>
        <w:tc>
          <w:tcPr>
            <w:tcW w:w="980" w:type="dxa"/>
            <w:tcBorders>
              <w:top w:val="nil"/>
              <w:left w:val="nil"/>
              <w:bottom w:val="nil"/>
              <w:right w:val="nil"/>
            </w:tcBorders>
            <w:shd w:val="clear" w:color="auto" w:fill="auto"/>
          </w:tcPr>
          <w:p w14:paraId="1CD6A771" w14:textId="77777777" w:rsidR="007C0569" w:rsidRPr="00FC2A61" w:rsidRDefault="007C0569" w:rsidP="007C0569">
            <w:pPr>
              <w:jc w:val="both"/>
              <w:rPr>
                <w:rFonts w:ascii="David" w:hAnsi="David"/>
                <w:b/>
                <w:bCs/>
                <w:sz w:val="26"/>
                <w:szCs w:val="26"/>
              </w:rPr>
            </w:pPr>
            <w:r w:rsidRPr="00FC2A61">
              <w:rPr>
                <w:rFonts w:ascii="David" w:hAnsi="David" w:hint="cs"/>
                <w:b/>
                <w:bCs/>
                <w:sz w:val="26"/>
                <w:szCs w:val="26"/>
                <w:rtl/>
              </w:rPr>
              <w:t xml:space="preserve">      ל</w:t>
            </w:r>
            <w:r w:rsidRPr="00FC2A61">
              <w:rPr>
                <w:rFonts w:ascii="David" w:hAnsi="David"/>
                <w:b/>
                <w:bCs/>
                <w:sz w:val="26"/>
                <w:szCs w:val="26"/>
                <w:rtl/>
              </w:rPr>
              <w:t xml:space="preserve">פני </w:t>
            </w:r>
          </w:p>
        </w:tc>
        <w:tc>
          <w:tcPr>
            <w:tcW w:w="8398" w:type="dxa"/>
            <w:gridSpan w:val="2"/>
            <w:tcBorders>
              <w:top w:val="nil"/>
              <w:left w:val="nil"/>
              <w:bottom w:val="nil"/>
              <w:right w:val="nil"/>
            </w:tcBorders>
            <w:shd w:val="clear" w:color="auto" w:fill="auto"/>
          </w:tcPr>
          <w:p w14:paraId="71E25026" w14:textId="77777777" w:rsidR="007C0569" w:rsidRPr="00FC2A61" w:rsidRDefault="007C0569" w:rsidP="004A7CB6">
            <w:pPr>
              <w:rPr>
                <w:rFonts w:ascii="David" w:hAnsi="David"/>
                <w:b/>
                <w:bCs/>
                <w:sz w:val="26"/>
                <w:szCs w:val="26"/>
                <w:rtl/>
              </w:rPr>
            </w:pPr>
            <w:r w:rsidRPr="00FC2A61">
              <w:rPr>
                <w:rFonts w:ascii="David" w:hAnsi="David"/>
                <w:b/>
                <w:bCs/>
                <w:sz w:val="26"/>
                <w:szCs w:val="26"/>
                <w:rtl/>
              </w:rPr>
              <w:t>כבוד השופטת  אילה אורן</w:t>
            </w:r>
          </w:p>
          <w:p w14:paraId="1229B832" w14:textId="77777777" w:rsidR="007C0569" w:rsidRPr="00FC2A61" w:rsidRDefault="007C0569" w:rsidP="004A7CB6">
            <w:pPr>
              <w:rPr>
                <w:rFonts w:ascii="David" w:hAnsi="David"/>
                <w:sz w:val="26"/>
                <w:szCs w:val="26"/>
                <w:rtl/>
              </w:rPr>
            </w:pPr>
          </w:p>
          <w:p w14:paraId="658C0957" w14:textId="77777777" w:rsidR="007C0569" w:rsidRPr="00FC2A61" w:rsidRDefault="007C0569" w:rsidP="007C0569">
            <w:pPr>
              <w:jc w:val="both"/>
              <w:rPr>
                <w:rFonts w:ascii="David" w:hAnsi="David"/>
                <w:sz w:val="26"/>
                <w:szCs w:val="26"/>
              </w:rPr>
            </w:pPr>
          </w:p>
        </w:tc>
      </w:tr>
      <w:tr w:rsidR="007C0569" w:rsidRPr="00FC2A61" w14:paraId="4F27E02A" w14:textId="77777777" w:rsidTr="00412333">
        <w:trPr>
          <w:trHeight w:val="375"/>
          <w:jc w:val="center"/>
        </w:trPr>
        <w:tc>
          <w:tcPr>
            <w:tcW w:w="980" w:type="dxa"/>
            <w:tcBorders>
              <w:top w:val="nil"/>
              <w:left w:val="nil"/>
              <w:bottom w:val="nil"/>
              <w:right w:val="nil"/>
            </w:tcBorders>
            <w:shd w:val="clear" w:color="auto" w:fill="auto"/>
          </w:tcPr>
          <w:p w14:paraId="20288B14" w14:textId="77777777" w:rsidR="007C0569" w:rsidRPr="00FC2A61" w:rsidRDefault="007C0569" w:rsidP="007C0569">
            <w:pPr>
              <w:jc w:val="both"/>
              <w:rPr>
                <w:rFonts w:ascii="David" w:hAnsi="David"/>
                <w:sz w:val="26"/>
                <w:szCs w:val="26"/>
              </w:rPr>
            </w:pPr>
            <w:bookmarkStart w:id="1" w:name="FirstAppellant"/>
          </w:p>
        </w:tc>
        <w:tc>
          <w:tcPr>
            <w:tcW w:w="3422" w:type="dxa"/>
            <w:tcBorders>
              <w:top w:val="nil"/>
              <w:left w:val="nil"/>
              <w:bottom w:val="nil"/>
              <w:right w:val="nil"/>
            </w:tcBorders>
            <w:shd w:val="clear" w:color="auto" w:fill="auto"/>
          </w:tcPr>
          <w:p w14:paraId="4E6C4AFE" w14:textId="77777777" w:rsidR="007C0569" w:rsidRPr="00FC2A61" w:rsidRDefault="007C0569" w:rsidP="007C0569">
            <w:pPr>
              <w:suppressLineNumbers/>
            </w:pPr>
            <w:r w:rsidRPr="00FC2A61">
              <w:rPr>
                <w:rFonts w:ascii="Arial" w:hAnsi="Arial" w:hint="cs"/>
                <w:b/>
                <w:bCs/>
                <w:sz w:val="26"/>
                <w:szCs w:val="26"/>
                <w:rtl/>
              </w:rPr>
              <w:t>ה</w:t>
            </w:r>
            <w:r w:rsidRPr="00FC2A61">
              <w:rPr>
                <w:rFonts w:ascii="Arial" w:hAnsi="Arial"/>
                <w:b/>
                <w:bCs/>
                <w:sz w:val="26"/>
                <w:szCs w:val="26"/>
                <w:rtl/>
              </w:rPr>
              <w:t>מאשימה</w:t>
            </w:r>
          </w:p>
          <w:p w14:paraId="2B85CC1D" w14:textId="77777777" w:rsidR="007C0569" w:rsidRPr="00FC2A61" w:rsidRDefault="007C0569" w:rsidP="004A7CB6">
            <w:pPr>
              <w:rPr>
                <w:rFonts w:ascii="David" w:hAnsi="David"/>
                <w:sz w:val="26"/>
                <w:szCs w:val="26"/>
              </w:rPr>
            </w:pPr>
          </w:p>
        </w:tc>
        <w:tc>
          <w:tcPr>
            <w:tcW w:w="4976" w:type="dxa"/>
            <w:tcBorders>
              <w:top w:val="nil"/>
              <w:left w:val="nil"/>
              <w:bottom w:val="nil"/>
              <w:right w:val="nil"/>
            </w:tcBorders>
            <w:shd w:val="clear" w:color="auto" w:fill="auto"/>
            <w:vAlign w:val="center"/>
          </w:tcPr>
          <w:p w14:paraId="46F44635" w14:textId="77777777" w:rsidR="007C0569" w:rsidRPr="00FC2A61" w:rsidRDefault="007C0569" w:rsidP="007C0569">
            <w:pPr>
              <w:suppressLineNumbers/>
              <w:rPr>
                <w:rFonts w:ascii="Arial" w:hAnsi="Arial"/>
                <w:b/>
                <w:bCs/>
                <w:sz w:val="26"/>
                <w:szCs w:val="26"/>
                <w:rtl/>
              </w:rPr>
            </w:pPr>
            <w:r w:rsidRPr="00FC2A61">
              <w:rPr>
                <w:rFonts w:ascii="Arial" w:hAnsi="Arial"/>
                <w:b/>
                <w:bCs/>
                <w:sz w:val="26"/>
                <w:szCs w:val="26"/>
                <w:rtl/>
              </w:rPr>
              <w:t>מדינת ישראל</w:t>
            </w:r>
            <w:r w:rsidRPr="00FC2A61">
              <w:rPr>
                <w:rFonts w:ascii="Arial" w:hAnsi="Arial" w:hint="cs"/>
                <w:b/>
                <w:bCs/>
                <w:sz w:val="26"/>
                <w:szCs w:val="26"/>
                <w:rtl/>
              </w:rPr>
              <w:t xml:space="preserve"> </w:t>
            </w:r>
          </w:p>
          <w:p w14:paraId="243638A5" w14:textId="77777777" w:rsidR="007C0569" w:rsidRPr="00FC2A61" w:rsidRDefault="007C0569" w:rsidP="007C0569">
            <w:pPr>
              <w:suppressLineNumbers/>
              <w:rPr>
                <w:rFonts w:ascii="David" w:hAnsi="David"/>
                <w:sz w:val="26"/>
                <w:szCs w:val="26"/>
              </w:rPr>
            </w:pPr>
          </w:p>
        </w:tc>
      </w:tr>
      <w:bookmarkEnd w:id="1"/>
      <w:tr w:rsidR="007C0569" w:rsidRPr="00FC2A61" w14:paraId="6966DEC9" w14:textId="77777777" w:rsidTr="007C0569">
        <w:trPr>
          <w:trHeight w:val="375"/>
          <w:jc w:val="center"/>
        </w:trPr>
        <w:tc>
          <w:tcPr>
            <w:tcW w:w="980" w:type="dxa"/>
            <w:tcBorders>
              <w:top w:val="nil"/>
              <w:left w:val="nil"/>
              <w:bottom w:val="nil"/>
              <w:right w:val="nil"/>
            </w:tcBorders>
            <w:shd w:val="clear" w:color="auto" w:fill="auto"/>
          </w:tcPr>
          <w:p w14:paraId="47CF9D60" w14:textId="77777777" w:rsidR="007C0569" w:rsidRPr="00FC2A61" w:rsidRDefault="007C0569" w:rsidP="007C0569">
            <w:pPr>
              <w:jc w:val="both"/>
              <w:rPr>
                <w:rFonts w:ascii="David" w:hAnsi="David"/>
                <w:sz w:val="26"/>
                <w:szCs w:val="26"/>
                <w:rtl/>
              </w:rPr>
            </w:pPr>
          </w:p>
        </w:tc>
        <w:tc>
          <w:tcPr>
            <w:tcW w:w="8398" w:type="dxa"/>
            <w:gridSpan w:val="2"/>
            <w:tcBorders>
              <w:top w:val="nil"/>
              <w:left w:val="nil"/>
              <w:bottom w:val="nil"/>
              <w:right w:val="nil"/>
            </w:tcBorders>
            <w:shd w:val="clear" w:color="auto" w:fill="auto"/>
          </w:tcPr>
          <w:p w14:paraId="02D537DB" w14:textId="77777777" w:rsidR="007C0569" w:rsidRPr="00FC2A61" w:rsidRDefault="007C0569" w:rsidP="007C0569">
            <w:pPr>
              <w:jc w:val="center"/>
              <w:rPr>
                <w:rFonts w:ascii="David" w:hAnsi="David"/>
                <w:b/>
                <w:bCs/>
                <w:sz w:val="26"/>
                <w:szCs w:val="26"/>
                <w:rtl/>
              </w:rPr>
            </w:pPr>
            <w:r w:rsidRPr="00FC2A61">
              <w:rPr>
                <w:rFonts w:ascii="David" w:hAnsi="David"/>
                <w:b/>
                <w:bCs/>
                <w:sz w:val="26"/>
                <w:szCs w:val="26"/>
                <w:rtl/>
              </w:rPr>
              <w:t>נגד</w:t>
            </w:r>
          </w:p>
          <w:p w14:paraId="48CC8714" w14:textId="77777777" w:rsidR="007C0569" w:rsidRPr="00FC2A61" w:rsidRDefault="007C0569" w:rsidP="007C0569">
            <w:pPr>
              <w:jc w:val="both"/>
              <w:rPr>
                <w:rFonts w:ascii="David" w:hAnsi="David"/>
                <w:sz w:val="26"/>
                <w:szCs w:val="26"/>
              </w:rPr>
            </w:pPr>
          </w:p>
        </w:tc>
      </w:tr>
      <w:tr w:rsidR="007C0569" w:rsidRPr="00FC2A61" w14:paraId="4500ADED" w14:textId="77777777" w:rsidTr="00412333">
        <w:trPr>
          <w:trHeight w:val="375"/>
          <w:jc w:val="center"/>
        </w:trPr>
        <w:tc>
          <w:tcPr>
            <w:tcW w:w="980" w:type="dxa"/>
            <w:tcBorders>
              <w:top w:val="nil"/>
              <w:left w:val="nil"/>
              <w:bottom w:val="nil"/>
              <w:right w:val="nil"/>
            </w:tcBorders>
            <w:shd w:val="clear" w:color="auto" w:fill="auto"/>
          </w:tcPr>
          <w:p w14:paraId="2A7DB1AB" w14:textId="77777777" w:rsidR="007C0569" w:rsidRPr="00FC2A61" w:rsidRDefault="007C0569" w:rsidP="004A7CB6">
            <w:pPr>
              <w:rPr>
                <w:rFonts w:ascii="David" w:hAnsi="David"/>
                <w:sz w:val="26"/>
                <w:szCs w:val="26"/>
                <w:rtl/>
              </w:rPr>
            </w:pPr>
          </w:p>
        </w:tc>
        <w:tc>
          <w:tcPr>
            <w:tcW w:w="3422" w:type="dxa"/>
            <w:tcBorders>
              <w:top w:val="nil"/>
              <w:left w:val="nil"/>
              <w:bottom w:val="nil"/>
              <w:right w:val="nil"/>
            </w:tcBorders>
            <w:shd w:val="clear" w:color="auto" w:fill="auto"/>
          </w:tcPr>
          <w:p w14:paraId="3315AF22" w14:textId="77777777" w:rsidR="007C0569" w:rsidRPr="00FC2A61" w:rsidRDefault="007C0569" w:rsidP="004A7CB6">
            <w:pPr>
              <w:rPr>
                <w:rFonts w:ascii="Arial" w:hAnsi="Arial"/>
                <w:b/>
                <w:bCs/>
                <w:sz w:val="26"/>
                <w:szCs w:val="26"/>
                <w:rtl/>
              </w:rPr>
            </w:pPr>
            <w:r w:rsidRPr="00FC2A61">
              <w:rPr>
                <w:rFonts w:ascii="Arial" w:hAnsi="Arial"/>
                <w:b/>
                <w:bCs/>
                <w:sz w:val="26"/>
                <w:szCs w:val="26"/>
                <w:rtl/>
              </w:rPr>
              <w:t>הנאשם</w:t>
            </w:r>
          </w:p>
        </w:tc>
        <w:tc>
          <w:tcPr>
            <w:tcW w:w="4976" w:type="dxa"/>
            <w:tcBorders>
              <w:top w:val="nil"/>
              <w:left w:val="nil"/>
              <w:bottom w:val="nil"/>
              <w:right w:val="nil"/>
            </w:tcBorders>
            <w:shd w:val="clear" w:color="auto" w:fill="auto"/>
            <w:vAlign w:val="center"/>
          </w:tcPr>
          <w:p w14:paraId="61EC862A" w14:textId="77777777" w:rsidR="007C0569" w:rsidRPr="00FC2A61" w:rsidRDefault="007C0569" w:rsidP="007C0569">
            <w:pPr>
              <w:suppressLineNumbers/>
            </w:pPr>
            <w:r w:rsidRPr="00FC2A61">
              <w:rPr>
                <w:rFonts w:ascii="Arial" w:hAnsi="Arial"/>
                <w:b/>
                <w:bCs/>
                <w:sz w:val="26"/>
                <w:szCs w:val="26"/>
                <w:rtl/>
              </w:rPr>
              <w:t>חסיב עבד אל האדי</w:t>
            </w:r>
          </w:p>
          <w:p w14:paraId="49E3D8CB" w14:textId="77777777" w:rsidR="007C0569" w:rsidRPr="00FC2A61" w:rsidRDefault="007C0569" w:rsidP="004A7CB6">
            <w:pPr>
              <w:rPr>
                <w:rFonts w:ascii="David" w:hAnsi="David"/>
                <w:sz w:val="26"/>
                <w:szCs w:val="26"/>
              </w:rPr>
            </w:pPr>
          </w:p>
        </w:tc>
      </w:tr>
    </w:tbl>
    <w:p w14:paraId="461D3031" w14:textId="77777777" w:rsidR="00F62D6A" w:rsidRPr="00F62D6A" w:rsidRDefault="00F62D6A" w:rsidP="00F62D6A">
      <w:pPr>
        <w:spacing w:before="120" w:after="120" w:line="240" w:lineRule="exact"/>
        <w:ind w:left="283" w:hanging="283"/>
        <w:jc w:val="both"/>
        <w:rPr>
          <w:rFonts w:ascii="FrankRuehl" w:hAnsi="FrankRuehl" w:cs="FrankRuehl"/>
          <w:rtl/>
        </w:rPr>
      </w:pPr>
    </w:p>
    <w:p w14:paraId="68CEB27F" w14:textId="77777777" w:rsidR="007A7090" w:rsidRDefault="007A7090" w:rsidP="007A7090">
      <w:pPr>
        <w:rPr>
          <w:sz w:val="26"/>
          <w:szCs w:val="26"/>
          <w:rtl/>
        </w:rPr>
      </w:pPr>
      <w:bookmarkStart w:id="2" w:name="LawTable"/>
      <w:bookmarkEnd w:id="2"/>
    </w:p>
    <w:p w14:paraId="5CA2A526" w14:textId="77777777" w:rsidR="007A7090" w:rsidRPr="007A7090" w:rsidRDefault="007A7090" w:rsidP="007A7090">
      <w:pPr>
        <w:spacing w:before="120" w:after="120" w:line="240" w:lineRule="exact"/>
        <w:ind w:left="283" w:hanging="283"/>
        <w:jc w:val="both"/>
        <w:rPr>
          <w:rFonts w:ascii="FrankRuehl" w:hAnsi="FrankRuehl" w:cs="FrankRuehl"/>
          <w:rtl/>
        </w:rPr>
      </w:pPr>
    </w:p>
    <w:p w14:paraId="66A69C09" w14:textId="77777777" w:rsidR="007A7090" w:rsidRPr="007A7090" w:rsidRDefault="007A7090" w:rsidP="007A7090">
      <w:pPr>
        <w:spacing w:before="120" w:after="120" w:line="240" w:lineRule="exact"/>
        <w:ind w:left="283" w:hanging="283"/>
        <w:jc w:val="both"/>
        <w:rPr>
          <w:rFonts w:ascii="FrankRuehl" w:hAnsi="FrankRuehl" w:cs="FrankRuehl"/>
          <w:rtl/>
        </w:rPr>
      </w:pPr>
    </w:p>
    <w:p w14:paraId="20BD016E" w14:textId="77777777" w:rsidR="007A7090" w:rsidRPr="007A7090" w:rsidRDefault="007A7090" w:rsidP="007A7090">
      <w:pPr>
        <w:spacing w:before="120" w:after="120" w:line="240" w:lineRule="exact"/>
        <w:ind w:left="283" w:hanging="283"/>
        <w:jc w:val="both"/>
        <w:rPr>
          <w:rFonts w:ascii="FrankRuehl" w:hAnsi="FrankRuehl" w:cs="FrankRuehl"/>
          <w:rtl/>
        </w:rPr>
      </w:pPr>
      <w:r w:rsidRPr="007A7090">
        <w:rPr>
          <w:rFonts w:ascii="FrankRuehl" w:hAnsi="FrankRuehl" w:cs="FrankRuehl"/>
          <w:rtl/>
        </w:rPr>
        <w:t xml:space="preserve">חקיקה שאוזכרה: </w:t>
      </w:r>
    </w:p>
    <w:p w14:paraId="0DEC8B9E" w14:textId="77777777" w:rsidR="007A7090" w:rsidRPr="007A7090" w:rsidRDefault="007A7090" w:rsidP="007A7090">
      <w:pPr>
        <w:spacing w:before="120" w:after="120" w:line="240" w:lineRule="exact"/>
        <w:ind w:left="283" w:hanging="283"/>
        <w:jc w:val="both"/>
        <w:rPr>
          <w:rFonts w:ascii="FrankRuehl" w:hAnsi="FrankRuehl" w:cs="FrankRuehl"/>
          <w:rtl/>
        </w:rPr>
      </w:pPr>
      <w:hyperlink r:id="rId7" w:history="1">
        <w:r w:rsidRPr="007A7090">
          <w:rPr>
            <w:rFonts w:ascii="FrankRuehl" w:hAnsi="FrankRuehl" w:cs="FrankRuehl"/>
            <w:color w:val="0000FF"/>
            <w:rtl/>
          </w:rPr>
          <w:t>חוק העונשין, תשל"ז-1977</w:t>
        </w:r>
      </w:hyperlink>
      <w:r w:rsidRPr="007A7090">
        <w:rPr>
          <w:rFonts w:ascii="FrankRuehl" w:hAnsi="FrankRuehl" w:cs="FrankRuehl"/>
          <w:rtl/>
        </w:rPr>
        <w:t xml:space="preserve">: סע'  </w:t>
      </w:r>
      <w:hyperlink r:id="rId8" w:history="1">
        <w:r w:rsidRPr="007A7090">
          <w:rPr>
            <w:rFonts w:ascii="FrankRuehl" w:hAnsi="FrankRuehl" w:cs="FrankRuehl"/>
            <w:color w:val="0000FF"/>
            <w:rtl/>
          </w:rPr>
          <w:t>31</w:t>
        </w:r>
      </w:hyperlink>
      <w:r w:rsidRPr="007A7090">
        <w:rPr>
          <w:rFonts w:ascii="FrankRuehl" w:hAnsi="FrankRuehl" w:cs="FrankRuehl"/>
          <w:rtl/>
        </w:rPr>
        <w:t xml:space="preserve">, </w:t>
      </w:r>
      <w:hyperlink r:id="rId9" w:history="1">
        <w:r w:rsidRPr="007A7090">
          <w:rPr>
            <w:rFonts w:ascii="FrankRuehl" w:hAnsi="FrankRuehl" w:cs="FrankRuehl"/>
            <w:color w:val="0000FF"/>
            <w:rtl/>
          </w:rPr>
          <w:t>58</w:t>
        </w:r>
      </w:hyperlink>
      <w:r w:rsidRPr="007A7090">
        <w:rPr>
          <w:rFonts w:ascii="FrankRuehl" w:hAnsi="FrankRuehl" w:cs="FrankRuehl"/>
          <w:rtl/>
        </w:rPr>
        <w:t xml:space="preserve">, </w:t>
      </w:r>
      <w:hyperlink r:id="rId10" w:history="1">
        <w:r w:rsidRPr="007A7090">
          <w:rPr>
            <w:rFonts w:ascii="FrankRuehl" w:hAnsi="FrankRuehl" w:cs="FrankRuehl"/>
            <w:color w:val="0000FF"/>
            <w:rtl/>
          </w:rPr>
          <w:t>144(א)</w:t>
        </w:r>
      </w:hyperlink>
      <w:r w:rsidRPr="007A7090">
        <w:rPr>
          <w:rFonts w:ascii="FrankRuehl" w:hAnsi="FrankRuehl" w:cs="FrankRuehl"/>
          <w:rtl/>
        </w:rPr>
        <w:t xml:space="preserve">, </w:t>
      </w:r>
      <w:hyperlink r:id="rId11" w:history="1">
        <w:r w:rsidRPr="007A7090">
          <w:rPr>
            <w:rFonts w:ascii="FrankRuehl" w:hAnsi="FrankRuehl" w:cs="FrankRuehl"/>
            <w:color w:val="0000FF"/>
            <w:rtl/>
          </w:rPr>
          <w:t>244</w:t>
        </w:r>
      </w:hyperlink>
    </w:p>
    <w:p w14:paraId="46B4D7C8" w14:textId="77777777" w:rsidR="007A7090" w:rsidRPr="007A7090" w:rsidRDefault="007A7090" w:rsidP="007A7090">
      <w:pPr>
        <w:spacing w:before="120" w:after="120" w:line="240" w:lineRule="exact"/>
        <w:ind w:left="283" w:hanging="283"/>
        <w:jc w:val="both"/>
        <w:rPr>
          <w:rFonts w:ascii="FrankRuehl" w:hAnsi="FrankRuehl" w:cs="FrankRuehl"/>
          <w:rtl/>
        </w:rPr>
      </w:pPr>
      <w:hyperlink r:id="rId12" w:history="1">
        <w:r w:rsidRPr="007A7090">
          <w:rPr>
            <w:rFonts w:ascii="FrankRuehl" w:hAnsi="FrankRuehl" w:cs="FrankRuehl"/>
            <w:color w:val="0000FF"/>
            <w:rtl/>
          </w:rPr>
          <w:t>פקודת הסמים המסוכנים [נוסח חדש], תשל"ג-1973</w:t>
        </w:r>
      </w:hyperlink>
      <w:r w:rsidRPr="007A7090">
        <w:rPr>
          <w:rFonts w:ascii="FrankRuehl" w:hAnsi="FrankRuehl" w:cs="FrankRuehl"/>
          <w:rtl/>
        </w:rPr>
        <w:t xml:space="preserve">: סע'  </w:t>
      </w:r>
      <w:hyperlink r:id="rId13" w:history="1">
        <w:r w:rsidRPr="007A7090">
          <w:rPr>
            <w:rFonts w:ascii="FrankRuehl" w:hAnsi="FrankRuehl" w:cs="FrankRuehl"/>
            <w:color w:val="0000FF"/>
            <w:rtl/>
          </w:rPr>
          <w:t>6</w:t>
        </w:r>
      </w:hyperlink>
      <w:r w:rsidRPr="007A7090">
        <w:rPr>
          <w:rFonts w:ascii="FrankRuehl" w:hAnsi="FrankRuehl" w:cs="FrankRuehl"/>
          <w:rtl/>
        </w:rPr>
        <w:t xml:space="preserve">, </w:t>
      </w:r>
      <w:hyperlink r:id="rId14" w:history="1">
        <w:r w:rsidRPr="007A7090">
          <w:rPr>
            <w:rFonts w:ascii="FrankRuehl" w:hAnsi="FrankRuehl" w:cs="FrankRuehl"/>
            <w:color w:val="0000FF"/>
            <w:rtl/>
          </w:rPr>
          <w:t>7(א)</w:t>
        </w:r>
      </w:hyperlink>
      <w:r w:rsidRPr="007A7090">
        <w:rPr>
          <w:rFonts w:ascii="FrankRuehl" w:hAnsi="FrankRuehl" w:cs="FrankRuehl"/>
          <w:rtl/>
        </w:rPr>
        <w:t xml:space="preserve">, </w:t>
      </w:r>
      <w:hyperlink r:id="rId15" w:history="1">
        <w:r w:rsidRPr="007A7090">
          <w:rPr>
            <w:rFonts w:ascii="FrankRuehl" w:hAnsi="FrankRuehl" w:cs="FrankRuehl"/>
            <w:color w:val="0000FF"/>
            <w:rtl/>
          </w:rPr>
          <w:t>7(ג)</w:t>
        </w:r>
      </w:hyperlink>
    </w:p>
    <w:p w14:paraId="22C6F404" w14:textId="77777777" w:rsidR="007A7090" w:rsidRPr="007A7090" w:rsidRDefault="007A7090" w:rsidP="007A7090">
      <w:pPr>
        <w:rPr>
          <w:sz w:val="26"/>
          <w:szCs w:val="26"/>
          <w:rtl/>
        </w:rPr>
      </w:pPr>
      <w:bookmarkStart w:id="3" w:name="LawTable_End"/>
      <w:bookmarkEnd w:id="3"/>
    </w:p>
    <w:p w14:paraId="458C078F" w14:textId="77777777" w:rsidR="007C0569" w:rsidRPr="00F62D6A" w:rsidRDefault="007C0569" w:rsidP="00F62D6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0569" w14:paraId="26537D7C" w14:textId="77777777" w:rsidTr="007C0569">
        <w:trPr>
          <w:trHeight w:val="355"/>
          <w:jc w:val="center"/>
        </w:trPr>
        <w:tc>
          <w:tcPr>
            <w:tcW w:w="8820" w:type="dxa"/>
            <w:tcBorders>
              <w:top w:val="nil"/>
              <w:left w:val="nil"/>
              <w:bottom w:val="nil"/>
              <w:right w:val="nil"/>
            </w:tcBorders>
            <w:shd w:val="clear" w:color="auto" w:fill="auto"/>
          </w:tcPr>
          <w:p w14:paraId="280AC514" w14:textId="77777777" w:rsidR="00FC2A61" w:rsidRPr="00FC2A61" w:rsidRDefault="00FC2A61" w:rsidP="00FC2A61">
            <w:pPr>
              <w:jc w:val="center"/>
              <w:rPr>
                <w:rFonts w:ascii="David" w:hAnsi="David"/>
                <w:b/>
                <w:bCs/>
                <w:sz w:val="32"/>
                <w:szCs w:val="32"/>
                <w:u w:val="single"/>
                <w:rtl/>
              </w:rPr>
            </w:pPr>
            <w:bookmarkStart w:id="4" w:name="PsakDin" w:colFirst="0" w:colLast="0"/>
            <w:bookmarkEnd w:id="0"/>
            <w:r w:rsidRPr="00FC2A61">
              <w:rPr>
                <w:rFonts w:ascii="David" w:hAnsi="David"/>
                <w:b/>
                <w:bCs/>
                <w:sz w:val="32"/>
                <w:szCs w:val="32"/>
                <w:u w:val="single"/>
                <w:rtl/>
              </w:rPr>
              <w:t>גזר דין</w:t>
            </w:r>
          </w:p>
          <w:p w14:paraId="403758B9" w14:textId="77777777" w:rsidR="007C0569" w:rsidRPr="00FC2A61" w:rsidRDefault="007C0569" w:rsidP="00FC2A61">
            <w:pPr>
              <w:jc w:val="center"/>
              <w:rPr>
                <w:rFonts w:ascii="David" w:hAnsi="David"/>
                <w:bCs/>
                <w:sz w:val="32"/>
                <w:szCs w:val="32"/>
                <w:u w:val="single"/>
                <w:rtl/>
              </w:rPr>
            </w:pPr>
          </w:p>
        </w:tc>
      </w:tr>
      <w:bookmarkEnd w:id="4"/>
    </w:tbl>
    <w:p w14:paraId="6C01D470" w14:textId="77777777" w:rsidR="007C0569" w:rsidRPr="000F2247" w:rsidRDefault="007C0569" w:rsidP="007C0569">
      <w:pPr>
        <w:rPr>
          <w:rFonts w:ascii="Arial" w:hAnsi="Arial"/>
          <w:b/>
          <w:bCs/>
          <w:sz w:val="26"/>
          <w:szCs w:val="26"/>
          <w:rtl/>
        </w:rPr>
      </w:pPr>
    </w:p>
    <w:p w14:paraId="1D3FB717" w14:textId="77777777" w:rsidR="007C0569" w:rsidRDefault="007C0569" w:rsidP="007C0569">
      <w:pPr>
        <w:spacing w:line="360" w:lineRule="auto"/>
        <w:jc w:val="both"/>
        <w:rPr>
          <w:rFonts w:ascii="David" w:hAnsi="David"/>
          <w:rtl/>
        </w:rPr>
      </w:pPr>
    </w:p>
    <w:p w14:paraId="305F9E23" w14:textId="77777777" w:rsidR="007C0569" w:rsidRDefault="007C0569" w:rsidP="007C0569">
      <w:pPr>
        <w:spacing w:line="360" w:lineRule="auto"/>
        <w:jc w:val="both"/>
        <w:rPr>
          <w:rFonts w:ascii="David" w:hAnsi="David"/>
          <w:rtl/>
        </w:rPr>
      </w:pPr>
      <w:bookmarkStart w:id="5" w:name="ABSTRACT_START"/>
      <w:bookmarkEnd w:id="5"/>
      <w:r>
        <w:rPr>
          <w:rFonts w:ascii="David" w:hAnsi="David"/>
          <w:rtl/>
        </w:rPr>
        <w:t>הנאשם הורשע בהתאם להודאתו בביצוע עבירות נשק וסמים, בשני הליכים נפרדים שטיעוניהם לעונש נשמעו יחד מטעמי יעילות ולבקשת הנאשם.</w:t>
      </w:r>
    </w:p>
    <w:p w14:paraId="5F4261B4" w14:textId="77777777" w:rsidR="007C0569" w:rsidRDefault="007C0569" w:rsidP="007C0569">
      <w:pPr>
        <w:pStyle w:val="ac"/>
        <w:spacing w:after="0" w:line="360" w:lineRule="auto"/>
        <w:ind w:left="360"/>
        <w:jc w:val="both"/>
        <w:rPr>
          <w:rFonts w:ascii="David" w:hAnsi="David" w:cs="David"/>
          <w:sz w:val="24"/>
          <w:szCs w:val="24"/>
        </w:rPr>
      </w:pPr>
      <w:bookmarkStart w:id="6" w:name="ABSTRACT_END"/>
      <w:bookmarkEnd w:id="6"/>
      <w:r>
        <w:rPr>
          <w:rFonts w:ascii="David" w:hAnsi="David" w:cs="David"/>
          <w:sz w:val="24"/>
          <w:szCs w:val="24"/>
        </w:rPr>
        <w:t xml:space="preserve"> </w:t>
      </w:r>
    </w:p>
    <w:p w14:paraId="10AB310D" w14:textId="77777777" w:rsidR="007C0569" w:rsidRDefault="007C0569" w:rsidP="007C0569">
      <w:pPr>
        <w:spacing w:line="480" w:lineRule="auto"/>
        <w:jc w:val="both"/>
        <w:rPr>
          <w:rFonts w:ascii="David" w:hAnsi="David"/>
          <w:b/>
          <w:bCs/>
          <w:u w:val="single"/>
        </w:rPr>
      </w:pPr>
      <w:r>
        <w:rPr>
          <w:rFonts w:ascii="David" w:hAnsi="David"/>
          <w:b/>
          <w:bCs/>
          <w:u w:val="single"/>
          <w:rtl/>
        </w:rPr>
        <w:t>כתבי האישום</w:t>
      </w:r>
    </w:p>
    <w:p w14:paraId="12858077"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b/>
          <w:bCs/>
          <w:sz w:val="24"/>
          <w:szCs w:val="24"/>
          <w:rtl/>
        </w:rPr>
        <w:t xml:space="preserve">בתיק הנשק – </w:t>
      </w:r>
      <w:hyperlink r:id="rId16" w:history="1">
        <w:r w:rsidR="00FC2A61" w:rsidRPr="00FC2A61">
          <w:rPr>
            <w:rFonts w:ascii="David" w:hAnsi="David" w:cs="David"/>
            <w:b/>
            <w:bCs/>
            <w:color w:val="0000FF"/>
            <w:sz w:val="24"/>
            <w:szCs w:val="24"/>
            <w:u w:val="single"/>
            <w:rtl/>
          </w:rPr>
          <w:t>ת"פ 1064-10-21</w:t>
        </w:r>
      </w:hyperlink>
      <w:r>
        <w:rPr>
          <w:rFonts w:ascii="David" w:hAnsi="David" w:cs="David"/>
          <w:b/>
          <w:bCs/>
          <w:sz w:val="24"/>
          <w:szCs w:val="24"/>
          <w:rtl/>
        </w:rPr>
        <w:t xml:space="preserve"> </w:t>
      </w:r>
      <w:r>
        <w:rPr>
          <w:rFonts w:ascii="David" w:hAnsi="David" w:cs="David"/>
          <w:sz w:val="24"/>
          <w:szCs w:val="24"/>
          <w:rtl/>
        </w:rPr>
        <w:t xml:space="preserve">הודה הנאשם בעובדות כתב אישום מתוקן, שהוגש לאחר גישור שנערך לפניי, בכך שביום 21.9.2021 בסמוך לשעה 16:30 השליך מחלון ביתו לעבר חצר במתחם "מתחם משפחת עבד אל האדי" בעיר לוד, אקדח חצי אוטומטי מסוג "סטאר", ובו מחסנית שהכילה שישה כדורים (להלן: "הנשק"), כדי לנסות ולהקשות על השוטרים שהיו במקום וערכו חיפוש. במעשים אלו הורשע הנאשם בעבירה של </w:t>
      </w:r>
      <w:r>
        <w:rPr>
          <w:rFonts w:ascii="David" w:hAnsi="David" w:cs="David"/>
          <w:b/>
          <w:bCs/>
          <w:sz w:val="24"/>
          <w:szCs w:val="24"/>
          <w:rtl/>
        </w:rPr>
        <w:t>סיוע</w:t>
      </w:r>
      <w:r>
        <w:rPr>
          <w:rFonts w:ascii="David" w:hAnsi="David" w:cs="David"/>
          <w:sz w:val="24"/>
          <w:szCs w:val="24"/>
          <w:rtl/>
        </w:rPr>
        <w:t xml:space="preserve"> </w:t>
      </w:r>
      <w:r>
        <w:rPr>
          <w:rFonts w:ascii="David" w:hAnsi="David" w:cs="David"/>
          <w:b/>
          <w:bCs/>
          <w:sz w:val="24"/>
          <w:szCs w:val="24"/>
          <w:rtl/>
        </w:rPr>
        <w:t>להחזקת נשק ואביזר נשק</w:t>
      </w:r>
      <w:r>
        <w:rPr>
          <w:rFonts w:ascii="David" w:hAnsi="David" w:cs="David"/>
          <w:sz w:val="24"/>
          <w:szCs w:val="24"/>
          <w:rtl/>
        </w:rPr>
        <w:t xml:space="preserve">, לפי </w:t>
      </w:r>
      <w:hyperlink r:id="rId17" w:history="1">
        <w:r w:rsidR="00412333" w:rsidRPr="00412333">
          <w:rPr>
            <w:rStyle w:val="Hyperlink"/>
            <w:rFonts w:ascii="David" w:hAnsi="David" w:cs="David"/>
            <w:sz w:val="24"/>
            <w:szCs w:val="24"/>
            <w:rtl/>
          </w:rPr>
          <w:t>סעיפים 144(א)</w:t>
        </w:r>
      </w:hyperlink>
      <w:r>
        <w:rPr>
          <w:rFonts w:ascii="David" w:hAnsi="David" w:cs="David"/>
          <w:sz w:val="24"/>
          <w:szCs w:val="24"/>
          <w:rtl/>
        </w:rPr>
        <w:t xml:space="preserve"> רישה וסיפה, יחד עם </w:t>
      </w:r>
      <w:hyperlink r:id="rId18" w:history="1">
        <w:r w:rsidR="00412333" w:rsidRPr="00412333">
          <w:rPr>
            <w:rStyle w:val="Hyperlink"/>
            <w:rFonts w:ascii="David" w:hAnsi="David" w:cs="David"/>
            <w:sz w:val="24"/>
            <w:szCs w:val="24"/>
            <w:rtl/>
          </w:rPr>
          <w:t>סעיף 31</w:t>
        </w:r>
      </w:hyperlink>
      <w:r>
        <w:rPr>
          <w:rFonts w:ascii="David" w:hAnsi="David" w:cs="David"/>
          <w:sz w:val="24"/>
          <w:szCs w:val="24"/>
          <w:rtl/>
        </w:rPr>
        <w:t xml:space="preserve"> ל</w:t>
      </w:r>
      <w:hyperlink r:id="rId19"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התשל"ז-1977 (להלן: "חוק העונשין").</w:t>
      </w:r>
    </w:p>
    <w:p w14:paraId="269E064F" w14:textId="77777777" w:rsidR="007C0569" w:rsidRDefault="007C0569" w:rsidP="007C0569">
      <w:pPr>
        <w:pStyle w:val="ac"/>
        <w:spacing w:after="0" w:line="240" w:lineRule="auto"/>
        <w:ind w:left="1080"/>
        <w:jc w:val="both"/>
        <w:rPr>
          <w:rFonts w:ascii="David" w:hAnsi="David" w:cs="David"/>
          <w:sz w:val="24"/>
          <w:szCs w:val="24"/>
        </w:rPr>
      </w:pPr>
    </w:p>
    <w:p w14:paraId="1764DD91"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b/>
          <w:bCs/>
          <w:sz w:val="24"/>
          <w:szCs w:val="24"/>
          <w:rtl/>
        </w:rPr>
        <w:t xml:space="preserve">בתיק הסמים – </w:t>
      </w:r>
      <w:hyperlink r:id="rId20" w:history="1">
        <w:r w:rsidR="00FC2A61" w:rsidRPr="00FC2A61">
          <w:rPr>
            <w:rFonts w:ascii="David" w:hAnsi="David" w:cs="David"/>
            <w:b/>
            <w:bCs/>
            <w:color w:val="0000FF"/>
            <w:sz w:val="24"/>
            <w:szCs w:val="24"/>
            <w:u w:val="single"/>
            <w:rtl/>
          </w:rPr>
          <w:t>ת"פ 20714-02-19</w:t>
        </w:r>
      </w:hyperlink>
      <w:r>
        <w:rPr>
          <w:rFonts w:ascii="David" w:hAnsi="David" w:cs="David"/>
          <w:sz w:val="24"/>
          <w:szCs w:val="24"/>
          <w:rtl/>
        </w:rPr>
        <w:t xml:space="preserve"> הודה הנאשם בכך שביום 4.2.2019 גידל בביתו שבלוד 15 שתילים של סם מסוג קנבוס, והחזיק סם מסוג חשיש במשקל של 6.8 גרם נטו. משהגיעו שוטרים לביצוע חיפוש על פי צו, הטמין הנאשם את הטלפון הנייד שלו כדי למנוע את תפיסתו. במעשים אלו הורשע הנאשם בעבירות </w:t>
      </w:r>
      <w:r>
        <w:rPr>
          <w:rFonts w:ascii="David" w:hAnsi="David" w:cs="David"/>
          <w:b/>
          <w:bCs/>
          <w:sz w:val="24"/>
          <w:szCs w:val="24"/>
          <w:rtl/>
        </w:rPr>
        <w:t>גידול סמים, והחזקת סמים לצריכה עצמית</w:t>
      </w:r>
      <w:r>
        <w:rPr>
          <w:rFonts w:ascii="David" w:hAnsi="David" w:cs="David"/>
          <w:sz w:val="24"/>
          <w:szCs w:val="24"/>
          <w:rtl/>
        </w:rPr>
        <w:t xml:space="preserve"> לפי </w:t>
      </w:r>
      <w:hyperlink r:id="rId21" w:history="1">
        <w:r w:rsidR="00412333" w:rsidRPr="00412333">
          <w:rPr>
            <w:rStyle w:val="Hyperlink"/>
            <w:rFonts w:ascii="David" w:hAnsi="David" w:cs="David"/>
            <w:sz w:val="24"/>
            <w:szCs w:val="24"/>
            <w:rtl/>
          </w:rPr>
          <w:t>סעיפים 6</w:t>
        </w:r>
      </w:hyperlink>
      <w:r>
        <w:rPr>
          <w:rFonts w:ascii="David" w:hAnsi="David" w:cs="David"/>
          <w:sz w:val="24"/>
          <w:szCs w:val="24"/>
          <w:rtl/>
        </w:rPr>
        <w:t xml:space="preserve">, </w:t>
      </w:r>
      <w:hyperlink r:id="rId22" w:history="1">
        <w:r w:rsidR="00412333" w:rsidRPr="00412333">
          <w:rPr>
            <w:rStyle w:val="Hyperlink"/>
            <w:rFonts w:ascii="David" w:hAnsi="David" w:cs="David"/>
            <w:sz w:val="24"/>
            <w:szCs w:val="24"/>
            <w:rtl/>
          </w:rPr>
          <w:t>7(א)</w:t>
        </w:r>
      </w:hyperlink>
      <w:r>
        <w:rPr>
          <w:rFonts w:ascii="David" w:hAnsi="David" w:cs="David"/>
          <w:sz w:val="24"/>
          <w:szCs w:val="24"/>
          <w:rtl/>
        </w:rPr>
        <w:t xml:space="preserve"> ו-</w:t>
      </w:r>
      <w:hyperlink r:id="rId23" w:history="1">
        <w:r w:rsidR="00412333" w:rsidRPr="00412333">
          <w:rPr>
            <w:rStyle w:val="Hyperlink"/>
            <w:rFonts w:ascii="David" w:hAnsi="David" w:cs="David"/>
            <w:sz w:val="24"/>
            <w:szCs w:val="24"/>
            <w:rtl/>
          </w:rPr>
          <w:t>7(ג)</w:t>
        </w:r>
      </w:hyperlink>
      <w:r>
        <w:rPr>
          <w:rFonts w:ascii="David" w:hAnsi="David" w:cs="David"/>
          <w:sz w:val="24"/>
          <w:szCs w:val="24"/>
          <w:rtl/>
        </w:rPr>
        <w:t xml:space="preserve"> סיפה ל</w:t>
      </w:r>
      <w:hyperlink r:id="rId24" w:history="1">
        <w:r w:rsidR="00FC2A61" w:rsidRPr="00FC2A6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w:t>
      </w:r>
      <w:r>
        <w:rPr>
          <w:rFonts w:ascii="David" w:hAnsi="David" w:cs="David"/>
          <w:b/>
          <w:bCs/>
          <w:sz w:val="24"/>
          <w:szCs w:val="24"/>
          <w:rtl/>
        </w:rPr>
        <w:t>ובשיבוש מהלכי משפט</w:t>
      </w:r>
      <w:r>
        <w:rPr>
          <w:rFonts w:ascii="David" w:hAnsi="David" w:cs="David"/>
          <w:sz w:val="24"/>
          <w:szCs w:val="24"/>
          <w:rtl/>
        </w:rPr>
        <w:t xml:space="preserve">, לפי </w:t>
      </w:r>
      <w:hyperlink r:id="rId25" w:history="1">
        <w:r w:rsidR="00412333" w:rsidRPr="00412333">
          <w:rPr>
            <w:rStyle w:val="Hyperlink"/>
            <w:rFonts w:ascii="David" w:hAnsi="David" w:cs="David"/>
            <w:sz w:val="24"/>
            <w:szCs w:val="24"/>
            <w:rtl/>
          </w:rPr>
          <w:t>סעיף 244</w:t>
        </w:r>
      </w:hyperlink>
      <w:r>
        <w:rPr>
          <w:rFonts w:ascii="David" w:hAnsi="David" w:cs="David"/>
          <w:sz w:val="24"/>
          <w:szCs w:val="24"/>
          <w:rtl/>
        </w:rPr>
        <w:t xml:space="preserve"> ל</w:t>
      </w:r>
      <w:hyperlink r:id="rId26"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w:t>
      </w:r>
    </w:p>
    <w:p w14:paraId="1394C77D" w14:textId="77777777" w:rsidR="007C0569" w:rsidRDefault="007C0569" w:rsidP="007C0569">
      <w:pPr>
        <w:spacing w:line="480" w:lineRule="auto"/>
        <w:jc w:val="both"/>
        <w:rPr>
          <w:rFonts w:ascii="David" w:hAnsi="David"/>
          <w:b/>
          <w:bCs/>
          <w:u w:val="single"/>
          <w:rtl/>
        </w:rPr>
      </w:pPr>
    </w:p>
    <w:p w14:paraId="4DB5C8A5" w14:textId="77777777" w:rsidR="007C0569" w:rsidRDefault="007C0569" w:rsidP="007C0569">
      <w:pPr>
        <w:spacing w:line="480" w:lineRule="auto"/>
        <w:jc w:val="both"/>
        <w:rPr>
          <w:rFonts w:ascii="David" w:hAnsi="David"/>
          <w:b/>
          <w:bCs/>
          <w:u w:val="single"/>
          <w:rtl/>
        </w:rPr>
      </w:pPr>
    </w:p>
    <w:p w14:paraId="51DF51A9" w14:textId="77777777" w:rsidR="007C0569" w:rsidRDefault="007C0569" w:rsidP="007C0569">
      <w:pPr>
        <w:spacing w:line="480" w:lineRule="auto"/>
        <w:jc w:val="both"/>
        <w:rPr>
          <w:rFonts w:ascii="David" w:hAnsi="David"/>
          <w:b/>
          <w:bCs/>
          <w:u w:val="single"/>
        </w:rPr>
      </w:pPr>
    </w:p>
    <w:p w14:paraId="7F4C9390" w14:textId="77777777" w:rsidR="007C0569" w:rsidRDefault="007C0569" w:rsidP="007C0569">
      <w:pPr>
        <w:spacing w:line="360" w:lineRule="auto"/>
        <w:jc w:val="both"/>
        <w:rPr>
          <w:rFonts w:ascii="David" w:hAnsi="David"/>
          <w:b/>
          <w:bCs/>
          <w:u w:val="single"/>
          <w:rtl/>
        </w:rPr>
      </w:pPr>
      <w:r>
        <w:rPr>
          <w:rFonts w:ascii="David" w:hAnsi="David"/>
          <w:b/>
          <w:bCs/>
          <w:u w:val="single"/>
          <w:rtl/>
        </w:rPr>
        <w:t>תסקירי שירות המבחן</w:t>
      </w:r>
    </w:p>
    <w:p w14:paraId="37C5ECFB"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תסקיר שירות המבחן מיום 29.4.2021 פירט את נסיבות חייו של הנאשם; בן 28 (אז) נשוי ואב לילדה. מגיל צעיר סבל מבעיות הסתגלות ותפקוד, והוצא מבית הוריו עקב מצוקה כלכלית ותפקודית שלהם. כתוצאה מכך חווה הנאשם משבר, הוא חבר לחברה שולית והחל לנהל אורח חיים עברייני שכלל שימוש בסמים וביצוע עבירות אלימות. לנאשם רישיון לשימוש בקנבוס רפואי (שהוצג לשירות המבחן) אשר קיבל לצורך טיפול בכאבים כרוניים, בגין אירוע ירי בו נפצע ברגלו בהיותו כבן 18. לאורך השנים עסק הנאשם בעבודות מזדמנות, נקלע לקשיים כלכליים וצבר חובות אותם הוא מנסה להסדיר.</w:t>
      </w:r>
    </w:p>
    <w:p w14:paraId="3F2121CA" w14:textId="77777777" w:rsidR="007C0569" w:rsidRDefault="007C0569" w:rsidP="007C0569">
      <w:pPr>
        <w:pStyle w:val="ac"/>
        <w:spacing w:line="240" w:lineRule="auto"/>
        <w:rPr>
          <w:rFonts w:ascii="David" w:hAnsi="David" w:cs="David"/>
          <w:sz w:val="24"/>
          <w:szCs w:val="24"/>
        </w:rPr>
      </w:pPr>
    </w:p>
    <w:p w14:paraId="751A1C98"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בנוגע לסמים מסר הנאשם כי הוא החזיק אותם לשימושו הפרטי ולשימוש לחבריו, ולא למטרות רווח כלכלי, ושלל ביצועה של עבירת השיבוש מהלכי משפט, אך בה בעת הביע חרטה על מעשיו והכרה בנזקים שנגרמו לו מהשימוש בסמים. </w:t>
      </w:r>
    </w:p>
    <w:p w14:paraId="05C7E7BC" w14:textId="77777777" w:rsidR="007C0569" w:rsidRDefault="007C0569" w:rsidP="007C0569">
      <w:pPr>
        <w:pStyle w:val="ac"/>
        <w:spacing w:line="240" w:lineRule="auto"/>
        <w:rPr>
          <w:rFonts w:ascii="David" w:hAnsi="David" w:cs="David"/>
          <w:sz w:val="24"/>
          <w:szCs w:val="24"/>
        </w:rPr>
      </w:pPr>
    </w:p>
    <w:p w14:paraId="6111DC27"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שירות המבחן התרשם שהנאשם קשור מאוד למשפחתו ולסכסוכיה הפליליים, פעל מתוך דפוסי התנהגות עברייניים מושרשים, וכי הוא מתקשה להתנהל באופן נורמטיבי. עם זאת, לנוכח הבעת רצונו בטיפול ושינוי אורח חייו, המליץ שירות המבחן לדחות את הדיון בארבעה חודשים. </w:t>
      </w:r>
    </w:p>
    <w:p w14:paraId="0537C19A" w14:textId="77777777" w:rsidR="007C0569" w:rsidRDefault="007C0569" w:rsidP="007C0569">
      <w:pPr>
        <w:pStyle w:val="ac"/>
        <w:spacing w:line="240" w:lineRule="auto"/>
        <w:rPr>
          <w:rFonts w:ascii="David" w:hAnsi="David" w:cs="David"/>
          <w:sz w:val="24"/>
          <w:szCs w:val="24"/>
        </w:rPr>
      </w:pPr>
    </w:p>
    <w:p w14:paraId="470AE6F8"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בתסקיר מיום 21.10.2021 נמסר כי היה על הנאשם להתחיל השתתפותו בקבוצה טיפולית, אך הוא לא הגיע לפגישות, ונודע כי נפתחו נגדו תיקים נוספים, לרבות תיק הנשק. לפיכך התרשם שירות המבחן מסיכון ממשי מפני הנאשם להישנות עבירות, ונמנע מהמלצה שיקומית בעניינו. </w:t>
      </w:r>
    </w:p>
    <w:p w14:paraId="084B9083" w14:textId="77777777" w:rsidR="007C0569" w:rsidRDefault="007C0569" w:rsidP="007C0569">
      <w:pPr>
        <w:pStyle w:val="ac"/>
        <w:spacing w:after="0" w:line="240" w:lineRule="auto"/>
        <w:ind w:left="360"/>
        <w:jc w:val="both"/>
        <w:rPr>
          <w:rFonts w:ascii="David" w:hAnsi="David" w:cs="David"/>
          <w:sz w:val="24"/>
          <w:szCs w:val="24"/>
        </w:rPr>
      </w:pPr>
    </w:p>
    <w:p w14:paraId="55F3B1F4" w14:textId="77777777" w:rsidR="007C0569" w:rsidRDefault="007C0569" w:rsidP="007C0569">
      <w:pPr>
        <w:pStyle w:val="ac"/>
        <w:numPr>
          <w:ilvl w:val="0"/>
          <w:numId w:val="1"/>
        </w:numPr>
        <w:spacing w:after="0" w:line="360" w:lineRule="auto"/>
        <w:jc w:val="both"/>
        <w:rPr>
          <w:rFonts w:ascii="David" w:hAnsi="David" w:cs="David"/>
          <w:sz w:val="24"/>
          <w:szCs w:val="24"/>
        </w:rPr>
      </w:pPr>
      <w:r w:rsidRPr="0075034A">
        <w:rPr>
          <w:rFonts w:ascii="David" w:hAnsi="David" w:cs="David"/>
          <w:sz w:val="24"/>
          <w:szCs w:val="24"/>
          <w:rtl/>
        </w:rPr>
        <w:t xml:space="preserve">לאחר הודאת הנאשם במיוחס לו בתיק הנשק, נערך לבקשתו תסקיר משלים ביום 12.3.2023, בו צוין כי הוא שולב בקבוצה טיפולית לעצורי בית, הגיע לרוב המפגשים, אך התקשה בהתבוננות ביקורתית ומעמיקה ובשינוי דפוסי חשיבתו. עם זאת, שירות המבחן העריך כי פחת הסיכון להישנות עבירות מצידו של הנאשם משקיבל אחריות ראשונית על מעשיו, והתרחק ממקום מגוריו ומהחברה השולית אליה השתייך. עוד עלה מהתסקיר, כי הנאשם הפנה אצבע מאשימה </w:t>
      </w:r>
      <w:r w:rsidRPr="0075034A">
        <w:rPr>
          <w:rFonts w:ascii="David" w:hAnsi="David" w:cs="David"/>
          <w:sz w:val="24"/>
          <w:szCs w:val="24"/>
          <w:rtl/>
        </w:rPr>
        <w:lastRenderedPageBreak/>
        <w:t>לגורמי אכיפת החוק בנוגע לתיק הנשק, טען כי הם התנכלו אליו ולמשפחתו, וניסה להרח</w:t>
      </w:r>
      <w:r>
        <w:rPr>
          <w:rFonts w:ascii="David" w:hAnsi="David" w:cs="David"/>
          <w:sz w:val="24"/>
          <w:szCs w:val="24"/>
          <w:rtl/>
        </w:rPr>
        <w:t>יק את עצמו מביצוע העבירה. וב</w:t>
      </w:r>
      <w:r w:rsidRPr="0075034A">
        <w:rPr>
          <w:rFonts w:ascii="David" w:hAnsi="David" w:cs="David"/>
          <w:sz w:val="24"/>
          <w:szCs w:val="24"/>
          <w:rtl/>
        </w:rPr>
        <w:t>עבירת הסמים צמצם את חלקו והשליך את האחריות על גורמים חיצוניים.</w:t>
      </w:r>
      <w:r w:rsidRPr="0075034A">
        <w:rPr>
          <w:rFonts w:ascii="David" w:hAnsi="David" w:cs="David" w:hint="cs"/>
          <w:sz w:val="24"/>
          <w:szCs w:val="24"/>
          <w:rtl/>
        </w:rPr>
        <w:t xml:space="preserve"> </w:t>
      </w:r>
    </w:p>
    <w:p w14:paraId="00FEB89C" w14:textId="77777777" w:rsidR="007C0569" w:rsidRDefault="007C0569" w:rsidP="007C0569">
      <w:pPr>
        <w:pStyle w:val="ac"/>
        <w:spacing w:after="0" w:line="240" w:lineRule="auto"/>
        <w:ind w:left="360"/>
        <w:jc w:val="both"/>
        <w:rPr>
          <w:rFonts w:ascii="David" w:hAnsi="David" w:cs="David"/>
          <w:sz w:val="24"/>
          <w:szCs w:val="24"/>
        </w:rPr>
      </w:pPr>
    </w:p>
    <w:p w14:paraId="46FCD96A" w14:textId="77777777" w:rsidR="007C0569" w:rsidRPr="00097336" w:rsidRDefault="007C0569" w:rsidP="007C0569">
      <w:pPr>
        <w:pStyle w:val="ac"/>
        <w:numPr>
          <w:ilvl w:val="0"/>
          <w:numId w:val="1"/>
        </w:numPr>
        <w:spacing w:after="0" w:line="360" w:lineRule="auto"/>
        <w:jc w:val="both"/>
        <w:rPr>
          <w:rFonts w:ascii="David" w:hAnsi="David" w:cs="David"/>
          <w:sz w:val="24"/>
          <w:szCs w:val="24"/>
          <w:rtl/>
        </w:rPr>
      </w:pPr>
      <w:r w:rsidRPr="00097336">
        <w:rPr>
          <w:rFonts w:ascii="David" w:hAnsi="David" w:cs="David"/>
          <w:sz w:val="24"/>
          <w:szCs w:val="24"/>
          <w:rtl/>
        </w:rPr>
        <w:t xml:space="preserve">בסופו של דבר חזר שירות המבחן על התרשמותו כי לנאשם דפוסי חשיבה עברייניים מושרשים, וכי יש לו קשיים להירתם לטיפול ולהתבוננות ביקורתית על מעשיו, אך חיווה דעתו כי לאור שיתוף הפעולה בטיפול וההשפעה החיובית שיש לתא המשפחתי החדש שהקים, יש לדחות את הדיון במספר חודשים ולבחון שילובי בטיפול נוסף. בסופו של דבר, באי כוח הנאשם לא ביקשו להפנות את הנאשם להמשך הליכי טיפול משהיה ברור כי העונש בגין שני התיקים יכלול מאסר בפועל (כעולה מהטיעונים לעונש). </w:t>
      </w:r>
    </w:p>
    <w:p w14:paraId="6D2D9FCF" w14:textId="77777777" w:rsidR="007C0569" w:rsidRDefault="007C0569" w:rsidP="007C0569">
      <w:pPr>
        <w:spacing w:line="480" w:lineRule="auto"/>
        <w:jc w:val="both"/>
        <w:rPr>
          <w:rFonts w:ascii="David" w:hAnsi="David"/>
          <w:b/>
          <w:bCs/>
          <w:u w:val="single"/>
          <w:rtl/>
        </w:rPr>
      </w:pPr>
      <w:r>
        <w:rPr>
          <w:rFonts w:ascii="David" w:hAnsi="David"/>
          <w:b/>
          <w:bCs/>
          <w:u w:val="single"/>
          <w:rtl/>
        </w:rPr>
        <w:t xml:space="preserve">תמצית טיעוני הצדדים לעונש </w:t>
      </w:r>
    </w:p>
    <w:p w14:paraId="0A58A783"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ב"כ המאשימה הפנתה לערכים המוגנים בעבירות הנשק, ולתיקון 140 ל</w:t>
      </w:r>
      <w:hyperlink r:id="rId27"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(אליו אתייחס בהמשך), וטענה כי אף שהתיקון נכנס לתוקף לאחר ביצוע העבירה ואינו חל בענייננו, הוא מלמד על צורך בהחמרת הענישה בעבירות נשק, כפי שמורה גם הפסיקה, ועתרה לקביעת מתחם ענישה הולם שנע מ- 10 ועד 20 חודשי מאסר בפועל. </w:t>
      </w:r>
    </w:p>
    <w:p w14:paraId="061F01DE" w14:textId="77777777" w:rsidR="007C0569" w:rsidRDefault="007C0569" w:rsidP="007C0569">
      <w:pPr>
        <w:pStyle w:val="ac"/>
        <w:spacing w:after="0" w:line="240" w:lineRule="auto"/>
        <w:ind w:left="360"/>
        <w:jc w:val="both"/>
        <w:rPr>
          <w:rFonts w:ascii="David" w:hAnsi="David" w:cs="David"/>
          <w:sz w:val="24"/>
          <w:szCs w:val="24"/>
        </w:rPr>
      </w:pPr>
    </w:p>
    <w:p w14:paraId="6E975ABE"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המאשימה התייחסה לעולה מתסקירי שירות המבחן בנוגע לעברו הפלילי של הנאשם; ביצוע עבירת הנשק אף שתיק הסמים התנהל נגדו; על לקיחת אחריותו החלקית; על הסיכון להישנות עבירות, לצד העובדה שהודה במיוחס לו וחסך בזמן שיפוטי, וביקשה להשית עליו 13 חודשי מאסר בפועל, בגין תיק הנשק, מאסר על תנאי וקנס. בתיק הסמים עתרה המאשימה לקביעת מתחם עונש הולם הנע בין 6 ל-18 חודשי מאסר בפועל, הפנתה לרישומו הפלילי הכולל מאסרים מותנים, ועתרה להשית עליו 10 חודשי מאסר בפועל, ולהפעיל את המאסרים המותנים למשך 3 ו-7 חודשי בחופף ובמצטבר, כך שסה"כ יגזרו על הנאשם 15 חודשי מאסר בגין תיק הסמים.  </w:t>
      </w:r>
    </w:p>
    <w:p w14:paraId="3F811499" w14:textId="77777777" w:rsidR="007C0569" w:rsidRDefault="007C0569" w:rsidP="007C0569">
      <w:pPr>
        <w:pStyle w:val="ac"/>
        <w:rPr>
          <w:rFonts w:ascii="David" w:hAnsi="David" w:cs="David"/>
          <w:sz w:val="24"/>
          <w:szCs w:val="24"/>
        </w:rPr>
      </w:pPr>
    </w:p>
    <w:p w14:paraId="560008DF"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hint="cs"/>
          <w:sz w:val="24"/>
          <w:szCs w:val="24"/>
          <w:rtl/>
        </w:rPr>
        <w:t>מש</w:t>
      </w:r>
      <w:r>
        <w:rPr>
          <w:rFonts w:ascii="David" w:hAnsi="David" w:cs="David"/>
          <w:sz w:val="24"/>
          <w:szCs w:val="24"/>
          <w:rtl/>
        </w:rPr>
        <w:t xml:space="preserve">עסקינן בשני תיקים נפרדים, עתרה המאשימה לגזור על הנאשם 28 חודשי מאסר בפועל, מאסרים מותנים, פסילה, פסילה מותנה וקנס משמעותי, והפנתה לפסיקה לתמיכה בעתירתה. </w:t>
      </w:r>
    </w:p>
    <w:p w14:paraId="5A61444D" w14:textId="77777777" w:rsidR="007C0569" w:rsidRDefault="007C0569" w:rsidP="007C0569">
      <w:pPr>
        <w:pStyle w:val="ac"/>
        <w:rPr>
          <w:rFonts w:ascii="David" w:hAnsi="David" w:cs="David"/>
          <w:sz w:val="24"/>
          <w:szCs w:val="24"/>
        </w:rPr>
      </w:pPr>
    </w:p>
    <w:p w14:paraId="60863063"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ב"כ הנאשם עוה"ד חי אוזן ועוה"ד עודאי בוקאי, התייחסו לנסיבותיו האישיות המורכבות של הנאשם, ועל היותו צעיר ואב לשלושה ילדים ובהם תינוק הסובל מבעיות בריאותיות. הסנגורים הפנו לכך שהנאשם אוחז ברישיון רפואי לשימוש בקנבוס, וכי הוא העתיק את מקום מגוריו כדי לשקם את חייו. עוד הפנו הסנגורים לתסקירי שירות המבחן בנוגע לטיפול שעבר, הגם שחלקי. </w:t>
      </w:r>
    </w:p>
    <w:p w14:paraId="16FB2DD1" w14:textId="77777777" w:rsidR="007C0569" w:rsidRDefault="007C0569" w:rsidP="007C0569">
      <w:pPr>
        <w:pStyle w:val="ac"/>
        <w:spacing w:line="240" w:lineRule="auto"/>
        <w:rPr>
          <w:rFonts w:ascii="David" w:hAnsi="David" w:cs="David"/>
          <w:sz w:val="24"/>
          <w:szCs w:val="24"/>
        </w:rPr>
      </w:pPr>
    </w:p>
    <w:p w14:paraId="3D197B53"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בנוגע לעבירות הנשק טען עוה"ד אוזן שכתב האישום תוקן משמעותית; הנאשם הודה ולקח אחריות על מעשיו; ניקה שולחן; היה עצור מאחורי סורג ובריח, ולאחר מכן בפיקוח אלקטרוני כחצי שנה; חלפו כשנתיים מאז ולא נפתחו נגדו תיקים חדשים, ועברו הפלילי ישן. </w:t>
      </w:r>
    </w:p>
    <w:p w14:paraId="159CF52C" w14:textId="77777777" w:rsidR="007C0569" w:rsidRDefault="007C0569" w:rsidP="007C0569">
      <w:pPr>
        <w:pStyle w:val="ac"/>
        <w:spacing w:after="0" w:line="240" w:lineRule="auto"/>
        <w:ind w:left="360"/>
        <w:jc w:val="both"/>
        <w:rPr>
          <w:rFonts w:ascii="David" w:hAnsi="David" w:cs="David"/>
          <w:sz w:val="24"/>
          <w:szCs w:val="24"/>
        </w:rPr>
      </w:pPr>
    </w:p>
    <w:p w14:paraId="4176608B"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הנאשם הפנה לפסיקה וטען שיש לקבוע מתחם עונש נכון לתקופת ביצוע העבירה, אשר נע בין 6 ל-12 חודשי מאסר, וביקש לגזור על הנאשם מספר מצומצם של חודשי מאסר בגין תיק הנשק. </w:t>
      </w:r>
    </w:p>
    <w:p w14:paraId="756279E0" w14:textId="77777777" w:rsidR="007C0569" w:rsidRDefault="007C0569" w:rsidP="007C0569">
      <w:pPr>
        <w:pStyle w:val="ac"/>
        <w:spacing w:after="0" w:line="240" w:lineRule="auto"/>
        <w:ind w:left="360"/>
        <w:jc w:val="both"/>
        <w:rPr>
          <w:rFonts w:ascii="David" w:hAnsi="David" w:cs="David"/>
          <w:sz w:val="24"/>
          <w:szCs w:val="24"/>
        </w:rPr>
      </w:pPr>
    </w:p>
    <w:p w14:paraId="5DEA8E38"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בהתייחס לעבירות הסמים טען עוה"ד בוקאי כי מאז חלפו כ-4 שנים, הנאשם הודה ולקח אחריות כבר במהלך החיפוש בביתו, עתר לקביעת מתחם עונש הולם הנע בין מספר חודשי מאסר שיכול שירוצו בעבודות שירות ועד 12 חודשי מאסר בפועל, והגיש פסיקה בתמיכה לעתירתו. בהתחשב בשינוי באורחות חייו של הנאשם והקמת המשפחה, ובשל הרישיון הרפואי לצריכת קנבוס, ביקש הסנגור להשית על הנאשם 7 חודשי מאסר בפועל סה"כ תוך חפיפה מלאה של המאסרים המותנים זה לזה ולעונש המאסר.  </w:t>
      </w:r>
    </w:p>
    <w:p w14:paraId="0A5EE053" w14:textId="77777777" w:rsidR="007C0569" w:rsidRDefault="007C0569" w:rsidP="007C0569">
      <w:pPr>
        <w:pStyle w:val="ac"/>
        <w:spacing w:after="0" w:line="240" w:lineRule="auto"/>
        <w:ind w:left="360"/>
        <w:jc w:val="both"/>
        <w:rPr>
          <w:rFonts w:ascii="David" w:hAnsi="David" w:cs="David"/>
          <w:sz w:val="24"/>
          <w:szCs w:val="24"/>
        </w:rPr>
      </w:pPr>
    </w:p>
    <w:p w14:paraId="74D08BCB"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בדברו לעונש סיפר שהוא התמודד עם הרבה קשיים בחייו, והביע בכנות את הקושי הרב הצפוי לו בפרידה נוספת מבתו בת ה- 3 בעונש המאסר הנוכחי. </w:t>
      </w:r>
    </w:p>
    <w:p w14:paraId="7F8FDB0F" w14:textId="77777777" w:rsidR="007C0569" w:rsidRDefault="007C0569" w:rsidP="007C0569">
      <w:pPr>
        <w:pStyle w:val="ac"/>
        <w:spacing w:after="0" w:line="480" w:lineRule="auto"/>
        <w:ind w:left="360"/>
        <w:jc w:val="both"/>
        <w:rPr>
          <w:rFonts w:ascii="David" w:hAnsi="David" w:cs="David"/>
          <w:sz w:val="24"/>
          <w:szCs w:val="24"/>
        </w:rPr>
      </w:pPr>
    </w:p>
    <w:p w14:paraId="4CD3D971" w14:textId="77777777" w:rsidR="007C0569" w:rsidRDefault="007C0569" w:rsidP="007C0569">
      <w:pPr>
        <w:pStyle w:val="ac"/>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דיון והכרעה </w:t>
      </w:r>
    </w:p>
    <w:p w14:paraId="76499BCA" w14:textId="77777777" w:rsidR="007C0569" w:rsidRDefault="007C0569" w:rsidP="007C0569">
      <w:pPr>
        <w:pStyle w:val="ac"/>
        <w:spacing w:after="0" w:line="480" w:lineRule="auto"/>
        <w:ind w:left="0"/>
        <w:jc w:val="both"/>
        <w:rPr>
          <w:rFonts w:ascii="David" w:hAnsi="David" w:cs="David"/>
          <w:sz w:val="24"/>
          <w:szCs w:val="24"/>
          <w:u w:val="single"/>
          <w:rtl/>
        </w:rPr>
      </w:pPr>
      <w:r>
        <w:rPr>
          <w:rFonts w:ascii="David" w:hAnsi="David" w:cs="David"/>
          <w:sz w:val="24"/>
          <w:szCs w:val="24"/>
          <w:u w:val="single"/>
          <w:rtl/>
        </w:rPr>
        <w:t xml:space="preserve">תיק הנשק - קביעת מתחם העונש ההולם </w:t>
      </w:r>
    </w:p>
    <w:p w14:paraId="00EA8920"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עבירות הנשק פוגעות במכלול ערכים חברתיים שמהותם היא שמירה על חיי אדם, שלמות הגוף והנפש, והסדר הציבורי. מעשי אלימות הכרוכים בשימוש בנשק מתרחשים בתקופה האחרונה, למרבה הצער, באופן תדיר, ותוצאותיהם מתבטאות באובדן חיי אדם ופציעות קשות, לצד פגיעה תחושת הביטחון האישית שלך הפרט. עבירות הנשק הן "מכת מדינה", ותמונת המצב של האלימות הגואה תוך שימוש בנשק היא בלתי נסבלת ומעוררת דאגה רבה. </w:t>
      </w:r>
    </w:p>
    <w:p w14:paraId="409B441A" w14:textId="77777777" w:rsidR="007C0569" w:rsidRDefault="007C0569" w:rsidP="007C0569">
      <w:pPr>
        <w:pStyle w:val="ac"/>
        <w:spacing w:after="0" w:line="240" w:lineRule="auto"/>
        <w:ind w:left="360"/>
        <w:jc w:val="both"/>
        <w:rPr>
          <w:rFonts w:ascii="David" w:hAnsi="David" w:cs="David"/>
          <w:sz w:val="24"/>
          <w:szCs w:val="24"/>
        </w:rPr>
      </w:pPr>
    </w:p>
    <w:p w14:paraId="1F906B1F"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בשורה ארוכה של פסקי דין התייחסו בתי המשפט לחומרת העבירות ולחובתו של בית המשפט להילחם בתופעה, כך למשל ב</w:t>
      </w:r>
      <w:hyperlink r:id="rId28" w:history="1">
        <w:r w:rsidR="00FC2A61" w:rsidRPr="00FC2A61">
          <w:rPr>
            <w:rFonts w:ascii="David" w:hAnsi="David" w:cs="David"/>
            <w:color w:val="0000FF"/>
            <w:sz w:val="24"/>
            <w:szCs w:val="24"/>
            <w:u w:val="single"/>
            <w:rtl/>
          </w:rPr>
          <w:t>ע"פ 4439/19</w:t>
        </w:r>
      </w:hyperlink>
      <w:r>
        <w:rPr>
          <w:rFonts w:ascii="David" w:hAnsi="David" w:cs="David"/>
          <w:sz w:val="24"/>
          <w:szCs w:val="24"/>
          <w:rtl/>
        </w:rPr>
        <w:t xml:space="preserve"> </w:t>
      </w:r>
      <w:r>
        <w:rPr>
          <w:rFonts w:ascii="David" w:hAnsi="David" w:cs="David"/>
          <w:b/>
          <w:bCs/>
          <w:sz w:val="24"/>
          <w:szCs w:val="24"/>
          <w:rtl/>
        </w:rPr>
        <w:t>מדינת ישראל נ' סובח ואח'</w:t>
      </w:r>
      <w:r>
        <w:rPr>
          <w:rFonts w:ascii="David" w:hAnsi="David" w:cs="David"/>
          <w:sz w:val="24"/>
          <w:szCs w:val="24"/>
          <w:rtl/>
        </w:rPr>
        <w:t xml:space="preserve"> (5.11.2019), כדלקמן:</w:t>
      </w:r>
    </w:p>
    <w:p w14:paraId="026A42C2" w14:textId="77777777" w:rsidR="007C0569" w:rsidRDefault="007C0569" w:rsidP="007C0569">
      <w:pPr>
        <w:pStyle w:val="ac"/>
        <w:spacing w:after="0" w:line="240" w:lineRule="auto"/>
        <w:ind w:left="360"/>
        <w:jc w:val="both"/>
        <w:rPr>
          <w:rFonts w:ascii="David" w:hAnsi="David" w:cs="David"/>
          <w:sz w:val="24"/>
          <w:szCs w:val="24"/>
        </w:rPr>
      </w:pPr>
    </w:p>
    <w:p w14:paraId="418FAC52" w14:textId="77777777" w:rsidR="007C0569" w:rsidRDefault="007C0569" w:rsidP="007C0569">
      <w:pPr>
        <w:pStyle w:val="ac"/>
        <w:spacing w:after="0" w:line="360" w:lineRule="auto"/>
        <w:ind w:left="1020" w:right="737"/>
        <w:jc w:val="both"/>
        <w:rPr>
          <w:rFonts w:ascii="David" w:hAnsi="David" w:cs="David"/>
          <w:spacing w:val="10"/>
          <w:sz w:val="24"/>
          <w:szCs w:val="24"/>
        </w:rPr>
      </w:pPr>
      <w:r>
        <w:rPr>
          <w:rFonts w:ascii="David" w:hAnsi="David" w:cs="David"/>
          <w:spacing w:val="10"/>
          <w:sz w:val="24"/>
          <w:szCs w:val="24"/>
          <w:rtl/>
        </w:rPr>
        <w:t>"</w:t>
      </w:r>
      <w:r>
        <w:rPr>
          <w:rFonts w:ascii="David" w:hAnsi="David" w:cs="David"/>
          <w:b/>
          <w:bCs/>
          <w:spacing w:val="10"/>
          <w:sz w:val="24"/>
          <w:szCs w:val="24"/>
          <w:rtl/>
        </w:rPr>
        <w:t>התופעה של החזקת נשק שלא כדין על ידי אזרחים מהווה איום על שלום הציבור ועל הסדר הציבורי. היא התשתית ו"הגורם בלעדו איין" (</w:t>
      </w:r>
      <w:r>
        <w:rPr>
          <w:rFonts w:ascii="David" w:hAnsi="David" w:cs="David"/>
          <w:b/>
          <w:bCs/>
          <w:spacing w:val="10"/>
          <w:sz w:val="24"/>
          <w:szCs w:val="24"/>
        </w:rPr>
        <w:t>causa sine qua non</w:t>
      </w:r>
      <w:r>
        <w:rPr>
          <w:rFonts w:ascii="David" w:hAnsi="David" w:cs="David"/>
          <w:b/>
          <w:bCs/>
          <w:spacing w:val="10"/>
          <w:sz w:val="24"/>
          <w:szCs w:val="24"/>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Pr>
          <w:rFonts w:ascii="David" w:hAnsi="David" w:cs="David"/>
          <w:spacing w:val="10"/>
          <w:sz w:val="24"/>
          <w:szCs w:val="24"/>
          <w:rtl/>
        </w:rPr>
        <w:t>.</w:t>
      </w:r>
    </w:p>
    <w:p w14:paraId="3FD2A733" w14:textId="77777777" w:rsidR="007C0569" w:rsidRDefault="007C0569" w:rsidP="007C0569">
      <w:pPr>
        <w:pStyle w:val="ac"/>
        <w:spacing w:after="0" w:line="240" w:lineRule="auto"/>
        <w:ind w:left="360"/>
        <w:jc w:val="both"/>
        <w:rPr>
          <w:rFonts w:ascii="David" w:hAnsi="David" w:cs="David"/>
          <w:sz w:val="24"/>
          <w:szCs w:val="24"/>
        </w:rPr>
      </w:pPr>
    </w:p>
    <w:p w14:paraId="0F651F1B"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בשל פוטנציאל הסיכון הגבוה הכרוך בעבירות נשק קבע המחוקק, </w:t>
      </w:r>
      <w:hyperlink r:id="rId29" w:history="1">
        <w:r w:rsidR="00412333" w:rsidRPr="00412333">
          <w:rPr>
            <w:rStyle w:val="Hyperlink"/>
            <w:rFonts w:ascii="David" w:hAnsi="David" w:cs="David"/>
            <w:sz w:val="24"/>
            <w:szCs w:val="24"/>
            <w:rtl/>
          </w:rPr>
          <w:t>בסעיף 144(א)</w:t>
        </w:r>
      </w:hyperlink>
      <w:r>
        <w:rPr>
          <w:rFonts w:ascii="David" w:hAnsi="David" w:cs="David"/>
          <w:sz w:val="24"/>
          <w:szCs w:val="24"/>
          <w:rtl/>
        </w:rPr>
        <w:t xml:space="preserve"> רישה ל</w:t>
      </w:r>
      <w:hyperlink r:id="rId30"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עונש מקסימלי בגין החזקת נשק למשך 7 שנות מאסר. זאת ועוד, מתוך הצורך האקוטי להילחם בפשיעה הגואה בשימוש נשק חם קבע המחוקק הוראת שעה, בתיקון 140 ל</w:t>
      </w:r>
      <w:hyperlink r:id="rId31" w:history="1">
        <w:r w:rsidR="00FC2A61" w:rsidRPr="00FC2A61">
          <w:rPr>
            <w:rFonts w:ascii="David" w:hAnsi="David" w:cs="David"/>
            <w:color w:val="0000FF"/>
            <w:sz w:val="24"/>
            <w:szCs w:val="24"/>
            <w:u w:val="single"/>
            <w:rtl/>
          </w:rPr>
          <w:t>חוק העונשין</w:t>
        </w:r>
      </w:hyperlink>
      <w:r>
        <w:rPr>
          <w:rStyle w:val="ad"/>
          <w:rFonts w:ascii="David" w:hAnsi="David" w:cs="David"/>
          <w:sz w:val="24"/>
          <w:szCs w:val="24"/>
          <w:rtl/>
        </w:rPr>
        <w:footnoteReference w:id="1"/>
      </w:r>
      <w:r>
        <w:rPr>
          <w:rFonts w:ascii="David" w:hAnsi="David" w:cs="David"/>
          <w:sz w:val="24"/>
          <w:szCs w:val="24"/>
          <w:rtl/>
        </w:rPr>
        <w:t xml:space="preserve"> שנכנס לתוקף ביום 8.12.2021, עונש מינימום של </w:t>
      </w:r>
      <w:r>
        <w:rPr>
          <w:rFonts w:ascii="David" w:hAnsi="David" w:cs="David"/>
          <w:b/>
          <w:bCs/>
          <w:sz w:val="24"/>
          <w:szCs w:val="24"/>
          <w:rtl/>
        </w:rPr>
        <w:t>רבע מהעונש המרבי</w:t>
      </w:r>
      <w:r>
        <w:rPr>
          <w:rFonts w:ascii="David" w:hAnsi="David" w:cs="David"/>
          <w:sz w:val="24"/>
          <w:szCs w:val="24"/>
          <w:rtl/>
        </w:rPr>
        <w:t>, שהוא עונש חובה אלא בקיומם של טעמים מיוחדים (</w:t>
      </w:r>
      <w:hyperlink r:id="rId32" w:history="1">
        <w:r w:rsidR="00FC2A61" w:rsidRPr="00FC2A61">
          <w:rPr>
            <w:rFonts w:ascii="David" w:hAnsi="David" w:cs="David"/>
            <w:color w:val="0000FF"/>
            <w:sz w:val="24"/>
            <w:szCs w:val="24"/>
            <w:u w:val="single"/>
            <w:rtl/>
          </w:rPr>
          <w:t>ע"פ 4456/21</w:t>
        </w:r>
      </w:hyperlink>
      <w:r>
        <w:rPr>
          <w:rFonts w:ascii="David" w:hAnsi="David" w:cs="David"/>
          <w:sz w:val="24"/>
          <w:szCs w:val="24"/>
          <w:rtl/>
        </w:rPr>
        <w:t xml:space="preserve"> </w:t>
      </w:r>
      <w:r>
        <w:rPr>
          <w:rFonts w:ascii="David" w:hAnsi="David" w:cs="David"/>
          <w:b/>
          <w:bCs/>
          <w:sz w:val="24"/>
          <w:szCs w:val="24"/>
          <w:rtl/>
        </w:rPr>
        <w:t>מדינת ישראל נ' אבו עבסה</w:t>
      </w:r>
      <w:r>
        <w:rPr>
          <w:rFonts w:ascii="David" w:hAnsi="David" w:cs="David"/>
          <w:sz w:val="24"/>
          <w:szCs w:val="24"/>
          <w:rtl/>
        </w:rPr>
        <w:t xml:space="preserve"> (23.1.2022)).</w:t>
      </w:r>
    </w:p>
    <w:p w14:paraId="3566FE8A" w14:textId="77777777" w:rsidR="007C0569" w:rsidRDefault="007C0569" w:rsidP="007C0569">
      <w:pPr>
        <w:pStyle w:val="ac"/>
        <w:spacing w:after="0" w:line="240" w:lineRule="auto"/>
        <w:ind w:left="357"/>
        <w:jc w:val="both"/>
        <w:rPr>
          <w:rFonts w:ascii="David" w:hAnsi="David" w:cs="David"/>
          <w:sz w:val="24"/>
          <w:szCs w:val="24"/>
          <w:rtl/>
        </w:rPr>
      </w:pPr>
    </w:p>
    <w:p w14:paraId="4B3FC2A8" w14:textId="77777777" w:rsidR="007C0569" w:rsidRDefault="007C0569" w:rsidP="007C0569">
      <w:pPr>
        <w:pStyle w:val="ac"/>
        <w:spacing w:after="0" w:line="240" w:lineRule="auto"/>
        <w:ind w:left="357"/>
        <w:jc w:val="both"/>
        <w:rPr>
          <w:rFonts w:ascii="David" w:hAnsi="David" w:cs="David"/>
          <w:sz w:val="24"/>
          <w:szCs w:val="24"/>
          <w:rtl/>
        </w:rPr>
      </w:pPr>
    </w:p>
    <w:p w14:paraId="681B8EA8" w14:textId="77777777" w:rsidR="007C0569" w:rsidRDefault="007C0569" w:rsidP="007C0569">
      <w:pPr>
        <w:pStyle w:val="ac"/>
        <w:spacing w:after="0" w:line="240" w:lineRule="auto"/>
        <w:ind w:left="357"/>
        <w:jc w:val="both"/>
        <w:rPr>
          <w:rFonts w:ascii="David" w:hAnsi="David" w:cs="David"/>
          <w:sz w:val="24"/>
          <w:szCs w:val="24"/>
        </w:rPr>
      </w:pPr>
    </w:p>
    <w:p w14:paraId="043CA4E4" w14:textId="77777777" w:rsidR="007C0569" w:rsidRDefault="007C0569" w:rsidP="007C0569">
      <w:pPr>
        <w:pStyle w:val="ac"/>
        <w:spacing w:after="0" w:line="480" w:lineRule="auto"/>
        <w:ind w:left="360"/>
        <w:jc w:val="both"/>
        <w:rPr>
          <w:rFonts w:ascii="David" w:hAnsi="David" w:cs="David"/>
          <w:sz w:val="24"/>
          <w:szCs w:val="24"/>
        </w:rPr>
      </w:pPr>
      <w:r>
        <w:rPr>
          <w:rFonts w:ascii="David" w:hAnsi="David" w:cs="David"/>
          <w:sz w:val="24"/>
          <w:szCs w:val="24"/>
          <w:rtl/>
        </w:rPr>
        <w:t>וכך נאמר בדברי ההסבר לתיקון 140 ל</w:t>
      </w:r>
      <w:hyperlink r:id="rId33" w:history="1">
        <w:r w:rsidR="00FC2A61" w:rsidRPr="00FC2A61">
          <w:rPr>
            <w:rFonts w:ascii="David" w:hAnsi="David" w:cs="David"/>
            <w:color w:val="0000FF"/>
            <w:sz w:val="24"/>
            <w:szCs w:val="24"/>
            <w:u w:val="single"/>
            <w:rtl/>
          </w:rPr>
          <w:t>חוק העונשין</w:t>
        </w:r>
      </w:hyperlink>
      <w:r>
        <w:rPr>
          <w:rStyle w:val="ad"/>
          <w:rFonts w:ascii="David" w:hAnsi="David" w:cs="David"/>
          <w:sz w:val="24"/>
          <w:szCs w:val="24"/>
          <w:rtl/>
        </w:rPr>
        <w:footnoteReference w:id="2"/>
      </w:r>
      <w:r>
        <w:rPr>
          <w:rFonts w:ascii="David" w:hAnsi="David" w:cs="David"/>
          <w:sz w:val="24"/>
          <w:szCs w:val="24"/>
          <w:rtl/>
        </w:rPr>
        <w:t>:</w:t>
      </w:r>
    </w:p>
    <w:p w14:paraId="258E7AD9" w14:textId="77777777" w:rsidR="007C0569" w:rsidRDefault="007C0569" w:rsidP="007C0569">
      <w:pPr>
        <w:pStyle w:val="ac"/>
        <w:spacing w:after="0" w:line="360" w:lineRule="auto"/>
        <w:ind w:left="1020" w:right="737"/>
        <w:jc w:val="both"/>
        <w:rPr>
          <w:rFonts w:ascii="David" w:hAnsi="David" w:cs="David"/>
          <w:b/>
          <w:bCs/>
          <w:sz w:val="24"/>
          <w:szCs w:val="24"/>
        </w:rPr>
      </w:pPr>
      <w:r>
        <w:rPr>
          <w:rFonts w:ascii="David" w:hAnsi="David" w:cs="David"/>
          <w:b/>
          <w:bCs/>
          <w:sz w:val="24"/>
          <w:szCs w:val="24"/>
          <w:rtl/>
        </w:rPr>
        <w:t>"החזקתו של נשק בלתי חוקי הוא היום בגדר "מכת מדינה" ומהווה את אחד הגורמים העיקריים לעלייה בשיעור מקרי הרצח והאלימות. בנוסף, היקף האלימות והשימוש בנשק ובאמצעי לחימה בלתי חוקיים פוגעים בתחושת הביטחון של האזרחים. האלימות הגוברת גורמת לעליית הביקוש לנשק בלתי חוקי בקרב עבריינים. נשק זה מגיע לגורמים פליליים וארגוני פשע שמחזיקים וסוחרים בו למטרות פליליות. כמו כן, הזמינות הגבוהה של נשק בלתי חוקי, מגבירה את הסיכון שיעשה בו שימוש לצורך ביצוע עבירות פליליות ואף למטרות פיגועי טרור. לכן, מוצע לקבוע עונש מינימום בעבירה זאת על מנת להיחלם מלחמת חורמה ב"מכת מדינה" זו"</w:t>
      </w:r>
      <w:r>
        <w:rPr>
          <w:rFonts w:ascii="David" w:hAnsi="David" w:cs="David"/>
          <w:sz w:val="24"/>
          <w:szCs w:val="24"/>
          <w:rtl/>
        </w:rPr>
        <w:t xml:space="preserve">. </w:t>
      </w:r>
    </w:p>
    <w:p w14:paraId="660B9D43" w14:textId="77777777" w:rsidR="007C0569" w:rsidRDefault="007C0569" w:rsidP="007C0569">
      <w:pPr>
        <w:pStyle w:val="ac"/>
        <w:spacing w:after="0" w:line="240" w:lineRule="auto"/>
        <w:ind w:left="360"/>
        <w:jc w:val="both"/>
        <w:rPr>
          <w:rFonts w:ascii="David" w:hAnsi="David" w:cs="David"/>
          <w:sz w:val="24"/>
          <w:szCs w:val="24"/>
        </w:rPr>
      </w:pPr>
    </w:p>
    <w:p w14:paraId="669D09A6"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נוסף על כך, ביום 30.3.2023 נחקקה הוראת שעה נוספת, בתיקון 145 ל</w:t>
      </w:r>
      <w:hyperlink r:id="rId34"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שלא חל בענייננו, בגדרה הורחבו סמכויות המשטרה לשם מאבק בכלי הנשק הבלתי חוקיים, נקבעו הוראות חילוט בגין עבירות נשק, והוחמרו עונשים בגין עבירות נשק שונות</w:t>
      </w:r>
      <w:r>
        <w:rPr>
          <w:rStyle w:val="ad"/>
          <w:rFonts w:ascii="David" w:hAnsi="David" w:cs="David"/>
          <w:sz w:val="24"/>
          <w:szCs w:val="24"/>
          <w:rtl/>
        </w:rPr>
        <w:footnoteReference w:id="3"/>
      </w:r>
      <w:r>
        <w:rPr>
          <w:rFonts w:ascii="David" w:hAnsi="David" w:cs="David"/>
          <w:sz w:val="24"/>
          <w:szCs w:val="24"/>
          <w:rtl/>
        </w:rPr>
        <w:t xml:space="preserve">. </w:t>
      </w:r>
    </w:p>
    <w:p w14:paraId="31881E3D" w14:textId="77777777" w:rsidR="007C0569" w:rsidRDefault="007C0569" w:rsidP="007C0569">
      <w:pPr>
        <w:spacing w:line="360" w:lineRule="auto"/>
        <w:jc w:val="both"/>
        <w:rPr>
          <w:rFonts w:ascii="David" w:hAnsi="David"/>
        </w:rPr>
      </w:pPr>
    </w:p>
    <w:p w14:paraId="4DFCEA71" w14:textId="77777777" w:rsidR="007C0569" w:rsidRDefault="007C0569" w:rsidP="007C0569">
      <w:pPr>
        <w:spacing w:line="480" w:lineRule="auto"/>
        <w:rPr>
          <w:rFonts w:ascii="David" w:hAnsi="David"/>
          <w:u w:val="single"/>
          <w:rtl/>
        </w:rPr>
      </w:pPr>
      <w:r>
        <w:rPr>
          <w:rFonts w:ascii="David" w:hAnsi="David"/>
          <w:u w:val="single"/>
          <w:rtl/>
        </w:rPr>
        <w:t>מן הכלל אל הפרט</w:t>
      </w:r>
    </w:p>
    <w:p w14:paraId="7ABADA8C"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הנאשם הורשע בסיוע להחזקת אקדח ומחסנית, במתחם בית בלוד ביום 21.9.2021, קרי לפני כניסתו לתוקף של תיקון 140 ל</w:t>
      </w:r>
      <w:hyperlink r:id="rId35"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עם זאת, סמוך לאחר פרסום התיקון, נקבע בפסיקה שיש להכביד בענישה ב"רוח התיקון", כך למשל ב</w:t>
      </w:r>
      <w:hyperlink r:id="rId36" w:history="1">
        <w:r w:rsidR="00FC2A61" w:rsidRPr="00FC2A61">
          <w:rPr>
            <w:rFonts w:ascii="David" w:hAnsi="David" w:cs="David"/>
            <w:color w:val="0000FF"/>
            <w:sz w:val="24"/>
            <w:szCs w:val="24"/>
            <w:u w:val="single"/>
            <w:rtl/>
          </w:rPr>
          <w:t>ע"פ 8869/21</w:t>
        </w:r>
      </w:hyperlink>
      <w:r>
        <w:rPr>
          <w:rFonts w:ascii="David" w:hAnsi="David" w:cs="David"/>
          <w:sz w:val="24"/>
          <w:szCs w:val="24"/>
          <w:rtl/>
        </w:rPr>
        <w:t xml:space="preserve"> </w:t>
      </w:r>
      <w:r>
        <w:rPr>
          <w:rFonts w:ascii="David" w:hAnsi="David" w:cs="David"/>
          <w:b/>
          <w:bCs/>
          <w:sz w:val="24"/>
          <w:szCs w:val="24"/>
          <w:rtl/>
        </w:rPr>
        <w:t>מדינת ישראל נ' קואסמה</w:t>
      </w:r>
      <w:r>
        <w:rPr>
          <w:rFonts w:ascii="David" w:hAnsi="David" w:cs="David"/>
          <w:sz w:val="24"/>
          <w:szCs w:val="24"/>
          <w:rtl/>
        </w:rPr>
        <w:t xml:space="preserve"> (13.3.2022), וראו גם את דברי כב' השופט י' עמית ב</w:t>
      </w:r>
      <w:hyperlink r:id="rId37" w:history="1">
        <w:r w:rsidR="00FC2A61" w:rsidRPr="00FC2A61">
          <w:rPr>
            <w:rFonts w:ascii="David" w:hAnsi="David" w:cs="David"/>
            <w:color w:val="0000FF"/>
            <w:sz w:val="24"/>
            <w:szCs w:val="24"/>
            <w:u w:val="single"/>
            <w:rtl/>
          </w:rPr>
          <w:t>ע"פ 2482/22</w:t>
        </w:r>
      </w:hyperlink>
      <w:r>
        <w:rPr>
          <w:rFonts w:ascii="David" w:hAnsi="David" w:cs="David"/>
          <w:b/>
          <w:bCs/>
          <w:sz w:val="24"/>
          <w:szCs w:val="24"/>
          <w:rtl/>
        </w:rPr>
        <w:t xml:space="preserve"> מדינת ישראל נ' קדורה </w:t>
      </w:r>
      <w:r>
        <w:rPr>
          <w:rFonts w:ascii="David" w:hAnsi="David" w:cs="David"/>
          <w:sz w:val="24"/>
          <w:szCs w:val="24"/>
          <w:rtl/>
        </w:rPr>
        <w:t>(14.4.2022), כדלקמן:</w:t>
      </w:r>
    </w:p>
    <w:p w14:paraId="6D5F2378" w14:textId="77777777" w:rsidR="007C0569" w:rsidRDefault="007C0569" w:rsidP="007C0569">
      <w:pPr>
        <w:pStyle w:val="Ruller40"/>
        <w:spacing w:line="240" w:lineRule="auto"/>
        <w:ind w:left="1020" w:right="737"/>
        <w:rPr>
          <w:rFonts w:ascii="David" w:hAnsi="David" w:cs="David"/>
          <w:b/>
          <w:bCs/>
          <w:color w:val="000000"/>
          <w:sz w:val="24"/>
          <w:szCs w:val="24"/>
          <w:rtl/>
        </w:rPr>
      </w:pPr>
    </w:p>
    <w:p w14:paraId="75E0A11C" w14:textId="77777777" w:rsidR="007C0569" w:rsidRDefault="007C0569" w:rsidP="007C0569">
      <w:pPr>
        <w:pStyle w:val="Ruller40"/>
        <w:ind w:left="1020" w:right="737"/>
        <w:rPr>
          <w:rFonts w:ascii="David" w:hAnsi="David" w:cs="David"/>
          <w:b/>
          <w:bCs/>
          <w:sz w:val="24"/>
          <w:szCs w:val="24"/>
          <w:rtl/>
        </w:rPr>
      </w:pPr>
      <w:r>
        <w:rPr>
          <w:rFonts w:ascii="David" w:hAnsi="David" w:cs="David"/>
          <w:b/>
          <w:bCs/>
          <w:color w:val="000000"/>
          <w:sz w:val="24"/>
          <w:szCs w:val="24"/>
          <w:rtl/>
        </w:rPr>
        <w:t>"</w:t>
      </w:r>
      <w:r>
        <w:rPr>
          <w:rFonts w:ascii="David" w:hAnsi="David" w:cs="David"/>
          <w:b/>
          <w:bCs/>
          <w:sz w:val="24"/>
          <w:szCs w:val="24"/>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 אכן, התיקון לחוק לא חל בענייננו, מאחר שהמעשים בהם הורשע המשיב נעשו עוד קודם לתיקון, אך יש בו כדי לשקף את רצון המחוקק להחמיר בענישה בעבירות נשק"</w:t>
      </w:r>
      <w:r>
        <w:rPr>
          <w:rFonts w:ascii="David" w:hAnsi="David" w:cs="David"/>
          <w:sz w:val="24"/>
          <w:szCs w:val="24"/>
          <w:rtl/>
        </w:rPr>
        <w:t>.</w:t>
      </w:r>
      <w:r>
        <w:rPr>
          <w:rFonts w:ascii="David" w:hAnsi="David" w:cs="David"/>
          <w:b/>
          <w:bCs/>
          <w:sz w:val="24"/>
          <w:szCs w:val="24"/>
          <w:rtl/>
        </w:rPr>
        <w:t xml:space="preserve"> </w:t>
      </w:r>
    </w:p>
    <w:p w14:paraId="4591AC61" w14:textId="77777777" w:rsidR="007C0569" w:rsidRDefault="007C0569" w:rsidP="007C0569">
      <w:pPr>
        <w:pStyle w:val="ac"/>
        <w:spacing w:after="0" w:line="240" w:lineRule="auto"/>
        <w:ind w:left="419"/>
        <w:jc w:val="both"/>
        <w:rPr>
          <w:rFonts w:ascii="David" w:hAnsi="David" w:cs="David"/>
          <w:sz w:val="24"/>
          <w:szCs w:val="24"/>
        </w:rPr>
      </w:pPr>
    </w:p>
    <w:p w14:paraId="008ECCCD"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לצורך קביעת מתחם הענישה בעבירת סיוע להחזקת אקדח (שהוא מחצית העונש שנקבע לעבירה מושלמת), נתתי דעתי לפסיקה להלן, שחלקה הוגשה על ידי הצדדים:  </w:t>
      </w:r>
    </w:p>
    <w:p w14:paraId="0153737F" w14:textId="77777777" w:rsidR="007C0569" w:rsidRDefault="007C0569" w:rsidP="007C0569">
      <w:pPr>
        <w:pStyle w:val="ac"/>
        <w:spacing w:after="0" w:line="240" w:lineRule="auto"/>
        <w:ind w:left="714"/>
        <w:jc w:val="both"/>
        <w:rPr>
          <w:rFonts w:ascii="David" w:hAnsi="David" w:cs="David"/>
          <w:sz w:val="24"/>
          <w:szCs w:val="24"/>
        </w:rPr>
      </w:pPr>
    </w:p>
    <w:p w14:paraId="79828A41" w14:textId="77777777" w:rsidR="007C0569" w:rsidRDefault="007C0569" w:rsidP="007C0569">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38" w:history="1">
        <w:r w:rsidR="00FC2A61" w:rsidRPr="00FC2A61">
          <w:rPr>
            <w:rFonts w:ascii="David" w:hAnsi="David" w:cs="David"/>
            <w:color w:val="0000FF"/>
            <w:sz w:val="24"/>
            <w:szCs w:val="24"/>
            <w:u w:val="single"/>
            <w:rtl/>
          </w:rPr>
          <w:t>רע"פ 3636/23</w:t>
        </w:r>
      </w:hyperlink>
      <w:r>
        <w:rPr>
          <w:rFonts w:ascii="David" w:hAnsi="David" w:cs="David"/>
          <w:sz w:val="24"/>
          <w:szCs w:val="24"/>
          <w:rtl/>
        </w:rPr>
        <w:t xml:space="preserve"> </w:t>
      </w:r>
      <w:r>
        <w:rPr>
          <w:rFonts w:ascii="David" w:hAnsi="David" w:cs="David"/>
          <w:b/>
          <w:bCs/>
          <w:sz w:val="24"/>
          <w:szCs w:val="24"/>
          <w:rtl/>
        </w:rPr>
        <w:t>אבו אלקיעאן נ' מדינת ישראל</w:t>
      </w:r>
      <w:r>
        <w:rPr>
          <w:rFonts w:ascii="David" w:hAnsi="David" w:cs="David"/>
          <w:sz w:val="24"/>
          <w:szCs w:val="24"/>
          <w:rtl/>
        </w:rPr>
        <w:t xml:space="preserve"> (16.5.2023), נדחתה בקשת רשות ערעור שהגיש המבקש, שהורשע לפי הודאתו בהחזקת אקדח עם מחסנית וכדורים בתא המטען, בשנת 2019 (לפני תיקון 140). נקבע מתחם ענישה הולם הנע בין 11 ל-33 חודשי מאסר בפועל, ובהתחשב בגילו הצעיר ועבר פלילי נקי, נגזרו עליו 13 חודשי מאסר בפועל. </w:t>
      </w:r>
    </w:p>
    <w:p w14:paraId="1FFED104" w14:textId="77777777" w:rsidR="007C0569" w:rsidRDefault="007C0569" w:rsidP="007C0569">
      <w:pPr>
        <w:pStyle w:val="ac"/>
        <w:spacing w:after="0" w:line="240" w:lineRule="auto"/>
        <w:ind w:left="714"/>
        <w:jc w:val="both"/>
        <w:rPr>
          <w:rFonts w:ascii="David" w:hAnsi="David" w:cs="David"/>
          <w:sz w:val="24"/>
          <w:szCs w:val="24"/>
        </w:rPr>
      </w:pPr>
    </w:p>
    <w:p w14:paraId="0DA55941" w14:textId="77777777" w:rsidR="007C0569" w:rsidRDefault="007C0569" w:rsidP="007C0569">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39" w:history="1">
        <w:r w:rsidR="00FC2A61" w:rsidRPr="00FC2A61">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מדינת ישראל נ' קדורה</w:t>
      </w:r>
      <w:r>
        <w:rPr>
          <w:rFonts w:ascii="David" w:hAnsi="David" w:cs="David"/>
          <w:sz w:val="24"/>
          <w:szCs w:val="24"/>
          <w:rtl/>
        </w:rPr>
        <w:t xml:space="preserve"> (14.4.2022), הורשע המשיב לפי הודאתו בהחזקה קצרה (למשך ימים) של אקדח, מחסנית, כדורים ורימון הלם, עבור אדם אחר (לפני תיקון 140), את האקדח הוא מסר וזה לא נתפס, הגם שהמשיב שיתף פעולה בחקירתו. נקבע מתחם שנע בין 10 ל-36 חודשי מאסר בפועל, ובהתחשב בגילו הצעיר והעדר עבר פלילי נגזרו על המשיב 10 חודשי מאסר. בית המשפט העליון קיבל את ערעור המדינה והעמיד את העונש על 18 חודשי מאסר.</w:t>
      </w:r>
    </w:p>
    <w:p w14:paraId="1B5DBB14" w14:textId="77777777" w:rsidR="007C0569" w:rsidRDefault="007C0569" w:rsidP="007C0569">
      <w:pPr>
        <w:pStyle w:val="ac"/>
        <w:spacing w:after="0" w:line="240" w:lineRule="auto"/>
        <w:ind w:left="714"/>
        <w:jc w:val="both"/>
        <w:rPr>
          <w:rFonts w:ascii="David" w:hAnsi="David" w:cs="David"/>
          <w:sz w:val="24"/>
          <w:szCs w:val="24"/>
        </w:rPr>
      </w:pPr>
    </w:p>
    <w:p w14:paraId="75DEA509" w14:textId="77777777" w:rsidR="007C0569" w:rsidRDefault="007C0569" w:rsidP="007C0569">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40" w:history="1">
        <w:r w:rsidR="00FC2A61" w:rsidRPr="00FC2A61">
          <w:rPr>
            <w:rFonts w:ascii="David" w:hAnsi="David" w:cs="David"/>
            <w:color w:val="0000FF"/>
            <w:sz w:val="24"/>
            <w:szCs w:val="24"/>
            <w:u w:val="single"/>
            <w:rtl/>
          </w:rPr>
          <w:t>רע"פ 2919/22</w:t>
        </w:r>
      </w:hyperlink>
      <w:r>
        <w:rPr>
          <w:rFonts w:ascii="David" w:hAnsi="David" w:cs="David"/>
          <w:sz w:val="24"/>
          <w:szCs w:val="24"/>
          <w:rtl/>
        </w:rPr>
        <w:t xml:space="preserve"> </w:t>
      </w:r>
      <w:r>
        <w:rPr>
          <w:rFonts w:ascii="David" w:hAnsi="David" w:cs="David"/>
          <w:b/>
          <w:bCs/>
          <w:sz w:val="24"/>
          <w:szCs w:val="24"/>
          <w:rtl/>
        </w:rPr>
        <w:t>שעבאן נ' מדינת ישראל</w:t>
      </w:r>
      <w:r>
        <w:rPr>
          <w:rFonts w:ascii="David" w:hAnsi="David" w:cs="David"/>
          <w:sz w:val="24"/>
          <w:szCs w:val="24"/>
          <w:rtl/>
        </w:rPr>
        <w:t xml:space="preserve"> (1.8.2022), התקבל ערעור המדינה על זיכויו של המבקש מהחזקת אקדח שהשליך עם הגעת שוטרים לביצוע חיפוש במקום (לפני תיקון 140). כשהוחזר התיק לאחר קבלת הערעור על הכרעת הדין קבע בית משפט השלום מתחם עונש שנע בין 12 ל-36 חודשים, וגזר על הנאשם 20 חודשי מאסר בפועל. ערעור שהגיש הנאשם על חומרת העונש התקבל, ועונשו הופחת ל-15 חודשי מאסר בפועל, חרף עברו הפלילי הכבד, בשל נסיבותיו האישיות הקשות, ובהתחשב בהתנהלות השוטרים באירוע. בקשת רשות ערעור שהגיש המבקש נדחתה. </w:t>
      </w:r>
    </w:p>
    <w:p w14:paraId="796E4200" w14:textId="77777777" w:rsidR="007C0569" w:rsidRDefault="007C0569" w:rsidP="007C0569">
      <w:pPr>
        <w:pStyle w:val="ac"/>
        <w:spacing w:after="0" w:line="240" w:lineRule="auto"/>
        <w:ind w:left="714"/>
        <w:jc w:val="both"/>
        <w:rPr>
          <w:rFonts w:ascii="David" w:hAnsi="David" w:cs="David"/>
          <w:sz w:val="24"/>
          <w:szCs w:val="24"/>
        </w:rPr>
      </w:pPr>
    </w:p>
    <w:p w14:paraId="15E70465"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41" w:history="1">
        <w:r w:rsidR="00FC2A61" w:rsidRPr="00FC2A61">
          <w:rPr>
            <w:rFonts w:ascii="David" w:hAnsi="David" w:cs="David"/>
            <w:color w:val="0000FF"/>
            <w:sz w:val="24"/>
            <w:szCs w:val="24"/>
            <w:u w:val="single"/>
            <w:rtl/>
          </w:rPr>
          <w:t>רע"פ 6265/20</w:t>
        </w:r>
      </w:hyperlink>
      <w:r>
        <w:rPr>
          <w:rFonts w:ascii="David" w:hAnsi="David" w:cs="David"/>
          <w:b/>
          <w:bCs/>
          <w:sz w:val="24"/>
          <w:szCs w:val="24"/>
          <w:rtl/>
        </w:rPr>
        <w:t xml:space="preserve"> מדינת ישראל נ' אבו אלקיעאן </w:t>
      </w:r>
      <w:r>
        <w:rPr>
          <w:rFonts w:ascii="David" w:hAnsi="David" w:cs="David"/>
          <w:sz w:val="24"/>
          <w:szCs w:val="24"/>
          <w:rtl/>
        </w:rPr>
        <w:t>(15.9.2020), נדחתה בקשת רשות ערעור שהגיש מבקש שהורשע, לאחר ניהול הוכחות, בעבירה של החזקת אקדח, עם מחסנית וכדורים, מתחת לכיסא הנהג ברכבו (לפני תיקון 140). בית משפט השלום קבע מתחם עונש הולם הנע בין 15 ל-30 חודשי מאסר</w:t>
      </w:r>
      <w:r>
        <w:rPr>
          <w:rFonts w:ascii="David" w:hAnsi="David" w:cs="David"/>
          <w:b/>
          <w:bCs/>
          <w:sz w:val="24"/>
          <w:szCs w:val="24"/>
          <w:rtl/>
        </w:rPr>
        <w:t xml:space="preserve"> </w:t>
      </w:r>
      <w:r>
        <w:rPr>
          <w:rFonts w:ascii="David" w:hAnsi="David" w:cs="David"/>
          <w:sz w:val="24"/>
          <w:szCs w:val="24"/>
          <w:rtl/>
        </w:rPr>
        <w:t xml:space="preserve">בפועל, והשית על המבקש בהתחשב בהעדר עבר פלילי, מאסר למשך 15 חודשים וענישה נלווית. בית המשפט המחוזי הקל בעונשו והעמידו על 12 חודשי מאסר בפועל, בשל נסיבות אישיות משפחתיות. </w:t>
      </w:r>
    </w:p>
    <w:p w14:paraId="5AA05D0C" w14:textId="77777777" w:rsidR="007C0569" w:rsidRDefault="007C0569" w:rsidP="007C0569">
      <w:pPr>
        <w:pStyle w:val="ac"/>
        <w:spacing w:after="0" w:line="240" w:lineRule="auto"/>
        <w:jc w:val="both"/>
        <w:rPr>
          <w:rFonts w:ascii="David" w:hAnsi="David" w:cs="David"/>
          <w:sz w:val="24"/>
          <w:szCs w:val="24"/>
        </w:rPr>
      </w:pPr>
    </w:p>
    <w:p w14:paraId="551E84B4"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42" w:history="1">
        <w:r w:rsidR="00FC2A61" w:rsidRPr="00FC2A61">
          <w:rPr>
            <w:rFonts w:ascii="David" w:hAnsi="David" w:cs="David"/>
            <w:color w:val="0000FF"/>
            <w:sz w:val="24"/>
            <w:szCs w:val="24"/>
            <w:u w:val="single"/>
            <w:rtl/>
          </w:rPr>
          <w:t>רע"פ 5613/20</w:t>
        </w:r>
      </w:hyperlink>
      <w:r>
        <w:rPr>
          <w:rFonts w:ascii="David" w:hAnsi="David" w:cs="David"/>
          <w:sz w:val="24"/>
          <w:szCs w:val="24"/>
          <w:rtl/>
        </w:rPr>
        <w:t xml:space="preserve"> </w:t>
      </w:r>
      <w:r>
        <w:rPr>
          <w:rFonts w:ascii="David" w:hAnsi="David" w:cs="David"/>
          <w:b/>
          <w:bCs/>
          <w:sz w:val="24"/>
          <w:szCs w:val="24"/>
          <w:rtl/>
        </w:rPr>
        <w:t>אלהוזייל נ' מדינת ישראל</w:t>
      </w:r>
      <w:r>
        <w:rPr>
          <w:rFonts w:ascii="David" w:hAnsi="David" w:cs="David"/>
          <w:sz w:val="24"/>
          <w:szCs w:val="24"/>
          <w:rtl/>
        </w:rPr>
        <w:t xml:space="preserve"> (25.8.2020), נדחתה בקשת רשות ערעור שהגיש המבקש שהחזיק בביתו אקדח </w:t>
      </w:r>
      <w:r>
        <w:rPr>
          <w:rFonts w:ascii="David" w:hAnsi="David" w:cs="David"/>
          <w:sz w:val="24"/>
          <w:szCs w:val="24"/>
        </w:rPr>
        <w:t>FN</w:t>
      </w:r>
      <w:r>
        <w:rPr>
          <w:rFonts w:ascii="David" w:hAnsi="David" w:cs="David"/>
          <w:sz w:val="24"/>
          <w:szCs w:val="24"/>
          <w:rtl/>
        </w:rPr>
        <w:t xml:space="preserve"> </w:t>
      </w:r>
      <w:r>
        <w:rPr>
          <w:rFonts w:ascii="David" w:hAnsi="David" w:cs="David" w:hint="cs"/>
          <w:sz w:val="24"/>
          <w:szCs w:val="24"/>
          <w:rtl/>
        </w:rPr>
        <w:t xml:space="preserve">עם 20 כדורים (לפני תיקון 140). נקבע מתחם עונש הולם שנע בין 11 ל- 33 חודשים, ולאור תסקיר חיובי שהמליץ על ענישה בעבודות שירות, ועבר פלילי ישן, הושתו על הנאשם 12 חודשים מאסר בפועל. </w:t>
      </w:r>
    </w:p>
    <w:p w14:paraId="0ED5C416" w14:textId="77777777" w:rsidR="007C0569" w:rsidRDefault="007C0569" w:rsidP="007C0569">
      <w:pPr>
        <w:pStyle w:val="ac"/>
        <w:spacing w:line="240" w:lineRule="auto"/>
        <w:rPr>
          <w:rFonts w:ascii="David" w:hAnsi="David" w:cs="David"/>
          <w:sz w:val="24"/>
          <w:szCs w:val="24"/>
          <w:rtl/>
        </w:rPr>
      </w:pPr>
    </w:p>
    <w:p w14:paraId="39D0398A" w14:textId="77777777" w:rsidR="007C0569" w:rsidRDefault="007C0569" w:rsidP="007C0569">
      <w:pPr>
        <w:pStyle w:val="ac"/>
        <w:spacing w:line="240" w:lineRule="auto"/>
        <w:rPr>
          <w:rFonts w:ascii="David" w:hAnsi="David" w:cs="David"/>
          <w:sz w:val="24"/>
          <w:szCs w:val="24"/>
          <w:rtl/>
        </w:rPr>
      </w:pPr>
    </w:p>
    <w:p w14:paraId="043C29CB" w14:textId="77777777" w:rsidR="007C0569" w:rsidRDefault="007C0569" w:rsidP="007C0569">
      <w:pPr>
        <w:pStyle w:val="ac"/>
        <w:spacing w:line="240" w:lineRule="auto"/>
        <w:rPr>
          <w:rFonts w:ascii="David" w:hAnsi="David" w:cs="David"/>
          <w:sz w:val="24"/>
          <w:szCs w:val="24"/>
        </w:rPr>
      </w:pPr>
    </w:p>
    <w:p w14:paraId="131C0F3D" w14:textId="77777777" w:rsidR="007C0569" w:rsidRDefault="007C0569" w:rsidP="007C0569">
      <w:pPr>
        <w:pStyle w:val="ac"/>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43" w:history="1">
        <w:r w:rsidR="00FC2A61" w:rsidRPr="00FC2A61">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(3.5.2021), הורשע המערער לפי הודאתו בהחזקת אקדח (שהיה תקול) למשך זמן קצר, טעון במחסנית ריקה, ו- 50 כדורים שהוחזקו על גופו (לפני תיקון 140). נקבע מתחם שנע בין 10 ל-24 חודשים. בהתחשב בהעדר הרשעות, ותסקיר חיובי נגזרו על המערער 12 חודשי מאסר בפועל. ערעור על חומרת העונש נדחה, ונקבע כי העונש שנגזר הוא על הצד המקל.</w:t>
      </w:r>
    </w:p>
    <w:p w14:paraId="36815D5E" w14:textId="77777777" w:rsidR="007C0569" w:rsidRDefault="007C0569" w:rsidP="007C0569">
      <w:pPr>
        <w:pStyle w:val="ac"/>
        <w:spacing w:after="0" w:line="240" w:lineRule="auto"/>
        <w:jc w:val="both"/>
        <w:rPr>
          <w:rFonts w:ascii="David" w:hAnsi="David" w:cs="David"/>
          <w:sz w:val="24"/>
          <w:szCs w:val="24"/>
        </w:rPr>
      </w:pPr>
    </w:p>
    <w:p w14:paraId="1BE7C08F"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 xml:space="preserve">בעפ"ג (ב"ש) 14070-01-23 </w:t>
      </w:r>
      <w:r>
        <w:rPr>
          <w:rFonts w:ascii="David" w:hAnsi="David" w:cs="David"/>
          <w:b/>
          <w:bCs/>
          <w:sz w:val="24"/>
          <w:szCs w:val="24"/>
          <w:rtl/>
        </w:rPr>
        <w:t xml:space="preserve">אלהוזייל נ' מדינת ישראל </w:t>
      </w:r>
      <w:r>
        <w:rPr>
          <w:rFonts w:ascii="David" w:hAnsi="David" w:cs="David"/>
          <w:sz w:val="24"/>
          <w:szCs w:val="24"/>
          <w:rtl/>
        </w:rPr>
        <w:t>(22.3.2023) (טרם פורסם) (הוגש ע"י המאשימה) נדחה ערעור על חומרת העונש שהגיש מערער שהורשע לפי הודאתו בהחזקת נשק ותחמושת ובהתנגדות למעצר בכך שברח משוטרים (</w:t>
      </w:r>
      <w:r>
        <w:rPr>
          <w:rFonts w:ascii="David" w:hAnsi="David" w:cs="David"/>
          <w:sz w:val="24"/>
          <w:szCs w:val="24"/>
          <w:u w:val="single"/>
          <w:rtl/>
        </w:rPr>
        <w:t>אחרי תיקון 140</w:t>
      </w:r>
      <w:r>
        <w:rPr>
          <w:rFonts w:ascii="David" w:hAnsi="David" w:cs="David"/>
          <w:sz w:val="24"/>
          <w:szCs w:val="24"/>
          <w:rtl/>
        </w:rPr>
        <w:t xml:space="preserve">), החזיק אקדח חצי אוטומטי ובמחסנית עם 6 כדורים והתנגד למעצרו. בית המשפט השלום קבע כי מתחם העונש ההולם נע בין 20 ל-40 חודשי מאסר, ובהתחשב בהעדר עבר פלילי, גזר על המערער 24 חודשי מאסר וענישה נלווית. </w:t>
      </w:r>
    </w:p>
    <w:p w14:paraId="24D2E686" w14:textId="77777777" w:rsidR="007C0569" w:rsidRDefault="007C0569" w:rsidP="007C0569">
      <w:pPr>
        <w:pStyle w:val="ac"/>
        <w:spacing w:line="240" w:lineRule="auto"/>
        <w:rPr>
          <w:rFonts w:ascii="David" w:hAnsi="David" w:cs="David"/>
          <w:sz w:val="24"/>
          <w:szCs w:val="24"/>
        </w:rPr>
      </w:pPr>
    </w:p>
    <w:p w14:paraId="49E25B7A" w14:textId="77777777" w:rsidR="007C0569" w:rsidRDefault="007C0569" w:rsidP="007C0569">
      <w:pPr>
        <w:pStyle w:val="ac"/>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44" w:history="1">
        <w:r w:rsidR="00FC2A61" w:rsidRPr="00FC2A61">
          <w:rPr>
            <w:rFonts w:ascii="David" w:hAnsi="David" w:cs="David"/>
            <w:color w:val="0000FF"/>
            <w:sz w:val="24"/>
            <w:szCs w:val="24"/>
            <w:u w:val="single"/>
            <w:rtl/>
          </w:rPr>
          <w:t>עפ"ג 22885-05-17</w:t>
        </w:r>
      </w:hyperlink>
      <w:r>
        <w:rPr>
          <w:rFonts w:ascii="David" w:hAnsi="David" w:cs="David"/>
          <w:sz w:val="24"/>
          <w:szCs w:val="24"/>
          <w:rtl/>
        </w:rPr>
        <w:t xml:space="preserve"> </w:t>
      </w:r>
      <w:r>
        <w:rPr>
          <w:rFonts w:ascii="David" w:hAnsi="David" w:cs="David"/>
          <w:b/>
          <w:bCs/>
          <w:sz w:val="24"/>
          <w:szCs w:val="24"/>
          <w:rtl/>
        </w:rPr>
        <w:t>אלאסד נ' מדינת ישראל</w:t>
      </w:r>
      <w:r>
        <w:rPr>
          <w:rFonts w:ascii="David" w:hAnsi="David" w:cs="David"/>
          <w:sz w:val="24"/>
          <w:szCs w:val="24"/>
          <w:rtl/>
        </w:rPr>
        <w:t xml:space="preserve"> (5.7.2017) הנאשם הורשע לפי הודאתו בעבירה של החזקת נשק. הנאשם החזיק בנשק מסוג רובה תת מקלע מאולתר ומחסנית המכילה 10 קליעים בקוטר 9 מ"מ. בית משפט השלום קבע כי מתחם העונש ההולם נע בין 13 ועד 36 חודשי מאסר בפועל בגין החזקת כלי נשק מאולתר אחד מסוג תת מקלע בצירוף מחסנית ובה 10 כדורים. על הנאשם, בעל עבר פלילי שאינו מכביד, הושת עונש מאסר בפועל בן 21 חדשים. ערעור שהוגש על גזר הדין לביתה משפט המחוזי נדחה, תוך קביעה כי העונש עומד במתחם ענישה ראוי. </w:t>
      </w:r>
    </w:p>
    <w:p w14:paraId="0BDC2506" w14:textId="77777777" w:rsidR="007C0569" w:rsidRDefault="007C0569" w:rsidP="007C0569">
      <w:pPr>
        <w:pStyle w:val="ac"/>
        <w:spacing w:after="0" w:line="240" w:lineRule="auto"/>
        <w:jc w:val="both"/>
        <w:rPr>
          <w:rFonts w:ascii="David" w:hAnsi="David" w:cs="David"/>
          <w:sz w:val="24"/>
          <w:szCs w:val="24"/>
        </w:rPr>
      </w:pPr>
    </w:p>
    <w:p w14:paraId="17851885"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45" w:history="1">
        <w:r w:rsidR="00FC2A61" w:rsidRPr="00FC2A61">
          <w:rPr>
            <w:rFonts w:ascii="David" w:hAnsi="David" w:cs="David"/>
            <w:color w:val="0000FF"/>
            <w:sz w:val="24"/>
            <w:szCs w:val="24"/>
            <w:u w:val="single"/>
            <w:rtl/>
          </w:rPr>
          <w:t>ת"פ (רמלה) 9211-05-21</w:t>
        </w:r>
      </w:hyperlink>
      <w:r>
        <w:rPr>
          <w:rFonts w:ascii="David" w:hAnsi="David" w:cs="David"/>
          <w:sz w:val="24"/>
          <w:szCs w:val="24"/>
          <w:rtl/>
        </w:rPr>
        <w:t xml:space="preserve"> </w:t>
      </w:r>
      <w:r>
        <w:rPr>
          <w:rFonts w:ascii="David" w:hAnsi="David" w:cs="David"/>
          <w:b/>
          <w:bCs/>
          <w:sz w:val="24"/>
          <w:szCs w:val="24"/>
          <w:rtl/>
        </w:rPr>
        <w:t xml:space="preserve">מדינת ישראל נ' אזברגה </w:t>
      </w:r>
      <w:r>
        <w:rPr>
          <w:rFonts w:ascii="David" w:hAnsi="David" w:cs="David"/>
          <w:sz w:val="24"/>
          <w:szCs w:val="24"/>
          <w:rtl/>
        </w:rPr>
        <w:t>(12.1.2023) (הוגש ע"י ההגנה), דנתי בעניינו של נאשם שהורשע על-פי הודאתו בהחזקת אקדח שהוסלק במקרר בחצר ביתו (</w:t>
      </w:r>
      <w:r>
        <w:rPr>
          <w:rFonts w:ascii="David" w:hAnsi="David" w:cs="David"/>
          <w:sz w:val="24"/>
          <w:szCs w:val="24"/>
          <w:u w:val="single"/>
          <w:rtl/>
        </w:rPr>
        <w:t>ללא מחסנית או תחמושת</w:t>
      </w:r>
      <w:r>
        <w:rPr>
          <w:rFonts w:ascii="David" w:hAnsi="David" w:cs="David"/>
          <w:sz w:val="24"/>
          <w:szCs w:val="24"/>
          <w:rtl/>
        </w:rPr>
        <w:t>), עבור אחר (לפני תיקון 140). היות שהנשק לא היה זמין ולא כלל מחסנית וכדורים, נקבע מתחם עונש הולם הנע בין 12 ל-24 חודשי מאסר. בהיות הנאשם צעיר, נעדר עבר פלילי ובעל סיכויי שיקום, נגזר דינו ל-12 חודשי מאסר בפועל.</w:t>
      </w:r>
    </w:p>
    <w:p w14:paraId="680A68C7" w14:textId="77777777" w:rsidR="007C0569" w:rsidRDefault="007C0569" w:rsidP="007C0569">
      <w:pPr>
        <w:pStyle w:val="ac"/>
        <w:spacing w:after="0" w:line="240" w:lineRule="auto"/>
        <w:jc w:val="both"/>
        <w:rPr>
          <w:rFonts w:ascii="David" w:hAnsi="David" w:cs="David"/>
          <w:sz w:val="24"/>
          <w:szCs w:val="24"/>
        </w:rPr>
      </w:pPr>
    </w:p>
    <w:p w14:paraId="7262788D" w14:textId="77777777" w:rsidR="007C0569" w:rsidRPr="0075034A" w:rsidRDefault="007C0569" w:rsidP="007C0569">
      <w:pPr>
        <w:pStyle w:val="ac"/>
        <w:spacing w:after="0" w:line="360" w:lineRule="auto"/>
        <w:jc w:val="both"/>
        <w:rPr>
          <w:rFonts w:ascii="David" w:hAnsi="David" w:cs="David"/>
          <w:sz w:val="24"/>
          <w:szCs w:val="24"/>
          <w:u w:val="single"/>
        </w:rPr>
      </w:pPr>
    </w:p>
    <w:p w14:paraId="46B7A665" w14:textId="77777777" w:rsidR="007C0569" w:rsidRDefault="00FC2A61" w:rsidP="007C0569">
      <w:pPr>
        <w:pStyle w:val="ac"/>
        <w:numPr>
          <w:ilvl w:val="0"/>
          <w:numId w:val="2"/>
        </w:numPr>
        <w:spacing w:after="0" w:line="360" w:lineRule="auto"/>
        <w:jc w:val="both"/>
        <w:rPr>
          <w:rFonts w:ascii="David" w:hAnsi="David" w:cs="David"/>
          <w:sz w:val="24"/>
          <w:szCs w:val="24"/>
          <w:u w:val="single"/>
        </w:rPr>
      </w:pPr>
      <w:hyperlink r:id="rId46" w:history="1">
        <w:r w:rsidRPr="00FC2A61">
          <w:rPr>
            <w:rFonts w:ascii="David" w:hAnsi="David" w:cs="David"/>
            <w:color w:val="0000FF"/>
            <w:sz w:val="24"/>
            <w:szCs w:val="24"/>
            <w:u w:val="single"/>
            <w:rtl/>
          </w:rPr>
          <w:t>ת"פ (מחוזי מרכז-לוד) 40082-02-22</w:t>
        </w:r>
      </w:hyperlink>
      <w:r w:rsidR="007C0569">
        <w:rPr>
          <w:rFonts w:ascii="David" w:hAnsi="David" w:cs="David"/>
          <w:sz w:val="24"/>
          <w:szCs w:val="24"/>
          <w:rtl/>
        </w:rPr>
        <w:t xml:space="preserve"> </w:t>
      </w:r>
      <w:r w:rsidR="007C0569">
        <w:rPr>
          <w:rFonts w:ascii="David" w:hAnsi="David" w:cs="David"/>
          <w:b/>
          <w:bCs/>
          <w:sz w:val="24"/>
          <w:szCs w:val="24"/>
          <w:rtl/>
        </w:rPr>
        <w:t xml:space="preserve">מדינת ישראל נ' מסטורוב </w:t>
      </w:r>
      <w:r w:rsidR="007C0569">
        <w:rPr>
          <w:rFonts w:ascii="David" w:hAnsi="David" w:cs="David"/>
          <w:sz w:val="24"/>
          <w:szCs w:val="24"/>
          <w:rtl/>
        </w:rPr>
        <w:t xml:space="preserve"> (30.4.2023) (הוגש ע"י ההגנה), נדון נאשם שהורשע על-פי הודאתו בהחזקת אקדח, שהוטמן בתא אינסטלציה בחדר האמבטיה בביתו (</w:t>
      </w:r>
      <w:r w:rsidR="007C0569">
        <w:rPr>
          <w:rFonts w:ascii="David" w:hAnsi="David" w:cs="David"/>
          <w:sz w:val="24"/>
          <w:szCs w:val="24"/>
          <w:u w:val="single"/>
          <w:rtl/>
        </w:rPr>
        <w:t>אחרי תיקון 140</w:t>
      </w:r>
      <w:r w:rsidR="007C0569">
        <w:rPr>
          <w:rFonts w:ascii="David" w:hAnsi="David" w:cs="David"/>
          <w:sz w:val="24"/>
          <w:szCs w:val="24"/>
          <w:rtl/>
        </w:rPr>
        <w:t xml:space="preserve">), ובהחזקת סם שלא לצריכה עצמית מסוג קנבוס במשקל של 1,075.84 גרם. בית המשפט קבע מתחם עונש הולם כולל הנע בין 16 ל-32 חודשי מאסר, וגזר על הנאשם 16 חודשי מאסר הפועל בהתחשב בהעדר עבר פלילי, ותסקיר חיובי </w:t>
      </w:r>
      <w:r w:rsidR="007C0569">
        <w:rPr>
          <w:rFonts w:ascii="David" w:hAnsi="David" w:cs="David"/>
          <w:sz w:val="24"/>
          <w:szCs w:val="24"/>
          <w:u w:val="single"/>
          <w:rtl/>
        </w:rPr>
        <w:t xml:space="preserve">(ערעור שהגיש הנאשם על חומרת העונש - </w:t>
      </w:r>
      <w:hyperlink r:id="rId47" w:history="1">
        <w:r w:rsidRPr="00FC2A61">
          <w:rPr>
            <w:rFonts w:ascii="David" w:hAnsi="David" w:cs="David"/>
            <w:color w:val="0000FF"/>
            <w:sz w:val="24"/>
            <w:szCs w:val="24"/>
            <w:u w:val="single"/>
            <w:rtl/>
          </w:rPr>
          <w:t>ע"פ 4097/23</w:t>
        </w:r>
      </w:hyperlink>
      <w:r w:rsidR="007C0569">
        <w:rPr>
          <w:rFonts w:ascii="David" w:hAnsi="David" w:cs="David"/>
          <w:sz w:val="24"/>
          <w:szCs w:val="24"/>
          <w:u w:val="single"/>
          <w:rtl/>
        </w:rPr>
        <w:t xml:space="preserve"> - טרם נדון). </w:t>
      </w:r>
    </w:p>
    <w:p w14:paraId="0E773D32" w14:textId="77777777" w:rsidR="007C0569" w:rsidRDefault="007C0569" w:rsidP="007C0569">
      <w:pPr>
        <w:pStyle w:val="ac"/>
        <w:spacing w:after="0" w:line="240" w:lineRule="auto"/>
        <w:jc w:val="both"/>
        <w:rPr>
          <w:rFonts w:ascii="David" w:hAnsi="David" w:cs="David"/>
          <w:sz w:val="24"/>
          <w:szCs w:val="24"/>
          <w:u w:val="single"/>
          <w:rtl/>
        </w:rPr>
      </w:pPr>
    </w:p>
    <w:p w14:paraId="0F736C1A" w14:textId="77777777" w:rsidR="007C0569" w:rsidRDefault="007C0569" w:rsidP="007C0569">
      <w:pPr>
        <w:pStyle w:val="ac"/>
        <w:spacing w:after="0" w:line="240" w:lineRule="auto"/>
        <w:jc w:val="both"/>
        <w:rPr>
          <w:rFonts w:ascii="David" w:hAnsi="David" w:cs="David"/>
          <w:sz w:val="24"/>
          <w:szCs w:val="24"/>
          <w:u w:val="single"/>
        </w:rPr>
      </w:pPr>
    </w:p>
    <w:p w14:paraId="5A06D91E" w14:textId="77777777" w:rsidR="007C0569" w:rsidRDefault="007C0569" w:rsidP="007C0569">
      <w:pPr>
        <w:pStyle w:val="ac"/>
        <w:numPr>
          <w:ilvl w:val="0"/>
          <w:numId w:val="2"/>
        </w:numPr>
        <w:spacing w:after="0" w:line="360" w:lineRule="auto"/>
        <w:jc w:val="both"/>
        <w:rPr>
          <w:rFonts w:ascii="David" w:hAnsi="David" w:cs="David"/>
          <w:sz w:val="24"/>
          <w:szCs w:val="24"/>
          <w:u w:val="single"/>
        </w:rPr>
      </w:pPr>
      <w:r>
        <w:rPr>
          <w:rFonts w:ascii="David" w:hAnsi="David" w:cs="David"/>
          <w:sz w:val="24"/>
          <w:szCs w:val="24"/>
          <w:rtl/>
        </w:rPr>
        <w:t>ב</w:t>
      </w:r>
      <w:hyperlink r:id="rId48" w:history="1">
        <w:r w:rsidR="00FC2A61" w:rsidRPr="00FC2A61">
          <w:rPr>
            <w:rFonts w:ascii="David" w:hAnsi="David" w:cs="David"/>
            <w:color w:val="0000FF"/>
            <w:sz w:val="24"/>
            <w:szCs w:val="24"/>
            <w:u w:val="single"/>
            <w:rtl/>
          </w:rPr>
          <w:t>ת"פ (מחוזי מרכז) 38773-01-22</w:t>
        </w:r>
      </w:hyperlink>
      <w:r>
        <w:rPr>
          <w:rFonts w:ascii="David" w:hAnsi="David" w:cs="David"/>
          <w:b/>
          <w:bCs/>
          <w:sz w:val="24"/>
          <w:szCs w:val="24"/>
          <w:rtl/>
        </w:rPr>
        <w:t xml:space="preserve"> מדינת ישראל נ' אבו מועמר ואח'</w:t>
      </w:r>
      <w:r>
        <w:rPr>
          <w:rFonts w:ascii="David" w:hAnsi="David" w:cs="David"/>
          <w:sz w:val="24"/>
          <w:szCs w:val="24"/>
          <w:rtl/>
        </w:rPr>
        <w:t xml:space="preserve"> (12.7.2023) (הוגש ע"י ההגנה), הורשע נאשם 2 לפי הודאתו בעבירה של סיוע לנשיאת נשק, כאשר שותפו נאשם 1 נשא את האקדח אם המחסנית שהכילה תחמושת על גופו, והשניים רכבו על אופנוע. בית המשפט קבע מתחם שנע בין 13 ל-25 חודשי מאסר, וגזר על הנאשם בהיותו צעיר כבן 20, נעדר עבר פלילי, וללא דפוסים עברייניים, מאסר בפועל למשך 13 חודשים, וענישה נלווית. </w:t>
      </w:r>
    </w:p>
    <w:p w14:paraId="53C42C2A" w14:textId="77777777" w:rsidR="007C0569" w:rsidRDefault="007C0569" w:rsidP="007C0569">
      <w:pPr>
        <w:pStyle w:val="ac"/>
        <w:spacing w:after="0" w:line="240" w:lineRule="auto"/>
        <w:jc w:val="both"/>
        <w:rPr>
          <w:rFonts w:ascii="David" w:hAnsi="David" w:cs="David"/>
          <w:sz w:val="24"/>
          <w:szCs w:val="24"/>
          <w:u w:val="single"/>
        </w:rPr>
      </w:pPr>
    </w:p>
    <w:p w14:paraId="27DF200D" w14:textId="77777777" w:rsidR="007C0569" w:rsidRDefault="007C0569" w:rsidP="007C0569">
      <w:pPr>
        <w:pStyle w:val="ac"/>
        <w:numPr>
          <w:ilvl w:val="0"/>
          <w:numId w:val="1"/>
        </w:numPr>
        <w:spacing w:after="0" w:line="360" w:lineRule="auto"/>
        <w:jc w:val="both"/>
        <w:rPr>
          <w:rFonts w:ascii="David" w:hAnsi="David" w:cs="David"/>
          <w:b/>
          <w:bCs/>
          <w:sz w:val="24"/>
          <w:szCs w:val="24"/>
        </w:rPr>
      </w:pPr>
      <w:r>
        <w:rPr>
          <w:rFonts w:ascii="David" w:hAnsi="David" w:cs="David"/>
          <w:sz w:val="24"/>
          <w:szCs w:val="24"/>
          <w:rtl/>
        </w:rPr>
        <w:t>לאחר שבחנתי את הפסיקה הנוהגת, לרבות את כל הפסיקה שהגישו הצדדים, נתתי דגש לענישה הרלוונטית לענייננו, לפני תיקון 140 ל</w:t>
      </w:r>
      <w:hyperlink r:id="rId49"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בשים לב שהנאשם הורשע בכך שסייע לאחר להחזיק אקדח שהכיל מחסנית עם כדורים, והשליכו כשהשוטרים היו במתחם, אני קובעת כי </w:t>
      </w:r>
      <w:r>
        <w:rPr>
          <w:rFonts w:ascii="David" w:hAnsi="David" w:cs="David"/>
          <w:b/>
          <w:bCs/>
          <w:sz w:val="24"/>
          <w:szCs w:val="24"/>
          <w:rtl/>
        </w:rPr>
        <w:t>מתחם העונש ההולם נע בין 8 ל- 18 חודשי מאסר בפועל</w:t>
      </w:r>
      <w:r w:rsidRPr="00097336">
        <w:rPr>
          <w:rFonts w:ascii="David" w:hAnsi="David" w:cs="David"/>
          <w:sz w:val="24"/>
          <w:szCs w:val="24"/>
          <w:rtl/>
        </w:rPr>
        <w:t>.</w:t>
      </w:r>
      <w:r>
        <w:rPr>
          <w:rFonts w:ascii="David" w:hAnsi="David" w:cs="David"/>
          <w:b/>
          <w:bCs/>
          <w:sz w:val="24"/>
          <w:szCs w:val="24"/>
          <w:rtl/>
        </w:rPr>
        <w:t xml:space="preserve"> </w:t>
      </w:r>
    </w:p>
    <w:p w14:paraId="35DD4F91" w14:textId="77777777" w:rsidR="007C0569" w:rsidRDefault="007C0569" w:rsidP="007C0569">
      <w:pPr>
        <w:spacing w:line="360" w:lineRule="auto"/>
        <w:jc w:val="both"/>
        <w:rPr>
          <w:rFonts w:ascii="David" w:hAnsi="David"/>
          <w:b/>
          <w:bCs/>
        </w:rPr>
      </w:pPr>
    </w:p>
    <w:p w14:paraId="0642340A" w14:textId="77777777" w:rsidR="007C0569" w:rsidRDefault="007C0569" w:rsidP="007C0569">
      <w:pPr>
        <w:spacing w:line="360" w:lineRule="auto"/>
        <w:jc w:val="both"/>
        <w:rPr>
          <w:rFonts w:ascii="David" w:hAnsi="David"/>
          <w:u w:val="single"/>
          <w:rtl/>
        </w:rPr>
      </w:pPr>
      <w:r>
        <w:rPr>
          <w:rFonts w:ascii="David" w:hAnsi="David"/>
          <w:u w:val="single"/>
          <w:rtl/>
        </w:rPr>
        <w:t>תיק הסמים – קביעת מתחם העונש ההולם</w:t>
      </w:r>
    </w:p>
    <w:p w14:paraId="34D30640" w14:textId="77777777" w:rsidR="007C0569" w:rsidRDefault="007C0569" w:rsidP="007C0569">
      <w:pPr>
        <w:pStyle w:val="ac"/>
        <w:spacing w:after="0" w:line="240" w:lineRule="auto"/>
        <w:ind w:left="360"/>
        <w:jc w:val="both"/>
        <w:rPr>
          <w:rFonts w:ascii="David" w:hAnsi="David" w:cs="David"/>
          <w:b/>
          <w:bCs/>
          <w:sz w:val="24"/>
          <w:szCs w:val="24"/>
        </w:rPr>
      </w:pPr>
    </w:p>
    <w:p w14:paraId="1EA39BF2"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הערכים המוגנים בעבירות סמים רחבים והם נוגעים לבריאות הציבור, ביטחונו ורכושו. הפסיקה רואה בעבירות הסמים רעה חולה, ומשום כך נקודת המוצא מחייבת הכבדה הענישה, אך באופן מידתי למקרה הנדון (</w:t>
      </w:r>
      <w:hyperlink r:id="rId50" w:history="1">
        <w:r w:rsidR="00FC2A61" w:rsidRPr="00FC2A61">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51" w:history="1">
        <w:r w:rsidR="00FC2A61" w:rsidRPr="00FC2A61">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 </w:t>
      </w:r>
      <w:hyperlink r:id="rId52" w:history="1">
        <w:r w:rsidR="00FC2A61" w:rsidRPr="00FC2A61">
          <w:rPr>
            <w:rFonts w:ascii="David" w:hAnsi="David" w:cs="David"/>
            <w:color w:val="0000FF"/>
            <w:sz w:val="24"/>
            <w:szCs w:val="24"/>
            <w:u w:val="single"/>
            <w:rtl/>
          </w:rPr>
          <w:t>רע"פ 666/20</w:t>
        </w:r>
      </w:hyperlink>
      <w:r>
        <w:rPr>
          <w:rFonts w:ascii="David" w:hAnsi="David" w:cs="David"/>
          <w:sz w:val="24"/>
          <w:szCs w:val="24"/>
          <w:rtl/>
        </w:rPr>
        <w:t xml:space="preserve"> </w:t>
      </w:r>
      <w:r>
        <w:rPr>
          <w:rFonts w:ascii="David" w:hAnsi="David" w:cs="David"/>
          <w:b/>
          <w:bCs/>
          <w:sz w:val="24"/>
          <w:szCs w:val="24"/>
          <w:rtl/>
        </w:rPr>
        <w:t>עמרם נ' מדינת ישראל</w:t>
      </w:r>
      <w:r>
        <w:rPr>
          <w:rFonts w:ascii="David" w:hAnsi="David" w:cs="David"/>
          <w:sz w:val="24"/>
          <w:szCs w:val="24"/>
          <w:rtl/>
        </w:rPr>
        <w:t xml:space="preserve"> (3.2.2020)).</w:t>
      </w:r>
    </w:p>
    <w:p w14:paraId="05A24C76" w14:textId="77777777" w:rsidR="007C0569" w:rsidRDefault="007C0569" w:rsidP="007C0569">
      <w:pPr>
        <w:ind w:left="360"/>
        <w:contextualSpacing/>
        <w:jc w:val="both"/>
        <w:rPr>
          <w:rFonts w:ascii="David" w:hAnsi="David"/>
        </w:rPr>
      </w:pPr>
    </w:p>
    <w:p w14:paraId="3E5C1186" w14:textId="77777777" w:rsidR="007C0569" w:rsidRDefault="007C0569" w:rsidP="007C0569">
      <w:pPr>
        <w:numPr>
          <w:ilvl w:val="0"/>
          <w:numId w:val="1"/>
        </w:numPr>
        <w:spacing w:line="360" w:lineRule="auto"/>
        <w:contextualSpacing/>
        <w:jc w:val="both"/>
        <w:rPr>
          <w:rFonts w:ascii="David" w:hAnsi="David"/>
        </w:rPr>
      </w:pPr>
      <w:r>
        <w:rPr>
          <w:rFonts w:ascii="David" w:hAnsi="David"/>
          <w:rtl/>
        </w:rPr>
        <w:t>בנוגע לעבירות גידול סמים, פוטנציאל הסיכון הטמון בהן דומה לעבירות סחר והפצת סמים, בהיותן מרכזיות בשרשרת אספקת הסמים. יפים לענייננו דברי כב' השופט נ' הנדל (כתוארו אז), ב</w:t>
      </w:r>
      <w:hyperlink r:id="rId53" w:history="1">
        <w:r w:rsidR="00FC2A61" w:rsidRPr="00FC2A61">
          <w:rPr>
            <w:rFonts w:ascii="David" w:hAnsi="David"/>
            <w:color w:val="0000FF"/>
            <w:u w:val="single"/>
            <w:rtl/>
          </w:rPr>
          <w:t>ע"פ 972/11</w:t>
        </w:r>
      </w:hyperlink>
      <w:r>
        <w:rPr>
          <w:rFonts w:ascii="David" w:hAnsi="David"/>
          <w:rtl/>
        </w:rPr>
        <w:t xml:space="preserve"> </w:t>
      </w:r>
      <w:r>
        <w:rPr>
          <w:rFonts w:ascii="David" w:hAnsi="David"/>
          <w:b/>
          <w:bCs/>
          <w:rtl/>
        </w:rPr>
        <w:t>יונה נ' מדינת ישראל</w:t>
      </w:r>
      <w:r>
        <w:rPr>
          <w:rFonts w:ascii="David" w:hAnsi="David"/>
          <w:rtl/>
        </w:rPr>
        <w:t xml:space="preserve"> (4.7.2012), כדלקמן:</w:t>
      </w:r>
    </w:p>
    <w:p w14:paraId="6D192688" w14:textId="77777777" w:rsidR="007C0569" w:rsidRDefault="007C0569" w:rsidP="007C0569">
      <w:pPr>
        <w:jc w:val="both"/>
        <w:rPr>
          <w:rFonts w:ascii="David" w:hAnsi="David"/>
          <w:rtl/>
        </w:rPr>
      </w:pPr>
    </w:p>
    <w:p w14:paraId="78E81BF9" w14:textId="77777777" w:rsidR="007C0569" w:rsidRDefault="007C0569" w:rsidP="007C0569">
      <w:pPr>
        <w:spacing w:line="360" w:lineRule="auto"/>
        <w:ind w:left="1077" w:right="794"/>
        <w:jc w:val="both"/>
        <w:rPr>
          <w:rFonts w:ascii="David" w:hAnsi="David"/>
          <w:b/>
          <w:bCs/>
          <w:rtl/>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rtl/>
        </w:rPr>
        <w:t xml:space="preserve">. </w:t>
      </w:r>
    </w:p>
    <w:p w14:paraId="7B86274C" w14:textId="77777777" w:rsidR="007C0569" w:rsidRPr="007C0569" w:rsidRDefault="007C0569" w:rsidP="007C0569">
      <w:pPr>
        <w:pStyle w:val="Ruller40"/>
        <w:spacing w:line="240" w:lineRule="auto"/>
        <w:rPr>
          <w:rFonts w:ascii="David" w:hAnsi="David" w:cs="David"/>
          <w:color w:val="000000"/>
          <w:sz w:val="24"/>
          <w:szCs w:val="24"/>
        </w:rPr>
      </w:pPr>
      <w:r>
        <w:rPr>
          <w:rFonts w:ascii="David" w:hAnsi="David" w:cs="David"/>
          <w:sz w:val="24"/>
          <w:szCs w:val="24"/>
          <w:rtl/>
        </w:rPr>
        <w:tab/>
      </w:r>
    </w:p>
    <w:p w14:paraId="649E9AF3" w14:textId="77777777" w:rsidR="007C0569" w:rsidRPr="007C0569" w:rsidRDefault="007C0569" w:rsidP="007C0569">
      <w:pPr>
        <w:pStyle w:val="ac"/>
        <w:numPr>
          <w:ilvl w:val="0"/>
          <w:numId w:val="1"/>
        </w:numPr>
        <w:spacing w:after="0" w:line="360" w:lineRule="auto"/>
        <w:jc w:val="both"/>
        <w:rPr>
          <w:rFonts w:ascii="David" w:hAnsi="David" w:cs="David"/>
          <w:color w:val="000000"/>
          <w:sz w:val="24"/>
          <w:szCs w:val="24"/>
          <w:rtl/>
        </w:rPr>
      </w:pPr>
      <w:r w:rsidRPr="007C0569">
        <w:rPr>
          <w:rFonts w:ascii="David" w:hAnsi="David" w:cs="David"/>
          <w:color w:val="000000"/>
          <w:sz w:val="24"/>
          <w:szCs w:val="24"/>
          <w:rtl/>
        </w:rPr>
        <w:t>עיון בפסיקה ענפה של בתי המשפט בעבירות גידול סמים, במקרים דומים, מלמדת כי הענישה הנוהגת נעה בין מאסר בעבודות שירות ועד מאסרים ממושכים בפועל. מידת חומרת העבירה והפגיעה בערכים המוגנים נקבעים לפי גודל המעבדה; משך פעילותה; הציוד שהושקע בה; השותפים בהקמתה, ומובן שדגש ניתן למספר השתילים שגודלו ומשקלם הכולל, כדלקמן:</w:t>
      </w:r>
    </w:p>
    <w:p w14:paraId="33AB3E5C" w14:textId="77777777" w:rsidR="007C0569" w:rsidRPr="007C0569" w:rsidRDefault="007C0569" w:rsidP="007C0569">
      <w:pPr>
        <w:pStyle w:val="ac"/>
        <w:spacing w:after="0" w:line="240" w:lineRule="auto"/>
        <w:ind w:left="360"/>
        <w:jc w:val="both"/>
        <w:rPr>
          <w:rFonts w:ascii="David" w:hAnsi="David" w:cs="David"/>
          <w:color w:val="000000"/>
          <w:sz w:val="24"/>
          <w:szCs w:val="24"/>
        </w:rPr>
      </w:pPr>
    </w:p>
    <w:p w14:paraId="4B842058" w14:textId="77777777" w:rsidR="007C0569" w:rsidRDefault="007C0569" w:rsidP="007C0569">
      <w:pPr>
        <w:pStyle w:val="ac"/>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54" w:history="1">
        <w:r w:rsidR="00FC2A61" w:rsidRPr="00FC2A61">
          <w:rPr>
            <w:rFonts w:ascii="David" w:hAnsi="David" w:cs="David"/>
            <w:color w:val="0000FF"/>
            <w:sz w:val="24"/>
            <w:szCs w:val="24"/>
            <w:u w:val="single"/>
            <w:rtl/>
          </w:rPr>
          <w:t>רע"פ 1787/15</w:t>
        </w:r>
      </w:hyperlink>
      <w:r>
        <w:rPr>
          <w:rFonts w:ascii="David" w:hAnsi="David" w:cs="David"/>
          <w:sz w:val="24"/>
          <w:szCs w:val="24"/>
          <w:rtl/>
        </w:rPr>
        <w:t xml:space="preserve"> </w:t>
      </w:r>
      <w:r>
        <w:rPr>
          <w:rFonts w:ascii="David" w:hAnsi="David" w:cs="David"/>
          <w:b/>
          <w:bCs/>
          <w:sz w:val="24"/>
          <w:szCs w:val="24"/>
          <w:rtl/>
        </w:rPr>
        <w:t xml:space="preserve">עמר נ' מדינת ישראל </w:t>
      </w:r>
      <w:r>
        <w:rPr>
          <w:rFonts w:ascii="David" w:hAnsi="David" w:cs="David"/>
          <w:sz w:val="24"/>
          <w:szCs w:val="24"/>
          <w:rtl/>
        </w:rPr>
        <w:t xml:space="preserve">(24.3.2015), נדחתה בקשת רשות ערעור שהגיש מבקש שהורשע לפי הודאתו בגידול 9 שתילי קנבוס במשקל כולל של 4,380 גרם, החזקת כלים ששימשו לגידול סמים. בית המשפט השלום קבע מתחם עונש הולם הנע בין 8 ל-20 חודשי מאסר, וגזר על המבקש 8 חודשי מאסר בפועל, לאור הודאתו, תסקיר חיובי שהוגש, ובהתחשב בעברו הפלילי המתון (שכלל עבירות מס). </w:t>
      </w:r>
    </w:p>
    <w:p w14:paraId="26D9B067" w14:textId="77777777" w:rsidR="007C0569" w:rsidRDefault="007C0569" w:rsidP="007C0569">
      <w:pPr>
        <w:pStyle w:val="ac"/>
        <w:spacing w:after="0" w:line="240" w:lineRule="auto"/>
        <w:jc w:val="both"/>
        <w:rPr>
          <w:rFonts w:ascii="David" w:hAnsi="David" w:cs="David"/>
          <w:sz w:val="24"/>
          <w:szCs w:val="24"/>
        </w:rPr>
      </w:pPr>
    </w:p>
    <w:p w14:paraId="0851307E"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Pr>
      </w:pPr>
      <w:r>
        <w:rPr>
          <w:rFonts w:ascii="David" w:hAnsi="David" w:cs="David"/>
          <w:sz w:val="24"/>
          <w:szCs w:val="24"/>
          <w:rtl/>
        </w:rPr>
        <w:t>ב</w:t>
      </w:r>
      <w:hyperlink r:id="rId55" w:history="1">
        <w:r w:rsidR="00FC2A61" w:rsidRPr="00FC2A61">
          <w:rPr>
            <w:rFonts w:ascii="David" w:hAnsi="David" w:cs="David"/>
            <w:color w:val="0000FF"/>
            <w:sz w:val="24"/>
            <w:szCs w:val="24"/>
            <w:u w:val="single"/>
            <w:rtl/>
          </w:rPr>
          <w:t>רע"פ 314/16</w:t>
        </w:r>
      </w:hyperlink>
      <w:r w:rsidRPr="007C0569">
        <w:rPr>
          <w:rFonts w:ascii="David" w:hAnsi="David" w:cs="David"/>
          <w:color w:val="000000"/>
          <w:sz w:val="24"/>
          <w:szCs w:val="24"/>
          <w:rtl/>
        </w:rPr>
        <w:t xml:space="preserve"> </w:t>
      </w:r>
      <w:r w:rsidRPr="007C0569">
        <w:rPr>
          <w:rFonts w:ascii="David" w:hAnsi="David" w:cs="David" w:hint="cs"/>
          <w:b/>
          <w:bCs/>
          <w:color w:val="000000"/>
          <w:sz w:val="24"/>
          <w:szCs w:val="24"/>
          <w:rtl/>
        </w:rPr>
        <w:t xml:space="preserve">בן </w:t>
      </w:r>
      <w:r>
        <w:rPr>
          <w:rFonts w:ascii="David" w:hAnsi="David" w:cs="David"/>
          <w:b/>
          <w:bCs/>
          <w:sz w:val="24"/>
          <w:szCs w:val="24"/>
          <w:rtl/>
        </w:rPr>
        <w:t>צבי נ' מדינת ישראל</w:t>
      </w:r>
      <w:r>
        <w:rPr>
          <w:rFonts w:ascii="David" w:hAnsi="David" w:cs="David"/>
          <w:sz w:val="24"/>
          <w:szCs w:val="24"/>
          <w:rtl/>
        </w:rPr>
        <w:t xml:space="preserve"> (22.2.2016) (הוגש ע"י ההגנה), נדחתה בקשת רשות ערעור שהגיש המבקש שהורשע לפי הודאתו בגידול של כ- 2.5 ק"ג קנבוס במעבדה שבה ציוד רב, אותה הפעיל במשך כ- 9 חודשים. נקבע מתחם עונש הולם שנע בין מספר חודשי מאסר לריצוי בעבודות שירות ל-18 חודשי מאסר, ונגזרו על הנאשם 10 חודשי מאסר.</w:t>
      </w:r>
    </w:p>
    <w:p w14:paraId="2DBE19C8" w14:textId="77777777" w:rsidR="007C0569" w:rsidRPr="007C0569" w:rsidRDefault="007C0569" w:rsidP="007C0569">
      <w:pPr>
        <w:pStyle w:val="ac"/>
        <w:rPr>
          <w:rFonts w:ascii="David" w:hAnsi="David" w:cs="David"/>
          <w:color w:val="000000"/>
          <w:sz w:val="24"/>
          <w:szCs w:val="24"/>
        </w:rPr>
      </w:pPr>
    </w:p>
    <w:p w14:paraId="70EFD67C"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tl/>
        </w:rPr>
      </w:pPr>
      <w:r w:rsidRPr="007C0569">
        <w:rPr>
          <w:rFonts w:ascii="David" w:hAnsi="David" w:cs="David"/>
          <w:color w:val="000000"/>
          <w:sz w:val="24"/>
          <w:szCs w:val="24"/>
          <w:rtl/>
        </w:rPr>
        <w:t>ב</w:t>
      </w:r>
      <w:hyperlink r:id="rId56" w:history="1">
        <w:r w:rsidR="00FC2A61" w:rsidRPr="00FC2A61">
          <w:rPr>
            <w:rFonts w:ascii="David" w:hAnsi="David" w:cs="David"/>
            <w:color w:val="0000FF"/>
            <w:sz w:val="24"/>
            <w:szCs w:val="24"/>
            <w:u w:val="single"/>
            <w:rtl/>
          </w:rPr>
          <w:t>רע"פ 7819/15</w:t>
        </w:r>
      </w:hyperlink>
      <w:r w:rsidRPr="007C0569">
        <w:rPr>
          <w:rFonts w:ascii="David" w:hAnsi="David" w:cs="David"/>
          <w:color w:val="000000"/>
          <w:sz w:val="24"/>
          <w:szCs w:val="24"/>
          <w:rtl/>
        </w:rPr>
        <w:t xml:space="preserve"> </w:t>
      </w:r>
      <w:r w:rsidRPr="007C0569">
        <w:rPr>
          <w:rFonts w:ascii="David" w:hAnsi="David" w:cs="David"/>
          <w:b/>
          <w:bCs/>
          <w:color w:val="000000"/>
          <w:sz w:val="24"/>
          <w:szCs w:val="24"/>
          <w:rtl/>
        </w:rPr>
        <w:t>סלור נ' מדינת ישראל</w:t>
      </w:r>
      <w:r w:rsidRPr="007C0569">
        <w:rPr>
          <w:rFonts w:ascii="David" w:hAnsi="David" w:cs="David"/>
          <w:color w:val="000000"/>
          <w:sz w:val="24"/>
          <w:szCs w:val="24"/>
          <w:rtl/>
        </w:rPr>
        <w:t xml:space="preserve"> (22.5.2016) נדחתה בקשת רשות ערעור שהגיש המבקש שהורשע בגידול 45 שתילי קנבוס במשקל כולל של 7.44 ק"ג, במעבדה שכללה ציוד רב, אותה הקים בביתו. נקבע מתחם שנע בין 7 ל-18 חודשי מאסר, ולאור תסקיר חיובי מאת שירות המבחן נדון הנאשם לעונש מאסר בפועל למשך 9 חודשים.</w:t>
      </w:r>
    </w:p>
    <w:p w14:paraId="3C04422B" w14:textId="77777777" w:rsidR="007C0569" w:rsidRPr="007C0569" w:rsidRDefault="007C0569" w:rsidP="007C0569">
      <w:pPr>
        <w:pStyle w:val="ac"/>
        <w:rPr>
          <w:rFonts w:ascii="David" w:hAnsi="David" w:cs="David"/>
          <w:color w:val="000000"/>
          <w:sz w:val="24"/>
          <w:szCs w:val="24"/>
        </w:rPr>
      </w:pPr>
    </w:p>
    <w:p w14:paraId="0A6B2D7D"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tl/>
        </w:rPr>
      </w:pPr>
      <w:r w:rsidRPr="007C0569">
        <w:rPr>
          <w:rFonts w:ascii="David" w:hAnsi="David" w:cs="David"/>
          <w:color w:val="000000"/>
          <w:sz w:val="24"/>
          <w:szCs w:val="24"/>
          <w:rtl/>
        </w:rPr>
        <w:t>ב</w:t>
      </w:r>
      <w:hyperlink r:id="rId57" w:history="1">
        <w:r w:rsidR="00FC2A61" w:rsidRPr="00FC2A61">
          <w:rPr>
            <w:rFonts w:ascii="David" w:hAnsi="David" w:cs="David"/>
            <w:color w:val="0000FF"/>
            <w:sz w:val="24"/>
            <w:szCs w:val="24"/>
            <w:u w:val="single"/>
            <w:rtl/>
          </w:rPr>
          <w:t>ת"פ (נתניה) 50425-12-15</w:t>
        </w:r>
      </w:hyperlink>
      <w:r w:rsidRPr="007C0569">
        <w:rPr>
          <w:rFonts w:ascii="David" w:hAnsi="David" w:cs="David"/>
          <w:color w:val="000000"/>
          <w:sz w:val="24"/>
          <w:szCs w:val="24"/>
          <w:rtl/>
        </w:rPr>
        <w:t xml:space="preserve"> </w:t>
      </w:r>
      <w:r w:rsidRPr="007C0569">
        <w:rPr>
          <w:rFonts w:ascii="David" w:hAnsi="David" w:cs="David"/>
          <w:b/>
          <w:bCs/>
          <w:color w:val="000000"/>
          <w:sz w:val="24"/>
          <w:szCs w:val="24"/>
          <w:rtl/>
        </w:rPr>
        <w:t>מדינת ישראל נ' קארבונידיס (</w:t>
      </w:r>
      <w:r w:rsidRPr="007C0569">
        <w:rPr>
          <w:rFonts w:ascii="David" w:hAnsi="David" w:cs="David"/>
          <w:color w:val="000000"/>
          <w:sz w:val="24"/>
          <w:szCs w:val="24"/>
          <w:rtl/>
        </w:rPr>
        <w:t xml:space="preserve">19.11.2017) (הוגש ע"י המאשימה) נדון נאשם שהורשע לפי הודאתו בגידול של 18 שתילים של קנבוס במשקל כולל של 950 גרם. בית המשפט אימץ את המתחם לו עתרה המאשימה, שנע בין 6 ועד 20 חודשי מאסר, אך סטה ממתחם העונש ההולם מטעמי שיקום, וגזר על נאשם צעיר, נעצר עבר פלילי 4 חודשי מאסר לריצוי בעבודות שירות. </w:t>
      </w:r>
    </w:p>
    <w:p w14:paraId="4CBCBAEC" w14:textId="77777777" w:rsidR="007C0569" w:rsidRDefault="007C0569" w:rsidP="007C0569">
      <w:pPr>
        <w:pStyle w:val="ac"/>
        <w:spacing w:after="0" w:line="240" w:lineRule="auto"/>
        <w:ind w:left="360"/>
        <w:jc w:val="both"/>
        <w:rPr>
          <w:rFonts w:ascii="David" w:hAnsi="David" w:cs="David"/>
          <w:b/>
          <w:bCs/>
          <w:sz w:val="24"/>
          <w:szCs w:val="24"/>
        </w:rPr>
      </w:pPr>
    </w:p>
    <w:p w14:paraId="7F5BD782"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Pr>
      </w:pPr>
      <w:r>
        <w:rPr>
          <w:rFonts w:ascii="David" w:hAnsi="David" w:cs="David"/>
          <w:sz w:val="24"/>
          <w:szCs w:val="24"/>
          <w:rtl/>
        </w:rPr>
        <w:t>ב</w:t>
      </w:r>
      <w:hyperlink r:id="rId58" w:history="1">
        <w:r w:rsidR="00FC2A61" w:rsidRPr="00FC2A61">
          <w:rPr>
            <w:rFonts w:ascii="David" w:hAnsi="David" w:cs="David"/>
            <w:color w:val="0000FF"/>
            <w:sz w:val="24"/>
            <w:szCs w:val="24"/>
            <w:u w:val="single"/>
            <w:rtl/>
          </w:rPr>
          <w:t>רע"פ 2277/21</w:t>
        </w:r>
      </w:hyperlink>
      <w:r>
        <w:rPr>
          <w:rFonts w:ascii="David" w:hAnsi="David" w:cs="David"/>
          <w:b/>
          <w:bCs/>
          <w:sz w:val="24"/>
          <w:szCs w:val="24"/>
          <w:rtl/>
        </w:rPr>
        <w:t xml:space="preserve"> יוחננוב נ' מדינת ישראל</w:t>
      </w:r>
      <w:r>
        <w:rPr>
          <w:rFonts w:ascii="David" w:hAnsi="David" w:cs="David"/>
          <w:sz w:val="24"/>
          <w:szCs w:val="24"/>
          <w:rtl/>
        </w:rPr>
        <w:t xml:space="preserve"> (8.4.2021), נדחתה בקשת רשות ערעור שהגיש המבקש על חומרת עונש שנגזר עליו בגין הרשעתו בגידול סם מסוג קנבוס במשקל של 1 ק"ג, והחזקת 42.89 ג' של סם זה. נקבע מתחם עונש הולם הנע בין מספר חודשי עבודות שירות ועד 12 חודשי מאסר בפועל, ועל המבקש נגזרו 6 חודשי עבודות שירות, בהתחשב </w:t>
      </w:r>
      <w:r w:rsidRPr="007C0569">
        <w:rPr>
          <w:rFonts w:ascii="David" w:hAnsi="David" w:cs="David"/>
          <w:color w:val="000000"/>
          <w:sz w:val="24"/>
          <w:szCs w:val="24"/>
          <w:rtl/>
        </w:rPr>
        <w:t xml:space="preserve">בנסיבותיו האישיות, והיותו נעדר עבר פלילי. </w:t>
      </w:r>
    </w:p>
    <w:p w14:paraId="01678606" w14:textId="77777777" w:rsidR="007C0569" w:rsidRPr="007C0569" w:rsidRDefault="007C0569" w:rsidP="007C0569">
      <w:pPr>
        <w:pStyle w:val="ac"/>
        <w:spacing w:after="0" w:line="240" w:lineRule="auto"/>
        <w:jc w:val="both"/>
        <w:rPr>
          <w:rFonts w:ascii="David" w:hAnsi="David" w:cs="David"/>
          <w:color w:val="000000"/>
          <w:sz w:val="24"/>
          <w:szCs w:val="24"/>
        </w:rPr>
      </w:pPr>
    </w:p>
    <w:p w14:paraId="7B8D47F4"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Pr>
      </w:pPr>
      <w:r>
        <w:rPr>
          <w:rFonts w:ascii="David" w:hAnsi="David" w:cs="David"/>
          <w:sz w:val="24"/>
          <w:szCs w:val="24"/>
          <w:rtl/>
        </w:rPr>
        <w:t>ב</w:t>
      </w:r>
      <w:hyperlink r:id="rId59" w:history="1">
        <w:r w:rsidR="00FC2A61" w:rsidRPr="00FC2A61">
          <w:rPr>
            <w:rFonts w:ascii="David" w:hAnsi="David" w:cs="David"/>
            <w:color w:val="0000FF"/>
            <w:sz w:val="24"/>
            <w:szCs w:val="24"/>
            <w:u w:val="single"/>
            <w:rtl/>
          </w:rPr>
          <w:t>עפ"ג (מרכז-לוד) 10371-03-22</w:t>
        </w:r>
      </w:hyperlink>
      <w:r>
        <w:rPr>
          <w:rFonts w:ascii="David" w:hAnsi="David" w:cs="David"/>
          <w:sz w:val="24"/>
          <w:szCs w:val="24"/>
          <w:rtl/>
        </w:rPr>
        <w:t xml:space="preserve"> </w:t>
      </w:r>
      <w:r>
        <w:rPr>
          <w:rFonts w:ascii="David" w:hAnsi="David" w:cs="David"/>
          <w:b/>
          <w:bCs/>
          <w:sz w:val="24"/>
          <w:szCs w:val="24"/>
          <w:rtl/>
        </w:rPr>
        <w:t>בכר נ' מדינת ישראל</w:t>
      </w:r>
      <w:r>
        <w:rPr>
          <w:rFonts w:ascii="David" w:hAnsi="David" w:cs="David"/>
          <w:sz w:val="24"/>
          <w:szCs w:val="24"/>
          <w:rtl/>
        </w:rPr>
        <w:t xml:space="preserve"> (12.9.2022), נדון עניינו של מערער שהורשע לפי הודאתו בגידול סמים, בכך ששכר דירה והקים בה מעבדה במשך 3 חודשים, ולשם כך החזיק בציוד וכלים. בעת חיפוש במעבדה נתפסו 94 שתילים של קנבוס במשקל כולל של כ- 3.8 ק"ג. המערער בן 35, לא שיתף פעולה עם שירות מבחן, עברו הפלילי היה קל ולא רלוונטי. בימ"ש השלום קבע מתחם </w:t>
      </w:r>
      <w:r>
        <w:rPr>
          <w:rFonts w:ascii="David" w:hAnsi="David" w:cs="David" w:hint="cs"/>
          <w:sz w:val="24"/>
          <w:szCs w:val="24"/>
          <w:rtl/>
        </w:rPr>
        <w:t>ה</w:t>
      </w:r>
      <w:r>
        <w:rPr>
          <w:rFonts w:ascii="David" w:hAnsi="David" w:cs="David"/>
          <w:sz w:val="24"/>
          <w:szCs w:val="24"/>
          <w:rtl/>
        </w:rPr>
        <w:t xml:space="preserve">נע בין 10 ל-24 חודשי מאסר, וגזר על המערער 10 חודשי מאסר בפועל, לצד ענישה נלוות. </w:t>
      </w:r>
      <w:r w:rsidRPr="007C0569">
        <w:rPr>
          <w:rFonts w:ascii="David" w:hAnsi="David" w:cs="David"/>
          <w:color w:val="000000"/>
          <w:sz w:val="24"/>
          <w:szCs w:val="24"/>
          <w:rtl/>
        </w:rPr>
        <w:t xml:space="preserve">ערעור על חומרת העונש וקביעת המתחם נדחה. </w:t>
      </w:r>
    </w:p>
    <w:p w14:paraId="760E492F" w14:textId="77777777" w:rsidR="007C0569" w:rsidRPr="007C0569" w:rsidRDefault="007C0569" w:rsidP="007C0569">
      <w:pPr>
        <w:pStyle w:val="ac"/>
        <w:spacing w:after="0" w:line="240" w:lineRule="auto"/>
        <w:jc w:val="both"/>
        <w:rPr>
          <w:rFonts w:ascii="David" w:hAnsi="David" w:cs="David"/>
          <w:color w:val="000000"/>
          <w:sz w:val="24"/>
          <w:szCs w:val="24"/>
        </w:rPr>
      </w:pPr>
    </w:p>
    <w:p w14:paraId="1D1A8AE2" w14:textId="77777777" w:rsidR="007C0569" w:rsidRDefault="007C0569" w:rsidP="007C0569">
      <w:pPr>
        <w:pStyle w:val="ac"/>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60" w:history="1">
        <w:r w:rsidR="00FC2A61" w:rsidRPr="00FC2A61">
          <w:rPr>
            <w:rFonts w:ascii="David" w:hAnsi="David" w:cs="David"/>
            <w:color w:val="0000FF"/>
            <w:sz w:val="24"/>
            <w:szCs w:val="24"/>
            <w:u w:val="single"/>
            <w:rtl/>
          </w:rPr>
          <w:t>רע"פ 314/16</w:t>
        </w:r>
      </w:hyperlink>
      <w:r>
        <w:rPr>
          <w:rFonts w:ascii="David" w:hAnsi="David" w:cs="David"/>
          <w:sz w:val="24"/>
          <w:szCs w:val="24"/>
          <w:rtl/>
        </w:rPr>
        <w:t xml:space="preserve"> </w:t>
      </w:r>
      <w:r>
        <w:rPr>
          <w:rFonts w:ascii="David" w:hAnsi="David" w:cs="David"/>
          <w:b/>
          <w:bCs/>
          <w:sz w:val="24"/>
          <w:szCs w:val="24"/>
          <w:rtl/>
        </w:rPr>
        <w:t>גיא</w:t>
      </w:r>
      <w:r>
        <w:rPr>
          <w:rFonts w:ascii="David" w:hAnsi="David" w:cs="David"/>
          <w:b/>
          <w:bCs/>
          <w:sz w:val="24"/>
          <w:szCs w:val="24"/>
        </w:rPr>
        <w:t xml:space="preserve"> </w:t>
      </w:r>
      <w:r>
        <w:rPr>
          <w:rFonts w:ascii="David" w:hAnsi="David" w:cs="David"/>
          <w:b/>
          <w:bCs/>
          <w:sz w:val="24"/>
          <w:szCs w:val="24"/>
          <w:rtl/>
        </w:rPr>
        <w:t>בן-צבי נ' מדינת</w:t>
      </w:r>
      <w:r>
        <w:rPr>
          <w:rFonts w:ascii="David" w:hAnsi="David" w:cs="David"/>
          <w:b/>
          <w:bCs/>
          <w:sz w:val="24"/>
          <w:szCs w:val="24"/>
        </w:rPr>
        <w:t xml:space="preserve"> </w:t>
      </w:r>
      <w:r>
        <w:rPr>
          <w:rFonts w:ascii="David" w:hAnsi="David" w:cs="David"/>
          <w:b/>
          <w:bCs/>
          <w:sz w:val="24"/>
          <w:szCs w:val="24"/>
          <w:rtl/>
        </w:rPr>
        <w:t>ישראל</w:t>
      </w:r>
      <w:r>
        <w:rPr>
          <w:rFonts w:ascii="David" w:hAnsi="David" w:cs="David"/>
          <w:sz w:val="24"/>
          <w:szCs w:val="24"/>
          <w:rtl/>
        </w:rPr>
        <w:t xml:space="preserve"> (22.2.2016), נדחתה בקשת רשות ערעור שהגיש מבקש הורשע על יסוד הודאתו בגידול 9 שתילים של</w:t>
      </w:r>
      <w:r>
        <w:rPr>
          <w:rFonts w:ascii="David" w:hAnsi="David" w:cs="David"/>
          <w:sz w:val="24"/>
          <w:szCs w:val="24"/>
        </w:rPr>
        <w:t xml:space="preserve"> </w:t>
      </w:r>
      <w:r>
        <w:rPr>
          <w:rFonts w:ascii="David" w:hAnsi="David" w:cs="David"/>
          <w:sz w:val="24"/>
          <w:szCs w:val="24"/>
          <w:rtl/>
        </w:rPr>
        <w:t>קנבוס</w:t>
      </w:r>
      <w:r>
        <w:rPr>
          <w:rFonts w:ascii="David" w:hAnsi="David" w:cs="David"/>
          <w:sz w:val="24"/>
          <w:szCs w:val="24"/>
        </w:rPr>
        <w:t xml:space="preserve"> </w:t>
      </w:r>
      <w:r>
        <w:rPr>
          <w:rFonts w:ascii="David" w:hAnsi="David" w:cs="David"/>
          <w:sz w:val="24"/>
          <w:szCs w:val="24"/>
          <w:rtl/>
        </w:rPr>
        <w:t>במשקל כולל של 2,050 גרם, במעבדה שכללה ציוד רב. בית משפט השלום גזר על הנאשם 6 חודשי מאסר בעבודות שירות, אך בערעור על קולת העונש נקבע</w:t>
      </w:r>
      <w:r>
        <w:rPr>
          <w:rFonts w:ascii="David" w:hAnsi="David" w:cs="David"/>
          <w:sz w:val="24"/>
          <w:szCs w:val="24"/>
        </w:rPr>
        <w:t xml:space="preserve"> </w:t>
      </w:r>
      <w:r>
        <w:rPr>
          <w:rFonts w:ascii="David" w:hAnsi="David" w:cs="David"/>
          <w:sz w:val="24"/>
          <w:szCs w:val="24"/>
          <w:rtl/>
        </w:rPr>
        <w:t>כי</w:t>
      </w:r>
      <w:r>
        <w:rPr>
          <w:rFonts w:ascii="David" w:hAnsi="David" w:cs="David"/>
          <w:sz w:val="24"/>
          <w:szCs w:val="24"/>
        </w:rPr>
        <w:t xml:space="preserve"> </w:t>
      </w:r>
      <w:r>
        <w:rPr>
          <w:rFonts w:ascii="David" w:hAnsi="David" w:cs="David"/>
          <w:sz w:val="24"/>
          <w:szCs w:val="24"/>
          <w:rtl/>
        </w:rPr>
        <w:t>מתחם</w:t>
      </w:r>
      <w:r>
        <w:rPr>
          <w:rFonts w:ascii="David" w:hAnsi="David" w:cs="David"/>
          <w:sz w:val="24"/>
          <w:szCs w:val="24"/>
        </w:rPr>
        <w:t xml:space="preserve"> </w:t>
      </w:r>
      <w:r>
        <w:rPr>
          <w:rFonts w:ascii="David" w:hAnsi="David" w:cs="David"/>
          <w:sz w:val="24"/>
          <w:szCs w:val="24"/>
          <w:rtl/>
        </w:rPr>
        <w:t>הענישה</w:t>
      </w:r>
      <w:r>
        <w:rPr>
          <w:rFonts w:ascii="David" w:hAnsi="David" w:cs="David"/>
          <w:sz w:val="24"/>
          <w:szCs w:val="24"/>
        </w:rPr>
        <w:t xml:space="preserve"> </w:t>
      </w:r>
      <w:r>
        <w:rPr>
          <w:rFonts w:ascii="David" w:hAnsi="David" w:cs="David"/>
          <w:sz w:val="24"/>
          <w:szCs w:val="24"/>
          <w:rtl/>
        </w:rPr>
        <w:t>ההולם</w:t>
      </w:r>
      <w:r>
        <w:rPr>
          <w:rFonts w:ascii="David" w:hAnsi="David" w:cs="David"/>
          <w:sz w:val="24"/>
          <w:szCs w:val="24"/>
        </w:rPr>
        <w:t xml:space="preserve"> </w:t>
      </w:r>
      <w:r>
        <w:rPr>
          <w:rFonts w:ascii="David" w:hAnsi="David" w:cs="David"/>
          <w:sz w:val="24"/>
          <w:szCs w:val="24"/>
          <w:rtl/>
        </w:rPr>
        <w:t>נע</w:t>
      </w:r>
      <w:r>
        <w:rPr>
          <w:rFonts w:ascii="David" w:hAnsi="David" w:cs="David"/>
          <w:sz w:val="24"/>
          <w:szCs w:val="24"/>
        </w:rPr>
        <w:t xml:space="preserve"> </w:t>
      </w:r>
      <w:r>
        <w:rPr>
          <w:rFonts w:ascii="David" w:hAnsi="David" w:cs="David"/>
          <w:sz w:val="24"/>
          <w:szCs w:val="24"/>
          <w:rtl/>
        </w:rPr>
        <w:t>בין</w:t>
      </w:r>
      <w:r>
        <w:rPr>
          <w:rFonts w:ascii="David" w:hAnsi="David" w:cs="David"/>
          <w:sz w:val="24"/>
          <w:szCs w:val="24"/>
        </w:rPr>
        <w:t xml:space="preserve"> </w:t>
      </w:r>
      <w:r>
        <w:rPr>
          <w:rFonts w:ascii="David" w:hAnsi="David" w:cs="David"/>
          <w:sz w:val="24"/>
          <w:szCs w:val="24"/>
          <w:rtl/>
        </w:rPr>
        <w:t>מספר</w:t>
      </w:r>
      <w:r>
        <w:rPr>
          <w:rFonts w:ascii="David" w:hAnsi="David" w:cs="David"/>
          <w:sz w:val="24"/>
          <w:szCs w:val="24"/>
        </w:rPr>
        <w:t xml:space="preserve"> </w:t>
      </w:r>
      <w:r>
        <w:rPr>
          <w:rFonts w:ascii="David" w:hAnsi="David" w:cs="David"/>
          <w:sz w:val="24"/>
          <w:szCs w:val="24"/>
          <w:rtl/>
        </w:rPr>
        <w:t>חודשי מאסר (במאסר ממש)</w:t>
      </w:r>
      <w:r>
        <w:rPr>
          <w:rFonts w:ascii="David" w:hAnsi="David" w:cs="David"/>
          <w:sz w:val="24"/>
          <w:szCs w:val="24"/>
        </w:rPr>
        <w:t xml:space="preserve"> </w:t>
      </w:r>
      <w:r>
        <w:rPr>
          <w:rFonts w:ascii="David" w:hAnsi="David" w:cs="David"/>
          <w:sz w:val="24"/>
          <w:szCs w:val="24"/>
          <w:rtl/>
        </w:rPr>
        <w:t>לבין 18</w:t>
      </w:r>
      <w:r>
        <w:rPr>
          <w:rFonts w:ascii="David" w:hAnsi="David" w:cs="David"/>
          <w:sz w:val="24"/>
          <w:szCs w:val="24"/>
        </w:rPr>
        <w:t xml:space="preserve"> </w:t>
      </w:r>
      <w:r>
        <w:rPr>
          <w:rFonts w:ascii="David" w:hAnsi="David" w:cs="David"/>
          <w:sz w:val="24"/>
          <w:szCs w:val="24"/>
          <w:rtl/>
        </w:rPr>
        <w:t xml:space="preserve">חודשים, והעונש הוחמר והועמד על 10 חודשי מאסר. </w:t>
      </w:r>
    </w:p>
    <w:p w14:paraId="1E4ECEDB" w14:textId="77777777" w:rsidR="007C0569" w:rsidRDefault="007C0569" w:rsidP="007C0569">
      <w:pPr>
        <w:pStyle w:val="ac"/>
        <w:spacing w:after="0" w:line="240" w:lineRule="auto"/>
        <w:jc w:val="both"/>
        <w:rPr>
          <w:rFonts w:ascii="David" w:hAnsi="David" w:cs="David"/>
          <w:sz w:val="24"/>
          <w:szCs w:val="24"/>
        </w:rPr>
      </w:pPr>
    </w:p>
    <w:p w14:paraId="5062575D" w14:textId="77777777" w:rsidR="007C0569" w:rsidRPr="007C0569" w:rsidRDefault="007C0569" w:rsidP="007C0569">
      <w:pPr>
        <w:pStyle w:val="ac"/>
        <w:numPr>
          <w:ilvl w:val="0"/>
          <w:numId w:val="1"/>
        </w:numPr>
        <w:spacing w:after="0" w:line="360" w:lineRule="auto"/>
        <w:jc w:val="both"/>
        <w:rPr>
          <w:rFonts w:ascii="David" w:hAnsi="David" w:cs="David"/>
          <w:b/>
          <w:bCs/>
          <w:color w:val="000000"/>
          <w:sz w:val="24"/>
          <w:szCs w:val="24"/>
        </w:rPr>
      </w:pPr>
      <w:r w:rsidRPr="007C0569">
        <w:rPr>
          <w:rFonts w:ascii="David" w:hAnsi="David" w:cs="David"/>
          <w:color w:val="000000"/>
          <w:sz w:val="24"/>
          <w:szCs w:val="24"/>
          <w:rtl/>
        </w:rPr>
        <w:t xml:space="preserve">מן הפרט אל הכלל, בשים לב לכמות השתילים הקטנה יחסית שנתפסה בראי הפסיקה הנוהגת מצאתי לאמץ את מתחם הענישה לו עתרה ההגנה, וקובעת כי הוא </w:t>
      </w:r>
      <w:r w:rsidRPr="007C0569">
        <w:rPr>
          <w:rFonts w:ascii="David" w:hAnsi="David" w:cs="David"/>
          <w:b/>
          <w:bCs/>
          <w:color w:val="000000"/>
          <w:sz w:val="24"/>
          <w:szCs w:val="24"/>
          <w:rtl/>
        </w:rPr>
        <w:t>נע בין מספר חודשי מאסר שיכול שירוצו בעבודות שירות ועד 12 חודשי מאסר בפועל</w:t>
      </w:r>
      <w:r w:rsidRPr="007C0569">
        <w:rPr>
          <w:rFonts w:ascii="David" w:hAnsi="David" w:cs="David"/>
          <w:color w:val="000000"/>
          <w:sz w:val="24"/>
          <w:szCs w:val="24"/>
          <w:rtl/>
        </w:rPr>
        <w:t>.</w:t>
      </w:r>
      <w:r w:rsidRPr="007C0569">
        <w:rPr>
          <w:rFonts w:ascii="David" w:hAnsi="David" w:cs="David"/>
          <w:b/>
          <w:bCs/>
          <w:color w:val="000000"/>
          <w:sz w:val="24"/>
          <w:szCs w:val="24"/>
          <w:rtl/>
        </w:rPr>
        <w:t xml:space="preserve"> </w:t>
      </w:r>
    </w:p>
    <w:p w14:paraId="67BE6047" w14:textId="77777777" w:rsidR="007C0569" w:rsidRDefault="007C0569" w:rsidP="007C0569">
      <w:pPr>
        <w:pStyle w:val="ac"/>
        <w:spacing w:line="240" w:lineRule="auto"/>
        <w:rPr>
          <w:rFonts w:ascii="David" w:hAnsi="David" w:cs="David"/>
          <w:b/>
          <w:bCs/>
          <w:sz w:val="24"/>
          <w:szCs w:val="24"/>
        </w:rPr>
      </w:pPr>
    </w:p>
    <w:p w14:paraId="0D80674D" w14:textId="77777777" w:rsidR="007C0569" w:rsidRDefault="007C0569" w:rsidP="007C0569">
      <w:pPr>
        <w:spacing w:line="480" w:lineRule="auto"/>
        <w:jc w:val="both"/>
        <w:rPr>
          <w:rFonts w:ascii="David" w:hAnsi="David"/>
          <w:u w:val="single"/>
          <w:rtl/>
        </w:rPr>
      </w:pPr>
      <w:r>
        <w:rPr>
          <w:rFonts w:ascii="David" w:hAnsi="David"/>
          <w:u w:val="single"/>
          <w:rtl/>
        </w:rPr>
        <w:t xml:space="preserve">קביעת העונש בתוך המתחם </w:t>
      </w:r>
    </w:p>
    <w:p w14:paraId="1207B0D8" w14:textId="77777777" w:rsidR="007C0569" w:rsidRDefault="007C0569" w:rsidP="007C0569">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הנאשם בן 30, נשוי ואב לשלושה ילדים קטינים, ונמסר כי בנו נולד פג והוא סובל מבעיות בריאות שונות (אך לא הוגשו אסמכתאות). הנאשם הודה בכתבי אישום מתוקנים, שהוגשו במסגרת הסדר טיעון דיוני, לקח אחריות וחסך מזמנו של בית המשפט. מאז ביצוע עבירת הנשק חלפו כשנתיים, ומביצוע עבירת הסמים חלפו למעלה מארבע שנים. </w:t>
      </w:r>
    </w:p>
    <w:p w14:paraId="4C1806F7" w14:textId="77777777" w:rsidR="007C0569" w:rsidRDefault="007C0569" w:rsidP="007C0569">
      <w:pPr>
        <w:pStyle w:val="ac"/>
        <w:spacing w:after="0" w:line="240" w:lineRule="auto"/>
        <w:ind w:left="360"/>
        <w:jc w:val="both"/>
        <w:rPr>
          <w:rFonts w:ascii="David" w:hAnsi="David" w:cs="David"/>
          <w:b/>
          <w:bCs/>
          <w:sz w:val="24"/>
          <w:szCs w:val="24"/>
          <w:u w:val="single"/>
        </w:rPr>
      </w:pPr>
    </w:p>
    <w:p w14:paraId="50D009EC" w14:textId="77777777" w:rsidR="007C0569" w:rsidRP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לבקשת הנאשם נעשה ניסיון לשלבו בהליך טיפולי בשירות המבחן. ואולם, בסופו של דבר התקבל תסקיר שלילי משום שהנאשם התייצב לפגישות טיפוליות באופן חלקי. עוד נלמד מהתסקירים כי הנאשם לא נטל אחריות מלאה על מעשיו, טען כי המשטרה התנכלה לו ולמשפחתו בהתייחס לעבירת הנשק, צמצם את חומרת מעשיו בגין עבירת הסמים, והתרשמות שירות המבחן היא כי לנאשם דפוסי חשיבה עברייניים מושרשים. חרף האמור, מסוכנות הנאשם הוערכה כפחותה, משום שהוא העתיק את מקום מגוריו וניסה להתרחק מהחברה העבריינית, ומשפחתו מהווה עבורו גורם תמיכה ועוגן. </w:t>
      </w:r>
    </w:p>
    <w:p w14:paraId="5819748E" w14:textId="77777777" w:rsidR="007C0569" w:rsidRDefault="007C0569" w:rsidP="007C0569">
      <w:pPr>
        <w:pStyle w:val="ac"/>
        <w:spacing w:after="0" w:line="240" w:lineRule="auto"/>
        <w:ind w:left="360"/>
        <w:jc w:val="both"/>
        <w:rPr>
          <w:rFonts w:ascii="David" w:hAnsi="David" w:cs="David"/>
          <w:b/>
          <w:bCs/>
          <w:sz w:val="24"/>
          <w:szCs w:val="24"/>
          <w:u w:val="single"/>
          <w:rtl/>
        </w:rPr>
      </w:pPr>
    </w:p>
    <w:p w14:paraId="639952E9" w14:textId="77777777" w:rsidR="007C0569" w:rsidRPr="00995C07" w:rsidRDefault="007C0569" w:rsidP="007C0569">
      <w:pPr>
        <w:pStyle w:val="ac"/>
        <w:spacing w:after="0" w:line="360" w:lineRule="auto"/>
        <w:ind w:left="360"/>
        <w:jc w:val="both"/>
        <w:rPr>
          <w:rFonts w:ascii="David" w:hAnsi="David" w:cs="David"/>
          <w:b/>
          <w:bCs/>
          <w:sz w:val="24"/>
          <w:szCs w:val="24"/>
          <w:u w:val="single"/>
        </w:rPr>
      </w:pPr>
    </w:p>
    <w:p w14:paraId="0C0EA0FF" w14:textId="77777777" w:rsidR="007C0569" w:rsidRPr="00995C07" w:rsidRDefault="007C0569" w:rsidP="007C0569">
      <w:pPr>
        <w:pStyle w:val="ac"/>
        <w:spacing w:after="0" w:line="360" w:lineRule="auto"/>
        <w:ind w:left="360"/>
        <w:jc w:val="both"/>
        <w:rPr>
          <w:rFonts w:ascii="David" w:hAnsi="David" w:cs="David"/>
          <w:b/>
          <w:bCs/>
          <w:sz w:val="24"/>
          <w:szCs w:val="24"/>
          <w:u w:val="single"/>
        </w:rPr>
      </w:pPr>
    </w:p>
    <w:p w14:paraId="2842FCC7" w14:textId="77777777" w:rsidR="007C0569" w:rsidRDefault="007C0569" w:rsidP="007C0569">
      <w:pPr>
        <w:pStyle w:val="ac"/>
        <w:numPr>
          <w:ilvl w:val="0"/>
          <w:numId w:val="1"/>
        </w:numPr>
        <w:spacing w:after="0" w:line="360" w:lineRule="auto"/>
        <w:jc w:val="both"/>
        <w:rPr>
          <w:rFonts w:ascii="David" w:hAnsi="David" w:cs="David"/>
          <w:b/>
          <w:bCs/>
          <w:sz w:val="24"/>
          <w:szCs w:val="24"/>
          <w:u w:val="single"/>
          <w:rtl/>
        </w:rPr>
      </w:pPr>
      <w:r>
        <w:rPr>
          <w:rFonts w:ascii="David" w:hAnsi="David" w:cs="David"/>
          <w:sz w:val="24"/>
          <w:szCs w:val="24"/>
          <w:rtl/>
        </w:rPr>
        <w:t xml:space="preserve">עוד נתתי דעתי לעברו הפלילי של הנאשם, אשר לחובתו חמש הרשעות קודמות בעבירות רכוש, סמים, אלימות ועבירות כלפי שוטרים, והוא ריצה בעברו מאסרים. בגין הרשעתו משנת 2015 תלויים נגד הנאשם שני מאסרים מותנים ברי הפעלה. זאת ועוד, הנאשם ביצע את עבירת הנשק בעת שתיק הסמים היה תלוי נגדו, דבר </w:t>
      </w:r>
      <w:r>
        <w:rPr>
          <w:rFonts w:ascii="David" w:hAnsi="David" w:cs="David" w:hint="cs"/>
          <w:sz w:val="24"/>
          <w:szCs w:val="24"/>
          <w:rtl/>
        </w:rPr>
        <w:t>ה</w:t>
      </w:r>
      <w:r>
        <w:rPr>
          <w:rFonts w:ascii="David" w:hAnsi="David" w:cs="David"/>
          <w:sz w:val="24"/>
          <w:szCs w:val="24"/>
          <w:rtl/>
        </w:rPr>
        <w:t>מלמד על חוסר מורא מפני ההליך הפלילי ו</w:t>
      </w:r>
      <w:r>
        <w:rPr>
          <w:rFonts w:ascii="David" w:hAnsi="David" w:cs="David" w:hint="cs"/>
          <w:sz w:val="24"/>
          <w:szCs w:val="24"/>
          <w:rtl/>
        </w:rPr>
        <w:t>החוק</w:t>
      </w:r>
      <w:r>
        <w:rPr>
          <w:rFonts w:ascii="David" w:hAnsi="David" w:cs="David"/>
          <w:sz w:val="24"/>
          <w:szCs w:val="24"/>
          <w:rtl/>
        </w:rPr>
        <w:t xml:space="preserve">. </w:t>
      </w:r>
    </w:p>
    <w:p w14:paraId="2CE8233A" w14:textId="77777777" w:rsidR="007C0569" w:rsidRDefault="007C0569" w:rsidP="007C0569">
      <w:pPr>
        <w:pStyle w:val="ac"/>
        <w:spacing w:after="0" w:line="240" w:lineRule="auto"/>
        <w:ind w:left="360"/>
        <w:jc w:val="both"/>
        <w:rPr>
          <w:rFonts w:ascii="David" w:hAnsi="David" w:cs="David"/>
          <w:b/>
          <w:bCs/>
          <w:sz w:val="24"/>
          <w:szCs w:val="24"/>
          <w:u w:val="single"/>
        </w:rPr>
      </w:pPr>
    </w:p>
    <w:p w14:paraId="609C461B" w14:textId="77777777" w:rsidR="007C0569" w:rsidRDefault="007C0569" w:rsidP="007C0569">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בשים לב שעסקינן בגזר דין המתייחס לשני תיקים נפרדים, ייגזר עונשו של הנאשם בכל אחד מהם בנפרד, ומתוך מתן דגש לשיקולים לקולה עונשו ימוקם בשליש התחתון של מתחמי הענישה.</w:t>
      </w:r>
    </w:p>
    <w:p w14:paraId="663A5212" w14:textId="77777777" w:rsidR="007C0569" w:rsidRDefault="007C0569" w:rsidP="007C0569">
      <w:pPr>
        <w:pStyle w:val="ac"/>
        <w:spacing w:after="0" w:line="240" w:lineRule="auto"/>
        <w:ind w:left="360"/>
        <w:jc w:val="both"/>
        <w:rPr>
          <w:rFonts w:ascii="David" w:hAnsi="David" w:cs="David"/>
          <w:b/>
          <w:bCs/>
          <w:sz w:val="24"/>
          <w:szCs w:val="24"/>
          <w:u w:val="single"/>
        </w:rPr>
      </w:pPr>
    </w:p>
    <w:p w14:paraId="666B7BB1" w14:textId="77777777" w:rsidR="007C0569" w:rsidRDefault="007C0569" w:rsidP="007C0569">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עונשי המאסר המותנים יופעלו בחופף זה לזה (משום שהוטלו בגזר דין אחד ועניינם עבירות סמים), ובמצטבר לעונש שנגזר על הנאשם, בהתאם למצוות </w:t>
      </w:r>
      <w:hyperlink r:id="rId61" w:history="1">
        <w:r w:rsidR="00412333" w:rsidRPr="00412333">
          <w:rPr>
            <w:rStyle w:val="Hyperlink"/>
            <w:rFonts w:ascii="David" w:hAnsi="David" w:cs="David"/>
            <w:sz w:val="24"/>
            <w:szCs w:val="24"/>
            <w:rtl/>
          </w:rPr>
          <w:t>סעיף 58</w:t>
        </w:r>
      </w:hyperlink>
      <w:r>
        <w:rPr>
          <w:rFonts w:ascii="David" w:hAnsi="David" w:cs="David"/>
          <w:sz w:val="24"/>
          <w:szCs w:val="24"/>
          <w:rtl/>
        </w:rPr>
        <w:t xml:space="preserve"> ל</w:t>
      </w:r>
      <w:hyperlink r:id="rId62"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המורה כי תקופת עונש מאסר מותנה יש להפעיל "בזו אחר זו", קרי במצטבר לכל מאסר אחר, ובהעדר טעמים </w:t>
      </w:r>
      <w:r>
        <w:rPr>
          <w:rFonts w:ascii="David" w:hAnsi="David" w:cs="David"/>
          <w:b/>
          <w:bCs/>
          <w:sz w:val="24"/>
          <w:szCs w:val="24"/>
          <w:rtl/>
        </w:rPr>
        <w:t>חריגים</w:t>
      </w:r>
      <w:r>
        <w:rPr>
          <w:rFonts w:ascii="David" w:hAnsi="David" w:cs="David"/>
          <w:sz w:val="24"/>
          <w:szCs w:val="24"/>
          <w:rtl/>
        </w:rPr>
        <w:t xml:space="preserve"> שלא להפעיל את המאסר המותנה במצטבר, כפי שמורה הפסיקה (</w:t>
      </w:r>
      <w:hyperlink r:id="rId63" w:history="1">
        <w:r w:rsidR="00FC2A61" w:rsidRPr="00FC2A61">
          <w:rPr>
            <w:rFonts w:ascii="David" w:hAnsi="David" w:cs="David"/>
            <w:color w:val="0000FF"/>
            <w:sz w:val="24"/>
            <w:szCs w:val="24"/>
            <w:u w:val="single"/>
            <w:rtl/>
          </w:rPr>
          <w:t>רע"פ 7656/13</w:t>
        </w:r>
      </w:hyperlink>
      <w:r>
        <w:rPr>
          <w:rFonts w:ascii="David" w:hAnsi="David" w:cs="David"/>
          <w:b/>
          <w:bCs/>
          <w:sz w:val="24"/>
          <w:szCs w:val="24"/>
          <w:rtl/>
        </w:rPr>
        <w:t xml:space="preserve"> דניאל נ' מדינת ישראל </w:t>
      </w:r>
      <w:r>
        <w:rPr>
          <w:rFonts w:ascii="David" w:hAnsi="David" w:cs="David"/>
          <w:sz w:val="24"/>
          <w:szCs w:val="24"/>
          <w:rtl/>
        </w:rPr>
        <w:t xml:space="preserve">(14.11.2013); </w:t>
      </w:r>
      <w:hyperlink r:id="rId64" w:history="1">
        <w:r w:rsidR="00FC2A61" w:rsidRPr="00FC2A61">
          <w:rPr>
            <w:rFonts w:ascii="David" w:hAnsi="David" w:cs="David"/>
            <w:color w:val="0000FF"/>
            <w:sz w:val="24"/>
            <w:szCs w:val="24"/>
            <w:u w:val="single"/>
            <w:rtl/>
          </w:rPr>
          <w:t>ע"פ 5458/11</w:t>
        </w:r>
      </w:hyperlink>
      <w:r>
        <w:rPr>
          <w:rFonts w:ascii="David" w:hAnsi="David" w:cs="David"/>
          <w:b/>
          <w:bCs/>
          <w:sz w:val="24"/>
          <w:szCs w:val="24"/>
          <w:rtl/>
        </w:rPr>
        <w:t xml:space="preserve"> אברג'ל ואח' נ' מדינת ישראל </w:t>
      </w:r>
      <w:r>
        <w:rPr>
          <w:rFonts w:ascii="David" w:hAnsi="David" w:cs="David"/>
          <w:sz w:val="24"/>
          <w:szCs w:val="24"/>
          <w:rtl/>
        </w:rPr>
        <w:t>(13.1.2012)).</w:t>
      </w:r>
    </w:p>
    <w:p w14:paraId="44751882" w14:textId="77777777" w:rsidR="007C0569" w:rsidRDefault="007C0569" w:rsidP="007C0569">
      <w:pPr>
        <w:pStyle w:val="ac"/>
        <w:spacing w:after="0" w:line="480" w:lineRule="auto"/>
        <w:ind w:left="360"/>
        <w:jc w:val="both"/>
        <w:rPr>
          <w:rFonts w:ascii="David" w:hAnsi="David" w:cs="David"/>
          <w:b/>
          <w:bCs/>
          <w:sz w:val="24"/>
          <w:szCs w:val="24"/>
          <w:u w:val="single"/>
        </w:rPr>
      </w:pPr>
    </w:p>
    <w:p w14:paraId="5B39F995" w14:textId="77777777" w:rsidR="007C0569" w:rsidRDefault="007C0569" w:rsidP="007C0569">
      <w:pPr>
        <w:spacing w:line="480" w:lineRule="auto"/>
        <w:contextualSpacing/>
        <w:jc w:val="both"/>
        <w:rPr>
          <w:rFonts w:ascii="David" w:hAnsi="David"/>
          <w:b/>
          <w:bCs/>
          <w:u w:val="single"/>
          <w:rtl/>
        </w:rPr>
      </w:pPr>
      <w:r>
        <w:rPr>
          <w:rFonts w:ascii="David" w:hAnsi="David"/>
          <w:b/>
          <w:bCs/>
          <w:u w:val="single"/>
          <w:rtl/>
        </w:rPr>
        <w:t>אשר על כן, החלטתי לגזור על הנאשם את העונשים שלהלן:</w:t>
      </w:r>
    </w:p>
    <w:p w14:paraId="5A28B879" w14:textId="77777777" w:rsidR="007C0569" w:rsidRDefault="007C0569" w:rsidP="007C0569">
      <w:pPr>
        <w:numPr>
          <w:ilvl w:val="0"/>
          <w:numId w:val="4"/>
        </w:numPr>
        <w:spacing w:line="360" w:lineRule="auto"/>
        <w:ind w:left="360"/>
        <w:contextualSpacing/>
        <w:jc w:val="both"/>
        <w:rPr>
          <w:rFonts w:ascii="David" w:hAnsi="David"/>
          <w:rtl/>
        </w:rPr>
      </w:pPr>
      <w:r>
        <w:rPr>
          <w:rFonts w:ascii="David" w:hAnsi="David"/>
          <w:rtl/>
        </w:rPr>
        <w:t xml:space="preserve">מאסר בפועל בגין תיק הנשק למשך 10 חודשים, ומאסר בפועל בגין תיק הסמים למשך 3 חודשים, שירוצו במצטבר זה לזה. </w:t>
      </w:r>
    </w:p>
    <w:p w14:paraId="6739D0A6" w14:textId="77777777" w:rsidR="007C0569" w:rsidRDefault="007C0569" w:rsidP="007C0569">
      <w:pPr>
        <w:ind w:left="360"/>
        <w:contextualSpacing/>
        <w:jc w:val="both"/>
        <w:rPr>
          <w:rFonts w:ascii="David" w:hAnsi="David"/>
        </w:rPr>
      </w:pPr>
    </w:p>
    <w:p w14:paraId="30065037"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מורה על הפעלת המאסרים המותנים למשך 7 חודשים ו-3 חודשים מ</w:t>
      </w:r>
      <w:hyperlink r:id="rId65" w:history="1">
        <w:r w:rsidR="00FC2A61" w:rsidRPr="00FC2A61">
          <w:rPr>
            <w:rFonts w:ascii="David" w:hAnsi="David"/>
            <w:color w:val="0000FF"/>
            <w:u w:val="single"/>
            <w:rtl/>
          </w:rPr>
          <w:t>ת"פ (רמלה) 33125-01-14</w:t>
        </w:r>
      </w:hyperlink>
      <w:r>
        <w:rPr>
          <w:rFonts w:ascii="David" w:hAnsi="David"/>
          <w:rtl/>
        </w:rPr>
        <w:t xml:space="preserve"> מיום 27.4.2015, בחופף זה לזה, ובמצטבר לעונשי המאסר שנגזרו על הנאשם, </w:t>
      </w:r>
      <w:r>
        <w:rPr>
          <w:rFonts w:ascii="David" w:hAnsi="David"/>
          <w:b/>
          <w:bCs/>
          <w:rtl/>
        </w:rPr>
        <w:t>כך שסה"כ ירצה הנאשם עונש מאסר בפועל למשך 20 חודשים</w:t>
      </w:r>
      <w:r>
        <w:rPr>
          <w:rFonts w:ascii="David" w:hAnsi="David"/>
          <w:rtl/>
        </w:rPr>
        <w:t xml:space="preserve"> (בניכוי ימי מעצרו בתיקים שבכותרת, בהתאם לרישומי שב"ס).</w:t>
      </w:r>
    </w:p>
    <w:p w14:paraId="7D4014A2" w14:textId="77777777" w:rsidR="007C0569" w:rsidRDefault="007C0569" w:rsidP="007C0569">
      <w:pPr>
        <w:ind w:left="360"/>
        <w:contextualSpacing/>
        <w:jc w:val="both"/>
        <w:rPr>
          <w:rFonts w:ascii="David" w:hAnsi="David"/>
        </w:rPr>
      </w:pPr>
    </w:p>
    <w:p w14:paraId="1E649612" w14:textId="77777777" w:rsidR="007C0569" w:rsidRDefault="007C0569" w:rsidP="007C0569">
      <w:pPr>
        <w:numPr>
          <w:ilvl w:val="0"/>
          <w:numId w:val="4"/>
        </w:numPr>
        <w:spacing w:line="360" w:lineRule="auto"/>
        <w:ind w:left="360"/>
        <w:contextualSpacing/>
        <w:jc w:val="both"/>
        <w:rPr>
          <w:rFonts w:ascii="David" w:hAnsi="David"/>
          <w:rtl/>
        </w:rPr>
      </w:pPr>
      <w:r>
        <w:rPr>
          <w:rFonts w:ascii="David" w:hAnsi="David"/>
          <w:rtl/>
        </w:rPr>
        <w:t>מאסר מותנה למשך 8 חודשים, והתנאי הוא כי הנאשם לא יעבור עבירת נשק מסוג פשע למשך 3 שנים, מיום שחרורו ממאסר.</w:t>
      </w:r>
    </w:p>
    <w:p w14:paraId="13DDF6E6" w14:textId="77777777" w:rsidR="007C0569" w:rsidRDefault="007C0569" w:rsidP="007C0569">
      <w:pPr>
        <w:ind w:left="360"/>
        <w:contextualSpacing/>
        <w:jc w:val="both"/>
        <w:rPr>
          <w:rFonts w:ascii="David" w:hAnsi="David"/>
        </w:rPr>
      </w:pPr>
    </w:p>
    <w:p w14:paraId="45559E89"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מאסר מותנה למשך 4 חודשים, והתנאי הוא כי הנאשם לא יעבור עבירת נשק מסוג עוון, או כל עבירת אלימות, למשך 3 שנים מיום שחרורו ממאסר.</w:t>
      </w:r>
    </w:p>
    <w:p w14:paraId="00AFC477" w14:textId="77777777" w:rsidR="007C0569" w:rsidRDefault="007C0569" w:rsidP="007C0569">
      <w:pPr>
        <w:ind w:left="360"/>
        <w:contextualSpacing/>
        <w:jc w:val="both"/>
        <w:rPr>
          <w:rFonts w:ascii="David" w:hAnsi="David"/>
        </w:rPr>
      </w:pPr>
    </w:p>
    <w:p w14:paraId="7210C2C6"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מאסר מותנה למשך 6 חודשים, והתנאי הוא כי הנאשם לא יעבור עבירות סמים מסוג פשע, למשך 3 שנים מיום שחרורו ממאסר.</w:t>
      </w:r>
    </w:p>
    <w:p w14:paraId="080D12F5" w14:textId="77777777" w:rsidR="007C0569" w:rsidRDefault="007C0569" w:rsidP="007C0569">
      <w:pPr>
        <w:ind w:left="360"/>
        <w:contextualSpacing/>
        <w:jc w:val="both"/>
        <w:rPr>
          <w:rFonts w:ascii="David" w:hAnsi="David"/>
        </w:rPr>
      </w:pPr>
    </w:p>
    <w:p w14:paraId="789CE4BE"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הנאשם ישלם קנס בסך 4,000 ₪  או 40 ימי מאסר תמורתו. הקנס ישולם ב- 4 תשלומים שווים ורצופים החל מיום 1.11.2023 ובכל אחד בחודש שלאחריו.</w:t>
      </w:r>
    </w:p>
    <w:p w14:paraId="36003F84" w14:textId="77777777" w:rsidR="007C0569" w:rsidRDefault="007C0569" w:rsidP="007C0569">
      <w:pPr>
        <w:ind w:left="360"/>
        <w:contextualSpacing/>
        <w:jc w:val="both"/>
        <w:rPr>
          <w:rFonts w:ascii="David" w:hAnsi="David"/>
        </w:rPr>
      </w:pPr>
    </w:p>
    <w:p w14:paraId="42917369" w14:textId="77777777" w:rsidR="007C0569" w:rsidRDefault="007C0569" w:rsidP="007C0569">
      <w:pPr>
        <w:spacing w:line="360" w:lineRule="auto"/>
        <w:ind w:left="360"/>
        <w:contextualSpacing/>
        <w:jc w:val="both"/>
        <w:rPr>
          <w:rFonts w:ascii="David" w:hAnsi="David"/>
        </w:rPr>
      </w:pPr>
      <w:r>
        <w:rPr>
          <w:rFonts w:ascii="David" w:hAnsi="David"/>
          <w:rtl/>
        </w:rPr>
        <w:t xml:space="preserve">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66" w:history="1">
        <w:r>
          <w:rPr>
            <w:rStyle w:val="Hyperlink"/>
            <w:rFonts w:ascii="David" w:hAnsi="David"/>
          </w:rPr>
          <w:t>www.eca.gov.il</w:t>
        </w:r>
      </w:hyperlink>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61054F6B" w14:textId="77777777" w:rsidR="007C0569" w:rsidRDefault="007C0569" w:rsidP="007C0569">
      <w:pPr>
        <w:pStyle w:val="ac"/>
        <w:spacing w:after="0" w:line="240" w:lineRule="auto"/>
        <w:rPr>
          <w:rFonts w:ascii="David" w:hAnsi="David" w:cs="David"/>
          <w:sz w:val="24"/>
          <w:szCs w:val="24"/>
          <w:rtl/>
        </w:rPr>
      </w:pPr>
    </w:p>
    <w:p w14:paraId="23C4B8A1" w14:textId="77777777" w:rsidR="007C0569" w:rsidRDefault="007C0569" w:rsidP="007C0569">
      <w:pPr>
        <w:numPr>
          <w:ilvl w:val="0"/>
          <w:numId w:val="4"/>
        </w:numPr>
        <w:spacing w:line="360" w:lineRule="auto"/>
        <w:ind w:left="360"/>
        <w:contextualSpacing/>
        <w:jc w:val="both"/>
        <w:rPr>
          <w:rFonts w:ascii="David" w:hAnsi="David"/>
          <w:rtl/>
        </w:rPr>
      </w:pPr>
      <w:r>
        <w:rPr>
          <w:rFonts w:ascii="David" w:hAnsi="David"/>
          <w:rtl/>
        </w:rPr>
        <w:t>פסילה על תנאי למשך 6 חודשים, והתנאי הוא כי הנאשם לא יעבור עבירות סמים מסוג פשע, למשך שנתיים מיום שחרורו ממאסר (בחלוף זמן ניכר מביצוע עבירת הסמים אגזור עונשו לפסילה על תנאי בלבד).</w:t>
      </w:r>
    </w:p>
    <w:p w14:paraId="4CEBBC86" w14:textId="77777777" w:rsidR="007C0569" w:rsidRDefault="007C0569" w:rsidP="007C0569">
      <w:pPr>
        <w:spacing w:line="360" w:lineRule="auto"/>
        <w:ind w:left="360"/>
        <w:contextualSpacing/>
        <w:jc w:val="both"/>
        <w:rPr>
          <w:rFonts w:ascii="David" w:hAnsi="David"/>
        </w:rPr>
      </w:pPr>
    </w:p>
    <w:p w14:paraId="0AAC37D3" w14:textId="77777777" w:rsidR="007C0569" w:rsidRDefault="007C0569" w:rsidP="007C0569">
      <w:pPr>
        <w:spacing w:line="360" w:lineRule="auto"/>
        <w:jc w:val="both"/>
        <w:rPr>
          <w:rFonts w:ascii="David" w:hAnsi="David"/>
          <w:u w:val="single"/>
          <w:rtl/>
        </w:rPr>
      </w:pPr>
    </w:p>
    <w:p w14:paraId="0BE656A6" w14:textId="77777777" w:rsidR="007C0569" w:rsidRDefault="007C0569" w:rsidP="007C0569">
      <w:pPr>
        <w:spacing w:line="360" w:lineRule="auto"/>
        <w:jc w:val="both"/>
        <w:rPr>
          <w:rFonts w:ascii="David" w:hAnsi="David"/>
          <w:u w:val="single"/>
          <w:rtl/>
        </w:rPr>
      </w:pPr>
      <w:r>
        <w:rPr>
          <w:rFonts w:ascii="David" w:hAnsi="David"/>
          <w:u w:val="single"/>
          <w:rtl/>
        </w:rPr>
        <w:t xml:space="preserve">הנאשם יתייצב לריצוי עונשו בבית מעצר "הדרים" ביום 10.10.2023 כשבידו עותק מגזר הדין ותעודת זהות. </w:t>
      </w:r>
    </w:p>
    <w:p w14:paraId="1E96CC3D" w14:textId="77777777" w:rsidR="007C0569" w:rsidRDefault="007C0569" w:rsidP="007C0569">
      <w:pPr>
        <w:spacing w:line="360" w:lineRule="auto"/>
        <w:jc w:val="both"/>
        <w:rPr>
          <w:rFonts w:ascii="David" w:hAnsi="David"/>
          <w:u w:val="single"/>
          <w:rtl/>
        </w:rPr>
      </w:pPr>
    </w:p>
    <w:p w14:paraId="1A2600E7" w14:textId="77777777" w:rsidR="007C0569" w:rsidRPr="007C0569" w:rsidRDefault="007C0569" w:rsidP="007C0569">
      <w:pPr>
        <w:spacing w:line="360" w:lineRule="auto"/>
        <w:jc w:val="both"/>
        <w:rPr>
          <w:rFonts w:ascii="David" w:eastAsia="Calibri" w:hAnsi="David"/>
        </w:rPr>
      </w:pPr>
      <w:r>
        <w:rPr>
          <w:rFonts w:ascii="David" w:hAnsi="David"/>
          <w:rtl/>
        </w:rPr>
        <w:t>פתוחה הדלת בפני הנאשם לתאם את כניסתו למאסר, כולל האפשרות למיון מוקדם, עם ענף אבחון ומיון של שב"ס: רכזת מיון מוקדם 074-7831077 או רשמת מאסרים נדחים 074-7831078 וכן להתעדכן באתר האינטרנט של שב"ס, ברשימת הציוד הראשוני שניתן להביא בעת ההתייצבות.</w:t>
      </w:r>
    </w:p>
    <w:p w14:paraId="3EFD4EFF" w14:textId="77777777" w:rsidR="007C0569" w:rsidRDefault="007C0569" w:rsidP="007C0569">
      <w:pPr>
        <w:ind w:left="720"/>
        <w:contextualSpacing/>
        <w:jc w:val="both"/>
        <w:rPr>
          <w:rFonts w:ascii="David" w:hAnsi="David"/>
          <w:rtl/>
        </w:rPr>
      </w:pPr>
    </w:p>
    <w:p w14:paraId="16CC6581" w14:textId="77777777" w:rsidR="007C0569" w:rsidRDefault="007C0569" w:rsidP="007C0569">
      <w:pPr>
        <w:spacing w:line="360" w:lineRule="auto"/>
        <w:jc w:val="both"/>
        <w:rPr>
          <w:rFonts w:ascii="David" w:hAnsi="David"/>
          <w:u w:val="single"/>
          <w:rtl/>
        </w:rPr>
      </w:pPr>
      <w:r>
        <w:rPr>
          <w:rFonts w:ascii="David" w:hAnsi="David"/>
          <w:u w:val="single"/>
          <w:rtl/>
        </w:rPr>
        <w:t xml:space="preserve">ניתן צו כללי להשמדת המוצגים. </w:t>
      </w:r>
    </w:p>
    <w:p w14:paraId="3A5EC9AD" w14:textId="77777777" w:rsidR="007C0569" w:rsidRDefault="00FC2A61" w:rsidP="007C0569">
      <w:pPr>
        <w:spacing w:line="360" w:lineRule="auto"/>
        <w:jc w:val="both"/>
        <w:rPr>
          <w:rFonts w:ascii="David" w:hAnsi="David"/>
          <w:b/>
          <w:bCs/>
          <w:u w:val="single"/>
          <w:rtl/>
        </w:rPr>
      </w:pPr>
      <w:r w:rsidRPr="00FC2A61">
        <w:rPr>
          <w:rFonts w:ascii="David" w:hAnsi="David"/>
          <w:b/>
          <w:bCs/>
          <w:color w:val="FFFFFF"/>
          <w:sz w:val="2"/>
          <w:szCs w:val="2"/>
          <w:u w:val="single"/>
          <w:rtl/>
        </w:rPr>
        <w:t>5129371</w:t>
      </w:r>
      <w:r w:rsidR="007C0569">
        <w:rPr>
          <w:rFonts w:ascii="David" w:hAnsi="David"/>
          <w:b/>
          <w:bCs/>
          <w:u w:val="single"/>
          <w:rtl/>
        </w:rPr>
        <w:t>זכות ערעור לבית המשפט המחוזי מרכז-לוד בתוך 45 ימים.</w:t>
      </w:r>
    </w:p>
    <w:p w14:paraId="616BB415" w14:textId="77777777" w:rsidR="007C0569" w:rsidRPr="00FC2A61" w:rsidRDefault="00FC2A61" w:rsidP="007C0569">
      <w:pPr>
        <w:rPr>
          <w:rFonts w:ascii="Arial" w:hAnsi="Arial"/>
          <w:b/>
          <w:bCs/>
          <w:color w:val="FFFFFF"/>
          <w:sz w:val="2"/>
          <w:szCs w:val="2"/>
          <w:rtl/>
        </w:rPr>
      </w:pPr>
      <w:r w:rsidRPr="00FC2A61">
        <w:rPr>
          <w:rFonts w:ascii="Arial" w:hAnsi="Arial"/>
          <w:b/>
          <w:bCs/>
          <w:color w:val="FFFFFF"/>
          <w:sz w:val="2"/>
          <w:szCs w:val="2"/>
          <w:rtl/>
        </w:rPr>
        <w:t>54678313</w:t>
      </w:r>
    </w:p>
    <w:p w14:paraId="7BE87958" w14:textId="77777777" w:rsidR="007C0569" w:rsidRPr="00995C07" w:rsidRDefault="00FC2A61" w:rsidP="007C0569">
      <w:pPr>
        <w:spacing w:line="360" w:lineRule="auto"/>
        <w:jc w:val="both"/>
        <w:rPr>
          <w:rFonts w:ascii="Arial" w:hAnsi="Arial"/>
          <w:b/>
          <w:bCs/>
          <w:rtl/>
        </w:rPr>
      </w:pPr>
      <w:bookmarkStart w:id="8" w:name="Nitan"/>
      <w:r>
        <w:rPr>
          <w:rFonts w:ascii="Arial" w:hAnsi="Arial"/>
          <w:b/>
          <w:bCs/>
          <w:rtl/>
        </w:rPr>
        <w:t xml:space="preserve">ניתן היום,  כ"א אלול תשפ"ג, 07 ספטמבר 2023, בנוכחות ב"כ המאשימה עוה"ד אלירן אשכנזי </w:t>
      </w:r>
      <w:bookmarkEnd w:id="8"/>
      <w:r w:rsidR="007C0569">
        <w:rPr>
          <w:rFonts w:ascii="Arial" w:hAnsi="Arial" w:hint="cs"/>
          <w:b/>
          <w:bCs/>
          <w:rtl/>
        </w:rPr>
        <w:t>ועוה"ד רונה , הנאשם ובאי כוחו עוה"ד עודאי בוקאי</w:t>
      </w:r>
      <w:r w:rsidR="007C0569" w:rsidRPr="0090306B">
        <w:rPr>
          <w:rFonts w:ascii="Arial" w:hAnsi="Arial"/>
          <w:rtl/>
        </w:rPr>
        <w:t>.</w:t>
      </w:r>
    </w:p>
    <w:p w14:paraId="20841E81" w14:textId="77777777" w:rsidR="007C0569" w:rsidRPr="000F2247" w:rsidRDefault="007C0569" w:rsidP="007C0569">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07930652" w14:textId="77777777" w:rsidR="007C0569" w:rsidRPr="000F2247" w:rsidRDefault="007C0569" w:rsidP="00FC2A6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E6627E5" w14:textId="77777777" w:rsidR="007C0569" w:rsidRPr="000F2247" w:rsidRDefault="007C0569" w:rsidP="007C0569">
      <w:pPr>
        <w:jc w:val="center"/>
        <w:rPr>
          <w:rFonts w:ascii="Arial" w:hAnsi="Arial"/>
          <w:b/>
          <w:bCs/>
          <w:sz w:val="26"/>
          <w:szCs w:val="26"/>
          <w:rtl/>
        </w:rPr>
      </w:pPr>
    </w:p>
    <w:p w14:paraId="20154732" w14:textId="77777777" w:rsidR="0027793F" w:rsidRPr="00FC2A61" w:rsidRDefault="0027793F" w:rsidP="00FC2A61">
      <w:pPr>
        <w:keepNext/>
        <w:rPr>
          <w:rFonts w:ascii="David" w:hAnsi="David"/>
          <w:color w:val="000000"/>
          <w:sz w:val="22"/>
          <w:szCs w:val="22"/>
          <w:rtl/>
        </w:rPr>
      </w:pPr>
    </w:p>
    <w:p w14:paraId="6B591C2F" w14:textId="77777777" w:rsidR="00FC2A61" w:rsidRPr="00FC2A61" w:rsidRDefault="00FC2A61" w:rsidP="00FC2A61">
      <w:pPr>
        <w:keepNext/>
        <w:rPr>
          <w:rFonts w:ascii="David" w:hAnsi="David"/>
          <w:color w:val="000000"/>
          <w:sz w:val="22"/>
          <w:szCs w:val="22"/>
          <w:rtl/>
        </w:rPr>
      </w:pPr>
      <w:r w:rsidRPr="00FC2A61">
        <w:rPr>
          <w:rFonts w:ascii="David" w:hAnsi="David"/>
          <w:color w:val="000000"/>
          <w:sz w:val="22"/>
          <w:szCs w:val="22"/>
          <w:rtl/>
        </w:rPr>
        <w:t>אילה אורן 54678313</w:t>
      </w:r>
    </w:p>
    <w:p w14:paraId="549B1ACE" w14:textId="77777777" w:rsidR="00FC2A61" w:rsidRDefault="00FC2A61" w:rsidP="00FC2A61">
      <w:r w:rsidRPr="00FC2A61">
        <w:rPr>
          <w:color w:val="000000"/>
          <w:rtl/>
        </w:rPr>
        <w:t>נוסח מסמך זה כפוף לשינויי ניסוח ועריכה</w:t>
      </w:r>
    </w:p>
    <w:p w14:paraId="5D6021AF" w14:textId="77777777" w:rsidR="00FC2A61" w:rsidRDefault="00FC2A61" w:rsidP="00FC2A61">
      <w:pPr>
        <w:rPr>
          <w:rtl/>
        </w:rPr>
      </w:pPr>
    </w:p>
    <w:p w14:paraId="4BF9100A" w14:textId="77777777" w:rsidR="00FC2A61" w:rsidRDefault="00FC2A61" w:rsidP="00FC2A61">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2CE924D4" w14:textId="77777777" w:rsidR="00FC2A61" w:rsidRPr="00FC2A61" w:rsidRDefault="00FC2A61" w:rsidP="00FC2A61">
      <w:pPr>
        <w:jc w:val="center"/>
        <w:rPr>
          <w:color w:val="0000FF"/>
          <w:u w:val="single"/>
        </w:rPr>
      </w:pPr>
    </w:p>
    <w:sectPr w:rsidR="00FC2A61" w:rsidRPr="00FC2A61" w:rsidSect="00FC2A61">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3BB5C" w14:textId="77777777" w:rsidR="000B24AA" w:rsidRDefault="000B24AA" w:rsidP="007C0569">
      <w:r>
        <w:separator/>
      </w:r>
    </w:p>
  </w:endnote>
  <w:endnote w:type="continuationSeparator" w:id="0">
    <w:p w14:paraId="16899A43" w14:textId="77777777" w:rsidR="000B24AA" w:rsidRDefault="000B24AA" w:rsidP="007C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4F50B" w14:textId="77777777" w:rsidR="00FC2A61" w:rsidRDefault="00FC2A61" w:rsidP="00FC2A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B9821B" w14:textId="77777777" w:rsidR="004A7CB6" w:rsidRPr="00FC2A61" w:rsidRDefault="00FC2A61" w:rsidP="00FC2A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FBB1E" w14:textId="77777777" w:rsidR="00FC2A61" w:rsidRDefault="00FC2A61" w:rsidP="00FC2A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0C5">
      <w:rPr>
        <w:rFonts w:ascii="FrankRuehl" w:hAnsi="FrankRuehl" w:cs="FrankRuehl"/>
        <w:noProof/>
        <w:rtl/>
      </w:rPr>
      <w:t>1</w:t>
    </w:r>
    <w:r>
      <w:rPr>
        <w:rFonts w:ascii="FrankRuehl" w:hAnsi="FrankRuehl" w:cs="FrankRuehl"/>
        <w:rtl/>
      </w:rPr>
      <w:fldChar w:fldCharType="end"/>
    </w:r>
  </w:p>
  <w:p w14:paraId="04EA231A" w14:textId="77777777" w:rsidR="004A7CB6" w:rsidRPr="00FC2A61" w:rsidRDefault="00FC2A61" w:rsidP="00FC2A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CE1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DCCA8" w14:textId="77777777" w:rsidR="000B24AA" w:rsidRDefault="000B24AA" w:rsidP="007C0569">
      <w:r>
        <w:separator/>
      </w:r>
    </w:p>
  </w:footnote>
  <w:footnote w:type="continuationSeparator" w:id="0">
    <w:p w14:paraId="430AB09B" w14:textId="77777777" w:rsidR="000B24AA" w:rsidRDefault="000B24AA" w:rsidP="007C0569">
      <w:r>
        <w:continuationSeparator/>
      </w:r>
    </w:p>
  </w:footnote>
  <w:footnote w:id="1">
    <w:p w14:paraId="4B5A878F" w14:textId="77777777" w:rsidR="007C0569" w:rsidRDefault="007C0569" w:rsidP="007C0569">
      <w:pPr>
        <w:pStyle w:val="Hesber"/>
        <w:spacing w:line="240" w:lineRule="auto"/>
        <w:ind w:firstLine="0"/>
        <w:rPr>
          <w:rFonts w:ascii="David" w:hAnsi="David" w:cs="David"/>
          <w:color w:val="auto"/>
          <w:lang w:eastAsia="en-US"/>
        </w:rPr>
      </w:pPr>
      <w:r>
        <w:rPr>
          <w:rStyle w:val="ad"/>
          <w:rFonts w:ascii="David" w:hAnsi="David" w:cs="David"/>
        </w:rPr>
        <w:footnoteRef/>
      </w:r>
      <w:r>
        <w:rPr>
          <w:rtl/>
        </w:rPr>
        <w:t xml:space="preserve"> </w:t>
      </w:r>
      <w:r>
        <w:rPr>
          <w:rFonts w:ascii="David" w:hAnsi="David" w:cs="David"/>
          <w:rtl/>
        </w:rPr>
        <w:t>תיקון מס' 140 ל</w:t>
      </w:r>
      <w:hyperlink r:id="rId1" w:history="1">
        <w:r w:rsidR="00FC2A61" w:rsidRPr="00FC2A61">
          <w:rPr>
            <w:rFonts w:ascii="David" w:hAnsi="David" w:cs="David"/>
            <w:color w:val="0000FF"/>
            <w:u w:val="single"/>
            <w:rtl/>
          </w:rPr>
          <w:t>חוק העונשין</w:t>
        </w:r>
      </w:hyperlink>
      <w:r>
        <w:rPr>
          <w:rFonts w:ascii="David" w:hAnsi="David" w:cs="David"/>
          <w:rtl/>
        </w:rPr>
        <w:t xml:space="preserve"> (תיקון מס' 140 – הוראת שעה), התשפ"ב-2021, ס"ח 2938.</w:t>
      </w:r>
    </w:p>
    <w:p w14:paraId="6B0F5DBA" w14:textId="77777777" w:rsidR="007C0569" w:rsidRDefault="007C0569" w:rsidP="007C0569">
      <w:pPr>
        <w:pStyle w:val="a9"/>
        <w:rPr>
          <w:rFonts w:ascii="David" w:hAnsi="David" w:cs="David"/>
        </w:rPr>
      </w:pPr>
    </w:p>
  </w:footnote>
  <w:footnote w:id="2">
    <w:p w14:paraId="478B8E2C" w14:textId="77777777" w:rsidR="007C0569" w:rsidRDefault="007C0569" w:rsidP="007C0569">
      <w:pPr>
        <w:pStyle w:val="Hesber"/>
        <w:spacing w:line="240" w:lineRule="auto"/>
        <w:ind w:firstLine="0"/>
        <w:rPr>
          <w:rFonts w:ascii="David" w:hAnsi="David" w:cs="David"/>
          <w:color w:val="auto"/>
          <w:lang w:eastAsia="en-US"/>
        </w:rPr>
      </w:pPr>
      <w:r>
        <w:rPr>
          <w:rStyle w:val="ad"/>
          <w:rFonts w:ascii="David" w:hAnsi="David" w:cs="David"/>
        </w:rPr>
        <w:footnoteRef/>
      </w:r>
      <w:r>
        <w:rPr>
          <w:rFonts w:ascii="David" w:hAnsi="David" w:cs="David"/>
          <w:rtl/>
        </w:rPr>
        <w:t xml:space="preserve"> </w:t>
      </w:r>
      <w:r>
        <w:rPr>
          <w:rFonts w:ascii="David" w:hAnsi="David" w:cs="David"/>
          <w:color w:val="auto"/>
          <w:rtl/>
          <w:lang w:eastAsia="en-US"/>
        </w:rPr>
        <w:t xml:space="preserve">דברי ההסבר להצעת </w:t>
      </w:r>
      <w:hyperlink r:id="rId2" w:history="1">
        <w:r w:rsidR="00FC2A61" w:rsidRPr="00FC2A61">
          <w:rPr>
            <w:rFonts w:ascii="David" w:hAnsi="David" w:cs="David"/>
            <w:color w:val="0000FF"/>
            <w:u w:val="single"/>
            <w:rtl/>
            <w:lang w:eastAsia="en-US"/>
          </w:rPr>
          <w:t>חוק העונשין</w:t>
        </w:r>
      </w:hyperlink>
      <w:r>
        <w:rPr>
          <w:rFonts w:ascii="David" w:hAnsi="David" w:cs="David"/>
          <w:color w:val="auto"/>
          <w:rtl/>
          <w:lang w:eastAsia="en-US"/>
        </w:rPr>
        <w:t xml:space="preserve"> (תיקון מ</w:t>
      </w:r>
      <w:bookmarkStart w:id="7" w:name="SeifFN11"/>
      <w:r>
        <w:rPr>
          <w:rFonts w:ascii="David" w:hAnsi="David" w:cs="David"/>
          <w:color w:val="auto"/>
          <w:rtl/>
          <w:lang w:eastAsia="en-US"/>
        </w:rPr>
        <w:t xml:space="preserve">ס' </w:t>
      </w:r>
      <w:bookmarkEnd w:id="7"/>
      <w:r>
        <w:rPr>
          <w:rFonts w:ascii="David" w:hAnsi="David" w:cs="David"/>
          <w:color w:val="auto"/>
          <w:rtl/>
          <w:lang w:eastAsia="en-US"/>
        </w:rPr>
        <w:t>140 – הוראת שעה), התשפ"ב – 2021, פ/55/24.  </w:t>
      </w:r>
    </w:p>
    <w:p w14:paraId="4FDA1383" w14:textId="77777777" w:rsidR="007C0569" w:rsidRDefault="007C0569" w:rsidP="007C0569">
      <w:pPr>
        <w:pStyle w:val="a9"/>
        <w:rPr>
          <w:rtl/>
        </w:rPr>
      </w:pPr>
    </w:p>
  </w:footnote>
  <w:footnote w:id="3">
    <w:p w14:paraId="7C2B6725" w14:textId="77777777" w:rsidR="007C0569" w:rsidRDefault="007C0569" w:rsidP="007C0569">
      <w:pPr>
        <w:pStyle w:val="a9"/>
        <w:rPr>
          <w:rFonts w:ascii="David" w:hAnsi="David" w:cs="David"/>
        </w:rPr>
      </w:pPr>
      <w:r>
        <w:rPr>
          <w:rStyle w:val="ad"/>
          <w:rFonts w:ascii="David" w:hAnsi="David" w:cs="David"/>
        </w:rPr>
        <w:footnoteRef/>
      </w:r>
      <w:r>
        <w:rPr>
          <w:rFonts w:ascii="David" w:hAnsi="David" w:cs="David"/>
          <w:rtl/>
        </w:rPr>
        <w:t xml:space="preserve"> חוק המאבק בכלי הנשק הבלתי חוקיים (תיקון חקיקה והוראת שעה), התשפ"ג-2023, ס"ח 3035.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1DCFF" w14:textId="77777777" w:rsidR="00FC2A61" w:rsidRPr="00FC2A61" w:rsidRDefault="00FC2A61" w:rsidP="00FC2A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1064-10-21</w:t>
    </w:r>
    <w:r>
      <w:rPr>
        <w:rFonts w:ascii="David" w:hAnsi="David"/>
        <w:color w:val="000000"/>
        <w:sz w:val="22"/>
        <w:szCs w:val="22"/>
        <w:rtl/>
      </w:rPr>
      <w:tab/>
      <w:t xml:space="preserve"> מדינת ישראל נ' חסיב עבד אל האדי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FFAD4" w14:textId="77777777" w:rsidR="00FC2A61" w:rsidRPr="00FC2A61" w:rsidRDefault="00FC2A61" w:rsidP="00FC2A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1064-10-21</w:t>
    </w:r>
    <w:r>
      <w:rPr>
        <w:rFonts w:ascii="David" w:hAnsi="David"/>
        <w:color w:val="000000"/>
        <w:sz w:val="22"/>
        <w:szCs w:val="22"/>
        <w:rtl/>
      </w:rPr>
      <w:tab/>
      <w:t xml:space="preserve"> מדינת ישראל נ' חסיב עבד אל האדי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B42B4"/>
    <w:multiLevelType w:val="hybridMultilevel"/>
    <w:tmpl w:val="4B6AB34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CC5826"/>
    <w:multiLevelType w:val="hybridMultilevel"/>
    <w:tmpl w:val="F8C67B62"/>
    <w:lvl w:ilvl="0" w:tplc="A9886D98">
      <w:start w:val="1"/>
      <w:numFmt w:val="hebrew1"/>
      <w:lvlText w:val="%1."/>
      <w:lvlJc w:val="left"/>
      <w:pPr>
        <w:ind w:left="720" w:hanging="360"/>
      </w:pPr>
    </w:lvl>
    <w:lvl w:ilvl="1" w:tplc="F0A0BA4C">
      <w:start w:val="1"/>
      <w:numFmt w:val="lowerLetter"/>
      <w:lvlText w:val="%2."/>
      <w:lvlJc w:val="left"/>
      <w:pPr>
        <w:ind w:left="1440" w:hanging="360"/>
      </w:pPr>
    </w:lvl>
    <w:lvl w:ilvl="2" w:tplc="8FF42B8A">
      <w:start w:val="1"/>
      <w:numFmt w:val="lowerRoman"/>
      <w:lvlText w:val="%3."/>
      <w:lvlJc w:val="right"/>
      <w:pPr>
        <w:ind w:left="2160" w:hanging="180"/>
      </w:pPr>
    </w:lvl>
    <w:lvl w:ilvl="3" w:tplc="C12404B2">
      <w:start w:val="1"/>
      <w:numFmt w:val="decimal"/>
      <w:lvlText w:val="%4."/>
      <w:lvlJc w:val="left"/>
      <w:pPr>
        <w:ind w:left="2880" w:hanging="360"/>
      </w:pPr>
    </w:lvl>
    <w:lvl w:ilvl="4" w:tplc="98545A24">
      <w:start w:val="1"/>
      <w:numFmt w:val="lowerLetter"/>
      <w:lvlText w:val="%5."/>
      <w:lvlJc w:val="left"/>
      <w:pPr>
        <w:ind w:left="3600" w:hanging="360"/>
      </w:pPr>
    </w:lvl>
    <w:lvl w:ilvl="5" w:tplc="7DFCC33C">
      <w:start w:val="1"/>
      <w:numFmt w:val="lowerRoman"/>
      <w:lvlText w:val="%6."/>
      <w:lvlJc w:val="right"/>
      <w:pPr>
        <w:ind w:left="4320" w:hanging="180"/>
      </w:pPr>
    </w:lvl>
    <w:lvl w:ilvl="6" w:tplc="59543DE2">
      <w:start w:val="1"/>
      <w:numFmt w:val="decimal"/>
      <w:lvlText w:val="%7."/>
      <w:lvlJc w:val="left"/>
      <w:pPr>
        <w:ind w:left="5040" w:hanging="360"/>
      </w:pPr>
    </w:lvl>
    <w:lvl w:ilvl="7" w:tplc="56E642A0">
      <w:start w:val="1"/>
      <w:numFmt w:val="lowerLetter"/>
      <w:lvlText w:val="%8."/>
      <w:lvlJc w:val="left"/>
      <w:pPr>
        <w:ind w:left="5760" w:hanging="360"/>
      </w:pPr>
    </w:lvl>
    <w:lvl w:ilvl="8" w:tplc="88CC8CB0">
      <w:start w:val="1"/>
      <w:numFmt w:val="lowerRoman"/>
      <w:lvlText w:val="%9."/>
      <w:lvlJc w:val="right"/>
      <w:pPr>
        <w:ind w:left="6480" w:hanging="180"/>
      </w:pPr>
    </w:lvl>
  </w:abstractNum>
  <w:abstractNum w:abstractNumId="2" w15:restartNumberingAfterBreak="0">
    <w:nsid w:val="48E52DC4"/>
    <w:multiLevelType w:val="hybridMultilevel"/>
    <w:tmpl w:val="972AA7B4"/>
    <w:lvl w:ilvl="0" w:tplc="E5BCF95C">
      <w:start w:val="1"/>
      <w:numFmt w:val="hebrew1"/>
      <w:lvlText w:val="%1."/>
      <w:lvlJc w:val="left"/>
      <w:pPr>
        <w:ind w:left="720" w:hanging="360"/>
      </w:pPr>
      <w:rPr>
        <w:rFonts w:cs="David"/>
        <w:b w:val="0"/>
        <w:strike w:val="0"/>
        <w:dstrike w:val="0"/>
        <w:u w:val="none"/>
        <w:effect w:val="none"/>
      </w:rPr>
    </w:lvl>
    <w:lvl w:ilvl="1" w:tplc="D15C6DCC">
      <w:start w:val="1"/>
      <w:numFmt w:val="lowerLetter"/>
      <w:lvlText w:val="%2."/>
      <w:lvlJc w:val="left"/>
      <w:pPr>
        <w:ind w:left="1440" w:hanging="360"/>
      </w:pPr>
      <w:rPr>
        <w:rFonts w:cs="Times New Roman"/>
      </w:rPr>
    </w:lvl>
    <w:lvl w:ilvl="2" w:tplc="971ED1A4">
      <w:start w:val="1"/>
      <w:numFmt w:val="lowerRoman"/>
      <w:lvlText w:val="%3."/>
      <w:lvlJc w:val="right"/>
      <w:pPr>
        <w:ind w:left="2160" w:hanging="180"/>
      </w:pPr>
      <w:rPr>
        <w:rFonts w:cs="Times New Roman"/>
      </w:rPr>
    </w:lvl>
    <w:lvl w:ilvl="3" w:tplc="FB383D28">
      <w:start w:val="1"/>
      <w:numFmt w:val="decimal"/>
      <w:lvlText w:val="%4."/>
      <w:lvlJc w:val="left"/>
      <w:pPr>
        <w:ind w:left="2880" w:hanging="360"/>
      </w:pPr>
      <w:rPr>
        <w:rFonts w:cs="Times New Roman"/>
      </w:rPr>
    </w:lvl>
    <w:lvl w:ilvl="4" w:tplc="957AD088">
      <w:start w:val="1"/>
      <w:numFmt w:val="lowerLetter"/>
      <w:lvlText w:val="%5."/>
      <w:lvlJc w:val="left"/>
      <w:pPr>
        <w:ind w:left="3600" w:hanging="360"/>
      </w:pPr>
      <w:rPr>
        <w:rFonts w:cs="Times New Roman"/>
      </w:rPr>
    </w:lvl>
    <w:lvl w:ilvl="5" w:tplc="A1C0E2D0">
      <w:start w:val="1"/>
      <w:numFmt w:val="lowerRoman"/>
      <w:lvlText w:val="%6."/>
      <w:lvlJc w:val="right"/>
      <w:pPr>
        <w:ind w:left="4320" w:hanging="180"/>
      </w:pPr>
      <w:rPr>
        <w:rFonts w:cs="Times New Roman"/>
      </w:rPr>
    </w:lvl>
    <w:lvl w:ilvl="6" w:tplc="08169C4C">
      <w:start w:val="1"/>
      <w:numFmt w:val="decimal"/>
      <w:lvlText w:val="%7."/>
      <w:lvlJc w:val="left"/>
      <w:pPr>
        <w:ind w:left="5040" w:hanging="360"/>
      </w:pPr>
      <w:rPr>
        <w:rFonts w:cs="Times New Roman"/>
      </w:rPr>
    </w:lvl>
    <w:lvl w:ilvl="7" w:tplc="B47A4BEA">
      <w:start w:val="1"/>
      <w:numFmt w:val="lowerLetter"/>
      <w:lvlText w:val="%8."/>
      <w:lvlJc w:val="left"/>
      <w:pPr>
        <w:ind w:left="5760" w:hanging="360"/>
      </w:pPr>
      <w:rPr>
        <w:rFonts w:cs="Times New Roman"/>
      </w:rPr>
    </w:lvl>
    <w:lvl w:ilvl="8" w:tplc="E266196C">
      <w:start w:val="1"/>
      <w:numFmt w:val="lowerRoman"/>
      <w:lvlText w:val="%9."/>
      <w:lvlJc w:val="right"/>
      <w:pPr>
        <w:ind w:left="6480" w:hanging="180"/>
      </w:pPr>
      <w:rPr>
        <w:rFonts w:cs="Times New Roman"/>
      </w:rPr>
    </w:lvl>
  </w:abstractNum>
  <w:abstractNum w:abstractNumId="3" w15:restartNumberingAfterBreak="0">
    <w:nsid w:val="7F66453F"/>
    <w:multiLevelType w:val="hybridMultilevel"/>
    <w:tmpl w:val="4B7A1164"/>
    <w:lvl w:ilvl="0" w:tplc="C3BA497E">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7175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27547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757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1252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0569"/>
    <w:rsid w:val="000B24AA"/>
    <w:rsid w:val="000F42FC"/>
    <w:rsid w:val="0027793F"/>
    <w:rsid w:val="00412333"/>
    <w:rsid w:val="00413B07"/>
    <w:rsid w:val="004A7CB6"/>
    <w:rsid w:val="00507B9D"/>
    <w:rsid w:val="006B65B5"/>
    <w:rsid w:val="007053BE"/>
    <w:rsid w:val="007A7090"/>
    <w:rsid w:val="007C0569"/>
    <w:rsid w:val="007F3398"/>
    <w:rsid w:val="00A912ED"/>
    <w:rsid w:val="00B01872"/>
    <w:rsid w:val="00B353A0"/>
    <w:rsid w:val="00DD50C5"/>
    <w:rsid w:val="00F62D6A"/>
    <w:rsid w:val="00FC2A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60B465"/>
  <w15:chartTrackingRefBased/>
  <w15:docId w15:val="{944BDB93-635E-4545-BB3C-C8BFFEE7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05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0569"/>
    <w:pPr>
      <w:tabs>
        <w:tab w:val="center" w:pos="4153"/>
        <w:tab w:val="right" w:pos="8306"/>
      </w:tabs>
    </w:pPr>
  </w:style>
  <w:style w:type="character" w:customStyle="1" w:styleId="a4">
    <w:name w:val="כותרת עליונה תו"/>
    <w:link w:val="a3"/>
    <w:rsid w:val="007C0569"/>
    <w:rPr>
      <w:rFonts w:ascii="Times New Roman" w:eastAsia="Times New Roman" w:hAnsi="Times New Roman" w:cs="David"/>
      <w:sz w:val="24"/>
      <w:szCs w:val="24"/>
    </w:rPr>
  </w:style>
  <w:style w:type="paragraph" w:styleId="a5">
    <w:name w:val="footer"/>
    <w:basedOn w:val="a"/>
    <w:link w:val="a6"/>
    <w:rsid w:val="007C0569"/>
    <w:pPr>
      <w:tabs>
        <w:tab w:val="center" w:pos="4153"/>
        <w:tab w:val="right" w:pos="8306"/>
      </w:tabs>
    </w:pPr>
  </w:style>
  <w:style w:type="character" w:customStyle="1" w:styleId="a6">
    <w:name w:val="כותרת תחתונה תו"/>
    <w:link w:val="a5"/>
    <w:rsid w:val="007C0569"/>
    <w:rPr>
      <w:rFonts w:ascii="Times New Roman" w:eastAsia="Times New Roman" w:hAnsi="Times New Roman" w:cs="David"/>
      <w:sz w:val="24"/>
      <w:szCs w:val="24"/>
    </w:rPr>
  </w:style>
  <w:style w:type="table" w:styleId="a7">
    <w:name w:val="Table Grid"/>
    <w:basedOn w:val="a1"/>
    <w:rsid w:val="007C05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0569"/>
  </w:style>
  <w:style w:type="character" w:styleId="Hyperlink">
    <w:name w:val="Hyperlink"/>
    <w:rsid w:val="007C0569"/>
    <w:rPr>
      <w:color w:val="0000FF"/>
      <w:u w:val="single"/>
    </w:rPr>
  </w:style>
  <w:style w:type="paragraph" w:styleId="a9">
    <w:name w:val="footnote text"/>
    <w:basedOn w:val="a"/>
    <w:link w:val="aa"/>
    <w:rsid w:val="007C0569"/>
    <w:rPr>
      <w:rFonts w:ascii="Calibri" w:eastAsia="Calibri" w:hAnsi="Calibri" w:cs="Arial"/>
      <w:sz w:val="20"/>
      <w:szCs w:val="20"/>
    </w:rPr>
  </w:style>
  <w:style w:type="character" w:customStyle="1" w:styleId="aa">
    <w:name w:val="טקסט הערת שוליים תו"/>
    <w:link w:val="a9"/>
    <w:rsid w:val="007C0569"/>
    <w:rPr>
      <w:sz w:val="20"/>
      <w:szCs w:val="20"/>
    </w:rPr>
  </w:style>
  <w:style w:type="character" w:customStyle="1" w:styleId="ab">
    <w:name w:val="פיסקת רשימה תו"/>
    <w:link w:val="ac"/>
    <w:locked/>
    <w:rsid w:val="007C0569"/>
  </w:style>
  <w:style w:type="paragraph" w:styleId="ac">
    <w:name w:val="List Paragraph"/>
    <w:basedOn w:val="a"/>
    <w:link w:val="ab"/>
    <w:qFormat/>
    <w:rsid w:val="007C0569"/>
    <w:pPr>
      <w:spacing w:after="160" w:line="256" w:lineRule="auto"/>
      <w:ind w:left="720"/>
      <w:contextualSpacing/>
    </w:pPr>
    <w:rPr>
      <w:rFonts w:ascii="Calibri" w:eastAsia="Calibri" w:hAnsi="Calibri" w:cs="Arial"/>
      <w:sz w:val="22"/>
      <w:szCs w:val="22"/>
    </w:rPr>
  </w:style>
  <w:style w:type="character" w:customStyle="1" w:styleId="Ruller4">
    <w:name w:val="Ruller4 תו"/>
    <w:link w:val="Ruller40"/>
    <w:locked/>
    <w:rsid w:val="007C0569"/>
    <w:rPr>
      <w:rFonts w:ascii="Arial TUR" w:hAnsi="Arial TUR" w:cs="FrankRuehl"/>
      <w:spacing w:val="10"/>
      <w:szCs w:val="28"/>
    </w:rPr>
  </w:style>
  <w:style w:type="paragraph" w:customStyle="1" w:styleId="Ruller40">
    <w:name w:val="Ruller4"/>
    <w:basedOn w:val="a"/>
    <w:link w:val="Ruller4"/>
    <w:rsid w:val="007C056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Hesber">
    <w:name w:val="Hesber"/>
    <w:basedOn w:val="a"/>
    <w:rsid w:val="007C0569"/>
    <w:pPr>
      <w:autoSpaceDE w:val="0"/>
      <w:autoSpaceDN w:val="0"/>
      <w:snapToGrid w:val="0"/>
      <w:spacing w:line="360" w:lineRule="auto"/>
      <w:ind w:firstLine="340"/>
      <w:jc w:val="both"/>
    </w:pPr>
    <w:rPr>
      <w:rFonts w:ascii="Arial" w:eastAsia="Calibri" w:hAnsi="Arial" w:cs="Arial"/>
      <w:color w:val="000000"/>
      <w:sz w:val="20"/>
      <w:szCs w:val="20"/>
      <w:lang w:eastAsia="ja-JP"/>
    </w:rPr>
  </w:style>
  <w:style w:type="character" w:styleId="ad">
    <w:name w:val="footnote reference"/>
    <w:rsid w:val="007C05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6" TargetMode="External"/><Relationship Id="rId42" Type="http://schemas.openxmlformats.org/officeDocument/2006/relationships/hyperlink" Target="http://www.nevo.co.il/case/26913995" TargetMode="External"/><Relationship Id="rId47" Type="http://schemas.openxmlformats.org/officeDocument/2006/relationships/hyperlink" Target="http://www.nevo.co.il/case/29706888" TargetMode="External"/><Relationship Id="rId63" Type="http://schemas.openxmlformats.org/officeDocument/2006/relationships/hyperlink" Target="http://www.nevo.co.il/case/10442383"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7930602"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7734980" TargetMode="External"/><Relationship Id="rId37" Type="http://schemas.openxmlformats.org/officeDocument/2006/relationships/hyperlink" Target="http://www.nevo.co.il/case/28513828" TargetMode="External"/><Relationship Id="rId40" Type="http://schemas.openxmlformats.org/officeDocument/2006/relationships/hyperlink" Target="http://www.nevo.co.il/case/28567439" TargetMode="External"/><Relationship Id="rId45" Type="http://schemas.openxmlformats.org/officeDocument/2006/relationships/hyperlink" Target="http://www.nevo.co.il/case/27596817" TargetMode="External"/><Relationship Id="rId53" Type="http://schemas.openxmlformats.org/officeDocument/2006/relationships/hyperlink" Target="http://www.nevo.co.il/case/5738608" TargetMode="External"/><Relationship Id="rId58" Type="http://schemas.openxmlformats.org/officeDocument/2006/relationships/hyperlink" Target="http://www.nevo.co.il/case/27517511" TargetMode="External"/><Relationship Id="rId66" Type="http://schemas.openxmlformats.org/officeDocument/2006/relationships/hyperlink" Target="http://www.eca.gov.il/" TargetMode="External"/><Relationship Id="rId5" Type="http://schemas.openxmlformats.org/officeDocument/2006/relationships/footnotes" Target="footnotes.xml"/><Relationship Id="rId61" Type="http://schemas.openxmlformats.org/officeDocument/2006/relationships/hyperlink" Target="http://www.nevo.co.il/law/70301/5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383419" TargetMode="External"/><Relationship Id="rId48" Type="http://schemas.openxmlformats.org/officeDocument/2006/relationships/hyperlink" Target="http://www.nevo.co.il/case/28254084" TargetMode="External"/><Relationship Id="rId56" Type="http://schemas.openxmlformats.org/officeDocument/2006/relationships/hyperlink" Target="http://www.nevo.co.il/case/20685141" TargetMode="External"/><Relationship Id="rId64" Type="http://schemas.openxmlformats.org/officeDocument/2006/relationships/hyperlink" Target="http://www.nevo.co.il/case/5594359" TargetMode="External"/><Relationship Id="rId69"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hyperlink" Target="http://www.nevo.co.il/case/2428780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244"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9655260" TargetMode="External"/><Relationship Id="rId46" Type="http://schemas.openxmlformats.org/officeDocument/2006/relationships/hyperlink" Target="http://www.nevo.co.il/case/28324986" TargetMode="External"/><Relationship Id="rId59" Type="http://schemas.openxmlformats.org/officeDocument/2006/relationships/hyperlink" Target="http://www.nevo.co.il/case/28374949"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25432513" TargetMode="External"/><Relationship Id="rId41" Type="http://schemas.openxmlformats.org/officeDocument/2006/relationships/hyperlink" Target="http://www.nevo.co.il/case/26986974" TargetMode="External"/><Relationship Id="rId54" Type="http://schemas.openxmlformats.org/officeDocument/2006/relationships/hyperlink" Target="http://www.nevo.co.il/case/20111708" TargetMode="External"/><Relationship Id="rId62" Type="http://schemas.openxmlformats.org/officeDocument/2006/relationships/hyperlink" Target="http://www.nevo.co.il/law/7030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5824897" TargetMode="External"/><Relationship Id="rId36" Type="http://schemas.openxmlformats.org/officeDocument/2006/relationships/hyperlink" Target="http://www.nevo.co.il/case/28200855"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082031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607175" TargetMode="External"/><Relationship Id="rId52" Type="http://schemas.openxmlformats.org/officeDocument/2006/relationships/hyperlink" Target="http://www.nevo.co.il/case/26396568" TargetMode="External"/><Relationship Id="rId60" Type="http://schemas.openxmlformats.org/officeDocument/2006/relationships/hyperlink" Target="http://www.nevo.co.il/case/20881083" TargetMode="External"/><Relationship Id="rId65" Type="http://schemas.openxmlformats.org/officeDocument/2006/relationships/hyperlink" Target="http://www.nevo.co.il/case/1125298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3" Type="http://schemas.openxmlformats.org/officeDocument/2006/relationships/hyperlink" Target="http://www.nevo.co.il/law/4216/6" TargetMode="External"/><Relationship Id="rId18" Type="http://schemas.openxmlformats.org/officeDocument/2006/relationships/hyperlink" Target="http://www.nevo.co.il/law/70301/31" TargetMode="External"/><Relationship Id="rId39" Type="http://schemas.openxmlformats.org/officeDocument/2006/relationships/hyperlink" Target="http://www.nevo.co.il/case/28513828"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1472796" TargetMode="External"/><Relationship Id="rId55" Type="http://schemas.openxmlformats.org/officeDocument/2006/relationships/hyperlink" Target="http://www.nevo.co.il/case/20881083"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70301" TargetMode="External"/><Relationship Id="rId1" Type="http://schemas.openxmlformats.org/officeDocument/2006/relationships/hyperlink" Target="http://www.nevo.co.il/law/7030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4126</Words>
  <Characters>20630</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24707</CharactersWithSpaces>
  <SharedDoc>false</SharedDoc>
  <HLinks>
    <vt:vector size="378" baseType="variant">
      <vt:variant>
        <vt:i4>393283</vt:i4>
      </vt:variant>
      <vt:variant>
        <vt:i4>180</vt:i4>
      </vt:variant>
      <vt:variant>
        <vt:i4>0</vt:i4>
      </vt:variant>
      <vt:variant>
        <vt:i4>5</vt:i4>
      </vt:variant>
      <vt:variant>
        <vt:lpwstr>http://www.nevo.co.il/advertisements/nevo-100.doc</vt:lpwstr>
      </vt:variant>
      <vt:variant>
        <vt:lpwstr/>
      </vt:variant>
      <vt:variant>
        <vt:i4>7864368</vt:i4>
      </vt:variant>
      <vt:variant>
        <vt:i4>177</vt:i4>
      </vt:variant>
      <vt:variant>
        <vt:i4>0</vt:i4>
      </vt:variant>
      <vt:variant>
        <vt:i4>5</vt:i4>
      </vt:variant>
      <vt:variant>
        <vt:lpwstr>http://www.eca.gov.il/</vt:lpwstr>
      </vt:variant>
      <vt:variant>
        <vt:lpwstr/>
      </vt:variant>
      <vt:variant>
        <vt:i4>3735673</vt:i4>
      </vt:variant>
      <vt:variant>
        <vt:i4>174</vt:i4>
      </vt:variant>
      <vt:variant>
        <vt:i4>0</vt:i4>
      </vt:variant>
      <vt:variant>
        <vt:i4>5</vt:i4>
      </vt:variant>
      <vt:variant>
        <vt:lpwstr>http://www.nevo.co.il/case/11252981</vt:lpwstr>
      </vt:variant>
      <vt:variant>
        <vt:lpwstr/>
      </vt:variant>
      <vt:variant>
        <vt:i4>3539056</vt:i4>
      </vt:variant>
      <vt:variant>
        <vt:i4>171</vt:i4>
      </vt:variant>
      <vt:variant>
        <vt:i4>0</vt:i4>
      </vt:variant>
      <vt:variant>
        <vt:i4>5</vt:i4>
      </vt:variant>
      <vt:variant>
        <vt:lpwstr>http://www.nevo.co.il/case/5594359</vt:lpwstr>
      </vt:variant>
      <vt:variant>
        <vt:lpwstr/>
      </vt:variant>
      <vt:variant>
        <vt:i4>4128883</vt:i4>
      </vt:variant>
      <vt:variant>
        <vt:i4>168</vt:i4>
      </vt:variant>
      <vt:variant>
        <vt:i4>0</vt:i4>
      </vt:variant>
      <vt:variant>
        <vt:i4>5</vt:i4>
      </vt:variant>
      <vt:variant>
        <vt:lpwstr>http://www.nevo.co.il/case/10442383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7143520</vt:i4>
      </vt:variant>
      <vt:variant>
        <vt:i4>162</vt:i4>
      </vt:variant>
      <vt:variant>
        <vt:i4>0</vt:i4>
      </vt:variant>
      <vt:variant>
        <vt:i4>5</vt:i4>
      </vt:variant>
      <vt:variant>
        <vt:lpwstr>http://www.nevo.co.il/law/70301/58</vt:lpwstr>
      </vt:variant>
      <vt:variant>
        <vt:lpwstr/>
      </vt:variant>
      <vt:variant>
        <vt:i4>3342460</vt:i4>
      </vt:variant>
      <vt:variant>
        <vt:i4>159</vt:i4>
      </vt:variant>
      <vt:variant>
        <vt:i4>0</vt:i4>
      </vt:variant>
      <vt:variant>
        <vt:i4>5</vt:i4>
      </vt:variant>
      <vt:variant>
        <vt:lpwstr>http://www.nevo.co.il/case/20881083</vt:lpwstr>
      </vt:variant>
      <vt:variant>
        <vt:lpwstr/>
      </vt:variant>
      <vt:variant>
        <vt:i4>3211378</vt:i4>
      </vt:variant>
      <vt:variant>
        <vt:i4>156</vt:i4>
      </vt:variant>
      <vt:variant>
        <vt:i4>0</vt:i4>
      </vt:variant>
      <vt:variant>
        <vt:i4>5</vt:i4>
      </vt:variant>
      <vt:variant>
        <vt:lpwstr>http://www.nevo.co.il/case/28374949</vt:lpwstr>
      </vt:variant>
      <vt:variant>
        <vt:lpwstr/>
      </vt:variant>
      <vt:variant>
        <vt:i4>3211383</vt:i4>
      </vt:variant>
      <vt:variant>
        <vt:i4>153</vt:i4>
      </vt:variant>
      <vt:variant>
        <vt:i4>0</vt:i4>
      </vt:variant>
      <vt:variant>
        <vt:i4>5</vt:i4>
      </vt:variant>
      <vt:variant>
        <vt:lpwstr>http://www.nevo.co.il/case/27517511</vt:lpwstr>
      </vt:variant>
      <vt:variant>
        <vt:lpwstr/>
      </vt:variant>
      <vt:variant>
        <vt:i4>3866741</vt:i4>
      </vt:variant>
      <vt:variant>
        <vt:i4>150</vt:i4>
      </vt:variant>
      <vt:variant>
        <vt:i4>0</vt:i4>
      </vt:variant>
      <vt:variant>
        <vt:i4>5</vt:i4>
      </vt:variant>
      <vt:variant>
        <vt:lpwstr>http://www.nevo.co.il/case/20820311</vt:lpwstr>
      </vt:variant>
      <vt:variant>
        <vt:lpwstr/>
      </vt:variant>
      <vt:variant>
        <vt:i4>3473533</vt:i4>
      </vt:variant>
      <vt:variant>
        <vt:i4>147</vt:i4>
      </vt:variant>
      <vt:variant>
        <vt:i4>0</vt:i4>
      </vt:variant>
      <vt:variant>
        <vt:i4>5</vt:i4>
      </vt:variant>
      <vt:variant>
        <vt:lpwstr>http://www.nevo.co.il/case/20685141</vt:lpwstr>
      </vt:variant>
      <vt:variant>
        <vt:lpwstr/>
      </vt:variant>
      <vt:variant>
        <vt:i4>3342460</vt:i4>
      </vt:variant>
      <vt:variant>
        <vt:i4>144</vt:i4>
      </vt:variant>
      <vt:variant>
        <vt:i4>0</vt:i4>
      </vt:variant>
      <vt:variant>
        <vt:i4>5</vt:i4>
      </vt:variant>
      <vt:variant>
        <vt:lpwstr>http://www.nevo.co.il/case/20881083</vt:lpwstr>
      </vt:variant>
      <vt:variant>
        <vt:lpwstr/>
      </vt:variant>
      <vt:variant>
        <vt:i4>3276914</vt:i4>
      </vt:variant>
      <vt:variant>
        <vt:i4>141</vt:i4>
      </vt:variant>
      <vt:variant>
        <vt:i4>0</vt:i4>
      </vt:variant>
      <vt:variant>
        <vt:i4>5</vt:i4>
      </vt:variant>
      <vt:variant>
        <vt:lpwstr>http://www.nevo.co.il/case/20111708</vt:lpwstr>
      </vt:variant>
      <vt:variant>
        <vt:lpwstr/>
      </vt:variant>
      <vt:variant>
        <vt:i4>3670139</vt:i4>
      </vt:variant>
      <vt:variant>
        <vt:i4>138</vt:i4>
      </vt:variant>
      <vt:variant>
        <vt:i4>0</vt:i4>
      </vt:variant>
      <vt:variant>
        <vt:i4>5</vt:i4>
      </vt:variant>
      <vt:variant>
        <vt:lpwstr>http://www.nevo.co.il/case/5738608</vt:lpwstr>
      </vt:variant>
      <vt:variant>
        <vt:lpwstr/>
      </vt:variant>
      <vt:variant>
        <vt:i4>3211390</vt:i4>
      </vt:variant>
      <vt:variant>
        <vt:i4>135</vt:i4>
      </vt:variant>
      <vt:variant>
        <vt:i4>0</vt:i4>
      </vt:variant>
      <vt:variant>
        <vt:i4>5</vt:i4>
      </vt:variant>
      <vt:variant>
        <vt:lpwstr>http://www.nevo.co.il/case/26396568</vt:lpwstr>
      </vt:variant>
      <vt:variant>
        <vt:lpwstr/>
      </vt:variant>
      <vt:variant>
        <vt:i4>3604592</vt:i4>
      </vt:variant>
      <vt:variant>
        <vt:i4>132</vt:i4>
      </vt:variant>
      <vt:variant>
        <vt:i4>0</vt:i4>
      </vt:variant>
      <vt:variant>
        <vt:i4>5</vt:i4>
      </vt:variant>
      <vt:variant>
        <vt:lpwstr>http://www.nevo.co.il/case/24287803</vt:lpwstr>
      </vt:variant>
      <vt:variant>
        <vt:lpwstr/>
      </vt:variant>
      <vt:variant>
        <vt:i4>3997813</vt:i4>
      </vt:variant>
      <vt:variant>
        <vt:i4>129</vt:i4>
      </vt:variant>
      <vt:variant>
        <vt:i4>0</vt:i4>
      </vt:variant>
      <vt:variant>
        <vt:i4>5</vt:i4>
      </vt:variant>
      <vt:variant>
        <vt:lpwstr>http://www.nevo.co.il/case/21472796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3932281</vt:i4>
      </vt:variant>
      <vt:variant>
        <vt:i4>123</vt:i4>
      </vt:variant>
      <vt:variant>
        <vt:i4>0</vt:i4>
      </vt:variant>
      <vt:variant>
        <vt:i4>5</vt:i4>
      </vt:variant>
      <vt:variant>
        <vt:lpwstr>http://www.nevo.co.il/case/28254084</vt:lpwstr>
      </vt:variant>
      <vt:variant>
        <vt:lpwstr/>
      </vt:variant>
      <vt:variant>
        <vt:i4>3866741</vt:i4>
      </vt:variant>
      <vt:variant>
        <vt:i4>120</vt:i4>
      </vt:variant>
      <vt:variant>
        <vt:i4>0</vt:i4>
      </vt:variant>
      <vt:variant>
        <vt:i4>5</vt:i4>
      </vt:variant>
      <vt:variant>
        <vt:lpwstr>http://www.nevo.co.il/case/29706888</vt:lpwstr>
      </vt:variant>
      <vt:variant>
        <vt:lpwstr/>
      </vt:variant>
      <vt:variant>
        <vt:i4>3997815</vt:i4>
      </vt:variant>
      <vt:variant>
        <vt:i4>117</vt:i4>
      </vt:variant>
      <vt:variant>
        <vt:i4>0</vt:i4>
      </vt:variant>
      <vt:variant>
        <vt:i4>5</vt:i4>
      </vt:variant>
      <vt:variant>
        <vt:lpwstr>http://www.nevo.co.il/case/28324986</vt:lpwstr>
      </vt:variant>
      <vt:variant>
        <vt:lpwstr/>
      </vt:variant>
      <vt:variant>
        <vt:i4>3145842</vt:i4>
      </vt:variant>
      <vt:variant>
        <vt:i4>114</vt:i4>
      </vt:variant>
      <vt:variant>
        <vt:i4>0</vt:i4>
      </vt:variant>
      <vt:variant>
        <vt:i4>5</vt:i4>
      </vt:variant>
      <vt:variant>
        <vt:lpwstr>http://www.nevo.co.il/case/27596817</vt:lpwstr>
      </vt:variant>
      <vt:variant>
        <vt:lpwstr/>
      </vt:variant>
      <vt:variant>
        <vt:i4>3407991</vt:i4>
      </vt:variant>
      <vt:variant>
        <vt:i4>111</vt:i4>
      </vt:variant>
      <vt:variant>
        <vt:i4>0</vt:i4>
      </vt:variant>
      <vt:variant>
        <vt:i4>5</vt:i4>
      </vt:variant>
      <vt:variant>
        <vt:lpwstr>http://www.nevo.co.il/case/22607175</vt:lpwstr>
      </vt:variant>
      <vt:variant>
        <vt:lpwstr/>
      </vt:variant>
      <vt:variant>
        <vt:i4>3342462</vt:i4>
      </vt:variant>
      <vt:variant>
        <vt:i4>108</vt:i4>
      </vt:variant>
      <vt:variant>
        <vt:i4>0</vt:i4>
      </vt:variant>
      <vt:variant>
        <vt:i4>5</vt:i4>
      </vt:variant>
      <vt:variant>
        <vt:lpwstr>http://www.nevo.co.il/case/26383419</vt:lpwstr>
      </vt:variant>
      <vt:variant>
        <vt:lpwstr/>
      </vt:variant>
      <vt:variant>
        <vt:i4>3211386</vt:i4>
      </vt:variant>
      <vt:variant>
        <vt:i4>105</vt:i4>
      </vt:variant>
      <vt:variant>
        <vt:i4>0</vt:i4>
      </vt:variant>
      <vt:variant>
        <vt:i4>5</vt:i4>
      </vt:variant>
      <vt:variant>
        <vt:lpwstr>http://www.nevo.co.il/case/26913995</vt:lpwstr>
      </vt:variant>
      <vt:variant>
        <vt:lpwstr/>
      </vt:variant>
      <vt:variant>
        <vt:i4>3801203</vt:i4>
      </vt:variant>
      <vt:variant>
        <vt:i4>102</vt:i4>
      </vt:variant>
      <vt:variant>
        <vt:i4>0</vt:i4>
      </vt:variant>
      <vt:variant>
        <vt:i4>5</vt:i4>
      </vt:variant>
      <vt:variant>
        <vt:lpwstr>http://www.nevo.co.il/case/26986974</vt:lpwstr>
      </vt:variant>
      <vt:variant>
        <vt:lpwstr/>
      </vt:variant>
      <vt:variant>
        <vt:i4>3342462</vt:i4>
      </vt:variant>
      <vt:variant>
        <vt:i4>99</vt:i4>
      </vt:variant>
      <vt:variant>
        <vt:i4>0</vt:i4>
      </vt:variant>
      <vt:variant>
        <vt:i4>5</vt:i4>
      </vt:variant>
      <vt:variant>
        <vt:lpwstr>http://www.nevo.co.il/case/28567439</vt:lpwstr>
      </vt:variant>
      <vt:variant>
        <vt:lpwstr/>
      </vt:variant>
      <vt:variant>
        <vt:i4>3539061</vt:i4>
      </vt:variant>
      <vt:variant>
        <vt:i4>96</vt:i4>
      </vt:variant>
      <vt:variant>
        <vt:i4>0</vt:i4>
      </vt:variant>
      <vt:variant>
        <vt:i4>5</vt:i4>
      </vt:variant>
      <vt:variant>
        <vt:lpwstr>http://www.nevo.co.il/case/28513828</vt:lpwstr>
      </vt:variant>
      <vt:variant>
        <vt:lpwstr/>
      </vt:variant>
      <vt:variant>
        <vt:i4>3604602</vt:i4>
      </vt:variant>
      <vt:variant>
        <vt:i4>93</vt:i4>
      </vt:variant>
      <vt:variant>
        <vt:i4>0</vt:i4>
      </vt:variant>
      <vt:variant>
        <vt:i4>5</vt:i4>
      </vt:variant>
      <vt:variant>
        <vt:lpwstr>http://www.nevo.co.il/case/29655260</vt:lpwstr>
      </vt:variant>
      <vt:variant>
        <vt:lpwstr/>
      </vt:variant>
      <vt:variant>
        <vt:i4>3539061</vt:i4>
      </vt:variant>
      <vt:variant>
        <vt:i4>90</vt:i4>
      </vt:variant>
      <vt:variant>
        <vt:i4>0</vt:i4>
      </vt:variant>
      <vt:variant>
        <vt:i4>5</vt:i4>
      </vt:variant>
      <vt:variant>
        <vt:lpwstr>http://www.nevo.co.il/case/28513828</vt:lpwstr>
      </vt:variant>
      <vt:variant>
        <vt:lpwstr/>
      </vt:variant>
      <vt:variant>
        <vt:i4>3473524</vt:i4>
      </vt:variant>
      <vt:variant>
        <vt:i4>87</vt:i4>
      </vt:variant>
      <vt:variant>
        <vt:i4>0</vt:i4>
      </vt:variant>
      <vt:variant>
        <vt:i4>5</vt:i4>
      </vt:variant>
      <vt:variant>
        <vt:lpwstr>http://www.nevo.co.il/case/28200855</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3735673</vt:i4>
      </vt:variant>
      <vt:variant>
        <vt:i4>75</vt:i4>
      </vt:variant>
      <vt:variant>
        <vt:i4>0</vt:i4>
      </vt:variant>
      <vt:variant>
        <vt:i4>5</vt:i4>
      </vt:variant>
      <vt:variant>
        <vt:lpwstr>http://www.nevo.co.il/case/27734980</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3604603</vt:i4>
      </vt:variant>
      <vt:variant>
        <vt:i4>63</vt:i4>
      </vt:variant>
      <vt:variant>
        <vt:i4>0</vt:i4>
      </vt:variant>
      <vt:variant>
        <vt:i4>5</vt:i4>
      </vt:variant>
      <vt:variant>
        <vt:lpwstr>http://www.nevo.co.il/case/25824897</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4718666</vt:i4>
      </vt:variant>
      <vt:variant>
        <vt:i4>42</vt:i4>
      </vt:variant>
      <vt:variant>
        <vt:i4>0</vt:i4>
      </vt:variant>
      <vt:variant>
        <vt:i4>5</vt:i4>
      </vt:variant>
      <vt:variant>
        <vt:lpwstr>http://www.nevo.co.il/law/4216/6</vt:lpwstr>
      </vt:variant>
      <vt:variant>
        <vt:lpwstr/>
      </vt:variant>
      <vt:variant>
        <vt:i4>3473527</vt:i4>
      </vt:variant>
      <vt:variant>
        <vt:i4>39</vt:i4>
      </vt:variant>
      <vt:variant>
        <vt:i4>0</vt:i4>
      </vt:variant>
      <vt:variant>
        <vt:i4>5</vt:i4>
      </vt:variant>
      <vt:variant>
        <vt:lpwstr>http://www.nevo.co.il/case/25432513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3866742</vt:i4>
      </vt:variant>
      <vt:variant>
        <vt:i4>27</vt:i4>
      </vt:variant>
      <vt:variant>
        <vt:i4>0</vt:i4>
      </vt:variant>
      <vt:variant>
        <vt:i4>5</vt:i4>
      </vt:variant>
      <vt:variant>
        <vt:lpwstr>http://www.nevo.co.il/case/27930602</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1064;20714</vt:lpwstr>
  </property>
  <property fmtid="{D5CDD505-2E9C-101B-9397-08002B2CF9AE}" pid="6" name="NEWPARTB">
    <vt:lpwstr>10;02</vt:lpwstr>
  </property>
  <property fmtid="{D5CDD505-2E9C-101B-9397-08002B2CF9AE}" pid="7" name="NEWPARTC">
    <vt:lpwstr>21;19</vt:lpwstr>
  </property>
  <property fmtid="{D5CDD505-2E9C-101B-9397-08002B2CF9AE}" pid="8" name="APPELLANT">
    <vt:lpwstr>מדינת ישראל</vt:lpwstr>
  </property>
  <property fmtid="{D5CDD505-2E9C-101B-9397-08002B2CF9AE}" pid="9" name="APPELLEE">
    <vt:lpwstr>חסיב עבד אל האדי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20230907</vt:lpwstr>
  </property>
  <property fmtid="{D5CDD505-2E9C-101B-9397-08002B2CF9AE}" pid="13" name="TYPE_N_DATE">
    <vt:lpwstr>38020230907</vt:lpwstr>
  </property>
  <property fmtid="{D5CDD505-2E9C-101B-9397-08002B2CF9AE}" pid="14" name="WORDNUMPAGES">
    <vt:lpwstr>12</vt:lpwstr>
  </property>
  <property fmtid="{D5CDD505-2E9C-101B-9397-08002B2CF9AE}" pid="15" name="TYPE_ABS_DATE">
    <vt:lpwstr>380020230907</vt:lpwstr>
  </property>
  <property fmtid="{D5CDD505-2E9C-101B-9397-08002B2CF9AE}" pid="16" name="ISABSTRACT">
    <vt:lpwstr>Y</vt:lpwstr>
  </property>
  <property fmtid="{D5CDD505-2E9C-101B-9397-08002B2CF9AE}" pid="17" name="CASESLISTTMP1">
    <vt:lpwstr>27930602;25432513;25824897;27734980;28200855;28513828:2;29655260;28567439;26986974;26913995;26383419;22607175;27596817;28324986;29706888;28254084;21472796;24287803;26396568;5738608;20111708;20881083:2;20685141;20820311;27517511;28374949;10442383;5594359</vt:lpwstr>
  </property>
  <property fmtid="{D5CDD505-2E9C-101B-9397-08002B2CF9AE}" pid="18" name="CASESLISTTMP2">
    <vt:lpwstr>11252981</vt:lpwstr>
  </property>
  <property fmtid="{D5CDD505-2E9C-101B-9397-08002B2CF9AE}" pid="19" name="LAWLISTTMP1">
    <vt:lpwstr>70301/144.a:4;031:2;244:2;058:2</vt:lpwstr>
  </property>
  <property fmtid="{D5CDD505-2E9C-101B-9397-08002B2CF9AE}" pid="20" name="LAWLISTTMP2">
    <vt:lpwstr>4216/006:2;007.a:2;007.c:2</vt:lpwstr>
  </property>
</Properties>
</file>