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203E88" w:rsidRPr="00CF2BAC" w14:paraId="07CD48E0" w14:textId="77777777" w:rsidTr="00BE3DD4">
        <w:trPr>
          <w:trHeight w:hRule="exact" w:val="418"/>
          <w:jc w:val="center"/>
        </w:trPr>
        <w:tc>
          <w:tcPr>
            <w:tcW w:w="8721" w:type="dxa"/>
            <w:gridSpan w:val="2"/>
          </w:tcPr>
          <w:p w14:paraId="227F46D6" w14:textId="77777777" w:rsidR="00203E88" w:rsidRPr="00CF2BAC" w:rsidRDefault="00203E88" w:rsidP="00974575">
            <w:pPr>
              <w:pStyle w:val="a3"/>
              <w:jc w:val="center"/>
              <w:rPr>
                <w:rFonts w:ascii="Tahoma" w:hAnsi="Tahoma" w:cs="Tahoma"/>
                <w:color w:val="000080"/>
                <w:rtl/>
              </w:rPr>
            </w:pPr>
            <w:bookmarkStart w:id="0" w:name="LastJudge"/>
            <w:r w:rsidRPr="00CF2BAC">
              <w:rPr>
                <w:rFonts w:ascii="Tahoma" w:hAnsi="Tahoma" w:cs="Tahoma"/>
                <w:b/>
                <w:bCs/>
                <w:color w:val="000080"/>
                <w:rtl/>
              </w:rPr>
              <w:t>בית משפט השלום בחדרה</w:t>
            </w:r>
          </w:p>
        </w:tc>
      </w:tr>
      <w:tr w:rsidR="00203E88" w:rsidRPr="00CF2BAC" w14:paraId="4D09C90E" w14:textId="77777777" w:rsidTr="00BE3DD4">
        <w:trPr>
          <w:trHeight w:val="337"/>
          <w:jc w:val="center"/>
        </w:trPr>
        <w:tc>
          <w:tcPr>
            <w:tcW w:w="5061" w:type="dxa"/>
          </w:tcPr>
          <w:p w14:paraId="697177A3" w14:textId="77777777" w:rsidR="00203E88" w:rsidRPr="00CF2BAC" w:rsidRDefault="00203E88" w:rsidP="00974575">
            <w:pPr>
              <w:rPr>
                <w:rFonts w:cs="FrankRuehl"/>
                <w:sz w:val="28"/>
                <w:szCs w:val="28"/>
                <w:rtl/>
              </w:rPr>
            </w:pPr>
            <w:r w:rsidRPr="00CF2BAC">
              <w:rPr>
                <w:rFonts w:cs="FrankRuehl"/>
                <w:sz w:val="28"/>
                <w:szCs w:val="28"/>
                <w:rtl/>
              </w:rPr>
              <w:t>ת"פ</w:t>
            </w:r>
            <w:r w:rsidRPr="00CF2BAC">
              <w:rPr>
                <w:rFonts w:cs="FrankRuehl" w:hint="cs"/>
                <w:sz w:val="28"/>
                <w:szCs w:val="28"/>
                <w:rtl/>
              </w:rPr>
              <w:t xml:space="preserve"> </w:t>
            </w:r>
            <w:r w:rsidRPr="00CF2BAC">
              <w:rPr>
                <w:rFonts w:cs="FrankRuehl"/>
                <w:sz w:val="28"/>
                <w:szCs w:val="28"/>
                <w:rtl/>
              </w:rPr>
              <w:t>33605-10-21</w:t>
            </w:r>
            <w:r w:rsidRPr="00CF2BAC">
              <w:rPr>
                <w:rFonts w:cs="FrankRuehl" w:hint="cs"/>
                <w:sz w:val="28"/>
                <w:szCs w:val="28"/>
                <w:rtl/>
              </w:rPr>
              <w:t xml:space="preserve"> </w:t>
            </w:r>
            <w:r w:rsidRPr="00CF2BAC">
              <w:rPr>
                <w:rFonts w:cs="FrankRuehl"/>
                <w:sz w:val="28"/>
                <w:szCs w:val="28"/>
                <w:rtl/>
              </w:rPr>
              <w:t>מדינת ישראל נ' אגבאריה(עציר)</w:t>
            </w:r>
          </w:p>
          <w:p w14:paraId="4107A63F" w14:textId="77777777" w:rsidR="00203E88" w:rsidRPr="00CF2BAC" w:rsidRDefault="00203E88" w:rsidP="00974575">
            <w:pPr>
              <w:pStyle w:val="a3"/>
              <w:rPr>
                <w:rFonts w:cs="FrankRuehl"/>
                <w:sz w:val="28"/>
                <w:szCs w:val="28"/>
                <w:rtl/>
              </w:rPr>
            </w:pPr>
          </w:p>
        </w:tc>
        <w:tc>
          <w:tcPr>
            <w:tcW w:w="3660" w:type="dxa"/>
          </w:tcPr>
          <w:p w14:paraId="5D81864B" w14:textId="77777777" w:rsidR="00203E88" w:rsidRPr="00CF2BAC" w:rsidRDefault="00203E88" w:rsidP="00974575">
            <w:pPr>
              <w:pStyle w:val="a3"/>
              <w:jc w:val="right"/>
              <w:rPr>
                <w:rFonts w:cs="FrankRuehl"/>
                <w:sz w:val="28"/>
                <w:szCs w:val="28"/>
                <w:rtl/>
              </w:rPr>
            </w:pPr>
          </w:p>
        </w:tc>
      </w:tr>
    </w:tbl>
    <w:p w14:paraId="0B7307D0" w14:textId="77777777" w:rsidR="00203E88" w:rsidRPr="00CF2BAC" w:rsidRDefault="00203E88" w:rsidP="00203E88">
      <w:pPr>
        <w:pStyle w:val="a3"/>
        <w:rPr>
          <w:rtl/>
        </w:rPr>
      </w:pPr>
      <w:r w:rsidRPr="00CF2BAC">
        <w:rPr>
          <w:rFonts w:hint="cs"/>
          <w:rtl/>
        </w:rPr>
        <w:t xml:space="preserve"> </w:t>
      </w:r>
    </w:p>
    <w:p w14:paraId="56FF755A" w14:textId="77777777" w:rsidR="00203E88" w:rsidRPr="00CF2BAC" w:rsidRDefault="00203E88" w:rsidP="00203E88">
      <w:pPr>
        <w:rPr>
          <w:rtl/>
        </w:rPr>
      </w:pPr>
    </w:p>
    <w:p w14:paraId="2145DFC7" w14:textId="77777777" w:rsidR="00203E88" w:rsidRPr="00CF2BAC" w:rsidRDefault="00203E88" w:rsidP="00203E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03E88" w:rsidRPr="00CF2BAC" w14:paraId="595BDA8B" w14:textId="77777777" w:rsidTr="00203E88">
        <w:trPr>
          <w:trHeight w:val="295"/>
          <w:jc w:val="center"/>
        </w:trPr>
        <w:tc>
          <w:tcPr>
            <w:tcW w:w="923" w:type="dxa"/>
            <w:tcBorders>
              <w:top w:val="nil"/>
              <w:left w:val="nil"/>
              <w:bottom w:val="nil"/>
              <w:right w:val="nil"/>
            </w:tcBorders>
            <w:shd w:val="clear" w:color="auto" w:fill="auto"/>
          </w:tcPr>
          <w:p w14:paraId="10A6A638" w14:textId="77777777" w:rsidR="00203E88" w:rsidRPr="00CF2BAC" w:rsidRDefault="00203E88" w:rsidP="00203E88">
            <w:pPr>
              <w:jc w:val="both"/>
              <w:rPr>
                <w:rFonts w:ascii="David" w:hAnsi="David"/>
                <w:sz w:val="26"/>
                <w:szCs w:val="26"/>
              </w:rPr>
            </w:pPr>
            <w:r w:rsidRPr="00CF2BAC">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4436C69" w14:textId="77777777" w:rsidR="00203E88" w:rsidRPr="00CF2BAC" w:rsidRDefault="00203E88" w:rsidP="00974575">
            <w:pPr>
              <w:rPr>
                <w:rFonts w:ascii="David" w:hAnsi="David"/>
                <w:b/>
                <w:bCs/>
                <w:sz w:val="26"/>
                <w:szCs w:val="26"/>
                <w:rtl/>
              </w:rPr>
            </w:pPr>
            <w:r w:rsidRPr="00CF2BAC">
              <w:rPr>
                <w:rFonts w:ascii="David" w:hAnsi="David"/>
                <w:b/>
                <w:bCs/>
                <w:sz w:val="26"/>
                <w:szCs w:val="26"/>
                <w:rtl/>
              </w:rPr>
              <w:t>כבוד השופט  אלכס אחטר</w:t>
            </w:r>
          </w:p>
          <w:p w14:paraId="09A2EF95" w14:textId="77777777" w:rsidR="00203E88" w:rsidRPr="00CF2BAC" w:rsidRDefault="00203E88" w:rsidP="00974575">
            <w:pPr>
              <w:rPr>
                <w:rFonts w:ascii="David" w:hAnsi="David"/>
                <w:sz w:val="26"/>
                <w:szCs w:val="26"/>
                <w:rtl/>
              </w:rPr>
            </w:pPr>
          </w:p>
          <w:p w14:paraId="4ACDEF22" w14:textId="77777777" w:rsidR="00203E88" w:rsidRPr="00CF2BAC" w:rsidRDefault="00203E88" w:rsidP="00203E88">
            <w:pPr>
              <w:jc w:val="both"/>
              <w:rPr>
                <w:rFonts w:ascii="David" w:hAnsi="David"/>
                <w:sz w:val="26"/>
                <w:szCs w:val="26"/>
              </w:rPr>
            </w:pPr>
          </w:p>
        </w:tc>
      </w:tr>
      <w:tr w:rsidR="00203E88" w:rsidRPr="00CF2BAC" w14:paraId="7A90060C" w14:textId="77777777" w:rsidTr="00203E88">
        <w:trPr>
          <w:trHeight w:val="355"/>
          <w:jc w:val="center"/>
        </w:trPr>
        <w:tc>
          <w:tcPr>
            <w:tcW w:w="923" w:type="dxa"/>
            <w:tcBorders>
              <w:top w:val="nil"/>
              <w:left w:val="nil"/>
              <w:bottom w:val="nil"/>
              <w:right w:val="nil"/>
            </w:tcBorders>
            <w:shd w:val="clear" w:color="auto" w:fill="auto"/>
          </w:tcPr>
          <w:p w14:paraId="33DBF59E" w14:textId="77777777" w:rsidR="00203E88" w:rsidRPr="00CF2BAC" w:rsidRDefault="00203E88" w:rsidP="00203E88">
            <w:pPr>
              <w:jc w:val="both"/>
              <w:rPr>
                <w:rFonts w:ascii="David" w:hAnsi="David"/>
                <w:sz w:val="26"/>
                <w:szCs w:val="26"/>
              </w:rPr>
            </w:pPr>
            <w:bookmarkStart w:id="1" w:name="FirstAppellant"/>
            <w:r w:rsidRPr="00CF2BAC">
              <w:rPr>
                <w:rFonts w:ascii="David" w:hAnsi="David"/>
                <w:sz w:val="26"/>
                <w:szCs w:val="26"/>
                <w:rtl/>
              </w:rPr>
              <w:t>בעניין:</w:t>
            </w:r>
          </w:p>
        </w:tc>
        <w:tc>
          <w:tcPr>
            <w:tcW w:w="3219" w:type="dxa"/>
            <w:tcBorders>
              <w:top w:val="nil"/>
              <w:left w:val="nil"/>
              <w:bottom w:val="nil"/>
              <w:right w:val="nil"/>
            </w:tcBorders>
            <w:shd w:val="clear" w:color="auto" w:fill="auto"/>
          </w:tcPr>
          <w:p w14:paraId="186A7030" w14:textId="77777777" w:rsidR="00203E88" w:rsidRPr="00CF2BAC" w:rsidRDefault="00203E88" w:rsidP="00203E88">
            <w:pPr>
              <w:suppressLineNumbers/>
            </w:pPr>
            <w:r w:rsidRPr="00CF2BAC">
              <w:rPr>
                <w:rFonts w:ascii="Arial" w:hAnsi="Arial" w:hint="cs"/>
                <w:b/>
                <w:bCs/>
                <w:sz w:val="26"/>
                <w:szCs w:val="26"/>
                <w:rtl/>
              </w:rPr>
              <w:t>ה</w:t>
            </w:r>
            <w:r w:rsidRPr="00CF2BAC">
              <w:rPr>
                <w:rFonts w:ascii="Arial" w:hAnsi="Arial"/>
                <w:b/>
                <w:bCs/>
                <w:sz w:val="26"/>
                <w:szCs w:val="26"/>
                <w:rtl/>
              </w:rPr>
              <w:t>מאשימה</w:t>
            </w:r>
          </w:p>
          <w:p w14:paraId="465EA758" w14:textId="77777777" w:rsidR="00203E88" w:rsidRPr="00CF2BAC" w:rsidRDefault="00203E88" w:rsidP="00974575">
            <w:pPr>
              <w:rPr>
                <w:rFonts w:ascii="David" w:hAnsi="David"/>
                <w:sz w:val="26"/>
                <w:szCs w:val="26"/>
              </w:rPr>
            </w:pPr>
          </w:p>
        </w:tc>
        <w:tc>
          <w:tcPr>
            <w:tcW w:w="4678" w:type="dxa"/>
            <w:tcBorders>
              <w:top w:val="nil"/>
              <w:left w:val="nil"/>
              <w:bottom w:val="nil"/>
              <w:right w:val="nil"/>
            </w:tcBorders>
            <w:shd w:val="clear" w:color="auto" w:fill="auto"/>
            <w:vAlign w:val="center"/>
          </w:tcPr>
          <w:p w14:paraId="3846C6DE" w14:textId="77777777" w:rsidR="00203E88" w:rsidRPr="00CF2BAC" w:rsidRDefault="00203E88" w:rsidP="00203E88">
            <w:pPr>
              <w:suppressLineNumbers/>
            </w:pPr>
            <w:r w:rsidRPr="00CF2BAC">
              <w:rPr>
                <w:rFonts w:ascii="Arial" w:hAnsi="Arial"/>
                <w:b/>
                <w:bCs/>
                <w:sz w:val="26"/>
                <w:szCs w:val="26"/>
                <w:rtl/>
              </w:rPr>
              <w:t>מדינת ישראל</w:t>
            </w:r>
          </w:p>
          <w:p w14:paraId="0E47FBB5" w14:textId="77777777" w:rsidR="00203E88" w:rsidRPr="00CF2BAC" w:rsidRDefault="00203E88" w:rsidP="00974575">
            <w:pPr>
              <w:rPr>
                <w:rFonts w:ascii="David" w:hAnsi="David"/>
                <w:b/>
                <w:bCs/>
                <w:sz w:val="26"/>
                <w:szCs w:val="26"/>
              </w:rPr>
            </w:pPr>
            <w:r w:rsidRPr="00CF2BAC">
              <w:rPr>
                <w:rFonts w:ascii="David" w:hAnsi="David" w:hint="cs"/>
                <w:b/>
                <w:bCs/>
                <w:sz w:val="26"/>
                <w:szCs w:val="26"/>
                <w:rtl/>
              </w:rPr>
              <w:t>עו"ד לינוי לאליאן</w:t>
            </w:r>
          </w:p>
        </w:tc>
      </w:tr>
      <w:bookmarkEnd w:id="1"/>
      <w:tr w:rsidR="00203E88" w:rsidRPr="00CF2BAC" w14:paraId="08897682" w14:textId="77777777" w:rsidTr="00203E88">
        <w:trPr>
          <w:trHeight w:val="355"/>
          <w:jc w:val="center"/>
        </w:trPr>
        <w:tc>
          <w:tcPr>
            <w:tcW w:w="923" w:type="dxa"/>
            <w:tcBorders>
              <w:top w:val="nil"/>
              <w:left w:val="nil"/>
              <w:bottom w:val="nil"/>
              <w:right w:val="nil"/>
            </w:tcBorders>
            <w:shd w:val="clear" w:color="auto" w:fill="auto"/>
          </w:tcPr>
          <w:p w14:paraId="0244FC84" w14:textId="77777777" w:rsidR="00203E88" w:rsidRPr="00CF2BAC" w:rsidRDefault="00203E88" w:rsidP="00203E8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B97F4B3" w14:textId="77777777" w:rsidR="00203E88" w:rsidRPr="00CF2BAC" w:rsidRDefault="00203E88" w:rsidP="00203E88">
            <w:pPr>
              <w:jc w:val="center"/>
              <w:rPr>
                <w:rFonts w:ascii="David" w:hAnsi="David"/>
                <w:b/>
                <w:bCs/>
                <w:sz w:val="26"/>
                <w:szCs w:val="26"/>
                <w:rtl/>
              </w:rPr>
            </w:pPr>
          </w:p>
          <w:p w14:paraId="7F9338F7" w14:textId="77777777" w:rsidR="00203E88" w:rsidRPr="00CF2BAC" w:rsidRDefault="00203E88" w:rsidP="00203E88">
            <w:pPr>
              <w:jc w:val="center"/>
              <w:rPr>
                <w:rFonts w:ascii="David" w:hAnsi="David"/>
                <w:b/>
                <w:bCs/>
                <w:sz w:val="26"/>
                <w:szCs w:val="26"/>
                <w:rtl/>
              </w:rPr>
            </w:pPr>
            <w:r w:rsidRPr="00CF2BAC">
              <w:rPr>
                <w:rFonts w:ascii="David" w:hAnsi="David"/>
                <w:b/>
                <w:bCs/>
                <w:sz w:val="26"/>
                <w:szCs w:val="26"/>
                <w:rtl/>
              </w:rPr>
              <w:t>נגד</w:t>
            </w:r>
          </w:p>
          <w:p w14:paraId="4DFD4694" w14:textId="77777777" w:rsidR="00203E88" w:rsidRPr="00CF2BAC" w:rsidRDefault="00203E88" w:rsidP="00203E88">
            <w:pPr>
              <w:jc w:val="both"/>
              <w:rPr>
                <w:rFonts w:ascii="David" w:hAnsi="David"/>
                <w:sz w:val="26"/>
                <w:szCs w:val="26"/>
              </w:rPr>
            </w:pPr>
          </w:p>
        </w:tc>
      </w:tr>
      <w:tr w:rsidR="00203E88" w:rsidRPr="00CF2BAC" w14:paraId="134D763D" w14:textId="77777777" w:rsidTr="00203E88">
        <w:trPr>
          <w:trHeight w:val="355"/>
          <w:jc w:val="center"/>
        </w:trPr>
        <w:tc>
          <w:tcPr>
            <w:tcW w:w="923" w:type="dxa"/>
            <w:tcBorders>
              <w:top w:val="nil"/>
              <w:left w:val="nil"/>
              <w:bottom w:val="nil"/>
              <w:right w:val="nil"/>
            </w:tcBorders>
            <w:shd w:val="clear" w:color="auto" w:fill="auto"/>
          </w:tcPr>
          <w:p w14:paraId="1C940B6E" w14:textId="77777777" w:rsidR="00203E88" w:rsidRPr="00CF2BAC" w:rsidRDefault="00203E88" w:rsidP="00974575">
            <w:pPr>
              <w:rPr>
                <w:rFonts w:ascii="David" w:hAnsi="David"/>
                <w:sz w:val="26"/>
                <w:szCs w:val="26"/>
                <w:rtl/>
              </w:rPr>
            </w:pPr>
          </w:p>
        </w:tc>
        <w:tc>
          <w:tcPr>
            <w:tcW w:w="3219" w:type="dxa"/>
            <w:tcBorders>
              <w:top w:val="nil"/>
              <w:left w:val="nil"/>
              <w:bottom w:val="nil"/>
              <w:right w:val="nil"/>
            </w:tcBorders>
            <w:shd w:val="clear" w:color="auto" w:fill="auto"/>
          </w:tcPr>
          <w:p w14:paraId="76874942" w14:textId="77777777" w:rsidR="00203E88" w:rsidRPr="00CF2BAC" w:rsidRDefault="00203E88" w:rsidP="00974575">
            <w:pPr>
              <w:rPr>
                <w:rFonts w:ascii="Arial" w:hAnsi="Arial"/>
                <w:b/>
                <w:bCs/>
                <w:sz w:val="26"/>
                <w:szCs w:val="26"/>
                <w:rtl/>
              </w:rPr>
            </w:pPr>
            <w:r w:rsidRPr="00CF2BAC">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3F126210" w14:textId="77777777" w:rsidR="00203E88" w:rsidRPr="00CF2BAC" w:rsidRDefault="00203E88" w:rsidP="00203E88">
            <w:pPr>
              <w:suppressLineNumbers/>
            </w:pPr>
            <w:r w:rsidRPr="00CF2BAC">
              <w:rPr>
                <w:rFonts w:ascii="Arial" w:hAnsi="Arial"/>
                <w:b/>
                <w:bCs/>
                <w:sz w:val="26"/>
                <w:szCs w:val="26"/>
                <w:rtl/>
              </w:rPr>
              <w:t>עלא אגבאריה (עציר)</w:t>
            </w:r>
          </w:p>
          <w:p w14:paraId="3F48C7AB" w14:textId="77777777" w:rsidR="00203E88" w:rsidRPr="00CF2BAC" w:rsidRDefault="00203E88" w:rsidP="00974575">
            <w:pPr>
              <w:rPr>
                <w:b/>
                <w:bCs/>
              </w:rPr>
            </w:pPr>
            <w:r w:rsidRPr="00CF2BAC">
              <w:rPr>
                <w:rFonts w:hint="cs"/>
                <w:b/>
                <w:bCs/>
                <w:rtl/>
              </w:rPr>
              <w:t>מתמחה הגב' ג'בארין  אסמה ממשרדו של עו"ד חידר  זועבי</w:t>
            </w:r>
          </w:p>
          <w:p w14:paraId="6620CC60" w14:textId="77777777" w:rsidR="00203E88" w:rsidRPr="00CF2BAC" w:rsidRDefault="00203E88" w:rsidP="00974575">
            <w:pPr>
              <w:rPr>
                <w:rFonts w:ascii="David" w:hAnsi="David"/>
                <w:sz w:val="26"/>
                <w:szCs w:val="26"/>
              </w:rPr>
            </w:pPr>
          </w:p>
        </w:tc>
      </w:tr>
      <w:tr w:rsidR="00203E88" w:rsidRPr="00CF2BAC" w14:paraId="4F16D47C" w14:textId="77777777" w:rsidTr="00203E88">
        <w:trPr>
          <w:trHeight w:val="355"/>
          <w:jc w:val="center"/>
        </w:trPr>
        <w:tc>
          <w:tcPr>
            <w:tcW w:w="923" w:type="dxa"/>
            <w:tcBorders>
              <w:top w:val="nil"/>
              <w:left w:val="nil"/>
              <w:bottom w:val="nil"/>
              <w:right w:val="nil"/>
            </w:tcBorders>
            <w:shd w:val="clear" w:color="auto" w:fill="auto"/>
          </w:tcPr>
          <w:p w14:paraId="1DBDC333" w14:textId="77777777" w:rsidR="00203E88" w:rsidRPr="00CF2BAC" w:rsidRDefault="00203E88" w:rsidP="00203E88">
            <w:pPr>
              <w:jc w:val="both"/>
              <w:rPr>
                <w:rFonts w:ascii="David" w:hAnsi="David"/>
                <w:sz w:val="26"/>
                <w:szCs w:val="26"/>
                <w:rtl/>
              </w:rPr>
            </w:pPr>
          </w:p>
        </w:tc>
        <w:tc>
          <w:tcPr>
            <w:tcW w:w="3219" w:type="dxa"/>
            <w:tcBorders>
              <w:top w:val="nil"/>
              <w:left w:val="nil"/>
              <w:bottom w:val="nil"/>
              <w:right w:val="nil"/>
            </w:tcBorders>
            <w:shd w:val="clear" w:color="auto" w:fill="auto"/>
          </w:tcPr>
          <w:p w14:paraId="13F6487B" w14:textId="77777777" w:rsidR="00203E88" w:rsidRPr="00CF2BAC" w:rsidRDefault="00203E88" w:rsidP="00203E88">
            <w:pPr>
              <w:jc w:val="both"/>
              <w:rPr>
                <w:rFonts w:ascii="David" w:hAnsi="David"/>
                <w:sz w:val="26"/>
                <w:szCs w:val="26"/>
                <w:rtl/>
              </w:rPr>
            </w:pPr>
          </w:p>
        </w:tc>
        <w:tc>
          <w:tcPr>
            <w:tcW w:w="4678" w:type="dxa"/>
            <w:tcBorders>
              <w:top w:val="nil"/>
              <w:left w:val="nil"/>
              <w:bottom w:val="nil"/>
              <w:right w:val="nil"/>
            </w:tcBorders>
            <w:shd w:val="clear" w:color="auto" w:fill="auto"/>
          </w:tcPr>
          <w:p w14:paraId="6A475F10" w14:textId="77777777" w:rsidR="00203E88" w:rsidRPr="00CF2BAC" w:rsidRDefault="00203E88" w:rsidP="00203E88">
            <w:pPr>
              <w:jc w:val="right"/>
              <w:rPr>
                <w:rFonts w:ascii="David" w:hAnsi="David"/>
                <w:sz w:val="26"/>
                <w:szCs w:val="26"/>
              </w:rPr>
            </w:pPr>
          </w:p>
        </w:tc>
      </w:tr>
    </w:tbl>
    <w:p w14:paraId="39E27390" w14:textId="77777777" w:rsidR="00CF2BAC" w:rsidRPr="00CF2BAC" w:rsidRDefault="00CF2BAC" w:rsidP="00203E88">
      <w:pPr>
        <w:rPr>
          <w:sz w:val="26"/>
          <w:szCs w:val="26"/>
          <w:rtl/>
        </w:rPr>
      </w:pPr>
    </w:p>
    <w:p w14:paraId="3F781EF9" w14:textId="77777777" w:rsidR="003F2839" w:rsidRPr="003F2839" w:rsidRDefault="003F2839" w:rsidP="00BE3DD4">
      <w:pPr>
        <w:spacing w:after="120" w:line="240" w:lineRule="exact"/>
        <w:ind w:left="283" w:hanging="283"/>
        <w:jc w:val="both"/>
        <w:rPr>
          <w:sz w:val="26"/>
          <w:szCs w:val="26"/>
          <w:rtl/>
        </w:rPr>
      </w:pPr>
    </w:p>
    <w:p w14:paraId="7E49111E" w14:textId="77777777" w:rsidR="009709DC" w:rsidRPr="009709DC" w:rsidRDefault="009709DC" w:rsidP="003F2839">
      <w:pPr>
        <w:spacing w:after="120" w:line="240" w:lineRule="exact"/>
        <w:ind w:left="283" w:hanging="283"/>
        <w:jc w:val="both"/>
        <w:rPr>
          <w:sz w:val="26"/>
          <w:szCs w:val="26"/>
          <w:rtl/>
        </w:rPr>
      </w:pPr>
    </w:p>
    <w:p w14:paraId="5422A3DC" w14:textId="77777777" w:rsidR="000C4E19" w:rsidRPr="000C4E19" w:rsidRDefault="000C4E19" w:rsidP="009709DC">
      <w:pPr>
        <w:spacing w:after="120" w:line="240" w:lineRule="exact"/>
        <w:ind w:left="283" w:hanging="283"/>
        <w:jc w:val="both"/>
        <w:rPr>
          <w:sz w:val="26"/>
          <w:szCs w:val="26"/>
          <w:rtl/>
        </w:rPr>
      </w:pPr>
    </w:p>
    <w:p w14:paraId="4FF5016B" w14:textId="77777777" w:rsidR="000C4E19" w:rsidRPr="000C4E19" w:rsidRDefault="000C4E19" w:rsidP="000C4E19">
      <w:pPr>
        <w:spacing w:after="120" w:line="240" w:lineRule="exact"/>
        <w:ind w:left="283" w:hanging="283"/>
        <w:jc w:val="both"/>
        <w:rPr>
          <w:rFonts w:ascii="FrankRuehl" w:hAnsi="FrankRuehl" w:cs="FrankRuehl"/>
        </w:rPr>
      </w:pPr>
      <w:bookmarkStart w:id="2" w:name="Links_Start"/>
      <w:bookmarkEnd w:id="2"/>
      <w:r w:rsidRPr="000C4E19">
        <w:rPr>
          <w:rFonts w:ascii="FrankRuehl" w:hAnsi="FrankRuehl" w:cs="FrankRuehl"/>
          <w:rtl/>
        </w:rPr>
        <w:t>ספרות:</w:t>
      </w:r>
    </w:p>
    <w:p w14:paraId="05443F31" w14:textId="77777777" w:rsidR="000C4E19" w:rsidRPr="000C4E19" w:rsidRDefault="000C4E19" w:rsidP="000C4E19">
      <w:pPr>
        <w:spacing w:after="120" w:line="240" w:lineRule="exact"/>
        <w:ind w:left="283" w:hanging="283"/>
        <w:jc w:val="both"/>
        <w:rPr>
          <w:rStyle w:val="Hyperlink"/>
          <w:rFonts w:ascii="FrankRuehl" w:hAnsi="FrankRuehl" w:cs="FrankRuehl"/>
          <w:u w:val="none"/>
          <w:rtl/>
        </w:rPr>
      </w:pPr>
      <w:r w:rsidRPr="000C4E19">
        <w:rPr>
          <w:rFonts w:ascii="FrankRuehl" w:hAnsi="FrankRuehl" w:cs="FrankRuehl"/>
          <w:color w:val="0000FF"/>
          <w:rtl/>
        </w:rPr>
        <w:fldChar w:fldCharType="begin"/>
      </w:r>
      <w:r w:rsidRPr="000C4E19">
        <w:rPr>
          <w:rFonts w:ascii="FrankRuehl" w:hAnsi="FrankRuehl" w:cs="FrankRuehl"/>
          <w:color w:val="0000FF"/>
          <w:rtl/>
        </w:rPr>
        <w:instrText xml:space="preserve"> </w:instrText>
      </w:r>
      <w:r w:rsidRPr="000C4E19">
        <w:rPr>
          <w:rFonts w:ascii="FrankRuehl" w:hAnsi="FrankRuehl" w:cs="FrankRuehl"/>
          <w:color w:val="0000FF"/>
        </w:rPr>
        <w:instrText xml:space="preserve">HYPERLINK </w:instrText>
      </w:r>
      <w:r w:rsidRPr="000C4E19">
        <w:rPr>
          <w:rFonts w:ascii="FrankRuehl" w:hAnsi="FrankRuehl" w:cs="FrankRuehl"/>
          <w:color w:val="0000FF"/>
          <w:rtl/>
        </w:rPr>
        <w:instrText>"</w:instrText>
      </w:r>
      <w:r w:rsidRPr="000C4E19">
        <w:rPr>
          <w:rFonts w:ascii="FrankRuehl" w:hAnsi="FrankRuehl" w:cs="FrankRuehl"/>
          <w:color w:val="0000FF"/>
        </w:rPr>
        <w:instrText>http://www.nevo.co.il/safrut/bookgroup/412"</w:instrText>
      </w:r>
      <w:r w:rsidRPr="000C4E19">
        <w:rPr>
          <w:rFonts w:ascii="FrankRuehl" w:hAnsi="FrankRuehl" w:cs="FrankRuehl"/>
          <w:color w:val="0000FF"/>
          <w:rtl/>
        </w:rPr>
        <w:instrText xml:space="preserve"> </w:instrText>
      </w:r>
      <w:r w:rsidRPr="000C4E19">
        <w:rPr>
          <w:rFonts w:ascii="FrankRuehl" w:hAnsi="FrankRuehl" w:cs="FrankRuehl"/>
          <w:color w:val="0000FF"/>
          <w:rtl/>
        </w:rPr>
      </w:r>
      <w:r w:rsidRPr="000C4E19">
        <w:rPr>
          <w:rFonts w:ascii="FrankRuehl" w:hAnsi="FrankRuehl" w:cs="FrankRuehl"/>
          <w:color w:val="0000FF"/>
          <w:rtl/>
        </w:rPr>
        <w:fldChar w:fldCharType="separate"/>
      </w:r>
      <w:r w:rsidRPr="000C4E19">
        <w:rPr>
          <w:rStyle w:val="Hyperlink"/>
          <w:rFonts w:ascii="FrankRuehl" w:hAnsi="FrankRuehl" w:cs="FrankRuehl"/>
          <w:u w:val="none"/>
          <w:rtl/>
        </w:rPr>
        <w:t xml:space="preserve">ש"ז פלר  </w:t>
      </w:r>
      <w:r w:rsidRPr="000C4E19">
        <w:rPr>
          <w:rStyle w:val="Hyperlink"/>
          <w:rFonts w:ascii="FrankRuehl" w:hAnsi="FrankRuehl" w:cs="FrankRuehl"/>
          <w:u w:val="none"/>
        </w:rPr>
        <w:t xml:space="preserve"> </w:t>
      </w:r>
      <w:r w:rsidRPr="000C4E19">
        <w:rPr>
          <w:rStyle w:val="Hyperlink"/>
          <w:rFonts w:ascii="FrankRuehl" w:hAnsi="FrankRuehl" w:cs="FrankRuehl"/>
          <w:b/>
          <w:bCs/>
          <w:u w:val="none"/>
          <w:rtl/>
        </w:rPr>
        <w:t xml:space="preserve">יסודות בדיני עונשין </w:t>
      </w:r>
    </w:p>
    <w:p w14:paraId="2638DBB2" w14:textId="77777777" w:rsidR="000C4E19" w:rsidRDefault="000C4E19" w:rsidP="000C4E19">
      <w:pPr>
        <w:spacing w:after="120" w:line="240" w:lineRule="exact"/>
        <w:ind w:left="283" w:hanging="283"/>
        <w:jc w:val="both"/>
        <w:rPr>
          <w:color w:val="0000FF"/>
          <w:sz w:val="26"/>
          <w:szCs w:val="26"/>
        </w:rPr>
      </w:pPr>
      <w:r w:rsidRPr="000C4E19">
        <w:rPr>
          <w:rFonts w:ascii="FrankRuehl" w:hAnsi="FrankRuehl" w:cs="FrankRuehl"/>
          <w:color w:val="0000FF"/>
          <w:rtl/>
        </w:rPr>
        <w:fldChar w:fldCharType="end"/>
      </w:r>
      <w:bookmarkStart w:id="3" w:name="Links_End"/>
      <w:bookmarkStart w:id="4" w:name="LawTable"/>
      <w:bookmarkEnd w:id="3"/>
      <w:bookmarkEnd w:id="4"/>
    </w:p>
    <w:p w14:paraId="6E510B89" w14:textId="77777777" w:rsidR="000C4E19" w:rsidRPr="000C4E19" w:rsidRDefault="000C4E19" w:rsidP="000C4E19">
      <w:pPr>
        <w:spacing w:before="120" w:after="120" w:line="240" w:lineRule="exact"/>
        <w:ind w:left="283" w:hanging="283"/>
        <w:jc w:val="both"/>
        <w:rPr>
          <w:rFonts w:ascii="FrankRuehl" w:hAnsi="FrankRuehl" w:cs="FrankRuehl"/>
          <w:color w:val="0000FF"/>
        </w:rPr>
      </w:pPr>
    </w:p>
    <w:p w14:paraId="363478BD" w14:textId="77777777" w:rsidR="000C4E19" w:rsidRPr="000C4E19" w:rsidRDefault="000C4E19" w:rsidP="000C4E19">
      <w:pPr>
        <w:spacing w:before="120" w:after="120" w:line="240" w:lineRule="exact"/>
        <w:ind w:left="283" w:hanging="283"/>
        <w:jc w:val="both"/>
        <w:rPr>
          <w:rFonts w:ascii="FrankRuehl" w:hAnsi="FrankRuehl" w:cs="FrankRuehl"/>
          <w:color w:val="0000FF"/>
          <w:rtl/>
        </w:rPr>
      </w:pPr>
    </w:p>
    <w:p w14:paraId="1608A8C7" w14:textId="77777777" w:rsidR="000C4E19" w:rsidRPr="000C4E19" w:rsidRDefault="000C4E19" w:rsidP="000C4E19">
      <w:pPr>
        <w:spacing w:before="120" w:after="120" w:line="240" w:lineRule="exact"/>
        <w:ind w:left="283" w:hanging="283"/>
        <w:jc w:val="both"/>
        <w:rPr>
          <w:rFonts w:ascii="FrankRuehl" w:hAnsi="FrankRuehl" w:cs="FrankRuehl"/>
          <w:color w:val="0000FF"/>
        </w:rPr>
      </w:pPr>
      <w:r w:rsidRPr="000C4E19">
        <w:rPr>
          <w:rFonts w:ascii="FrankRuehl" w:hAnsi="FrankRuehl" w:cs="FrankRuehl"/>
          <w:color w:val="0000FF"/>
          <w:rtl/>
        </w:rPr>
        <w:t xml:space="preserve">חקיקה שאוזכרה: </w:t>
      </w:r>
    </w:p>
    <w:p w14:paraId="653FA405" w14:textId="77777777" w:rsidR="000C4E19" w:rsidRPr="000C4E19" w:rsidRDefault="000C4E19" w:rsidP="000C4E19">
      <w:pPr>
        <w:spacing w:before="120" w:after="120" w:line="240" w:lineRule="exact"/>
        <w:ind w:left="283" w:hanging="283"/>
        <w:jc w:val="both"/>
        <w:rPr>
          <w:rFonts w:ascii="FrankRuehl" w:hAnsi="FrankRuehl" w:cs="FrankRuehl"/>
        </w:rPr>
      </w:pPr>
      <w:hyperlink r:id="rId7" w:history="1">
        <w:r w:rsidRPr="000C4E19">
          <w:rPr>
            <w:rFonts w:ascii="FrankRuehl" w:hAnsi="FrankRuehl" w:cs="FrankRuehl"/>
            <w:color w:val="0000FF"/>
            <w:rtl/>
          </w:rPr>
          <w:t>חוק העונשין, תשל"ז-1977</w:t>
        </w:r>
      </w:hyperlink>
      <w:r w:rsidRPr="000C4E19">
        <w:rPr>
          <w:rFonts w:ascii="FrankRuehl" w:hAnsi="FrankRuehl" w:cs="FrankRuehl"/>
        </w:rPr>
        <w:t xml:space="preserve">: </w:t>
      </w:r>
      <w:r w:rsidRPr="000C4E19">
        <w:rPr>
          <w:rFonts w:ascii="FrankRuehl" w:hAnsi="FrankRuehl" w:cs="FrankRuehl"/>
          <w:rtl/>
        </w:rPr>
        <w:t>סע</w:t>
      </w:r>
      <w:r w:rsidRPr="000C4E19">
        <w:rPr>
          <w:rFonts w:ascii="FrankRuehl" w:hAnsi="FrankRuehl" w:cs="FrankRuehl"/>
        </w:rPr>
        <w:t xml:space="preserve">'  </w:t>
      </w:r>
      <w:hyperlink r:id="rId8" w:history="1">
        <w:r w:rsidRPr="000C4E19">
          <w:rPr>
            <w:rFonts w:ascii="FrankRuehl" w:hAnsi="FrankRuehl" w:cs="FrankRuehl"/>
            <w:color w:val="0000FF"/>
          </w:rPr>
          <w:t>40</w:t>
        </w:r>
        <w:r w:rsidRPr="000C4E19">
          <w:rPr>
            <w:rFonts w:ascii="FrankRuehl" w:hAnsi="FrankRuehl" w:cs="FrankRuehl"/>
            <w:color w:val="0000FF"/>
            <w:rtl/>
          </w:rPr>
          <w:t>ד</w:t>
        </w:r>
        <w:r w:rsidRPr="000C4E19">
          <w:rPr>
            <w:rFonts w:ascii="FrankRuehl" w:hAnsi="FrankRuehl" w:cs="FrankRuehl"/>
            <w:color w:val="0000FF"/>
          </w:rPr>
          <w:t>'</w:t>
        </w:r>
      </w:hyperlink>
      <w:r w:rsidRPr="000C4E19">
        <w:rPr>
          <w:rFonts w:ascii="FrankRuehl" w:hAnsi="FrankRuehl" w:cs="FrankRuehl"/>
        </w:rPr>
        <w:t xml:space="preserve">, </w:t>
      </w:r>
      <w:hyperlink r:id="rId9" w:history="1">
        <w:r w:rsidRPr="000C4E19">
          <w:rPr>
            <w:rFonts w:ascii="FrankRuehl" w:hAnsi="FrankRuehl" w:cs="FrankRuehl"/>
            <w:color w:val="0000FF"/>
          </w:rPr>
          <w:t xml:space="preserve">40 </w:t>
        </w:r>
        <w:r w:rsidRPr="000C4E19">
          <w:rPr>
            <w:rFonts w:ascii="FrankRuehl" w:hAnsi="FrankRuehl" w:cs="FrankRuehl"/>
            <w:color w:val="0000FF"/>
            <w:rtl/>
          </w:rPr>
          <w:t>ה</w:t>
        </w:r>
        <w:r w:rsidRPr="000C4E19">
          <w:rPr>
            <w:rFonts w:ascii="FrankRuehl" w:hAnsi="FrankRuehl" w:cs="FrankRuehl"/>
            <w:color w:val="0000FF"/>
          </w:rPr>
          <w:t>'</w:t>
        </w:r>
      </w:hyperlink>
      <w:r w:rsidRPr="000C4E19">
        <w:rPr>
          <w:rFonts w:ascii="FrankRuehl" w:hAnsi="FrankRuehl" w:cs="FrankRuehl"/>
        </w:rPr>
        <w:t xml:space="preserve">, </w:t>
      </w:r>
      <w:hyperlink r:id="rId10" w:history="1">
        <w:r w:rsidRPr="000C4E19">
          <w:rPr>
            <w:rFonts w:ascii="FrankRuehl" w:hAnsi="FrankRuehl" w:cs="FrankRuehl"/>
            <w:color w:val="0000FF"/>
          </w:rPr>
          <w:t>40</w:t>
        </w:r>
        <w:r w:rsidRPr="000C4E19">
          <w:rPr>
            <w:rFonts w:ascii="FrankRuehl" w:hAnsi="FrankRuehl" w:cs="FrankRuehl"/>
            <w:color w:val="0000FF"/>
            <w:rtl/>
          </w:rPr>
          <w:t>ט</w:t>
        </w:r>
        <w:r w:rsidRPr="000C4E19">
          <w:rPr>
            <w:rFonts w:ascii="FrankRuehl" w:hAnsi="FrankRuehl" w:cs="FrankRuehl"/>
            <w:color w:val="0000FF"/>
          </w:rPr>
          <w:t>'</w:t>
        </w:r>
      </w:hyperlink>
      <w:r w:rsidRPr="000C4E19">
        <w:rPr>
          <w:rFonts w:ascii="FrankRuehl" w:hAnsi="FrankRuehl" w:cs="FrankRuehl"/>
        </w:rPr>
        <w:t xml:space="preserve">, </w:t>
      </w:r>
      <w:hyperlink r:id="rId11" w:history="1">
        <w:r w:rsidRPr="000C4E19">
          <w:rPr>
            <w:rFonts w:ascii="FrankRuehl" w:hAnsi="FrankRuehl" w:cs="FrankRuehl"/>
            <w:color w:val="0000FF"/>
          </w:rPr>
          <w:t>55(</w:t>
        </w:r>
        <w:r w:rsidRPr="000C4E19">
          <w:rPr>
            <w:rFonts w:ascii="FrankRuehl" w:hAnsi="FrankRuehl" w:cs="FrankRuehl"/>
            <w:color w:val="0000FF"/>
            <w:rtl/>
          </w:rPr>
          <w:t>א</w:t>
        </w:r>
        <w:r w:rsidRPr="000C4E19">
          <w:rPr>
            <w:rFonts w:ascii="FrankRuehl" w:hAnsi="FrankRuehl" w:cs="FrankRuehl"/>
            <w:color w:val="0000FF"/>
          </w:rPr>
          <w:t>)</w:t>
        </w:r>
      </w:hyperlink>
      <w:r w:rsidRPr="000C4E19">
        <w:rPr>
          <w:rFonts w:ascii="FrankRuehl" w:hAnsi="FrankRuehl" w:cs="FrankRuehl"/>
        </w:rPr>
        <w:t xml:space="preserve">, </w:t>
      </w:r>
      <w:hyperlink r:id="rId12" w:history="1">
        <w:r w:rsidRPr="000C4E19">
          <w:rPr>
            <w:rFonts w:ascii="FrankRuehl" w:hAnsi="FrankRuehl" w:cs="FrankRuehl"/>
            <w:color w:val="0000FF"/>
          </w:rPr>
          <w:t>144(</w:t>
        </w:r>
        <w:r w:rsidRPr="000C4E19">
          <w:rPr>
            <w:rFonts w:ascii="FrankRuehl" w:hAnsi="FrankRuehl" w:cs="FrankRuehl"/>
            <w:color w:val="0000FF"/>
            <w:rtl/>
          </w:rPr>
          <w:t>א</w:t>
        </w:r>
        <w:r w:rsidRPr="000C4E19">
          <w:rPr>
            <w:rFonts w:ascii="FrankRuehl" w:hAnsi="FrankRuehl" w:cs="FrankRuehl"/>
            <w:color w:val="0000FF"/>
          </w:rPr>
          <w:t>)</w:t>
        </w:r>
      </w:hyperlink>
      <w:r w:rsidRPr="000C4E19">
        <w:rPr>
          <w:rFonts w:ascii="FrankRuehl" w:hAnsi="FrankRuehl" w:cs="FrankRuehl"/>
        </w:rPr>
        <w:t xml:space="preserve">, </w:t>
      </w:r>
      <w:hyperlink r:id="rId13" w:history="1">
        <w:r w:rsidRPr="000C4E19">
          <w:rPr>
            <w:rFonts w:ascii="FrankRuehl" w:hAnsi="FrankRuehl" w:cs="FrankRuehl"/>
            <w:color w:val="0000FF"/>
          </w:rPr>
          <w:t>40</w:t>
        </w:r>
        <w:r w:rsidRPr="000C4E19">
          <w:rPr>
            <w:rFonts w:ascii="FrankRuehl" w:hAnsi="FrankRuehl" w:cs="FrankRuehl"/>
            <w:color w:val="0000FF"/>
            <w:rtl/>
          </w:rPr>
          <w:t>יא</w:t>
        </w:r>
        <w:r w:rsidRPr="000C4E19">
          <w:rPr>
            <w:rFonts w:ascii="FrankRuehl" w:hAnsi="FrankRuehl" w:cs="FrankRuehl"/>
            <w:color w:val="0000FF"/>
          </w:rPr>
          <w:t>'</w:t>
        </w:r>
      </w:hyperlink>
    </w:p>
    <w:p w14:paraId="558449D4" w14:textId="77777777" w:rsidR="000C4E19" w:rsidRPr="000C4E19" w:rsidRDefault="000C4E19" w:rsidP="000C4E19">
      <w:pPr>
        <w:spacing w:before="120" w:after="120" w:line="240" w:lineRule="exact"/>
        <w:ind w:left="283" w:hanging="283"/>
        <w:jc w:val="both"/>
        <w:rPr>
          <w:rFonts w:ascii="FrankRuehl" w:hAnsi="FrankRuehl" w:cs="FrankRuehl"/>
        </w:rPr>
      </w:pPr>
      <w:hyperlink r:id="rId14" w:history="1">
        <w:r w:rsidRPr="000C4E19">
          <w:rPr>
            <w:rFonts w:ascii="FrankRuehl" w:hAnsi="FrankRuehl" w:cs="FrankRuehl"/>
            <w:color w:val="0000FF"/>
            <w:rtl/>
          </w:rPr>
          <w:t>חוק ההוצאה לפועל, תשכ"ז-1967</w:t>
        </w:r>
      </w:hyperlink>
    </w:p>
    <w:p w14:paraId="4F112713" w14:textId="77777777" w:rsidR="000C4E19" w:rsidRPr="000C4E19" w:rsidRDefault="000C4E19" w:rsidP="000C4E19">
      <w:pPr>
        <w:spacing w:before="120" w:after="120" w:line="240" w:lineRule="exact"/>
        <w:ind w:left="283" w:hanging="283"/>
        <w:jc w:val="both"/>
        <w:rPr>
          <w:rFonts w:ascii="FrankRuehl" w:hAnsi="FrankRuehl" w:cs="FrankRuehl"/>
        </w:rPr>
      </w:pPr>
      <w:hyperlink r:id="rId15" w:history="1">
        <w:r w:rsidRPr="000C4E19">
          <w:rPr>
            <w:rFonts w:ascii="FrankRuehl" w:hAnsi="FrankRuehl" w:cs="FrankRuehl"/>
            <w:color w:val="0000FF"/>
            <w:rtl/>
          </w:rPr>
          <w:t>פקודת התעבורה [נוסח חדש]</w:t>
        </w:r>
      </w:hyperlink>
      <w:r w:rsidRPr="000C4E19">
        <w:rPr>
          <w:rFonts w:ascii="FrankRuehl" w:hAnsi="FrankRuehl" w:cs="FrankRuehl"/>
        </w:rPr>
        <w:t xml:space="preserve">: </w:t>
      </w:r>
      <w:r w:rsidRPr="000C4E19">
        <w:rPr>
          <w:rFonts w:ascii="FrankRuehl" w:hAnsi="FrankRuehl" w:cs="FrankRuehl"/>
          <w:rtl/>
        </w:rPr>
        <w:t>סע</w:t>
      </w:r>
      <w:r w:rsidRPr="000C4E19">
        <w:rPr>
          <w:rFonts w:ascii="FrankRuehl" w:hAnsi="FrankRuehl" w:cs="FrankRuehl"/>
        </w:rPr>
        <w:t xml:space="preserve">'  </w:t>
      </w:r>
      <w:hyperlink r:id="rId16" w:history="1">
        <w:r w:rsidRPr="000C4E19">
          <w:rPr>
            <w:rFonts w:ascii="FrankRuehl" w:hAnsi="FrankRuehl" w:cs="FrankRuehl"/>
            <w:color w:val="0000FF"/>
          </w:rPr>
          <w:t>10(</w:t>
        </w:r>
        <w:r w:rsidRPr="000C4E19">
          <w:rPr>
            <w:rFonts w:ascii="FrankRuehl" w:hAnsi="FrankRuehl" w:cs="FrankRuehl"/>
            <w:color w:val="0000FF"/>
            <w:rtl/>
          </w:rPr>
          <w:t>א</w:t>
        </w:r>
        <w:r w:rsidRPr="000C4E19">
          <w:rPr>
            <w:rFonts w:ascii="FrankRuehl" w:hAnsi="FrankRuehl" w:cs="FrankRuehl"/>
            <w:color w:val="0000FF"/>
          </w:rPr>
          <w:t>)</w:t>
        </w:r>
      </w:hyperlink>
      <w:r w:rsidRPr="000C4E19">
        <w:rPr>
          <w:rFonts w:ascii="FrankRuehl" w:hAnsi="FrankRuehl" w:cs="FrankRuehl"/>
        </w:rPr>
        <w:t xml:space="preserve">, </w:t>
      </w:r>
      <w:hyperlink r:id="rId17" w:history="1">
        <w:r w:rsidRPr="000C4E19">
          <w:rPr>
            <w:rFonts w:ascii="FrankRuehl" w:hAnsi="FrankRuehl" w:cs="FrankRuehl"/>
            <w:color w:val="0000FF"/>
          </w:rPr>
          <w:t>67</w:t>
        </w:r>
      </w:hyperlink>
    </w:p>
    <w:p w14:paraId="6014F4AB" w14:textId="77777777" w:rsidR="000C4E19" w:rsidRPr="000C4E19" w:rsidRDefault="000C4E19" w:rsidP="000C4E19">
      <w:pPr>
        <w:spacing w:after="120" w:line="240" w:lineRule="exact"/>
        <w:ind w:left="283" w:hanging="283"/>
        <w:jc w:val="both"/>
        <w:rPr>
          <w:sz w:val="26"/>
          <w:szCs w:val="26"/>
        </w:rPr>
      </w:pPr>
      <w:bookmarkStart w:id="5" w:name="LawTable_End"/>
      <w:bookmarkEnd w:id="5"/>
    </w:p>
    <w:p w14:paraId="1EFB2C20" w14:textId="77777777" w:rsidR="00203E88" w:rsidRPr="000C4E19" w:rsidRDefault="00203E88" w:rsidP="000C4E19">
      <w:pPr>
        <w:spacing w:after="120" w:line="240" w:lineRule="exact"/>
        <w:ind w:left="283" w:hanging="283"/>
        <w:jc w:val="both"/>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03E88" w14:paraId="499637BA" w14:textId="77777777" w:rsidTr="00203E88">
        <w:trPr>
          <w:trHeight w:val="355"/>
          <w:jc w:val="center"/>
        </w:trPr>
        <w:tc>
          <w:tcPr>
            <w:tcW w:w="8820" w:type="dxa"/>
            <w:tcBorders>
              <w:top w:val="nil"/>
              <w:left w:val="nil"/>
              <w:bottom w:val="nil"/>
              <w:right w:val="nil"/>
            </w:tcBorders>
            <w:shd w:val="clear" w:color="auto" w:fill="auto"/>
          </w:tcPr>
          <w:p w14:paraId="24D87F99" w14:textId="77777777" w:rsidR="00CF2BAC" w:rsidRPr="00CF2BAC" w:rsidRDefault="00CF2BAC" w:rsidP="00CF2BAC">
            <w:pPr>
              <w:jc w:val="center"/>
              <w:rPr>
                <w:rFonts w:ascii="David" w:hAnsi="David"/>
                <w:b/>
                <w:bCs/>
                <w:sz w:val="32"/>
                <w:szCs w:val="32"/>
                <w:u w:val="single"/>
                <w:rtl/>
              </w:rPr>
            </w:pPr>
            <w:bookmarkStart w:id="6" w:name="PsakDin" w:colFirst="0" w:colLast="0"/>
            <w:bookmarkEnd w:id="0"/>
            <w:r w:rsidRPr="00CF2BAC">
              <w:rPr>
                <w:rFonts w:ascii="David" w:hAnsi="David"/>
                <w:b/>
                <w:bCs/>
                <w:sz w:val="32"/>
                <w:szCs w:val="32"/>
                <w:u w:val="single"/>
                <w:rtl/>
              </w:rPr>
              <w:t>גזר דין</w:t>
            </w:r>
          </w:p>
          <w:p w14:paraId="20A3DE5C" w14:textId="77777777" w:rsidR="00203E88" w:rsidRPr="00CF2BAC" w:rsidRDefault="00203E88" w:rsidP="00CF2BAC">
            <w:pPr>
              <w:jc w:val="center"/>
              <w:rPr>
                <w:rFonts w:ascii="David" w:hAnsi="David"/>
                <w:bCs/>
                <w:sz w:val="32"/>
                <w:szCs w:val="32"/>
                <w:u w:val="single"/>
                <w:rtl/>
              </w:rPr>
            </w:pPr>
          </w:p>
        </w:tc>
      </w:tr>
      <w:bookmarkEnd w:id="6"/>
    </w:tbl>
    <w:p w14:paraId="22E4BF47" w14:textId="77777777" w:rsidR="00203E88" w:rsidRDefault="00203E88" w:rsidP="00203E88">
      <w:pPr>
        <w:spacing w:line="360" w:lineRule="auto"/>
        <w:jc w:val="both"/>
        <w:rPr>
          <w:rFonts w:ascii="Arial" w:hAnsi="Arial"/>
          <w:rtl/>
        </w:rPr>
      </w:pPr>
    </w:p>
    <w:p w14:paraId="3C8ABF11" w14:textId="77777777" w:rsidR="00203E88" w:rsidRDefault="00203E88" w:rsidP="00203E88">
      <w:pPr>
        <w:pStyle w:val="a9"/>
        <w:spacing w:line="360" w:lineRule="auto"/>
        <w:jc w:val="both"/>
        <w:rPr>
          <w:rFonts w:ascii="David" w:hAnsi="David" w:cs="David"/>
          <w:sz w:val="24"/>
          <w:szCs w:val="24"/>
        </w:rPr>
      </w:pPr>
      <w:bookmarkStart w:id="7" w:name="ABSTRACT_START"/>
      <w:bookmarkEnd w:id="7"/>
      <w:r>
        <w:rPr>
          <w:rFonts w:ascii="David" w:hAnsi="David" w:cs="David"/>
          <w:sz w:val="24"/>
          <w:szCs w:val="24"/>
          <w:rtl/>
        </w:rPr>
        <w:t xml:space="preserve">הנאשם הודה בעבירות המיוחסות לו בכתב האישום </w:t>
      </w:r>
      <w:r>
        <w:rPr>
          <w:rFonts w:ascii="David" w:hAnsi="David" w:cs="David" w:hint="cs"/>
          <w:sz w:val="24"/>
          <w:szCs w:val="24"/>
          <w:rtl/>
        </w:rPr>
        <w:t xml:space="preserve">לפיו </w:t>
      </w:r>
      <w:r>
        <w:rPr>
          <w:rFonts w:ascii="David" w:hAnsi="David" w:cs="David"/>
          <w:sz w:val="24"/>
          <w:szCs w:val="24"/>
          <w:rtl/>
        </w:rPr>
        <w:t xml:space="preserve">בתאריך 05.10.21 בשעה 09:30 או בסמוך לכך, בביתו של הנאשם ואשתו בכפר קרע, בחיפוש שנערך כדין במקום על ידי שוטרים, נמצא הנאשם כשהוא מחזיק בתוך תיק השייך לרעייתו שהונח בארון בגדים, בנשק מסוג אקדח </w:t>
      </w:r>
      <w:r>
        <w:rPr>
          <w:rFonts w:ascii="David" w:hAnsi="David" w:cs="David"/>
          <w:sz w:val="24"/>
          <w:szCs w:val="24"/>
        </w:rPr>
        <w:t>FN</w:t>
      </w:r>
      <w:r>
        <w:rPr>
          <w:rFonts w:ascii="David" w:hAnsi="David" w:cs="David"/>
          <w:sz w:val="24"/>
          <w:szCs w:val="24"/>
          <w:rtl/>
        </w:rPr>
        <w:t xml:space="preserve"> חצי </w:t>
      </w:r>
      <w:r>
        <w:rPr>
          <w:rFonts w:ascii="David" w:hAnsi="David" w:cs="David"/>
          <w:sz w:val="24"/>
          <w:szCs w:val="24"/>
          <w:rtl/>
        </w:rPr>
        <w:lastRenderedPageBreak/>
        <w:t xml:space="preserve">אוטומטי </w:t>
      </w:r>
      <w:r>
        <w:rPr>
          <w:rFonts w:ascii="David" w:hAnsi="David" w:cs="David" w:hint="cs"/>
          <w:sz w:val="24"/>
          <w:szCs w:val="24"/>
          <w:rtl/>
        </w:rPr>
        <w:t>שיש בכוחו לירות כדור ובכוחו להמית אדם (להלן: "הנשק</w:t>
      </w:r>
      <w:r>
        <w:rPr>
          <w:rFonts w:ascii="David" w:hAnsi="David" w:cs="David" w:hint="cs"/>
          <w:b/>
          <w:bCs/>
          <w:sz w:val="24"/>
          <w:szCs w:val="24"/>
          <w:rtl/>
        </w:rPr>
        <w:t>"</w:t>
      </w:r>
      <w:r>
        <w:rPr>
          <w:rFonts w:ascii="David" w:hAnsi="David" w:cs="David" w:hint="cs"/>
          <w:sz w:val="24"/>
          <w:szCs w:val="24"/>
          <w:rtl/>
        </w:rPr>
        <w:t>). בחדר הסמוך לחדר בו נמצא הנשק, נמצא הנאשם מחזיק מתחת לספה קופסה שהכילה 17 כדורי 9 מ"מ וכן באותו החדר נמצא קרטון בו החזיק הנאשם מחסנית שהכילה 9 כדורי 9 מ"מ (להלן: "אביזר הנשק" ו-"תחמושת"), וזאת בלא רשות על פי דין.</w:t>
      </w:r>
    </w:p>
    <w:p w14:paraId="31D0B276" w14:textId="77777777" w:rsidR="00203E88" w:rsidRDefault="00203E88" w:rsidP="00203E88">
      <w:pPr>
        <w:pStyle w:val="a9"/>
        <w:spacing w:line="360" w:lineRule="auto"/>
        <w:jc w:val="both"/>
        <w:rPr>
          <w:rFonts w:ascii="David" w:hAnsi="David" w:cs="David"/>
          <w:sz w:val="24"/>
          <w:szCs w:val="24"/>
          <w:rtl/>
        </w:rPr>
      </w:pPr>
      <w:bookmarkStart w:id="8" w:name="ABSTRACT_END"/>
      <w:bookmarkEnd w:id="8"/>
    </w:p>
    <w:p w14:paraId="2E5B370E"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t xml:space="preserve">על בסיס הודאתו, הורשע הנאשם בעבירות של </w:t>
      </w:r>
      <w:r>
        <w:rPr>
          <w:rFonts w:ascii="David" w:hAnsi="David" w:cs="David"/>
          <w:b/>
          <w:bCs/>
          <w:sz w:val="24"/>
          <w:szCs w:val="24"/>
          <w:rtl/>
        </w:rPr>
        <w:t>החזקת נשק שלא כדין</w:t>
      </w:r>
      <w:r>
        <w:rPr>
          <w:rFonts w:ascii="David" w:hAnsi="David" w:cs="David"/>
          <w:sz w:val="24"/>
          <w:szCs w:val="24"/>
          <w:rtl/>
        </w:rPr>
        <w:t xml:space="preserve"> – עבירה לפי </w:t>
      </w:r>
      <w:hyperlink r:id="rId18" w:history="1">
        <w:r w:rsidR="00BE3DD4" w:rsidRPr="00BE3DD4">
          <w:rPr>
            <w:rStyle w:val="Hyperlink"/>
            <w:rFonts w:ascii="David" w:hAnsi="David" w:cs="David"/>
            <w:sz w:val="24"/>
            <w:szCs w:val="24"/>
            <w:rtl/>
          </w:rPr>
          <w:t>סעיף 144(א)</w:t>
        </w:r>
      </w:hyperlink>
      <w:r>
        <w:rPr>
          <w:rFonts w:ascii="David" w:hAnsi="David" w:cs="David"/>
          <w:sz w:val="24"/>
          <w:szCs w:val="24"/>
          <w:rtl/>
        </w:rPr>
        <w:t xml:space="preserve"> רישא ל</w:t>
      </w:r>
      <w:hyperlink r:id="rId19" w:history="1">
        <w:r w:rsidR="00CF2BAC" w:rsidRPr="00CF2BAC">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"חוק העונשין") </w:t>
      </w:r>
      <w:r>
        <w:rPr>
          <w:rFonts w:ascii="David" w:hAnsi="David" w:cs="David"/>
          <w:b/>
          <w:bCs/>
          <w:sz w:val="24"/>
          <w:szCs w:val="24"/>
          <w:rtl/>
        </w:rPr>
        <w:t>והחזקת חלק של נשק או תחמושת</w:t>
      </w:r>
      <w:r>
        <w:rPr>
          <w:rFonts w:ascii="David" w:hAnsi="David" w:cs="David"/>
          <w:sz w:val="24"/>
          <w:szCs w:val="24"/>
          <w:rtl/>
        </w:rPr>
        <w:t xml:space="preserve"> – עבירה לפי סעיף </w:t>
      </w:r>
      <w:hyperlink r:id="rId20" w:history="1">
        <w:r w:rsidR="00BE3DD4" w:rsidRPr="00BE3DD4">
          <w:rPr>
            <w:rStyle w:val="Hyperlink"/>
            <w:rFonts w:ascii="David" w:hAnsi="David" w:cs="David"/>
            <w:sz w:val="24"/>
            <w:szCs w:val="24"/>
            <w:rtl/>
          </w:rPr>
          <w:t>144 (א)</w:t>
        </w:r>
      </w:hyperlink>
      <w:r>
        <w:rPr>
          <w:rFonts w:ascii="David" w:hAnsi="David" w:cs="David"/>
          <w:sz w:val="24"/>
          <w:szCs w:val="24"/>
          <w:rtl/>
        </w:rPr>
        <w:t xml:space="preserve"> סיפא לחוק העונשין. </w:t>
      </w:r>
    </w:p>
    <w:p w14:paraId="7C5BD3EC" w14:textId="77777777" w:rsidR="00203E88" w:rsidRDefault="00203E88" w:rsidP="00203E88">
      <w:pPr>
        <w:pStyle w:val="a9"/>
        <w:spacing w:line="360" w:lineRule="auto"/>
        <w:jc w:val="both"/>
        <w:rPr>
          <w:rFonts w:ascii="David" w:hAnsi="David" w:cs="David"/>
          <w:sz w:val="24"/>
          <w:szCs w:val="24"/>
          <w:rtl/>
        </w:rPr>
      </w:pPr>
    </w:p>
    <w:p w14:paraId="69DDFBA5"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t>לאחר הודאתו והרשעתו, ביקש הנאשם לצרף את התיקים הבאים:</w:t>
      </w:r>
    </w:p>
    <w:p w14:paraId="040BCCFA" w14:textId="77777777" w:rsidR="00203E88" w:rsidRDefault="00CF2BAC" w:rsidP="00203E88">
      <w:pPr>
        <w:pStyle w:val="a9"/>
        <w:spacing w:line="360" w:lineRule="auto"/>
        <w:jc w:val="both"/>
        <w:rPr>
          <w:rFonts w:ascii="David" w:hAnsi="David" w:cs="David"/>
          <w:sz w:val="24"/>
          <w:szCs w:val="24"/>
          <w:rtl/>
        </w:rPr>
      </w:pPr>
      <w:hyperlink r:id="rId21" w:history="1">
        <w:r w:rsidRPr="00CF2BAC">
          <w:rPr>
            <w:rFonts w:ascii="David" w:hAnsi="David" w:cs="David"/>
            <w:color w:val="0000FF"/>
            <w:sz w:val="24"/>
            <w:szCs w:val="24"/>
            <w:u w:val="single"/>
            <w:rtl/>
          </w:rPr>
          <w:t>תת"ע 5608-08-19</w:t>
        </w:r>
      </w:hyperlink>
      <w:r w:rsidR="00203E88">
        <w:rPr>
          <w:rFonts w:ascii="David" w:hAnsi="David" w:cs="David"/>
          <w:sz w:val="24"/>
          <w:szCs w:val="24"/>
          <w:rtl/>
        </w:rPr>
        <w:t xml:space="preserve">, </w:t>
      </w:r>
      <w:hyperlink r:id="rId22" w:history="1">
        <w:r w:rsidRPr="00CF2BAC">
          <w:rPr>
            <w:rFonts w:ascii="David" w:hAnsi="David" w:cs="David"/>
            <w:color w:val="0000FF"/>
            <w:sz w:val="24"/>
            <w:szCs w:val="24"/>
            <w:u w:val="single"/>
            <w:rtl/>
          </w:rPr>
          <w:t>תת"ע 5726-01-19</w:t>
        </w:r>
      </w:hyperlink>
      <w:r w:rsidR="00203E88">
        <w:rPr>
          <w:rFonts w:ascii="David" w:hAnsi="David" w:cs="David"/>
          <w:sz w:val="24"/>
          <w:szCs w:val="24"/>
          <w:rtl/>
        </w:rPr>
        <w:t xml:space="preserve">, </w:t>
      </w:r>
      <w:hyperlink r:id="rId23" w:history="1">
        <w:r w:rsidRPr="00CF2BAC">
          <w:rPr>
            <w:rFonts w:ascii="David" w:hAnsi="David" w:cs="David"/>
            <w:color w:val="0000FF"/>
            <w:sz w:val="24"/>
            <w:szCs w:val="24"/>
            <w:u w:val="single"/>
            <w:rtl/>
          </w:rPr>
          <w:t>תת"ע 1981-10-19</w:t>
        </w:r>
      </w:hyperlink>
      <w:r w:rsidR="00203E88">
        <w:rPr>
          <w:rFonts w:ascii="David" w:hAnsi="David" w:cs="David"/>
          <w:sz w:val="24"/>
          <w:szCs w:val="24"/>
          <w:rtl/>
        </w:rPr>
        <w:t xml:space="preserve">, </w:t>
      </w:r>
      <w:hyperlink r:id="rId24" w:history="1">
        <w:r w:rsidRPr="00CF2BAC">
          <w:rPr>
            <w:rFonts w:ascii="David" w:hAnsi="David" w:cs="David"/>
            <w:color w:val="0000FF"/>
            <w:sz w:val="24"/>
            <w:szCs w:val="24"/>
            <w:u w:val="single"/>
            <w:rtl/>
          </w:rPr>
          <w:t>תת"ע 7087-05-19</w:t>
        </w:r>
      </w:hyperlink>
      <w:r w:rsidR="00203E88">
        <w:rPr>
          <w:rFonts w:ascii="David" w:hAnsi="David" w:cs="David"/>
          <w:sz w:val="24"/>
          <w:szCs w:val="24"/>
          <w:rtl/>
        </w:rPr>
        <w:t xml:space="preserve"> וכן דוח מספר 14-2-1170290-8. כולם בגין נהיגה לאחר שרישיון הנהיגה של הנאשם פקע בשנת 2008 – עבירות שנעשו החל מתאריך 16.12.18, עבור בתאריך 05.04.19 ועד לתאריך 27.09.19 כמפורט בכתבי האישום ובדוח שצורפו.</w:t>
      </w:r>
    </w:p>
    <w:p w14:paraId="53C332BD" w14:textId="77777777" w:rsidR="00203E88" w:rsidRDefault="00203E88" w:rsidP="00203E88">
      <w:pPr>
        <w:pStyle w:val="a9"/>
        <w:spacing w:line="360" w:lineRule="auto"/>
        <w:jc w:val="both"/>
        <w:rPr>
          <w:rFonts w:ascii="David" w:hAnsi="David" w:cs="David"/>
          <w:sz w:val="24"/>
          <w:szCs w:val="24"/>
          <w:rtl/>
        </w:rPr>
      </w:pPr>
    </w:p>
    <w:p w14:paraId="027E650A"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t>להשלמת התמונה אציין שהנאשם עצור מתאריך 05.10.21.</w:t>
      </w:r>
    </w:p>
    <w:p w14:paraId="45F6E515" w14:textId="77777777" w:rsidR="00203E88" w:rsidRDefault="00203E88" w:rsidP="00203E88">
      <w:pPr>
        <w:pStyle w:val="a9"/>
        <w:spacing w:line="360" w:lineRule="auto"/>
        <w:jc w:val="both"/>
        <w:rPr>
          <w:rFonts w:ascii="David" w:hAnsi="David" w:cs="David"/>
          <w:sz w:val="24"/>
          <w:szCs w:val="24"/>
          <w:rtl/>
        </w:rPr>
      </w:pPr>
    </w:p>
    <w:p w14:paraId="2BBF362B" w14:textId="77777777" w:rsidR="00203E88" w:rsidRDefault="00203E88" w:rsidP="00203E88">
      <w:pPr>
        <w:pStyle w:val="a9"/>
        <w:spacing w:line="360" w:lineRule="auto"/>
        <w:jc w:val="both"/>
        <w:rPr>
          <w:rFonts w:ascii="David" w:hAnsi="David" w:cs="David"/>
          <w:sz w:val="24"/>
          <w:szCs w:val="24"/>
          <w:rtl/>
        </w:rPr>
      </w:pPr>
    </w:p>
    <w:p w14:paraId="618DCA70" w14:textId="77777777" w:rsidR="00203E88" w:rsidRDefault="00203E88" w:rsidP="00203E88">
      <w:pPr>
        <w:pStyle w:val="a9"/>
        <w:spacing w:line="360" w:lineRule="auto"/>
        <w:jc w:val="both"/>
        <w:rPr>
          <w:rFonts w:ascii="David" w:hAnsi="David" w:cs="David"/>
          <w:sz w:val="24"/>
          <w:szCs w:val="24"/>
        </w:rPr>
      </w:pPr>
    </w:p>
    <w:p w14:paraId="179C1B15" w14:textId="77777777" w:rsidR="00203E88" w:rsidRDefault="00203E88" w:rsidP="00203E88">
      <w:pPr>
        <w:pStyle w:val="a9"/>
        <w:spacing w:line="360" w:lineRule="auto"/>
        <w:jc w:val="both"/>
        <w:rPr>
          <w:rFonts w:ascii="David" w:hAnsi="David" w:cs="David"/>
          <w:b/>
          <w:bCs/>
          <w:sz w:val="24"/>
          <w:szCs w:val="24"/>
          <w:u w:val="single"/>
          <w:rtl/>
        </w:rPr>
      </w:pPr>
      <w:r>
        <w:rPr>
          <w:rFonts w:ascii="David" w:hAnsi="David" w:cs="David"/>
          <w:b/>
          <w:bCs/>
          <w:sz w:val="24"/>
          <w:szCs w:val="24"/>
          <w:u w:val="single"/>
          <w:rtl/>
        </w:rPr>
        <w:t>טיעוני הצדדים לעונש</w:t>
      </w:r>
    </w:p>
    <w:p w14:paraId="5AC7B9C9"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t>בטיעוניו לעונש הגיש ב"כ המאשימה את תמונות המוצגים (הנשק, המחסנית והתחמושת – ת/1) ועמד על חומרת מעשיו של הנאשם ועל הערכים החברתיים שנפגעו, שלום הציבור ובטחונו. המאשימה ציינה שמידת הפגיעה בערכים אלה איננה מסתכמת רק בנזק שאירע בפועל אלא גם בפוטנציאל של פגיעה בחפים מפשע וערעור בטחון הציבור והסדר החברתי, הנובע מאותן עבירות. המאשימה הדגישה כי מיגור הנגע של החזקת נשק בלתי חוקי והשימוש בו, הפך למטרת על בקרב גורמי אכיפת החוק, ובתי המשפט ראו בעבירות הנשק כעבירות שיש להחמיר עם מבצעיהם על ידי הטלת מאסרים ממושכים.</w:t>
      </w:r>
    </w:p>
    <w:p w14:paraId="3B2F46F6" w14:textId="77777777" w:rsidR="00203E88" w:rsidRDefault="00203E88" w:rsidP="00203E88">
      <w:pPr>
        <w:pStyle w:val="a9"/>
        <w:spacing w:line="360" w:lineRule="auto"/>
        <w:jc w:val="both"/>
        <w:rPr>
          <w:rFonts w:ascii="David" w:hAnsi="David" w:cs="David"/>
          <w:sz w:val="24"/>
          <w:szCs w:val="24"/>
          <w:rtl/>
        </w:rPr>
      </w:pPr>
    </w:p>
    <w:p w14:paraId="1FC21746"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t xml:space="preserve">בקביעת מתחם העונש ההולם את </w:t>
      </w:r>
      <w:r>
        <w:rPr>
          <w:rFonts w:ascii="David" w:hAnsi="David" w:cs="David"/>
          <w:sz w:val="24"/>
          <w:szCs w:val="24"/>
        </w:rPr>
        <w:t>vgchru, cvi vurag</w:t>
      </w:r>
      <w:r>
        <w:rPr>
          <w:rFonts w:ascii="David" w:hAnsi="David" w:cs="David"/>
          <w:sz w:val="24"/>
          <w:szCs w:val="24"/>
          <w:rtl/>
        </w:rPr>
        <w:t xml:space="preserve"> הנאשם, עמדה המאשימה על מדיניות הענישה הנהוגה בעבירות דומות, תוך הפניה לאסופת פסקי דין מטעמה כן עמדה המאשימה על הנסיבות הקשורות בביצוע העבירה ובכלל זה, העובדה כי הנשק הוסלק בתוך ארון בגדים כשהוא מוכן לשימוש בעת הצורך.  לעבירות אלה, המאשימה סברה כי מתחם העונש ההולם את מעשיו של הנאשם נע בין 12 ל- 24 חודשי מאסר.</w:t>
      </w:r>
    </w:p>
    <w:p w14:paraId="74038BFA"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lastRenderedPageBreak/>
        <w:t xml:space="preserve">המאשימה הפנתה לתיקי התעבורה אותם צירף הנאשם ולכך שלחובת הנאשם מאסר מותנה של 8 חודשים שהוטל עליו בתיק </w:t>
      </w:r>
      <w:hyperlink r:id="rId25" w:history="1">
        <w:r w:rsidR="00CF2BAC" w:rsidRPr="00CF2BAC">
          <w:rPr>
            <w:rFonts w:ascii="David" w:hAnsi="David" w:cs="David"/>
            <w:color w:val="0000FF"/>
            <w:sz w:val="24"/>
            <w:szCs w:val="24"/>
            <w:u w:val="single"/>
            <w:rtl/>
          </w:rPr>
          <w:t>פ"ל 1089-05-16</w:t>
        </w:r>
      </w:hyperlink>
      <w:r>
        <w:rPr>
          <w:rFonts w:ascii="David" w:hAnsi="David" w:cs="David"/>
          <w:sz w:val="24"/>
          <w:szCs w:val="24"/>
          <w:rtl/>
        </w:rPr>
        <w:t xml:space="preserve"> (ת/2) שכעת הינו חב הפעלה לאור צירוף התיקים </w:t>
      </w:r>
      <w:r>
        <w:rPr>
          <w:rFonts w:ascii="David" w:hAnsi="David" w:cs="David" w:hint="cs"/>
          <w:sz w:val="24"/>
          <w:szCs w:val="24"/>
          <w:rtl/>
        </w:rPr>
        <w:t>והדגיש</w:t>
      </w:r>
      <w:r>
        <w:rPr>
          <w:rFonts w:ascii="David" w:hAnsi="David" w:cs="David"/>
          <w:sz w:val="24"/>
          <w:szCs w:val="24"/>
          <w:rtl/>
        </w:rPr>
        <w:t xml:space="preserve"> שהמתחם ההולם לעבירות אלה נע בין 8 ל- 14 חודשי מאסר.</w:t>
      </w:r>
    </w:p>
    <w:p w14:paraId="471DF4D3"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t xml:space="preserve">בהתחשב בנסיבות שאינן קשורות בביצוע העבירה, </w:t>
      </w:r>
      <w:r>
        <w:rPr>
          <w:rFonts w:ascii="David" w:hAnsi="David" w:cs="David" w:hint="cs"/>
          <w:sz w:val="24"/>
          <w:szCs w:val="24"/>
          <w:rtl/>
        </w:rPr>
        <w:t>הופנה בית המשפט ל</w:t>
      </w:r>
      <w:r>
        <w:rPr>
          <w:rFonts w:ascii="David" w:hAnsi="David" w:cs="David"/>
          <w:sz w:val="24"/>
          <w:szCs w:val="24"/>
          <w:rtl/>
        </w:rPr>
        <w:t>עברו הפלילי של הנאשם (ת/4) ועברו התעבורתי (ת/3) והצורך להרתיע את הרבים בעבירות נשק כמו גם שמירת ביטחונם של משתמשי הדרך כאשר הנאשם שב ונוהג ללא רישיון</w:t>
      </w:r>
      <w:r>
        <w:rPr>
          <w:rFonts w:ascii="David" w:hAnsi="David" w:cs="David" w:hint="cs"/>
          <w:sz w:val="24"/>
          <w:szCs w:val="24"/>
          <w:rtl/>
        </w:rPr>
        <w:t>.</w:t>
      </w:r>
      <w:r>
        <w:rPr>
          <w:rFonts w:ascii="David" w:hAnsi="David" w:cs="David"/>
          <w:sz w:val="24"/>
          <w:szCs w:val="24"/>
          <w:rtl/>
        </w:rPr>
        <w:t xml:space="preserve"> על אף ההודאה, ביקשה המאשימה למצות את הדין עם הנאשם ולהפעיל את המאסר והפסילה המותנים במצטבר. לצד זאת, ב</w:t>
      </w:r>
      <w:r>
        <w:rPr>
          <w:rFonts w:ascii="David" w:hAnsi="David" w:cs="David" w:hint="cs"/>
          <w:sz w:val="24"/>
          <w:szCs w:val="24"/>
          <w:rtl/>
        </w:rPr>
        <w:t>י</w:t>
      </w:r>
      <w:r>
        <w:rPr>
          <w:rFonts w:ascii="David" w:hAnsi="David" w:cs="David"/>
          <w:sz w:val="24"/>
          <w:szCs w:val="24"/>
          <w:rtl/>
        </w:rPr>
        <w:t>קש</w:t>
      </w:r>
      <w:r>
        <w:rPr>
          <w:rFonts w:ascii="David" w:hAnsi="David" w:cs="David" w:hint="cs"/>
          <w:sz w:val="24"/>
          <w:szCs w:val="24"/>
          <w:rtl/>
        </w:rPr>
        <w:t>ה</w:t>
      </w:r>
      <w:r>
        <w:rPr>
          <w:rFonts w:ascii="David" w:hAnsi="David" w:cs="David"/>
          <w:sz w:val="24"/>
          <w:szCs w:val="24"/>
          <w:rtl/>
        </w:rPr>
        <w:t xml:space="preserve"> המ</w:t>
      </w:r>
      <w:r>
        <w:rPr>
          <w:rFonts w:ascii="David" w:hAnsi="David" w:cs="David" w:hint="cs"/>
          <w:sz w:val="24"/>
          <w:szCs w:val="24"/>
          <w:rtl/>
        </w:rPr>
        <w:t>אשימ</w:t>
      </w:r>
      <w:r>
        <w:rPr>
          <w:rFonts w:ascii="David" w:hAnsi="David" w:cs="David"/>
          <w:sz w:val="24"/>
          <w:szCs w:val="24"/>
          <w:rtl/>
        </w:rPr>
        <w:t>ה להטיל על הנאשם מאסר על תנאי, פסילה בפועל</w:t>
      </w:r>
      <w:r>
        <w:rPr>
          <w:rFonts w:ascii="David" w:hAnsi="David" w:cs="David" w:hint="cs"/>
          <w:sz w:val="24"/>
          <w:szCs w:val="24"/>
          <w:rtl/>
        </w:rPr>
        <w:t>,</w:t>
      </w:r>
      <w:r>
        <w:rPr>
          <w:rFonts w:ascii="David" w:hAnsi="David" w:cs="David"/>
          <w:sz w:val="24"/>
          <w:szCs w:val="24"/>
          <w:rtl/>
        </w:rPr>
        <w:t xml:space="preserve"> פסילה על תנאי וקנס.</w:t>
      </w:r>
    </w:p>
    <w:p w14:paraId="634617FE" w14:textId="77777777" w:rsidR="00203E88" w:rsidRDefault="00203E88" w:rsidP="00203E88">
      <w:pPr>
        <w:pStyle w:val="a9"/>
        <w:spacing w:line="360" w:lineRule="auto"/>
        <w:ind w:firstLine="720"/>
        <w:jc w:val="both"/>
        <w:rPr>
          <w:rFonts w:ascii="David" w:hAnsi="David" w:cs="David"/>
          <w:sz w:val="24"/>
          <w:szCs w:val="24"/>
          <w:rtl/>
        </w:rPr>
      </w:pPr>
    </w:p>
    <w:p w14:paraId="13136735" w14:textId="77777777" w:rsidR="00203E88" w:rsidRDefault="00203E88" w:rsidP="00203E88">
      <w:pPr>
        <w:pStyle w:val="a9"/>
        <w:spacing w:line="360" w:lineRule="auto"/>
        <w:jc w:val="both"/>
        <w:rPr>
          <w:rFonts w:ascii="David" w:hAnsi="David" w:cs="David"/>
          <w:sz w:val="24"/>
          <w:szCs w:val="24"/>
          <w:rtl/>
        </w:rPr>
      </w:pPr>
      <w:r>
        <w:rPr>
          <w:rFonts w:ascii="David" w:hAnsi="David" w:cs="David"/>
          <w:sz w:val="24"/>
          <w:szCs w:val="24"/>
          <w:rtl/>
        </w:rPr>
        <w:t xml:space="preserve">מנגד, באשר לנסיבות העבירות, בא כוח הנאשם טען שסוג הנשק ומיקום התחמושת בחדר אחר מעידים כי אין המדובר בנשק שיועד למטרה התקפית אלא לצורכי הגנה וציין שבראיות המאשימה קיים מזכר בו רשום שהמחסנית שנמצאה, נתפסה בנשק כאשר הוכנסה אליו ולא ניתן היה להוציאה מה שמעיד על תקינות הנשק. </w:t>
      </w:r>
    </w:p>
    <w:p w14:paraId="6A6B205D" w14:textId="77777777" w:rsidR="00203E88" w:rsidRDefault="00203E88" w:rsidP="00203E88">
      <w:pPr>
        <w:pStyle w:val="a9"/>
        <w:spacing w:line="360" w:lineRule="auto"/>
        <w:jc w:val="both"/>
        <w:rPr>
          <w:rStyle w:val="normal-h"/>
          <w:rtl/>
        </w:rPr>
      </w:pPr>
      <w:r>
        <w:rPr>
          <w:rStyle w:val="normal-h"/>
          <w:rFonts w:ascii="David" w:hAnsi="David" w:cs="David"/>
          <w:sz w:val="24"/>
          <w:szCs w:val="24"/>
          <w:rtl/>
        </w:rPr>
        <w:t xml:space="preserve">הסנגור הפנה לאסופת פסקי דין מטעמו (נ/1) תוך שסבר כי מתחם העונש ההולם את </w:t>
      </w:r>
      <w:r>
        <w:rPr>
          <w:rStyle w:val="normal-h"/>
          <w:rFonts w:ascii="David" w:hAnsi="David" w:cs="David" w:hint="cs"/>
          <w:sz w:val="24"/>
          <w:szCs w:val="24"/>
          <w:rtl/>
        </w:rPr>
        <w:t>העבירות בהן הורשע</w:t>
      </w:r>
      <w:r>
        <w:rPr>
          <w:rStyle w:val="normal-h"/>
          <w:rFonts w:ascii="David" w:hAnsi="David" w:cs="David"/>
          <w:sz w:val="24"/>
          <w:szCs w:val="24"/>
          <w:rtl/>
        </w:rPr>
        <w:t xml:space="preserve"> הנאשם נע בין מספר חודשי מאסר בפועל, שניתן לרצות בעבודות שירות ועד 12 חודשי מאסר.</w:t>
      </w:r>
    </w:p>
    <w:p w14:paraId="2AC56DE6" w14:textId="77777777" w:rsidR="00203E88" w:rsidRDefault="00203E88" w:rsidP="00203E88">
      <w:pPr>
        <w:pStyle w:val="a9"/>
        <w:spacing w:line="360" w:lineRule="auto"/>
        <w:jc w:val="both"/>
        <w:rPr>
          <w:rStyle w:val="normal-h"/>
          <w:rtl/>
        </w:rPr>
      </w:pPr>
      <w:r>
        <w:rPr>
          <w:rStyle w:val="normal-h"/>
          <w:rFonts w:ascii="David" w:hAnsi="David" w:cs="David"/>
          <w:sz w:val="24"/>
          <w:szCs w:val="24"/>
          <w:rtl/>
        </w:rPr>
        <w:t>באשר לעבירות התעבורה, טען ב"כ הנאשם שכתבי האישום שצורפו כלל אינם מפעילים את המאסר המותנה ושבית המשפט והצדדים נתפסו לכלל טעות. יתרה מכך,</w:t>
      </w:r>
      <w:r>
        <w:rPr>
          <w:rStyle w:val="normal-h"/>
          <w:rFonts w:ascii="David" w:hAnsi="David" w:cs="David" w:hint="cs"/>
          <w:sz w:val="24"/>
          <w:szCs w:val="24"/>
          <w:rtl/>
        </w:rPr>
        <w:t xml:space="preserve"> עבירה של</w:t>
      </w:r>
      <w:r>
        <w:rPr>
          <w:rStyle w:val="normal-h"/>
          <w:rFonts w:ascii="David" w:hAnsi="David" w:cs="David"/>
          <w:sz w:val="24"/>
          <w:szCs w:val="24"/>
          <w:rtl/>
        </w:rPr>
        <w:t xml:space="preserve"> פקיעת רישיון </w:t>
      </w:r>
      <w:r>
        <w:rPr>
          <w:rStyle w:val="normal-h"/>
          <w:rFonts w:ascii="David" w:hAnsi="David" w:cs="David" w:hint="cs"/>
          <w:sz w:val="24"/>
          <w:szCs w:val="24"/>
          <w:rtl/>
        </w:rPr>
        <w:t xml:space="preserve">נהיגה </w:t>
      </w:r>
      <w:r>
        <w:rPr>
          <w:rStyle w:val="normal-h"/>
          <w:rFonts w:ascii="David" w:hAnsi="David" w:cs="David"/>
          <w:sz w:val="24"/>
          <w:szCs w:val="24"/>
          <w:rtl/>
        </w:rPr>
        <w:t>בשל חובות כלכליים בוטלה בתיקון ל</w:t>
      </w:r>
      <w:hyperlink r:id="rId26" w:history="1">
        <w:r w:rsidR="00CF2BAC" w:rsidRPr="00CF2BAC">
          <w:rPr>
            <w:rStyle w:val="normal-h"/>
            <w:rFonts w:ascii="David" w:hAnsi="David" w:cs="David"/>
            <w:color w:val="0000FF"/>
            <w:sz w:val="24"/>
            <w:szCs w:val="24"/>
            <w:u w:val="single"/>
            <w:rtl/>
          </w:rPr>
          <w:t>חוק הוצאה לפועל</w:t>
        </w:r>
      </w:hyperlink>
      <w:r>
        <w:rPr>
          <w:rStyle w:val="normal-h"/>
          <w:rFonts w:ascii="David" w:hAnsi="David" w:cs="David"/>
          <w:sz w:val="24"/>
          <w:szCs w:val="24"/>
          <w:rtl/>
        </w:rPr>
        <w:t xml:space="preserve"> ויש לתת לכך משקל.</w:t>
      </w:r>
    </w:p>
    <w:p w14:paraId="7315C96C" w14:textId="77777777" w:rsidR="00203E88" w:rsidRDefault="00203E88" w:rsidP="00203E88">
      <w:pPr>
        <w:pStyle w:val="a9"/>
        <w:spacing w:line="360" w:lineRule="auto"/>
        <w:jc w:val="both"/>
        <w:rPr>
          <w:rFonts w:ascii="David" w:hAnsi="David" w:cs="David"/>
          <w:sz w:val="24"/>
          <w:szCs w:val="24"/>
          <w:rtl/>
        </w:rPr>
      </w:pPr>
      <w:r>
        <w:rPr>
          <w:rStyle w:val="normal-h"/>
          <w:rFonts w:ascii="David" w:hAnsi="David" w:cs="David"/>
          <w:sz w:val="24"/>
          <w:szCs w:val="24"/>
          <w:rtl/>
        </w:rPr>
        <w:t xml:space="preserve">בקביעת עונשו של הנאשם בתוך המתחם, עמד הסנגור על הנסיבות שאינן קשורות בביצוע העבירה </w:t>
      </w:r>
      <w:r>
        <w:rPr>
          <w:rFonts w:ascii="David" w:hAnsi="David" w:cs="David"/>
          <w:sz w:val="24"/>
          <w:szCs w:val="24"/>
          <w:rtl/>
        </w:rPr>
        <w:t>וביקש להתחשב בהודאת הנאשם בהזדמנות הראשונה ובחיסכון בזמן השיפוטי תוך שביקש לראות בקבלת האחריות של הנאשם כעל הבעת חרטה על מעשיו. עוד ביקש הסנגור שלא למצות את הדין עם הנאשם, לאור מצבו הרפואי (נ/3) וכן לאור מצבו האישי והכלכלי שהשתנה לרעה.</w:t>
      </w:r>
    </w:p>
    <w:p w14:paraId="25DD2F45" w14:textId="77777777" w:rsidR="00203E88" w:rsidRDefault="00203E88" w:rsidP="00203E88">
      <w:pPr>
        <w:pStyle w:val="a9"/>
        <w:spacing w:line="360" w:lineRule="auto"/>
        <w:jc w:val="both"/>
        <w:rPr>
          <w:rStyle w:val="normal-h"/>
          <w:rtl/>
        </w:rPr>
      </w:pPr>
      <w:r>
        <w:rPr>
          <w:rStyle w:val="normal-h"/>
          <w:rFonts w:ascii="David" w:hAnsi="David" w:cs="David"/>
          <w:sz w:val="24"/>
          <w:szCs w:val="24"/>
          <w:rtl/>
        </w:rPr>
        <w:t>הסנגור הדגיש כי על אף שלחובת הנאשם הרשעה פלילית קודמת, הרי שהא מתחום אחר וישנה ומזה 10 שנים לא ביצע הנאשם אף עבירה. לאור האמור, ביקש בא כוח הנאשם לגזור על הנאשם 8 חודשי מאסר בפועל לכל היותר.</w:t>
      </w:r>
    </w:p>
    <w:p w14:paraId="316B276F" w14:textId="77777777" w:rsidR="00203E88" w:rsidRDefault="00203E88" w:rsidP="00203E88">
      <w:pPr>
        <w:pStyle w:val="a9"/>
        <w:spacing w:line="360" w:lineRule="auto"/>
        <w:jc w:val="both"/>
        <w:rPr>
          <w:rStyle w:val="normal-h"/>
          <w:rFonts w:ascii="David" w:hAnsi="David" w:cs="David"/>
          <w:sz w:val="24"/>
          <w:szCs w:val="24"/>
          <w:rtl/>
        </w:rPr>
      </w:pPr>
    </w:p>
    <w:p w14:paraId="76D49E18" w14:textId="77777777" w:rsidR="00203E88" w:rsidRDefault="00203E88" w:rsidP="00203E88">
      <w:pPr>
        <w:pStyle w:val="a9"/>
        <w:spacing w:line="360" w:lineRule="auto"/>
        <w:jc w:val="both"/>
        <w:rPr>
          <w:rStyle w:val="normal-h"/>
          <w:rFonts w:ascii="David" w:hAnsi="David" w:cs="David"/>
          <w:sz w:val="24"/>
          <w:szCs w:val="24"/>
          <w:rtl/>
        </w:rPr>
      </w:pPr>
      <w:r>
        <w:rPr>
          <w:rStyle w:val="normal-h"/>
          <w:rFonts w:ascii="David" w:hAnsi="David" w:cs="David"/>
          <w:sz w:val="24"/>
          <w:szCs w:val="24"/>
          <w:rtl/>
        </w:rPr>
        <w:t>הנאשם הביע חרטה, טען שלא ישוב על מעשיו וציין שאיבד בעקבותיהם את חייו ומשפחתו.</w:t>
      </w:r>
    </w:p>
    <w:p w14:paraId="55C1F794" w14:textId="77777777" w:rsidR="00203E88" w:rsidRPr="00203E88" w:rsidRDefault="00203E88" w:rsidP="00203E88">
      <w:pPr>
        <w:spacing w:line="360" w:lineRule="auto"/>
        <w:jc w:val="both"/>
        <w:rPr>
          <w:rFonts w:cs="Arial"/>
          <w:sz w:val="22"/>
          <w:szCs w:val="22"/>
        </w:rPr>
      </w:pPr>
    </w:p>
    <w:p w14:paraId="0D43C229" w14:textId="77777777" w:rsidR="00203E88" w:rsidRDefault="00203E88" w:rsidP="00203E88">
      <w:pPr>
        <w:spacing w:line="360" w:lineRule="auto"/>
        <w:jc w:val="both"/>
        <w:rPr>
          <w:rtl/>
        </w:rPr>
      </w:pPr>
      <w:r>
        <w:rPr>
          <w:rFonts w:hint="cs"/>
          <w:b/>
          <w:bCs/>
          <w:u w:val="single"/>
          <w:rtl/>
        </w:rPr>
        <w:t>דיון והכרעה</w:t>
      </w:r>
      <w:r>
        <w:rPr>
          <w:rFonts w:hint="cs"/>
          <w:rtl/>
        </w:rPr>
        <w:t>:</w:t>
      </w:r>
    </w:p>
    <w:p w14:paraId="7B7C46C1" w14:textId="77777777" w:rsidR="00203E88" w:rsidRDefault="00203E88" w:rsidP="00203E88">
      <w:pPr>
        <w:spacing w:line="360" w:lineRule="auto"/>
        <w:jc w:val="both"/>
        <w:rPr>
          <w:rtl/>
        </w:rPr>
      </w:pPr>
      <w:r>
        <w:rPr>
          <w:rFonts w:hint="cs"/>
          <w:rtl/>
        </w:rPr>
        <w:t>תיקון 113 ל</w:t>
      </w:r>
      <w:hyperlink r:id="rId27" w:history="1">
        <w:r w:rsidR="00CF2BAC" w:rsidRPr="00CF2BAC">
          <w:rPr>
            <w:color w:val="0000FF"/>
            <w:u w:val="single"/>
            <w:rtl/>
          </w:rPr>
          <w:t>חוק העונשין</w:t>
        </w:r>
      </w:hyperlink>
      <w:r>
        <w:rPr>
          <w:rFonts w:hint="cs"/>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למעשי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8" w:history="1">
        <w:r w:rsidR="00BE3DD4" w:rsidRPr="00BE3DD4">
          <w:rPr>
            <w:rStyle w:val="Hyperlink"/>
            <w:rFonts w:hint="eastAsia"/>
            <w:rtl/>
          </w:rPr>
          <w:t>בסעיף</w:t>
        </w:r>
        <w:r w:rsidR="00BE3DD4" w:rsidRPr="00BE3DD4">
          <w:rPr>
            <w:rStyle w:val="Hyperlink"/>
            <w:rtl/>
          </w:rPr>
          <w:t xml:space="preserve"> 40ט'</w:t>
        </w:r>
      </w:hyperlink>
      <w:r>
        <w:rPr>
          <w:rFonts w:hint="cs"/>
          <w:rtl/>
        </w:rPr>
        <w:t xml:space="preserve"> ל</w:t>
      </w:r>
      <w:hyperlink r:id="rId29" w:history="1">
        <w:r w:rsidR="00CF2BAC" w:rsidRPr="00CF2BAC">
          <w:rPr>
            <w:color w:val="0000FF"/>
            <w:u w:val="single"/>
            <w:rtl/>
          </w:rPr>
          <w:t>חוק העונשין</w:t>
        </w:r>
      </w:hyperlink>
      <w:r>
        <w:rPr>
          <w:rFonts w:hint="cs"/>
          <w:rtl/>
        </w:rPr>
        <w:t xml:space="preserve">. </w:t>
      </w:r>
    </w:p>
    <w:p w14:paraId="69B34C3A" w14:textId="77777777" w:rsidR="00203E88" w:rsidRDefault="00203E88" w:rsidP="00203E88">
      <w:pPr>
        <w:spacing w:line="360" w:lineRule="auto"/>
        <w:rPr>
          <w:rtl/>
        </w:rPr>
      </w:pPr>
    </w:p>
    <w:p w14:paraId="1E803F7D" w14:textId="77777777" w:rsidR="00203E88" w:rsidRDefault="00203E88" w:rsidP="00203E88">
      <w:pPr>
        <w:spacing w:line="360" w:lineRule="auto"/>
        <w:jc w:val="both"/>
        <w:rPr>
          <w:rtl/>
        </w:rPr>
      </w:pPr>
      <w:r>
        <w:rPr>
          <w:rFonts w:hint="cs"/>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30" w:history="1">
        <w:r w:rsidR="00BE3DD4" w:rsidRPr="00BE3DD4">
          <w:rPr>
            <w:rStyle w:val="Hyperlink"/>
            <w:rFonts w:hint="eastAsia"/>
            <w:rtl/>
          </w:rPr>
          <w:t>בסעיף</w:t>
        </w:r>
        <w:r w:rsidR="00BE3DD4" w:rsidRPr="00BE3DD4">
          <w:rPr>
            <w:rStyle w:val="Hyperlink"/>
            <w:rtl/>
          </w:rPr>
          <w:t xml:space="preserve"> 40יא'</w:t>
        </w:r>
      </w:hyperlink>
      <w:r>
        <w:rPr>
          <w:rFonts w:hint="cs"/>
          <w:rtl/>
        </w:rPr>
        <w:t xml:space="preserve"> לחוק. </w:t>
      </w:r>
    </w:p>
    <w:p w14:paraId="39105FE6" w14:textId="77777777" w:rsidR="00203E88" w:rsidRDefault="00203E88" w:rsidP="00203E88">
      <w:pPr>
        <w:spacing w:line="360" w:lineRule="auto"/>
        <w:rPr>
          <w:rtl/>
        </w:rPr>
      </w:pPr>
    </w:p>
    <w:p w14:paraId="443BCAF4" w14:textId="77777777" w:rsidR="00203E88" w:rsidRDefault="00203E88" w:rsidP="00203E88">
      <w:pPr>
        <w:spacing w:line="360" w:lineRule="auto"/>
        <w:jc w:val="both"/>
        <w:rPr>
          <w:rtl/>
        </w:rPr>
      </w:pPr>
      <w:r>
        <w:rPr>
          <w:rFonts w:hint="cs"/>
          <w:rtl/>
        </w:rPr>
        <w:t xml:space="preserve">בית המשפט רשאי לחרוג ממתחם העונש ההולם בשל שיקולי שיקום או הגנה על שלום הציבור לפי </w:t>
      </w:r>
      <w:hyperlink r:id="rId31" w:history="1">
        <w:r w:rsidR="00BE3DD4" w:rsidRPr="00BE3DD4">
          <w:rPr>
            <w:rStyle w:val="Hyperlink"/>
            <w:rFonts w:hint="eastAsia"/>
            <w:rtl/>
          </w:rPr>
          <w:t>סעיפים</w:t>
        </w:r>
        <w:r w:rsidR="00BE3DD4" w:rsidRPr="00BE3DD4">
          <w:rPr>
            <w:rStyle w:val="Hyperlink"/>
            <w:rtl/>
          </w:rPr>
          <w:t xml:space="preserve"> 40ד'</w:t>
        </w:r>
      </w:hyperlink>
      <w:r>
        <w:rPr>
          <w:rFonts w:hint="cs"/>
          <w:rtl/>
        </w:rPr>
        <w:t xml:space="preserve"> ו</w:t>
      </w:r>
      <w:hyperlink r:id="rId32" w:history="1">
        <w:r w:rsidR="00BE3DD4" w:rsidRPr="00BE3DD4">
          <w:rPr>
            <w:rStyle w:val="Hyperlink"/>
            <w:rtl/>
          </w:rPr>
          <w:t>40 ה'</w:t>
        </w:r>
      </w:hyperlink>
      <w:r>
        <w:rPr>
          <w:rFonts w:hint="cs"/>
          <w:rtl/>
        </w:rPr>
        <w:t xml:space="preserve"> לחוק. </w:t>
      </w:r>
    </w:p>
    <w:p w14:paraId="44E5C8A9" w14:textId="77777777" w:rsidR="00203E88" w:rsidRDefault="00203E88" w:rsidP="00203E88">
      <w:pPr>
        <w:spacing w:line="360" w:lineRule="auto"/>
        <w:jc w:val="both"/>
        <w:rPr>
          <w:rFonts w:ascii="David" w:eastAsia="David" w:hAnsi="David"/>
          <w:b/>
          <w:bCs/>
          <w:u w:val="single"/>
          <w:rtl/>
        </w:rPr>
      </w:pPr>
    </w:p>
    <w:p w14:paraId="3E4FC2F4" w14:textId="77777777" w:rsidR="00203E88" w:rsidRDefault="00203E88" w:rsidP="00203E88">
      <w:pPr>
        <w:spacing w:line="360" w:lineRule="auto"/>
        <w:jc w:val="both"/>
        <w:rPr>
          <w:rFonts w:ascii="Miriam" w:hAnsi="Miriam" w:cs="Miriam"/>
          <w:rtl/>
        </w:rPr>
      </w:pPr>
      <w:r>
        <w:rPr>
          <w:rFonts w:hint="cs"/>
          <w:b/>
          <w:bCs/>
          <w:u w:val="single"/>
          <w:rtl/>
        </w:rPr>
        <w:t>קביעת מתחם העונש ההולם</w:t>
      </w:r>
      <w:r>
        <w:rPr>
          <w:rFonts w:hint="cs"/>
          <w:rtl/>
        </w:rPr>
        <w:t>:</w:t>
      </w:r>
    </w:p>
    <w:p w14:paraId="14F6D007" w14:textId="77777777" w:rsidR="00203E88" w:rsidRDefault="00203E88" w:rsidP="00203E88">
      <w:pPr>
        <w:spacing w:line="360" w:lineRule="auto"/>
        <w:jc w:val="both"/>
        <w:rPr>
          <w:rFonts w:ascii="David" w:hAnsi="David"/>
        </w:rPr>
      </w:pPr>
      <w:r>
        <w:rPr>
          <w:rFonts w:hint="cs"/>
          <w:rtl/>
        </w:rPr>
        <w:t>אין צורך להכביר מילים בדבר חומרת מעשיו של הנאשם, הערכים החברתיים שנפגעו ומידת הפגיעה בהם. הנאשם במעשיו פגע בערכים חברתיים של שלום הציבור ובטחונו, הגנה על חיי אדם ועל הסדר הציבורי</w:t>
      </w:r>
      <w:r>
        <w:rPr>
          <w:rFonts w:ascii="Arial" w:hAnsi="Arial" w:hint="cs"/>
          <w:rtl/>
        </w:rPr>
        <w:t xml:space="preserve"> הואיל ונשק המוחזק שלא כדין עלול להביא לפגיעה בשלטון החוק ובנושאי שלטון החוק המבצעים את תפקידם.  </w:t>
      </w:r>
      <w:r>
        <w:rPr>
          <w:rFonts w:hint="cs"/>
          <w:rtl/>
        </w:rPr>
        <w:t xml:space="preserve"> </w:t>
      </w:r>
    </w:p>
    <w:p w14:paraId="5B9757A9" w14:textId="77777777" w:rsidR="00203E88" w:rsidRDefault="00203E88" w:rsidP="00203E88">
      <w:pPr>
        <w:spacing w:line="360" w:lineRule="auto"/>
        <w:ind w:firstLine="720"/>
        <w:jc w:val="both"/>
        <w:rPr>
          <w:rFonts w:ascii="Arial" w:hAnsi="Arial"/>
          <w:rtl/>
        </w:rPr>
      </w:pPr>
      <w:r>
        <w:rPr>
          <w:rFonts w:ascii="Arial" w:hAnsi="Arial" w:hint="cs"/>
          <w:rtl/>
        </w:rPr>
        <w:t xml:space="preserve">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והיא אכן מובילה בפועל, למקרים חמורים של שימוש מסוכן בנשק, בין אם משום שהנשק מגיע לידיים עברייניות, או כאשר הנשק מגיע לידי מי שמנסים לפגוע בביטחונם ובשלומם של תושבי המדינה, ובין אם תאונות שנגרמות בעת השימוש בנשק. עמדת בית המשפט העליון היא שעל בתי המשפט לתרום את חלקם במיגור תופעה מסוכנת זו על דרך של החמרת </w:t>
      </w:r>
    </w:p>
    <w:p w14:paraId="580AD44C" w14:textId="77777777" w:rsidR="00203E88" w:rsidRDefault="00203E88" w:rsidP="00203E88">
      <w:pPr>
        <w:spacing w:line="360" w:lineRule="auto"/>
        <w:jc w:val="both"/>
        <w:rPr>
          <w:rFonts w:ascii="Arial" w:hAnsi="Arial"/>
        </w:rPr>
      </w:pPr>
      <w:r>
        <w:rPr>
          <w:rFonts w:ascii="Arial" w:hAnsi="Arial" w:hint="cs"/>
          <w:rtl/>
        </w:rPr>
        <w:t xml:space="preserve">הענישה עם מי שמחזיק בנשק שלא כדין. </w:t>
      </w:r>
    </w:p>
    <w:p w14:paraId="327F42A6" w14:textId="77777777" w:rsidR="00203E88" w:rsidRDefault="00203E88" w:rsidP="00203E88">
      <w:pPr>
        <w:spacing w:line="360" w:lineRule="auto"/>
        <w:jc w:val="both"/>
        <w:rPr>
          <w:rFonts w:ascii="Arial" w:hAnsi="Arial"/>
          <w:rtl/>
        </w:rPr>
      </w:pPr>
    </w:p>
    <w:p w14:paraId="572CA861" w14:textId="77777777" w:rsidR="00203E88" w:rsidRDefault="00203E88" w:rsidP="00203E88">
      <w:pPr>
        <w:spacing w:line="360" w:lineRule="auto"/>
        <w:jc w:val="both"/>
        <w:rPr>
          <w:rFonts w:ascii="Arial" w:hAnsi="Arial"/>
          <w:rtl/>
        </w:rPr>
      </w:pPr>
      <w:r>
        <w:rPr>
          <w:rFonts w:ascii="Arial" w:hAnsi="Arial" w:hint="cs"/>
          <w:rtl/>
        </w:rPr>
        <w:t>כפי שנכתב ב</w:t>
      </w:r>
      <w:hyperlink r:id="rId33" w:history="1">
        <w:r w:rsidR="00CF2BAC" w:rsidRPr="00CF2BAC">
          <w:rPr>
            <w:rFonts w:ascii="Arial" w:hAnsi="Arial"/>
            <w:color w:val="0000FF"/>
            <w:u w:val="single"/>
            <w:rtl/>
          </w:rPr>
          <w:t>ע"פ 8416/09</w:t>
        </w:r>
      </w:hyperlink>
      <w:r>
        <w:rPr>
          <w:rFonts w:ascii="Arial" w:hAnsi="Arial" w:hint="cs"/>
          <w:rtl/>
        </w:rPr>
        <w:t xml:space="preserve"> </w:t>
      </w:r>
      <w:r>
        <w:rPr>
          <w:rFonts w:ascii="Arial" w:hAnsi="Arial" w:hint="cs"/>
          <w:b/>
          <w:bCs/>
          <w:rtl/>
        </w:rPr>
        <w:t>מדינת ישראל נ' חרבוש ואח'</w:t>
      </w:r>
      <w:r>
        <w:rPr>
          <w:rFonts w:ascii="Arial" w:hAnsi="Arial" w:hint="cs"/>
          <w:rtl/>
        </w:rPr>
        <w:t xml:space="preserve">, (ניתן בתאריך 9.6.10 [פורסם בנבו]): </w:t>
      </w:r>
    </w:p>
    <w:p w14:paraId="6744756A" w14:textId="77777777" w:rsidR="00203E88" w:rsidRDefault="00203E88" w:rsidP="00203E88">
      <w:pPr>
        <w:spacing w:line="360" w:lineRule="auto"/>
        <w:ind w:left="567" w:right="567"/>
        <w:jc w:val="both"/>
        <w:rPr>
          <w:rFonts w:ascii="Arial" w:hAnsi="Arial"/>
          <w:rtl/>
        </w:rPr>
      </w:pPr>
      <w:r>
        <w:rPr>
          <w:rFonts w:hint="cs"/>
          <w:b/>
          <w:b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w:t>
      </w:r>
      <w:r>
        <w:rPr>
          <w:rFonts w:hint="cs"/>
          <w:b/>
          <w:bCs/>
          <w:sz w:val="28"/>
          <w:rtl/>
        </w:rPr>
        <w:t>ד' ביניש</w:t>
      </w:r>
      <w:r>
        <w:rPr>
          <w:rFonts w:hint="cs"/>
          <w:b/>
          <w:bCs/>
          <w:rtl/>
        </w:rPr>
        <w:t xml:space="preserve">,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w:t>
      </w:r>
      <w:hyperlink r:id="rId34" w:history="1">
        <w:r w:rsidR="003F2839" w:rsidRPr="003F2839">
          <w:rPr>
            <w:b/>
            <w:bCs/>
            <w:color w:val="0000FF"/>
            <w:u w:val="single"/>
            <w:rtl/>
          </w:rPr>
          <w:t xml:space="preserve">1332/04 </w:t>
        </w:r>
      </w:hyperlink>
      <w:r>
        <w:rPr>
          <w:rFonts w:hint="cs"/>
          <w:b/>
          <w:bCs/>
          <w:rtl/>
        </w:rPr>
        <w:t xml:space="preserve"> </w:t>
      </w:r>
      <w:r>
        <w:rPr>
          <w:rFonts w:hint="cs"/>
          <w:b/>
          <w:bCs/>
          <w:sz w:val="28"/>
          <w:rtl/>
        </w:rPr>
        <w:t>מדינת ישראל נ' פס</w:t>
      </w:r>
      <w:r>
        <w:rPr>
          <w:rFonts w:hint="cs"/>
          <w:b/>
          <w:bCs/>
          <w:rtl/>
        </w:rPr>
        <w:t>,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w:t>
      </w:r>
      <w:r>
        <w:rPr>
          <w:rFonts w:hint="cs"/>
          <w:rtl/>
        </w:rPr>
        <w:t xml:space="preserve">. </w:t>
      </w:r>
    </w:p>
    <w:p w14:paraId="48595E17" w14:textId="77777777" w:rsidR="00203E88" w:rsidRDefault="00203E88" w:rsidP="00203E88">
      <w:pPr>
        <w:spacing w:line="360" w:lineRule="auto"/>
        <w:ind w:left="567" w:right="567"/>
        <w:jc w:val="both"/>
        <w:rPr>
          <w:rFonts w:ascii="Arial" w:hAnsi="Arial"/>
          <w:rtl/>
        </w:rPr>
      </w:pPr>
    </w:p>
    <w:p w14:paraId="277B787E" w14:textId="77777777" w:rsidR="00203E88" w:rsidRDefault="00203E88" w:rsidP="00203E88">
      <w:pPr>
        <w:spacing w:line="360" w:lineRule="auto"/>
        <w:jc w:val="both"/>
        <w:rPr>
          <w:rFonts w:ascii="Arial" w:hAnsi="Arial"/>
          <w:rtl/>
        </w:rPr>
      </w:pPr>
      <w:r>
        <w:rPr>
          <w:rFonts w:ascii="Arial" w:hAnsi="Arial" w:hint="cs"/>
          <w:rtl/>
        </w:rPr>
        <w:t>עוד מצאתי להפנות לדבריו של בית-המשפט העליון ב</w:t>
      </w:r>
      <w:hyperlink r:id="rId35" w:history="1">
        <w:r w:rsidR="00CF2BAC" w:rsidRPr="00CF2BAC">
          <w:rPr>
            <w:rFonts w:ascii="Arial" w:hAnsi="Arial"/>
            <w:color w:val="0000FF"/>
            <w:u w:val="single"/>
            <w:rtl/>
          </w:rPr>
          <w:t>ע"פ 147/21</w:t>
        </w:r>
      </w:hyperlink>
      <w:r>
        <w:rPr>
          <w:rFonts w:ascii="Arial" w:hAnsi="Arial" w:hint="cs"/>
          <w:rtl/>
        </w:rPr>
        <w:t xml:space="preserve"> </w:t>
      </w:r>
      <w:r>
        <w:rPr>
          <w:rFonts w:ascii="Arial" w:hAnsi="Arial" w:hint="cs"/>
          <w:b/>
          <w:bCs/>
          <w:rtl/>
        </w:rPr>
        <w:t>מדינת ישראל נ' ירין ביטון</w:t>
      </w:r>
      <w:r>
        <w:rPr>
          <w:rFonts w:ascii="Arial" w:hAnsi="Arial" w:hint="cs"/>
          <w:rtl/>
        </w:rPr>
        <w:t xml:space="preserve">, (ניתן בתאריך 14.2.21 [פורסם בנבו]): </w:t>
      </w:r>
    </w:p>
    <w:p w14:paraId="46CA2EF9" w14:textId="77777777" w:rsidR="00203E88" w:rsidRDefault="00203E88" w:rsidP="00203E88">
      <w:pPr>
        <w:spacing w:line="360" w:lineRule="auto"/>
        <w:ind w:left="567" w:right="567"/>
        <w:jc w:val="both"/>
        <w:rPr>
          <w:rFonts w:ascii="Arial" w:hAnsi="Arial"/>
          <w:rtl/>
        </w:rPr>
      </w:pPr>
      <w:r>
        <w:rPr>
          <w:rFonts w:ascii="Arial" w:hAnsi="Arial" w:hint="cs"/>
          <w:b/>
          <w:bCs/>
          <w:rtl/>
        </w:rPr>
        <w:t>"</w:t>
      </w:r>
      <w:r>
        <w:rPr>
          <w:rFonts w:hint="cs"/>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36" w:history="1">
        <w:r w:rsidR="00CF2BAC" w:rsidRPr="00CF2BAC">
          <w:rPr>
            <w:b/>
            <w:bCs/>
            <w:color w:val="0000FF"/>
            <w:u w:val="single"/>
            <w:rtl/>
          </w:rPr>
          <w:t>יסודות בדיני עונשין</w:t>
        </w:r>
      </w:hyperlink>
      <w:r>
        <w:rPr>
          <w:rFonts w:hint="cs"/>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7" w:history="1">
        <w:r w:rsidR="00CF2BAC" w:rsidRPr="00CF2BAC">
          <w:rPr>
            <w:b/>
            <w:bCs/>
            <w:color w:val="0000FF"/>
            <w:u w:val="single"/>
            <w:rtl/>
          </w:rPr>
          <w:t>חוק העונשין</w:t>
        </w:r>
      </w:hyperlink>
      <w:r>
        <w:rPr>
          <w:rFonts w:hint="cs"/>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8" w:history="1">
        <w:r w:rsidR="00CF2BAC" w:rsidRPr="00CF2BAC">
          <w:rPr>
            <w:b/>
            <w:bCs/>
            <w:color w:val="0000FF"/>
            <w:u w:val="single"/>
            <w:rtl/>
          </w:rPr>
          <w:t>ע"פ 4406/19</w:t>
        </w:r>
      </w:hyperlink>
      <w:r>
        <w:rPr>
          <w:rFonts w:hint="cs"/>
          <w:b/>
          <w:bCs/>
          <w:rtl/>
        </w:rPr>
        <w:t xml:space="preserve"> מדינת ישראל נ' סובח [פורסם בנבו] (5.11.2019) (להלן: עניין סובח)).... </w:t>
      </w:r>
      <w:r>
        <w:rPr>
          <w:rFonts w:ascii="Arial" w:hAnsi="Arial" w:hint="cs"/>
          <w:b/>
          <w:bCs/>
          <w:rtl/>
        </w:rPr>
        <w:t xml:space="preserve">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5578DEF2" w14:textId="77777777" w:rsidR="00203E88" w:rsidRDefault="00203E88" w:rsidP="00203E88">
      <w:pPr>
        <w:spacing w:line="360" w:lineRule="auto"/>
        <w:jc w:val="both"/>
        <w:rPr>
          <w:rFonts w:ascii="David" w:hAnsi="David"/>
          <w:rtl/>
        </w:rPr>
      </w:pPr>
    </w:p>
    <w:p w14:paraId="190DD79D" w14:textId="77777777" w:rsidR="00203E88" w:rsidRDefault="00203E88" w:rsidP="00203E88">
      <w:pPr>
        <w:spacing w:line="360" w:lineRule="auto"/>
        <w:jc w:val="both"/>
        <w:rPr>
          <w:rtl/>
        </w:rPr>
      </w:pPr>
      <w:r>
        <w:rPr>
          <w:rFonts w:hint="cs"/>
          <w:rtl/>
        </w:rPr>
        <w:t>ערכים אלו עליהם עמדתי כולם נמצאים בסיכון ממשי מקום בו מחזיק הנאשם באקדח מוסלק בארון בגדים ולצידו תחמושת חיה.</w:t>
      </w:r>
    </w:p>
    <w:p w14:paraId="43155284" w14:textId="77777777" w:rsidR="00203E88" w:rsidRDefault="00203E88" w:rsidP="00203E88">
      <w:pPr>
        <w:spacing w:line="360" w:lineRule="auto"/>
        <w:jc w:val="both"/>
      </w:pPr>
    </w:p>
    <w:p w14:paraId="240B5970" w14:textId="77777777" w:rsidR="00203E88" w:rsidRDefault="00203E88" w:rsidP="00203E88">
      <w:pPr>
        <w:spacing w:line="360" w:lineRule="auto"/>
        <w:jc w:val="both"/>
        <w:rPr>
          <w:rFonts w:ascii="David" w:hAnsi="David"/>
          <w:rtl/>
        </w:rPr>
      </w:pPr>
      <w:r>
        <w:rPr>
          <w:rFonts w:hint="cs"/>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9" w:history="1">
        <w:r w:rsidR="00CF2BAC" w:rsidRPr="00CF2BAC">
          <w:rPr>
            <w:color w:val="0000FF"/>
            <w:u w:val="single"/>
            <w:rtl/>
          </w:rPr>
          <w:t>ע"פ 2398/14</w:t>
        </w:r>
      </w:hyperlink>
      <w:r>
        <w:rPr>
          <w:rFonts w:hint="cs"/>
          <w:rtl/>
        </w:rPr>
        <w:t xml:space="preserve"> אלהזייל נגד מדינת ישראל (ניתן בתאריך 8/7/14 [פורסם בנבו]) בציינו כך:</w:t>
      </w:r>
    </w:p>
    <w:p w14:paraId="6272DC1A" w14:textId="77777777" w:rsidR="00203E88" w:rsidRDefault="00203E88" w:rsidP="00203E88">
      <w:pPr>
        <w:autoSpaceDE w:val="0"/>
        <w:autoSpaceDN w:val="0"/>
        <w:adjustRightInd w:val="0"/>
        <w:spacing w:line="360" w:lineRule="auto"/>
        <w:ind w:left="567" w:right="567"/>
        <w:jc w:val="both"/>
        <w:rPr>
          <w:b/>
          <w:bCs/>
          <w:rtl/>
        </w:rPr>
      </w:pPr>
      <w:r>
        <w:rPr>
          <w:rFonts w:hint="cs"/>
          <w:b/>
          <w:bCs/>
          <w:rtl/>
        </w:rPr>
        <w:t>"אחזור</w:t>
      </w:r>
      <w:r>
        <w:rPr>
          <w:rFonts w:hint="cs"/>
          <w:b/>
          <w:bCs/>
        </w:rPr>
        <w:t xml:space="preserve"> </w:t>
      </w:r>
      <w:r>
        <w:rPr>
          <w:rFonts w:hint="cs"/>
          <w:b/>
          <w:bCs/>
          <w:rtl/>
        </w:rPr>
        <w:t>ואדגיש</w:t>
      </w:r>
      <w:r>
        <w:rPr>
          <w:rFonts w:hint="cs"/>
          <w:b/>
          <w:bCs/>
        </w:rPr>
        <w:t xml:space="preserve"> </w:t>
      </w:r>
      <w:r>
        <w:rPr>
          <w:rFonts w:hint="cs"/>
          <w:b/>
          <w:bCs/>
          <w:rtl/>
        </w:rPr>
        <w:t>את</w:t>
      </w:r>
      <w:r>
        <w:rPr>
          <w:rFonts w:hint="cs"/>
          <w:b/>
          <w:bCs/>
        </w:rPr>
        <w:t xml:space="preserve"> </w:t>
      </w:r>
      <w:r>
        <w:rPr>
          <w:rFonts w:hint="cs"/>
          <w:b/>
          <w:bCs/>
          <w:rtl/>
        </w:rPr>
        <w:t>מדיניות</w:t>
      </w:r>
      <w:r>
        <w:rPr>
          <w:rFonts w:hint="cs"/>
          <w:b/>
          <w:bCs/>
        </w:rPr>
        <w:t xml:space="preserve"> </w:t>
      </w:r>
      <w:r>
        <w:rPr>
          <w:rFonts w:hint="cs"/>
          <w:b/>
          <w:bCs/>
          <w:rtl/>
        </w:rPr>
        <w:t>ההחמרה בעבירות</w:t>
      </w:r>
      <w:r>
        <w:rPr>
          <w:rFonts w:hint="cs"/>
          <w:b/>
          <w:bCs/>
        </w:rPr>
        <w:t xml:space="preserve"> </w:t>
      </w:r>
      <w:r>
        <w:rPr>
          <w:rFonts w:hint="cs"/>
          <w:b/>
          <w:bCs/>
          <w:rtl/>
        </w:rPr>
        <w:t>נשק, שבאה</w:t>
      </w:r>
      <w:r>
        <w:rPr>
          <w:rFonts w:hint="cs"/>
          <w:b/>
          <w:bCs/>
        </w:rPr>
        <w:t xml:space="preserve"> </w:t>
      </w:r>
      <w:r>
        <w:rPr>
          <w:rFonts w:hint="cs"/>
          <w:b/>
          <w:bCs/>
          <w:rtl/>
        </w:rPr>
        <w:t>לידי</w:t>
      </w:r>
      <w:r>
        <w:rPr>
          <w:rFonts w:hint="cs"/>
          <w:b/>
          <w:bCs/>
        </w:rPr>
        <w:t xml:space="preserve"> </w:t>
      </w:r>
      <w:r>
        <w:rPr>
          <w:rFonts w:hint="cs"/>
          <w:b/>
          <w:bCs/>
          <w:rtl/>
        </w:rPr>
        <w:t>ביטוי</w:t>
      </w:r>
      <w:r>
        <w:rPr>
          <w:rFonts w:hint="cs"/>
          <w:b/>
          <w:bCs/>
        </w:rPr>
        <w:t xml:space="preserve"> </w:t>
      </w:r>
      <w:r>
        <w:rPr>
          <w:rFonts w:hint="cs"/>
          <w:b/>
          <w:bCs/>
          <w:rtl/>
        </w:rPr>
        <w:t>בשורה</w:t>
      </w:r>
      <w:r>
        <w:rPr>
          <w:rFonts w:hint="cs"/>
          <w:b/>
          <w:bCs/>
        </w:rPr>
        <w:t xml:space="preserve"> </w:t>
      </w:r>
      <w:r>
        <w:rPr>
          <w:rFonts w:hint="cs"/>
          <w:b/>
          <w:bCs/>
          <w:rtl/>
        </w:rPr>
        <w:t>ארוכה</w:t>
      </w:r>
      <w:r>
        <w:rPr>
          <w:rFonts w:hint="cs"/>
          <w:b/>
          <w:bCs/>
        </w:rPr>
        <w:t xml:space="preserve"> </w:t>
      </w:r>
      <w:r>
        <w:rPr>
          <w:rFonts w:hint="cs"/>
          <w:b/>
          <w:bCs/>
          <w:rtl/>
        </w:rPr>
        <w:t>של</w:t>
      </w:r>
      <w:r>
        <w:rPr>
          <w:rFonts w:hint="cs"/>
          <w:b/>
          <w:bCs/>
        </w:rPr>
        <w:t xml:space="preserve"> </w:t>
      </w:r>
      <w:r>
        <w:rPr>
          <w:rFonts w:hint="cs"/>
          <w:b/>
          <w:bCs/>
          <w:rtl/>
        </w:rPr>
        <w:t>פסקי</w:t>
      </w:r>
      <w:r>
        <w:rPr>
          <w:rFonts w:hint="cs"/>
          <w:b/>
          <w:bCs/>
        </w:rPr>
        <w:t xml:space="preserve"> </w:t>
      </w:r>
      <w:r>
        <w:rPr>
          <w:rFonts w:hint="cs"/>
          <w:b/>
          <w:bCs/>
          <w:rtl/>
        </w:rPr>
        <w:t>דין</w:t>
      </w:r>
      <w:r>
        <w:rPr>
          <w:rFonts w:hint="cs"/>
          <w:b/>
          <w:bCs/>
        </w:rPr>
        <w:t xml:space="preserve"> </w:t>
      </w:r>
      <w:r>
        <w:rPr>
          <w:rFonts w:hint="cs"/>
          <w:b/>
          <w:bCs/>
          <w:rtl/>
        </w:rPr>
        <w:t>של</w:t>
      </w:r>
      <w:r>
        <w:rPr>
          <w:rFonts w:hint="cs"/>
          <w:b/>
          <w:bCs/>
        </w:rPr>
        <w:t xml:space="preserve"> </w:t>
      </w:r>
      <w:r>
        <w:rPr>
          <w:rFonts w:hint="cs"/>
          <w:b/>
          <w:bCs/>
          <w:rtl/>
        </w:rPr>
        <w:t>בית</w:t>
      </w:r>
      <w:r>
        <w:rPr>
          <w:rFonts w:hint="cs"/>
          <w:b/>
          <w:bCs/>
        </w:rPr>
        <w:t xml:space="preserve"> </w:t>
      </w:r>
      <w:r>
        <w:rPr>
          <w:rFonts w:hint="cs"/>
          <w:b/>
          <w:bCs/>
          <w:rtl/>
        </w:rPr>
        <w:t>משפט</w:t>
      </w:r>
      <w:r>
        <w:rPr>
          <w:rFonts w:hint="cs"/>
          <w:b/>
          <w:bCs/>
        </w:rPr>
        <w:t xml:space="preserve"> </w:t>
      </w:r>
      <w:r>
        <w:rPr>
          <w:rFonts w:hint="cs"/>
          <w:b/>
          <w:bCs/>
          <w:rtl/>
        </w:rPr>
        <w:t>זה</w:t>
      </w:r>
      <w:r>
        <w:rPr>
          <w:rFonts w:hint="cs"/>
          <w:b/>
          <w:bCs/>
        </w:rPr>
        <w:t xml:space="preserve"> </w:t>
      </w:r>
      <w:r>
        <w:rPr>
          <w:rFonts w:hint="cs"/>
          <w:b/>
          <w:bCs/>
          <w:rtl/>
        </w:rPr>
        <w:t>בשנים האחרונות...לזמינות</w:t>
      </w:r>
      <w:r>
        <w:rPr>
          <w:rFonts w:hint="cs"/>
          <w:b/>
          <w:bCs/>
        </w:rPr>
        <w:t xml:space="preserve"> </w:t>
      </w:r>
      <w:r>
        <w:rPr>
          <w:rFonts w:hint="cs"/>
          <w:b/>
          <w:bCs/>
          <w:rtl/>
        </w:rPr>
        <w:t>הבלתי</w:t>
      </w:r>
      <w:r>
        <w:rPr>
          <w:rFonts w:hint="cs"/>
          <w:b/>
          <w:bCs/>
        </w:rPr>
        <w:t xml:space="preserve"> </w:t>
      </w:r>
      <w:r>
        <w:rPr>
          <w:rFonts w:hint="cs"/>
          <w:b/>
          <w:bCs/>
          <w:rtl/>
        </w:rPr>
        <w:t>נסבלת</w:t>
      </w:r>
      <w:r>
        <w:rPr>
          <w:rFonts w:hint="cs"/>
          <w:b/>
          <w:bCs/>
        </w:rPr>
        <w:t xml:space="preserve"> </w:t>
      </w:r>
      <w:r>
        <w:rPr>
          <w:rFonts w:hint="cs"/>
          <w:b/>
          <w:bCs/>
          <w:rtl/>
        </w:rPr>
        <w:t>של</w:t>
      </w:r>
      <w:r>
        <w:rPr>
          <w:rFonts w:hint="cs"/>
          <w:b/>
          <w:bCs/>
        </w:rPr>
        <w:t xml:space="preserve"> </w:t>
      </w:r>
      <w:r>
        <w:rPr>
          <w:rFonts w:hint="cs"/>
          <w:b/>
          <w:bCs/>
          <w:rtl/>
        </w:rPr>
        <w:t>נשק</w:t>
      </w:r>
      <w:r>
        <w:rPr>
          <w:rFonts w:hint="cs"/>
          <w:b/>
          <w:bCs/>
        </w:rPr>
        <w:t xml:space="preserve"> </w:t>
      </w:r>
      <w:r>
        <w:rPr>
          <w:rFonts w:hint="cs"/>
          <w:b/>
          <w:bCs/>
          <w:rtl/>
        </w:rPr>
        <w:t>חם</w:t>
      </w:r>
      <w:r>
        <w:rPr>
          <w:rFonts w:hint="cs"/>
          <w:b/>
          <w:bCs/>
        </w:rPr>
        <w:t xml:space="preserve"> </w:t>
      </w:r>
      <w:r>
        <w:rPr>
          <w:rFonts w:hint="cs"/>
          <w:b/>
          <w:bCs/>
          <w:rtl/>
        </w:rPr>
        <w:t>בידי</w:t>
      </w:r>
      <w:r>
        <w:rPr>
          <w:rFonts w:hint="cs"/>
          <w:b/>
          <w:bCs/>
        </w:rPr>
        <w:t xml:space="preserve"> </w:t>
      </w:r>
      <w:r>
        <w:rPr>
          <w:rFonts w:hint="cs"/>
          <w:b/>
          <w:bCs/>
          <w:rtl/>
        </w:rPr>
        <w:t>מי</w:t>
      </w:r>
      <w:r>
        <w:rPr>
          <w:rFonts w:hint="cs"/>
          <w:b/>
          <w:bCs/>
        </w:rPr>
        <w:t xml:space="preserve"> </w:t>
      </w:r>
      <w:r>
        <w:rPr>
          <w:rFonts w:hint="cs"/>
          <w:b/>
          <w:bCs/>
          <w:rtl/>
        </w:rPr>
        <w:t>שאינם</w:t>
      </w:r>
      <w:r>
        <w:rPr>
          <w:rFonts w:hint="cs"/>
          <w:b/>
          <w:bCs/>
        </w:rPr>
        <w:t xml:space="preserve"> </w:t>
      </w:r>
      <w:r>
        <w:rPr>
          <w:rFonts w:hint="cs"/>
          <w:b/>
          <w:bCs/>
          <w:rtl/>
        </w:rPr>
        <w:t>מורשים</w:t>
      </w:r>
      <w:r>
        <w:rPr>
          <w:rFonts w:hint="cs"/>
          <w:b/>
          <w:bCs/>
        </w:rPr>
        <w:t xml:space="preserve"> </w:t>
      </w:r>
      <w:r>
        <w:rPr>
          <w:rFonts w:hint="cs"/>
          <w:b/>
          <w:bCs/>
          <w:rtl/>
        </w:rPr>
        <w:t>לכך יש</w:t>
      </w:r>
      <w:r>
        <w:rPr>
          <w:rFonts w:hint="cs"/>
          <w:b/>
          <w:bCs/>
        </w:rPr>
        <w:t xml:space="preserve"> </w:t>
      </w:r>
      <w:r>
        <w:rPr>
          <w:rFonts w:hint="cs"/>
          <w:b/>
          <w:bCs/>
          <w:rtl/>
        </w:rPr>
        <w:t>פוטנציאל</w:t>
      </w:r>
      <w:r>
        <w:rPr>
          <w:rFonts w:hint="cs"/>
          <w:b/>
          <w:bCs/>
        </w:rPr>
        <w:t xml:space="preserve"> </w:t>
      </w:r>
      <w:r>
        <w:rPr>
          <w:rFonts w:hint="cs"/>
          <w:b/>
          <w:bCs/>
          <w:rtl/>
        </w:rPr>
        <w:t>לשמש</w:t>
      </w:r>
      <w:r>
        <w:rPr>
          <w:rFonts w:hint="cs"/>
          <w:b/>
          <w:bCs/>
        </w:rPr>
        <w:t xml:space="preserve"> </w:t>
      </w:r>
      <w:r>
        <w:rPr>
          <w:rFonts w:hint="cs"/>
          <w:b/>
          <w:bCs/>
          <w:rtl/>
        </w:rPr>
        <w:t>ל</w:t>
      </w:r>
      <w:r>
        <w:rPr>
          <w:b/>
          <w:bCs/>
        </w:rPr>
        <w:t>"</w:t>
      </w:r>
      <w:r>
        <w:rPr>
          <w:rFonts w:hint="cs"/>
          <w:b/>
          <w:bCs/>
          <w:rtl/>
        </w:rPr>
        <w:t>חיסול</w:t>
      </w:r>
      <w:r>
        <w:rPr>
          <w:rFonts w:hint="cs"/>
          <w:b/>
          <w:bCs/>
        </w:rPr>
        <w:t xml:space="preserve"> </w:t>
      </w:r>
      <w:r>
        <w:rPr>
          <w:rFonts w:hint="cs"/>
          <w:b/>
          <w:bCs/>
          <w:rtl/>
        </w:rPr>
        <w:t>חשבונות" ול"פתרון</w:t>
      </w:r>
      <w:r>
        <w:rPr>
          <w:rFonts w:hint="cs"/>
          <w:b/>
          <w:bCs/>
        </w:rPr>
        <w:t xml:space="preserve"> </w:t>
      </w:r>
      <w:r>
        <w:rPr>
          <w:rFonts w:hint="cs"/>
          <w:b/>
          <w:bCs/>
          <w:rtl/>
        </w:rPr>
        <w:t>סכסוכים" כמו גם</w:t>
      </w:r>
      <w:r>
        <w:rPr>
          <w:rFonts w:hint="cs"/>
          <w:b/>
          <w:bCs/>
        </w:rPr>
        <w:t xml:space="preserve"> </w:t>
      </w:r>
      <w:r>
        <w:rPr>
          <w:rFonts w:hint="cs"/>
          <w:b/>
          <w:bCs/>
          <w:rtl/>
        </w:rPr>
        <w:t>לעבירות</w:t>
      </w:r>
      <w:r>
        <w:rPr>
          <w:rFonts w:hint="cs"/>
          <w:b/>
          <w:bCs/>
        </w:rPr>
        <w:t xml:space="preserve"> </w:t>
      </w:r>
      <w:r>
        <w:rPr>
          <w:rFonts w:hint="cs"/>
          <w:b/>
          <w:bCs/>
          <w:rtl/>
        </w:rPr>
        <w:t>חמורות נוספות. המציאות</w:t>
      </w:r>
      <w:r>
        <w:rPr>
          <w:rFonts w:hint="cs"/>
          <w:b/>
          <w:bCs/>
        </w:rPr>
        <w:t xml:space="preserve"> </w:t>
      </w:r>
      <w:r>
        <w:rPr>
          <w:rFonts w:hint="cs"/>
          <w:b/>
          <w:bCs/>
          <w:rtl/>
        </w:rPr>
        <w:t>בארצנו</w:t>
      </w:r>
      <w:r>
        <w:rPr>
          <w:rFonts w:hint="cs"/>
          <w:b/>
          <w:bCs/>
        </w:rPr>
        <w:t xml:space="preserve"> </w:t>
      </w:r>
      <w:r>
        <w:rPr>
          <w:rFonts w:hint="cs"/>
          <w:b/>
          <w:bCs/>
          <w:rtl/>
        </w:rPr>
        <w:t>מוכיחה</w:t>
      </w:r>
      <w:r>
        <w:rPr>
          <w:rFonts w:hint="cs"/>
          <w:b/>
          <w:bCs/>
        </w:rPr>
        <w:t xml:space="preserve"> </w:t>
      </w:r>
      <w:r>
        <w:rPr>
          <w:rFonts w:hint="cs"/>
          <w:b/>
          <w:bCs/>
          <w:rtl/>
        </w:rPr>
        <w:t>כי</w:t>
      </w:r>
      <w:r>
        <w:rPr>
          <w:rFonts w:hint="cs"/>
          <w:b/>
          <w:bCs/>
        </w:rPr>
        <w:t xml:space="preserve"> </w:t>
      </w:r>
      <w:r>
        <w:rPr>
          <w:rFonts w:hint="cs"/>
          <w:b/>
          <w:bCs/>
          <w:rtl/>
        </w:rPr>
        <w:t>הקלישאה</w:t>
      </w:r>
      <w:r>
        <w:rPr>
          <w:rFonts w:hint="cs"/>
          <w:b/>
          <w:bCs/>
        </w:rPr>
        <w:t xml:space="preserve"> </w:t>
      </w:r>
      <w:r>
        <w:rPr>
          <w:rFonts w:hint="cs"/>
          <w:b/>
          <w:bCs/>
          <w:rtl/>
        </w:rPr>
        <w:t>אודות</w:t>
      </w:r>
      <w:r>
        <w:rPr>
          <w:rFonts w:hint="cs"/>
          <w:b/>
          <w:bCs/>
        </w:rPr>
        <w:t xml:space="preserve"> </w:t>
      </w:r>
      <w:r>
        <w:rPr>
          <w:rFonts w:hint="cs"/>
          <w:b/>
          <w:bCs/>
          <w:rtl/>
        </w:rPr>
        <w:t>האקדח</w:t>
      </w:r>
      <w:r>
        <w:rPr>
          <w:rFonts w:hint="cs"/>
          <w:b/>
          <w:bCs/>
        </w:rPr>
        <w:t xml:space="preserve"> </w:t>
      </w:r>
      <w:r>
        <w:rPr>
          <w:rFonts w:hint="cs"/>
          <w:b/>
          <w:bCs/>
          <w:rtl/>
        </w:rPr>
        <w:t>במערכה</w:t>
      </w:r>
      <w:r>
        <w:rPr>
          <w:rFonts w:hint="cs"/>
          <w:b/>
          <w:bCs/>
        </w:rPr>
        <w:t xml:space="preserve"> </w:t>
      </w:r>
      <w:r>
        <w:rPr>
          <w:rFonts w:hint="cs"/>
          <w:b/>
          <w:bCs/>
          <w:rtl/>
        </w:rPr>
        <w:t>הראשונה</w:t>
      </w:r>
      <w:r>
        <w:rPr>
          <w:rFonts w:hint="cs"/>
          <w:b/>
          <w:bCs/>
        </w:rPr>
        <w:t xml:space="preserve"> </w:t>
      </w:r>
      <w:r>
        <w:rPr>
          <w:rFonts w:hint="cs"/>
          <w:b/>
          <w:bCs/>
          <w:rtl/>
        </w:rPr>
        <w:t>אינה מדויקת,</w:t>
      </w:r>
      <w:r>
        <w:rPr>
          <w:rFonts w:hint="cs"/>
          <w:b/>
          <w:bCs/>
        </w:rPr>
        <w:t xml:space="preserve"> </w:t>
      </w:r>
      <w:r>
        <w:rPr>
          <w:rFonts w:hint="cs"/>
          <w:b/>
          <w:bCs/>
          <w:rtl/>
        </w:rPr>
        <w:t>באשר</w:t>
      </w:r>
      <w:r>
        <w:rPr>
          <w:rFonts w:hint="cs"/>
          <w:b/>
          <w:bCs/>
        </w:rPr>
        <w:t xml:space="preserve"> </w:t>
      </w:r>
      <w:r>
        <w:rPr>
          <w:rFonts w:hint="cs"/>
          <w:b/>
          <w:bCs/>
          <w:rtl/>
        </w:rPr>
        <w:t>לעיתים</w:t>
      </w:r>
      <w:r>
        <w:rPr>
          <w:rFonts w:hint="cs"/>
          <w:b/>
          <w:bCs/>
        </w:rPr>
        <w:t xml:space="preserve"> </w:t>
      </w:r>
      <w:r>
        <w:rPr>
          <w:rFonts w:hint="cs"/>
          <w:b/>
          <w:bCs/>
          <w:rtl/>
        </w:rPr>
        <w:t>מזומנות</w:t>
      </w:r>
      <w:r>
        <w:rPr>
          <w:rFonts w:hint="cs"/>
          <w:b/>
          <w:bCs/>
        </w:rPr>
        <w:t xml:space="preserve"> </w:t>
      </w:r>
      <w:r>
        <w:rPr>
          <w:rFonts w:hint="cs"/>
          <w:b/>
          <w:bCs/>
          <w:rtl/>
        </w:rPr>
        <w:t>האקדח</w:t>
      </w:r>
      <w:r>
        <w:rPr>
          <w:rFonts w:hint="cs"/>
          <w:b/>
          <w:bCs/>
        </w:rPr>
        <w:t xml:space="preserve"> </w:t>
      </w:r>
      <w:r>
        <w:rPr>
          <w:rFonts w:hint="cs"/>
          <w:b/>
          <w:bCs/>
          <w:rtl/>
        </w:rPr>
        <w:t>אינו</w:t>
      </w:r>
      <w:r>
        <w:rPr>
          <w:rFonts w:hint="cs"/>
          <w:b/>
          <w:bCs/>
        </w:rPr>
        <w:t xml:space="preserve"> </w:t>
      </w:r>
      <w:r>
        <w:rPr>
          <w:rFonts w:hint="cs"/>
          <w:b/>
          <w:bCs/>
          <w:rtl/>
        </w:rPr>
        <w:t>ממתין</w:t>
      </w:r>
      <w:r>
        <w:rPr>
          <w:rFonts w:hint="cs"/>
          <w:b/>
          <w:bCs/>
        </w:rPr>
        <w:t xml:space="preserve"> </w:t>
      </w:r>
      <w:r>
        <w:rPr>
          <w:rFonts w:hint="cs"/>
          <w:b/>
          <w:bCs/>
          <w:rtl/>
        </w:rPr>
        <w:t>עד</w:t>
      </w:r>
      <w:r>
        <w:rPr>
          <w:rFonts w:hint="cs"/>
          <w:b/>
          <w:bCs/>
        </w:rPr>
        <w:t xml:space="preserve"> </w:t>
      </w:r>
      <w:r>
        <w:rPr>
          <w:rFonts w:hint="cs"/>
          <w:b/>
          <w:bCs/>
          <w:rtl/>
        </w:rPr>
        <w:t>למערכה</w:t>
      </w:r>
      <w:r>
        <w:rPr>
          <w:rFonts w:hint="cs"/>
          <w:b/>
          <w:bCs/>
        </w:rPr>
        <w:t xml:space="preserve"> </w:t>
      </w:r>
      <w:r>
        <w:rPr>
          <w:rFonts w:hint="cs"/>
          <w:b/>
          <w:bCs/>
          <w:rtl/>
        </w:rPr>
        <w:t>האחרונה</w:t>
      </w:r>
      <w:r>
        <w:rPr>
          <w:rFonts w:hint="cs"/>
          <w:b/>
          <w:bCs/>
        </w:rPr>
        <w:t xml:space="preserve"> </w:t>
      </w:r>
      <w:r>
        <w:rPr>
          <w:rFonts w:hint="cs"/>
          <w:b/>
          <w:bCs/>
          <w:rtl/>
        </w:rPr>
        <w:t>ויורה</w:t>
      </w:r>
      <w:r>
        <w:rPr>
          <w:rFonts w:hint="cs"/>
          <w:b/>
          <w:bCs/>
        </w:rPr>
        <w:t xml:space="preserve"> </w:t>
      </w:r>
      <w:r>
        <w:rPr>
          <w:rFonts w:hint="cs"/>
          <w:b/>
          <w:bCs/>
          <w:rtl/>
        </w:rPr>
        <w:t>עוד קודם</w:t>
      </w:r>
      <w:r>
        <w:rPr>
          <w:rFonts w:hint="cs"/>
          <w:b/>
          <w:bCs/>
        </w:rPr>
        <w:t xml:space="preserve"> </w:t>
      </w:r>
      <w:r>
        <w:rPr>
          <w:rFonts w:hint="cs"/>
          <w:b/>
          <w:bCs/>
          <w:rtl/>
        </w:rPr>
        <w:t>לכן,</w:t>
      </w:r>
      <w:r>
        <w:rPr>
          <w:rFonts w:hint="cs"/>
          <w:b/>
          <w:bCs/>
        </w:rPr>
        <w:t xml:space="preserve"> </w:t>
      </w:r>
      <w:r>
        <w:rPr>
          <w:rFonts w:hint="cs"/>
          <w:b/>
          <w:bCs/>
          <w:rtl/>
        </w:rPr>
        <w:t>מכאן,</w:t>
      </w:r>
      <w:r>
        <w:rPr>
          <w:rFonts w:hint="cs"/>
          <w:b/>
          <w:bCs/>
        </w:rPr>
        <w:t xml:space="preserve"> </w:t>
      </w:r>
      <w:r>
        <w:rPr>
          <w:rFonts w:hint="cs"/>
          <w:b/>
          <w:bCs/>
          <w:rtl/>
        </w:rPr>
        <w:t>שבעבירות</w:t>
      </w:r>
      <w:r>
        <w:rPr>
          <w:rFonts w:hint="cs"/>
          <w:b/>
          <w:bCs/>
        </w:rPr>
        <w:t xml:space="preserve"> </w:t>
      </w:r>
      <w:r>
        <w:rPr>
          <w:rFonts w:hint="cs"/>
          <w:b/>
          <w:bCs/>
          <w:rtl/>
        </w:rPr>
        <w:t>כגון</w:t>
      </w:r>
      <w:r>
        <w:rPr>
          <w:rFonts w:hint="cs"/>
          <w:b/>
          <w:bCs/>
        </w:rPr>
        <w:t xml:space="preserve"> </w:t>
      </w:r>
      <w:r>
        <w:rPr>
          <w:rFonts w:hint="cs"/>
          <w:b/>
          <w:bCs/>
          <w:rtl/>
        </w:rPr>
        <w:t>דא, גם</w:t>
      </w:r>
      <w:r>
        <w:rPr>
          <w:rFonts w:hint="cs"/>
          <w:b/>
          <w:bCs/>
        </w:rPr>
        <w:t xml:space="preserve"> </w:t>
      </w:r>
      <w:r>
        <w:rPr>
          <w:rFonts w:hint="cs"/>
          <w:b/>
          <w:bCs/>
          <w:rtl/>
        </w:rPr>
        <w:t>לשיקולי</w:t>
      </w:r>
      <w:r>
        <w:rPr>
          <w:rFonts w:hint="cs"/>
          <w:b/>
          <w:bCs/>
        </w:rPr>
        <w:t xml:space="preserve"> </w:t>
      </w:r>
      <w:r>
        <w:rPr>
          <w:rFonts w:hint="cs"/>
          <w:b/>
          <w:bCs/>
          <w:rtl/>
        </w:rPr>
        <w:t>ההרתעה</w:t>
      </w:r>
      <w:r>
        <w:rPr>
          <w:rFonts w:hint="cs"/>
          <w:b/>
          <w:bCs/>
        </w:rPr>
        <w:t xml:space="preserve"> </w:t>
      </w:r>
      <w:r>
        <w:rPr>
          <w:rFonts w:hint="cs"/>
          <w:b/>
          <w:bCs/>
          <w:rtl/>
        </w:rPr>
        <w:t>משקל</w:t>
      </w:r>
      <w:r>
        <w:rPr>
          <w:rFonts w:hint="cs"/>
          <w:b/>
          <w:bCs/>
        </w:rPr>
        <w:t xml:space="preserve"> </w:t>
      </w:r>
      <w:r>
        <w:rPr>
          <w:rFonts w:hint="cs"/>
          <w:b/>
          <w:bCs/>
          <w:rtl/>
        </w:rPr>
        <w:t>של</w:t>
      </w:r>
      <w:r>
        <w:rPr>
          <w:rFonts w:hint="cs"/>
          <w:b/>
          <w:bCs/>
        </w:rPr>
        <w:t xml:space="preserve"> </w:t>
      </w:r>
      <w:r>
        <w:rPr>
          <w:rFonts w:hint="cs"/>
          <w:b/>
          <w:bCs/>
          <w:rtl/>
        </w:rPr>
        <w:t>ממש</w:t>
      </w:r>
      <w:r>
        <w:rPr>
          <w:b/>
          <w:bCs/>
        </w:rPr>
        <w:t>.</w:t>
      </w:r>
      <w:r>
        <w:rPr>
          <w:rFonts w:hint="cs"/>
          <w:b/>
          <w:bCs/>
          <w:rtl/>
        </w:rPr>
        <w:t>"</w:t>
      </w:r>
    </w:p>
    <w:p w14:paraId="6B72B70C" w14:textId="77777777" w:rsidR="00203E88" w:rsidRPr="00203E88" w:rsidRDefault="00203E88" w:rsidP="00203E88">
      <w:pPr>
        <w:autoSpaceDE w:val="0"/>
        <w:autoSpaceDN w:val="0"/>
        <w:adjustRightInd w:val="0"/>
        <w:spacing w:line="360" w:lineRule="auto"/>
        <w:ind w:left="1418" w:right="1418"/>
        <w:jc w:val="both"/>
        <w:rPr>
          <w:rFonts w:ascii="Calibri" w:hAnsi="Calibri" w:cs="Arial"/>
          <w:sz w:val="22"/>
          <w:szCs w:val="22"/>
          <w:rtl/>
        </w:rPr>
      </w:pPr>
    </w:p>
    <w:p w14:paraId="2AE52CE4" w14:textId="77777777" w:rsidR="00203E88" w:rsidRDefault="00203E88" w:rsidP="00203E88">
      <w:pPr>
        <w:spacing w:after="240" w:line="360" w:lineRule="auto"/>
        <w:jc w:val="both"/>
        <w:rPr>
          <w:rFonts w:ascii="David" w:hAnsi="David"/>
        </w:rPr>
      </w:pPr>
      <w:r>
        <w:rPr>
          <w:rFonts w:hint="cs"/>
          <w:rtl/>
        </w:rPr>
        <w:t>לאחרונה, עדים אנו לקריאות של בתי המשפט בכל הערכאות, להעלות את רף הענישה בעבירות הנשק לסוגיהן. ב</w:t>
      </w:r>
      <w:hyperlink r:id="rId40" w:history="1">
        <w:r w:rsidR="00CF2BAC" w:rsidRPr="00CF2BAC">
          <w:rPr>
            <w:color w:val="0000FF"/>
            <w:u w:val="single"/>
            <w:rtl/>
          </w:rPr>
          <w:t>ע"פ 4406/19</w:t>
        </w:r>
      </w:hyperlink>
      <w:r>
        <w:rPr>
          <w:rFonts w:hint="cs"/>
          <w:rtl/>
        </w:rPr>
        <w:t xml:space="preserve"> </w:t>
      </w:r>
      <w:r>
        <w:rPr>
          <w:rFonts w:hint="cs"/>
          <w:b/>
          <w:bCs/>
          <w:rtl/>
        </w:rPr>
        <w:t>מדינת ישראל נ' יונס סובח</w:t>
      </w:r>
      <w:r>
        <w:rPr>
          <w:rFonts w:hint="cs"/>
          <w:rtl/>
        </w:rPr>
        <w:t xml:space="preserve"> (5.11.19 [פורסם בנבו]) יצאה קריאה ברורה ומפורשת להחמיר בענישה בעבירות נשק:</w:t>
      </w:r>
    </w:p>
    <w:p w14:paraId="34F7DF1A" w14:textId="77777777" w:rsidR="00203E88" w:rsidRDefault="00203E88" w:rsidP="00203E88">
      <w:pPr>
        <w:autoSpaceDE w:val="0"/>
        <w:autoSpaceDN w:val="0"/>
        <w:adjustRightInd w:val="0"/>
        <w:spacing w:line="360" w:lineRule="auto"/>
        <w:ind w:left="567" w:right="567"/>
        <w:jc w:val="both"/>
        <w:rPr>
          <w:b/>
          <w:bCs/>
          <w:rtl/>
        </w:rPr>
      </w:pPr>
      <w:r>
        <w:rPr>
          <w:rFonts w:hint="cs"/>
          <w:b/>
          <w:bCs/>
        </w:rPr>
        <w:t xml:space="preserve"> </w:t>
      </w:r>
      <w:r>
        <w:rPr>
          <w:rFonts w:hint="cs"/>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p>
    <w:p w14:paraId="2436ABBC" w14:textId="77777777" w:rsidR="00203E88" w:rsidRDefault="00203E88" w:rsidP="00203E88">
      <w:pPr>
        <w:autoSpaceDE w:val="0"/>
        <w:autoSpaceDN w:val="0"/>
        <w:adjustRightInd w:val="0"/>
        <w:spacing w:line="360" w:lineRule="auto"/>
        <w:ind w:left="1418" w:right="1418"/>
        <w:jc w:val="both"/>
        <w:rPr>
          <w:rtl/>
        </w:rPr>
      </w:pPr>
    </w:p>
    <w:p w14:paraId="6067031E" w14:textId="77777777" w:rsidR="00203E88" w:rsidRDefault="00203E88" w:rsidP="00203E88">
      <w:pPr>
        <w:autoSpaceDE w:val="0"/>
        <w:autoSpaceDN w:val="0"/>
        <w:adjustRightInd w:val="0"/>
        <w:spacing w:line="360" w:lineRule="auto"/>
        <w:jc w:val="both"/>
        <w:rPr>
          <w:rtl/>
        </w:rPr>
      </w:pPr>
      <w:r>
        <w:rPr>
          <w:rFonts w:hint="cs"/>
          <w:rtl/>
        </w:rPr>
        <w:t>כפי שנכתב רק לפני חודש ב</w:t>
      </w:r>
      <w:hyperlink r:id="rId41" w:history="1">
        <w:r w:rsidR="00CF2BAC" w:rsidRPr="00CF2BAC">
          <w:rPr>
            <w:color w:val="0000FF"/>
            <w:u w:val="single"/>
            <w:rtl/>
          </w:rPr>
          <w:t>ע"פ 6383/21</w:t>
        </w:r>
      </w:hyperlink>
      <w:r>
        <w:rPr>
          <w:rFonts w:hint="cs"/>
          <w:rtl/>
        </w:rPr>
        <w:t xml:space="preserve"> </w:t>
      </w:r>
      <w:r>
        <w:rPr>
          <w:rFonts w:hint="cs"/>
          <w:b/>
          <w:bCs/>
          <w:rtl/>
        </w:rPr>
        <w:t>קריף נ' מדינת ישראל</w:t>
      </w:r>
      <w:r>
        <w:rPr>
          <w:rFonts w:hint="cs"/>
          <w:rtl/>
        </w:rPr>
        <w:t xml:space="preserve"> (13.02.22):</w:t>
      </w:r>
    </w:p>
    <w:p w14:paraId="6AEF7C19" w14:textId="77777777" w:rsidR="00203E88" w:rsidRDefault="00203E88" w:rsidP="00203E88">
      <w:pPr>
        <w:autoSpaceDE w:val="0"/>
        <w:autoSpaceDN w:val="0"/>
        <w:adjustRightInd w:val="0"/>
        <w:spacing w:line="360" w:lineRule="auto"/>
        <w:ind w:left="567" w:right="567"/>
        <w:jc w:val="both"/>
        <w:rPr>
          <w:b/>
          <w:bCs/>
          <w:rtl/>
        </w:rPr>
      </w:pPr>
      <w:r>
        <w:rPr>
          <w:rFonts w:hint="cs"/>
          <w:rtl/>
        </w:rPr>
        <w:t>"</w:t>
      </w:r>
      <w:r>
        <w:rPr>
          <w:rFonts w:hint="cs"/>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0078C1FF" w14:textId="77777777" w:rsidR="00203E88" w:rsidRDefault="00203E88" w:rsidP="00203E88">
      <w:pPr>
        <w:autoSpaceDE w:val="0"/>
        <w:autoSpaceDN w:val="0"/>
        <w:adjustRightInd w:val="0"/>
        <w:spacing w:line="360" w:lineRule="auto"/>
        <w:ind w:left="567" w:right="567"/>
        <w:jc w:val="both"/>
        <w:rPr>
          <w:rtl/>
        </w:rPr>
      </w:pPr>
      <w:r>
        <w:rPr>
          <w:rFonts w:hint="cs"/>
          <w:b/>
          <w:bCs/>
          <w:rtl/>
        </w:rPr>
        <w:tab/>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 מלחמת חורמה על עבירות הנשק למיניהן, וגם על בית המשפט לתרום את חלקו למלחמה זו באמצעות ענישה הולמת ומרתיעה..... 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Pr>
          <w:rFonts w:hint="cs"/>
          <w:rtl/>
        </w:rPr>
        <w:t xml:space="preserve">" </w:t>
      </w:r>
    </w:p>
    <w:p w14:paraId="33B7114E" w14:textId="77777777" w:rsidR="00203E88" w:rsidRDefault="00203E88" w:rsidP="00203E88">
      <w:pPr>
        <w:autoSpaceDE w:val="0"/>
        <w:autoSpaceDN w:val="0"/>
        <w:adjustRightInd w:val="0"/>
        <w:spacing w:line="360" w:lineRule="auto"/>
        <w:jc w:val="both"/>
        <w:rPr>
          <w:rtl/>
        </w:rPr>
      </w:pPr>
    </w:p>
    <w:p w14:paraId="111FA39F" w14:textId="77777777" w:rsidR="00203E88" w:rsidRDefault="00203E88" w:rsidP="00203E88">
      <w:pPr>
        <w:autoSpaceDE w:val="0"/>
        <w:autoSpaceDN w:val="0"/>
        <w:adjustRightInd w:val="0"/>
        <w:spacing w:line="360" w:lineRule="auto"/>
        <w:jc w:val="both"/>
        <w:rPr>
          <w:rtl/>
        </w:rPr>
      </w:pPr>
      <w:r>
        <w:rPr>
          <w:rFonts w:hint="cs"/>
          <w:rtl/>
        </w:rPr>
        <w:t>באשר לבקשת הסנגור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05D4D847" w14:textId="77777777" w:rsidR="00203E88" w:rsidRDefault="00203E88" w:rsidP="00203E88">
      <w:pPr>
        <w:autoSpaceDE w:val="0"/>
        <w:autoSpaceDN w:val="0"/>
        <w:adjustRightInd w:val="0"/>
        <w:spacing w:line="360" w:lineRule="auto"/>
        <w:ind w:left="567" w:right="567"/>
        <w:jc w:val="both"/>
        <w:rPr>
          <w:b/>
          <w:bCs/>
          <w:rtl/>
        </w:rPr>
      </w:pPr>
      <w:r>
        <w:rPr>
          <w:rFonts w:hint="cs"/>
          <w:b/>
          <w:bCs/>
          <w:rtl/>
        </w:rPr>
        <w:t>"..לעיתים</w:t>
      </w:r>
      <w:r>
        <w:rPr>
          <w:rFonts w:hint="cs"/>
          <w:b/>
          <w:bCs/>
        </w:rPr>
        <w:t xml:space="preserve"> </w:t>
      </w:r>
      <w:r>
        <w:rPr>
          <w:rFonts w:hint="cs"/>
          <w:b/>
          <w:bCs/>
          <w:rtl/>
        </w:rPr>
        <w:t>מדיניות</w:t>
      </w:r>
      <w:r>
        <w:rPr>
          <w:rFonts w:hint="cs"/>
          <w:b/>
          <w:bCs/>
        </w:rPr>
        <w:t xml:space="preserve"> </w:t>
      </w:r>
      <w:r>
        <w:rPr>
          <w:rFonts w:hint="cs"/>
          <w:b/>
          <w:bCs/>
          <w:rtl/>
        </w:rPr>
        <w:t>הענישה</w:t>
      </w:r>
      <w:r>
        <w:rPr>
          <w:rFonts w:hint="cs"/>
          <w:b/>
          <w:bCs/>
        </w:rPr>
        <w:t xml:space="preserve"> </w:t>
      </w:r>
      <w:r>
        <w:rPr>
          <w:rFonts w:hint="cs"/>
          <w:b/>
          <w:bCs/>
          <w:rtl/>
        </w:rPr>
        <w:t>הנוהגת</w:t>
      </w:r>
      <w:r>
        <w:rPr>
          <w:rFonts w:hint="cs"/>
          <w:b/>
          <w:bCs/>
        </w:rPr>
        <w:t xml:space="preserve"> </w:t>
      </w:r>
      <w:r>
        <w:rPr>
          <w:rFonts w:hint="cs"/>
          <w:b/>
          <w:bCs/>
          <w:rtl/>
        </w:rPr>
        <w:t>ביחס</w:t>
      </w:r>
      <w:r>
        <w:rPr>
          <w:rFonts w:hint="cs"/>
          <w:b/>
          <w:bCs/>
        </w:rPr>
        <w:t xml:space="preserve"> </w:t>
      </w:r>
      <w:r>
        <w:rPr>
          <w:rFonts w:hint="cs"/>
          <w:b/>
          <w:bCs/>
          <w:rtl/>
        </w:rPr>
        <w:t>לעבירה</w:t>
      </w:r>
      <w:r>
        <w:rPr>
          <w:rFonts w:hint="cs"/>
          <w:b/>
          <w:bCs/>
        </w:rPr>
        <w:t xml:space="preserve"> </w:t>
      </w:r>
      <w:r>
        <w:rPr>
          <w:rFonts w:hint="cs"/>
          <w:b/>
          <w:bCs/>
          <w:rtl/>
        </w:rPr>
        <w:t>מסוימת</w:t>
      </w:r>
      <w:r>
        <w:rPr>
          <w:rFonts w:hint="cs"/>
          <w:b/>
          <w:bCs/>
        </w:rPr>
        <w:t xml:space="preserve"> </w:t>
      </w:r>
      <w:r>
        <w:rPr>
          <w:rFonts w:hint="cs"/>
          <w:b/>
          <w:bCs/>
          <w:rtl/>
        </w:rPr>
        <w:t>אינה</w:t>
      </w:r>
      <w:r>
        <w:rPr>
          <w:rFonts w:hint="cs"/>
          <w:b/>
          <w:bCs/>
        </w:rPr>
        <w:t xml:space="preserve"> </w:t>
      </w:r>
      <w:r>
        <w:rPr>
          <w:rFonts w:hint="cs"/>
          <w:b/>
          <w:bCs/>
          <w:rtl/>
        </w:rPr>
        <w:t>מספקת, ועל</w:t>
      </w:r>
      <w:r>
        <w:rPr>
          <w:rFonts w:hint="cs"/>
          <w:b/>
          <w:bCs/>
        </w:rPr>
        <w:t xml:space="preserve"> </w:t>
      </w:r>
      <w:r>
        <w:rPr>
          <w:rFonts w:hint="cs"/>
          <w:b/>
          <w:bCs/>
          <w:rtl/>
        </w:rPr>
        <w:t>בית</w:t>
      </w:r>
      <w:r>
        <w:rPr>
          <w:rFonts w:hint="cs"/>
          <w:b/>
          <w:bCs/>
        </w:rPr>
        <w:t xml:space="preserve"> </w:t>
      </w:r>
      <w:r>
        <w:rPr>
          <w:rFonts w:hint="cs"/>
          <w:b/>
          <w:bCs/>
          <w:rtl/>
        </w:rPr>
        <w:t>המשפט</w:t>
      </w:r>
      <w:r>
        <w:rPr>
          <w:rFonts w:hint="cs"/>
          <w:b/>
          <w:bCs/>
        </w:rPr>
        <w:t xml:space="preserve"> </w:t>
      </w:r>
      <w:r>
        <w:rPr>
          <w:rFonts w:hint="cs"/>
          <w:b/>
          <w:bCs/>
          <w:rtl/>
        </w:rPr>
        <w:t>להורות</w:t>
      </w:r>
      <w:r>
        <w:rPr>
          <w:rFonts w:hint="cs"/>
          <w:b/>
          <w:bCs/>
        </w:rPr>
        <w:t xml:space="preserve"> </w:t>
      </w:r>
      <w:r>
        <w:rPr>
          <w:rFonts w:hint="cs"/>
          <w:b/>
          <w:bCs/>
          <w:rtl/>
        </w:rPr>
        <w:t>על</w:t>
      </w:r>
      <w:r>
        <w:rPr>
          <w:rFonts w:hint="cs"/>
          <w:b/>
          <w:bCs/>
        </w:rPr>
        <w:t xml:space="preserve"> </w:t>
      </w:r>
      <w:r>
        <w:rPr>
          <w:rFonts w:hint="cs"/>
          <w:b/>
          <w:bCs/>
          <w:rtl/>
        </w:rPr>
        <w:t>החמרה</w:t>
      </w:r>
      <w:r>
        <w:rPr>
          <w:rFonts w:hint="cs"/>
          <w:b/>
          <w:bCs/>
        </w:rPr>
        <w:t xml:space="preserve"> </w:t>
      </w:r>
      <w:r>
        <w:rPr>
          <w:rFonts w:hint="cs"/>
          <w:b/>
          <w:bCs/>
          <w:rtl/>
        </w:rPr>
        <w:t>בענישה</w:t>
      </w:r>
      <w:r>
        <w:rPr>
          <w:rFonts w:hint="cs"/>
          <w:b/>
          <w:bCs/>
        </w:rPr>
        <w:t xml:space="preserve"> </w:t>
      </w:r>
      <w:r>
        <w:rPr>
          <w:rFonts w:hint="cs"/>
          <w:b/>
          <w:bCs/>
          <w:rtl/>
        </w:rPr>
        <w:t>על</w:t>
      </w:r>
      <w:r>
        <w:rPr>
          <w:rFonts w:hint="cs"/>
          <w:b/>
          <w:bCs/>
        </w:rPr>
        <w:t xml:space="preserve"> </w:t>
      </w:r>
      <w:r>
        <w:rPr>
          <w:rFonts w:hint="cs"/>
          <w:b/>
          <w:bCs/>
          <w:rtl/>
        </w:rPr>
        <w:t>מנת</w:t>
      </w:r>
      <w:r>
        <w:rPr>
          <w:rFonts w:hint="cs"/>
          <w:b/>
          <w:bCs/>
        </w:rPr>
        <w:t xml:space="preserve"> </w:t>
      </w:r>
      <w:r>
        <w:rPr>
          <w:rFonts w:hint="cs"/>
          <w:b/>
          <w:bCs/>
          <w:rtl/>
        </w:rPr>
        <w:t>לקדם</w:t>
      </w:r>
      <w:r>
        <w:rPr>
          <w:rFonts w:hint="cs"/>
          <w:b/>
          <w:bCs/>
        </w:rPr>
        <w:t xml:space="preserve"> </w:t>
      </w:r>
      <w:r>
        <w:rPr>
          <w:rFonts w:hint="cs"/>
          <w:b/>
          <w:bCs/>
          <w:rtl/>
        </w:rPr>
        <w:t>ולהגן</w:t>
      </w:r>
      <w:r>
        <w:rPr>
          <w:rFonts w:hint="cs"/>
          <w:b/>
          <w:bCs/>
        </w:rPr>
        <w:t xml:space="preserve"> </w:t>
      </w:r>
      <w:r>
        <w:rPr>
          <w:rFonts w:hint="cs"/>
          <w:b/>
          <w:bCs/>
          <w:rtl/>
        </w:rPr>
        <w:t>על</w:t>
      </w:r>
      <w:r>
        <w:rPr>
          <w:rFonts w:hint="cs"/>
          <w:b/>
          <w:bCs/>
        </w:rPr>
        <w:t xml:space="preserve"> </w:t>
      </w:r>
      <w:r>
        <w:rPr>
          <w:rFonts w:hint="cs"/>
          <w:b/>
          <w:bCs/>
          <w:rtl/>
        </w:rPr>
        <w:t>הערכים</w:t>
      </w:r>
      <w:r>
        <w:rPr>
          <w:rFonts w:hint="cs"/>
          <w:b/>
          <w:bCs/>
        </w:rPr>
        <w:t xml:space="preserve"> </w:t>
      </w:r>
      <w:r>
        <w:rPr>
          <w:rFonts w:hint="cs"/>
          <w:b/>
          <w:bCs/>
          <w:rtl/>
        </w:rPr>
        <w:t>אשר</w:t>
      </w:r>
      <w:r>
        <w:rPr>
          <w:rFonts w:hint="cs"/>
          <w:b/>
          <w:bCs/>
        </w:rPr>
        <w:t xml:space="preserve"> </w:t>
      </w:r>
      <w:r>
        <w:rPr>
          <w:rFonts w:hint="cs"/>
          <w:b/>
          <w:bCs/>
          <w:rtl/>
        </w:rPr>
        <w:t>ביסודה, ובכך</w:t>
      </w:r>
      <w:r>
        <w:rPr>
          <w:rFonts w:hint="cs"/>
          <w:b/>
          <w:bCs/>
        </w:rPr>
        <w:t xml:space="preserve"> </w:t>
      </w:r>
      <w:r>
        <w:rPr>
          <w:rFonts w:hint="cs"/>
          <w:b/>
          <w:bCs/>
          <w:rtl/>
        </w:rPr>
        <w:t>לבלום</w:t>
      </w:r>
      <w:r>
        <w:rPr>
          <w:rFonts w:hint="cs"/>
          <w:b/>
          <w:bCs/>
        </w:rPr>
        <w:t xml:space="preserve"> </w:t>
      </w:r>
      <w:r>
        <w:rPr>
          <w:rFonts w:hint="cs"/>
          <w:b/>
          <w:bCs/>
          <w:rtl/>
        </w:rPr>
        <w:t>את</w:t>
      </w:r>
      <w:r>
        <w:rPr>
          <w:rFonts w:hint="cs"/>
          <w:b/>
          <w:bCs/>
        </w:rPr>
        <w:t xml:space="preserve"> </w:t>
      </w:r>
      <w:r>
        <w:rPr>
          <w:rFonts w:hint="cs"/>
          <w:b/>
          <w:bCs/>
          <w:rtl/>
        </w:rPr>
        <w:t>נפיצותן</w:t>
      </w:r>
      <w:r>
        <w:rPr>
          <w:rFonts w:hint="cs"/>
          <w:b/>
          <w:bCs/>
        </w:rPr>
        <w:t xml:space="preserve"> </w:t>
      </w:r>
      <w:r>
        <w:rPr>
          <w:rFonts w:hint="cs"/>
          <w:b/>
          <w:bCs/>
          <w:rtl/>
        </w:rPr>
        <w:t>של</w:t>
      </w:r>
      <w:r>
        <w:rPr>
          <w:rFonts w:hint="cs"/>
          <w:b/>
          <w:bCs/>
        </w:rPr>
        <w:t xml:space="preserve"> </w:t>
      </w:r>
      <w:r>
        <w:rPr>
          <w:rFonts w:hint="cs"/>
          <w:b/>
          <w:bCs/>
          <w:rtl/>
        </w:rPr>
        <w:t>עבירות</w:t>
      </w:r>
      <w:r>
        <w:rPr>
          <w:rFonts w:hint="cs"/>
          <w:b/>
          <w:bCs/>
        </w:rPr>
        <w:t xml:space="preserve"> </w:t>
      </w:r>
      <w:r>
        <w:rPr>
          <w:rFonts w:hint="cs"/>
          <w:b/>
          <w:bCs/>
          <w:rtl/>
        </w:rPr>
        <w:t>מסוימות</w:t>
      </w:r>
      <w:r>
        <w:rPr>
          <w:rFonts w:hint="cs"/>
          <w:b/>
          <w:bCs/>
        </w:rPr>
        <w:t xml:space="preserve"> </w:t>
      </w:r>
      <w:r>
        <w:rPr>
          <w:rFonts w:hint="cs"/>
          <w:b/>
          <w:bCs/>
          <w:rtl/>
        </w:rPr>
        <w:t>ההופכות</w:t>
      </w:r>
      <w:r>
        <w:rPr>
          <w:rFonts w:hint="cs"/>
          <w:b/>
          <w:bCs/>
        </w:rPr>
        <w:t xml:space="preserve"> </w:t>
      </w:r>
      <w:r>
        <w:rPr>
          <w:rFonts w:hint="cs"/>
          <w:b/>
          <w:bCs/>
          <w:rtl/>
        </w:rPr>
        <w:t>ל'מכת</w:t>
      </w:r>
      <w:r>
        <w:rPr>
          <w:rFonts w:hint="cs"/>
          <w:b/>
          <w:bCs/>
        </w:rPr>
        <w:t xml:space="preserve"> </w:t>
      </w:r>
      <w:r>
        <w:rPr>
          <w:rFonts w:hint="cs"/>
          <w:b/>
          <w:bCs/>
          <w:rtl/>
        </w:rPr>
        <w:t>מדינה', ולתת</w:t>
      </w:r>
      <w:r>
        <w:rPr>
          <w:rFonts w:hint="cs"/>
          <w:b/>
          <w:bCs/>
        </w:rPr>
        <w:t xml:space="preserve"> </w:t>
      </w:r>
      <w:r>
        <w:rPr>
          <w:rFonts w:hint="cs"/>
          <w:b/>
          <w:bCs/>
          <w:rtl/>
        </w:rPr>
        <w:t>ביטוי</w:t>
      </w:r>
      <w:r>
        <w:rPr>
          <w:rFonts w:hint="cs"/>
          <w:b/>
          <w:bCs/>
        </w:rPr>
        <w:t xml:space="preserve"> </w:t>
      </w:r>
      <w:r>
        <w:rPr>
          <w:rFonts w:hint="cs"/>
          <w:b/>
          <w:bCs/>
          <w:rtl/>
        </w:rPr>
        <w:t>לחומרה</w:t>
      </w:r>
      <w:r>
        <w:rPr>
          <w:rFonts w:hint="cs"/>
          <w:b/>
          <w:bCs/>
        </w:rPr>
        <w:t xml:space="preserve"> </w:t>
      </w:r>
      <w:r>
        <w:rPr>
          <w:rFonts w:hint="cs"/>
          <w:b/>
          <w:bCs/>
          <w:rtl/>
        </w:rPr>
        <w:t>שיש</w:t>
      </w:r>
      <w:r>
        <w:rPr>
          <w:rFonts w:hint="cs"/>
          <w:b/>
          <w:bCs/>
        </w:rPr>
        <w:t xml:space="preserve"> </w:t>
      </w:r>
      <w:r>
        <w:rPr>
          <w:rFonts w:hint="cs"/>
          <w:b/>
          <w:bCs/>
          <w:rtl/>
        </w:rPr>
        <w:t>לייחס</w:t>
      </w:r>
      <w:r>
        <w:rPr>
          <w:rFonts w:hint="cs"/>
          <w:b/>
          <w:bCs/>
        </w:rPr>
        <w:t xml:space="preserve"> </w:t>
      </w:r>
      <w:r>
        <w:rPr>
          <w:rFonts w:hint="cs"/>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5179DEE4" w14:textId="77777777" w:rsidR="00203E88" w:rsidRDefault="00203E88" w:rsidP="00203E88">
      <w:pPr>
        <w:autoSpaceDE w:val="0"/>
        <w:autoSpaceDN w:val="0"/>
        <w:adjustRightInd w:val="0"/>
        <w:spacing w:line="360" w:lineRule="auto"/>
        <w:ind w:left="567" w:right="567"/>
        <w:jc w:val="both"/>
        <w:rPr>
          <w:b/>
          <w:bCs/>
          <w:rtl/>
        </w:rPr>
      </w:pPr>
      <w:r>
        <w:rPr>
          <w:rFonts w:hint="cs"/>
          <w:b/>
          <w:b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4B68B0C6" w14:textId="77777777" w:rsidR="00203E88" w:rsidRDefault="00203E88" w:rsidP="00203E88">
      <w:pPr>
        <w:spacing w:line="360" w:lineRule="auto"/>
        <w:jc w:val="both"/>
        <w:rPr>
          <w:rtl/>
        </w:rPr>
      </w:pPr>
      <w:r>
        <w:rPr>
          <w:rFonts w:hint="cs"/>
          <w:rtl/>
        </w:rPr>
        <w:tab/>
      </w:r>
    </w:p>
    <w:p w14:paraId="0A52794B" w14:textId="77777777" w:rsidR="00203E88" w:rsidRPr="000A0F59" w:rsidRDefault="00203E88" w:rsidP="00203E88">
      <w:pPr>
        <w:spacing w:line="360" w:lineRule="auto"/>
        <w:jc w:val="both"/>
        <w:rPr>
          <w:b/>
          <w:bCs/>
          <w:rtl/>
        </w:rPr>
      </w:pPr>
      <w:r>
        <w:rPr>
          <w:rFonts w:hint="cs"/>
          <w:rtl/>
        </w:rPr>
        <w:t>וכפי שנאמר ב</w:t>
      </w:r>
      <w:hyperlink r:id="rId42" w:history="1">
        <w:r w:rsidR="00CF2BAC" w:rsidRPr="00CF2BAC">
          <w:rPr>
            <w:color w:val="0000FF"/>
            <w:u w:val="single"/>
            <w:rtl/>
          </w:rPr>
          <w:t>עפ"ג (חי') 23517-02-20</w:t>
        </w:r>
      </w:hyperlink>
      <w:r>
        <w:rPr>
          <w:rFonts w:hint="cs"/>
          <w:rtl/>
        </w:rPr>
        <w:t xml:space="preserve"> </w:t>
      </w:r>
      <w:r>
        <w:rPr>
          <w:rFonts w:hint="cs"/>
          <w:b/>
          <w:bCs/>
          <w:rtl/>
        </w:rPr>
        <w:t>מדינת ישראל נ' אלכילאני</w:t>
      </w:r>
      <w:r>
        <w:rPr>
          <w:rFonts w:hint="cs"/>
          <w:rtl/>
        </w:rPr>
        <w:t xml:space="preserve"> (28.07.20): "</w:t>
      </w:r>
      <w:r>
        <w:rPr>
          <w:rFonts w:hint="cs"/>
          <w:b/>
          <w:bCs/>
          <w:rtl/>
        </w:rPr>
        <w:t xml:space="preserve">מגמת החמרה זו </w:t>
      </w:r>
      <w:r w:rsidRPr="0008351C">
        <w:rPr>
          <w:rFonts w:ascii="David" w:hAnsi="David"/>
          <w:b/>
          <w:bCs/>
          <w:rtl/>
        </w:rPr>
        <w:t>ניכרת במיוחד בפסיקה מן התקופה האחרונה, החמרה אשר באה לידי ביטוי, בין היתר, בכך שהסף התחתון של מתחם הענישה בעבירה של החזקת נשק שלא כדין, גם כאשר הנאשם נעדר עבר פלילי, עולה על תשעה חודשי מאסר, דהיינו, פרק זמן אשר אינו מאפשר ריצוי עונש המאסר על דרך של עבודות שירות</w:t>
      </w:r>
      <w:r w:rsidRPr="003D5C0B">
        <w:rPr>
          <w:rFonts w:hint="cs"/>
          <w:b/>
          <w:bCs/>
          <w:rtl/>
        </w:rPr>
        <w:t xml:space="preserve">." </w:t>
      </w:r>
      <w:r w:rsidRPr="003D5C0B">
        <w:rPr>
          <w:rFonts w:hint="cs"/>
          <w:rtl/>
        </w:rPr>
        <w:t>וכן בהמשך</w:t>
      </w:r>
      <w:r w:rsidRPr="000A0F59">
        <w:rPr>
          <w:rFonts w:hint="cs"/>
          <w:rtl/>
        </w:rPr>
        <w:t>:</w:t>
      </w:r>
      <w:r w:rsidRPr="003D5C0B">
        <w:rPr>
          <w:rFonts w:hint="cs"/>
          <w:b/>
          <w:bCs/>
          <w:rtl/>
        </w:rPr>
        <w:t xml:space="preserve"> </w:t>
      </w:r>
      <w:r w:rsidRPr="0008351C">
        <w:rPr>
          <w:rFonts w:ascii="David" w:hAnsi="David"/>
          <w:b/>
          <w:bCs/>
          <w:rtl/>
        </w:rPr>
        <w:t>"אם נסכם את הדברים: גזר דינו של בית משפט השלום, שהסתפק</w:t>
      </w:r>
      <w:r w:rsidRPr="0008351C">
        <w:rPr>
          <w:rFonts w:ascii="David" w:hAnsi="David"/>
          <w:b/>
          <w:bCs/>
        </w:rPr>
        <w:t xml:space="preserve"> </w:t>
      </w:r>
      <w:r w:rsidRPr="0008351C">
        <w:rPr>
          <w:rFonts w:ascii="David" w:hAnsi="David"/>
          <w:b/>
          <w:bCs/>
          <w:rtl/>
        </w:rPr>
        <w:t>בהטלת ענישה של שמונה חודשי מאסר לריצוי בעבודות שירות, אינו יכול לעמוד, וזאת בשים לב</w:t>
      </w:r>
      <w:r w:rsidRPr="0008351C">
        <w:rPr>
          <w:rFonts w:ascii="David" w:hAnsi="David"/>
          <w:b/>
          <w:bCs/>
        </w:rPr>
        <w:t xml:space="preserve"> </w:t>
      </w:r>
      <w:r w:rsidRPr="0008351C">
        <w:rPr>
          <w:rFonts w:ascii="David" w:hAnsi="David"/>
          <w:b/>
          <w:bCs/>
          <w:rtl/>
        </w:rPr>
        <w:t>לחומרת העבירה של החזקת נשק שלא כדין, ופוטנציאל הסיכון הטמון בהחזקת הנשק ללא היתר, עבירה שהפכה למכת מדינה", והביאה למגמת החמרה בפסיקה כשבית המשפט נקרא להירתם למאבק בעבירה זו"</w:t>
      </w:r>
      <w:r>
        <w:rPr>
          <w:rFonts w:hint="cs"/>
          <w:b/>
          <w:bCs/>
          <w:rtl/>
        </w:rPr>
        <w:t>.</w:t>
      </w:r>
    </w:p>
    <w:p w14:paraId="1903F22A" w14:textId="77777777" w:rsidR="00203E88" w:rsidRDefault="00203E88" w:rsidP="00203E88">
      <w:pPr>
        <w:pStyle w:val="ruller5"/>
        <w:rPr>
          <w:rtl/>
        </w:rPr>
      </w:pPr>
    </w:p>
    <w:p w14:paraId="476DE669" w14:textId="77777777" w:rsidR="00203E88" w:rsidRDefault="00203E88" w:rsidP="00203E88">
      <w:pPr>
        <w:pStyle w:val="ruller5"/>
        <w:spacing w:line="360" w:lineRule="auto"/>
        <w:ind w:left="0" w:right="0"/>
        <w:rPr>
          <w:rFonts w:ascii="David" w:hAnsi="David" w:cs="David"/>
          <w:sz w:val="24"/>
          <w:szCs w:val="24"/>
          <w:rtl/>
        </w:rPr>
      </w:pPr>
      <w:r w:rsidRPr="003D5C0B">
        <w:rPr>
          <w:rFonts w:ascii="Times New Roman" w:hAnsi="Times New Roman" w:cs="David"/>
          <w:spacing w:val="0"/>
          <w:sz w:val="24"/>
          <w:szCs w:val="24"/>
          <w:rtl/>
        </w:rPr>
        <w:t>סקירת מדיניות הענישה הנהוגה בעבירת החזקת נשק מלמדת על טווח ענישה רחב התלוי לרוב בנסיבותיו של כל מקרה</w:t>
      </w:r>
      <w:r>
        <w:rPr>
          <w:rFonts w:ascii="David" w:hAnsi="David" w:cs="David"/>
          <w:sz w:val="24"/>
          <w:szCs w:val="24"/>
          <w:rtl/>
        </w:rPr>
        <w:t xml:space="preserve"> ומקרה. </w:t>
      </w:r>
    </w:p>
    <w:p w14:paraId="5E2D29FA" w14:textId="77777777" w:rsidR="00203E88" w:rsidRDefault="00203E88" w:rsidP="00203E88">
      <w:pPr>
        <w:pStyle w:val="ruller5"/>
        <w:spacing w:line="360" w:lineRule="auto"/>
        <w:ind w:left="0" w:right="0"/>
        <w:rPr>
          <w:rFonts w:ascii="David" w:hAnsi="David" w:cs="David"/>
          <w:sz w:val="24"/>
          <w:szCs w:val="24"/>
          <w:rtl/>
        </w:rPr>
      </w:pPr>
    </w:p>
    <w:p w14:paraId="05B041E0" w14:textId="77777777" w:rsidR="00203E88" w:rsidRDefault="00203E88" w:rsidP="00203E88">
      <w:pPr>
        <w:pStyle w:val="ruller5"/>
        <w:spacing w:line="360" w:lineRule="auto"/>
        <w:ind w:left="0" w:right="0"/>
        <w:rPr>
          <w:rFonts w:ascii="David" w:hAnsi="David" w:cs="David"/>
          <w:sz w:val="24"/>
          <w:szCs w:val="24"/>
          <w:rtl/>
        </w:rPr>
      </w:pPr>
      <w:r>
        <w:rPr>
          <w:rFonts w:ascii="David" w:hAnsi="David" w:cs="David"/>
          <w:sz w:val="24"/>
          <w:szCs w:val="24"/>
          <w:rtl/>
        </w:rPr>
        <w:t>ב</w:t>
      </w:r>
      <w:hyperlink r:id="rId43" w:history="1">
        <w:r w:rsidR="00CF2BAC" w:rsidRPr="00CF2BAC">
          <w:rPr>
            <w:rFonts w:ascii="David" w:hAnsi="David" w:cs="David"/>
            <w:color w:val="0000FF"/>
            <w:sz w:val="24"/>
            <w:szCs w:val="24"/>
            <w:u w:val="single"/>
            <w:rtl/>
          </w:rPr>
          <w:t>רע"פ 4079/21</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(20.6.21) </w:t>
      </w:r>
      <w:r w:rsidRPr="003D5C0B">
        <w:rPr>
          <w:rFonts w:ascii="Times New Roman" w:hAnsi="Times New Roman" w:cs="David"/>
          <w:spacing w:val="0"/>
          <w:sz w:val="24"/>
          <w:szCs w:val="24"/>
          <w:rtl/>
        </w:rPr>
        <w:t>נדחה ערעור על חומרת העונש שנגזר – 6 חודשי מאסר בפועל שהוטל</w:t>
      </w:r>
      <w:r>
        <w:rPr>
          <w:rFonts w:ascii="David" w:hAnsi="David" w:cs="David"/>
          <w:sz w:val="24"/>
          <w:szCs w:val="24"/>
          <w:rtl/>
        </w:rPr>
        <w:t xml:space="preserve"> </w:t>
      </w:r>
      <w:r>
        <w:rPr>
          <w:rFonts w:ascii="David" w:hAnsi="David" w:cs="David"/>
          <w:sz w:val="24"/>
          <w:szCs w:val="24"/>
          <w:u w:val="single"/>
          <w:rtl/>
        </w:rPr>
        <w:t>תוך חריגה ממתחם הענישה בשל שיקולי שיקום</w:t>
      </w:r>
      <w:r>
        <w:rPr>
          <w:rFonts w:ascii="David" w:hAnsi="David" w:cs="David"/>
          <w:sz w:val="24"/>
          <w:szCs w:val="24"/>
          <w:rtl/>
        </w:rPr>
        <w:t xml:space="preserve"> ונקבע: "</w:t>
      </w:r>
      <w:r>
        <w:rPr>
          <w:rFonts w:ascii="David" w:hAnsi="David" w:cs="David"/>
          <w:b/>
          <w:bCs/>
          <w:sz w:val="24"/>
          <w:szCs w:val="24"/>
          <w:rtl/>
        </w:rPr>
        <w:t xml:space="preserve">כפי </w:t>
      </w:r>
      <w:r w:rsidRPr="003D5C0B">
        <w:rPr>
          <w:rFonts w:ascii="Times New Roman" w:hAnsi="Times New Roman" w:cs="David"/>
          <w:b/>
          <w:bCs/>
          <w:spacing w:val="0"/>
          <w:sz w:val="24"/>
          <w:szCs w:val="24"/>
          <w:rtl/>
        </w:rPr>
        <w:t>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r>
        <w:rPr>
          <w:rFonts w:ascii="David" w:hAnsi="David" w:cs="David"/>
          <w:b/>
          <w:bCs/>
          <w:sz w:val="24"/>
          <w:szCs w:val="24"/>
          <w:rtl/>
        </w:rPr>
        <w:t>.</w:t>
      </w:r>
      <w:r>
        <w:rPr>
          <w:rFonts w:ascii="David" w:hAnsi="David" w:cs="David"/>
          <w:sz w:val="24"/>
          <w:szCs w:val="24"/>
          <w:rtl/>
        </w:rPr>
        <w:t>"</w:t>
      </w:r>
    </w:p>
    <w:p w14:paraId="55DBF0FC" w14:textId="77777777" w:rsidR="00203E88" w:rsidRDefault="00203E88" w:rsidP="00203E88">
      <w:pPr>
        <w:pStyle w:val="ruller5"/>
        <w:ind w:left="-7"/>
        <w:rPr>
          <w:rFonts w:ascii="David" w:hAnsi="David" w:cs="David"/>
          <w:sz w:val="24"/>
          <w:szCs w:val="24"/>
          <w:rtl/>
        </w:rPr>
      </w:pPr>
    </w:p>
    <w:p w14:paraId="71B8DFBE" w14:textId="77777777" w:rsidR="00203E88" w:rsidRDefault="00203E88" w:rsidP="00203E88">
      <w:pPr>
        <w:pStyle w:val="ruller5"/>
        <w:ind w:left="-7"/>
        <w:rPr>
          <w:rFonts w:ascii="David" w:hAnsi="David" w:cs="David"/>
          <w:sz w:val="24"/>
          <w:szCs w:val="24"/>
          <w:rtl/>
        </w:rPr>
      </w:pPr>
    </w:p>
    <w:p w14:paraId="5C6C60F3" w14:textId="77777777" w:rsidR="00203E88" w:rsidRPr="003D5C0B" w:rsidRDefault="00203E88" w:rsidP="00203E88">
      <w:pPr>
        <w:pStyle w:val="Ruller4"/>
        <w:rPr>
          <w:rFonts w:ascii="Times New Roman" w:hAnsi="Times New Roman" w:cs="David"/>
          <w:b/>
          <w:bCs/>
          <w:spacing w:val="0"/>
          <w:sz w:val="24"/>
          <w:szCs w:val="24"/>
          <w:rtl/>
        </w:rPr>
      </w:pPr>
      <w:r>
        <w:rPr>
          <w:rFonts w:ascii="David" w:hAnsi="David" w:cs="David"/>
          <w:sz w:val="24"/>
          <w:szCs w:val="24"/>
          <w:rtl/>
        </w:rPr>
        <w:t>ב</w:t>
      </w:r>
      <w:hyperlink r:id="rId44" w:history="1">
        <w:r w:rsidR="00CF2BAC" w:rsidRPr="00CF2BAC">
          <w:rPr>
            <w:rFonts w:ascii="David" w:hAnsi="David" w:cs="David"/>
            <w:color w:val="0000FF"/>
            <w:sz w:val="24"/>
            <w:szCs w:val="24"/>
            <w:u w:val="single"/>
            <w:rtl/>
          </w:rPr>
          <w:t>רע"פ 3619/21</w:t>
        </w:r>
      </w:hyperlink>
      <w:r>
        <w:rPr>
          <w:rFonts w:ascii="David" w:hAnsi="David" w:cs="David"/>
          <w:sz w:val="24"/>
          <w:szCs w:val="24"/>
          <w:rtl/>
        </w:rPr>
        <w:t xml:space="preserve"> אבו הלאל </w:t>
      </w:r>
      <w:r w:rsidRPr="003D5C0B">
        <w:rPr>
          <w:rFonts w:ascii="Times New Roman" w:hAnsi="Times New Roman" w:cs="David"/>
          <w:spacing w:val="0"/>
          <w:sz w:val="24"/>
          <w:szCs w:val="24"/>
          <w:rtl/>
        </w:rPr>
        <w:t>נ' מדינת ישראל (26.5.21) נדחה ערעור על חומרת העונש שנגזר – 10 חודשי מאסר בפועל ונאמר: "</w:t>
      </w:r>
      <w:r w:rsidRPr="003D5C0B">
        <w:rPr>
          <w:rFonts w:ascii="Times New Roman" w:hAnsi="Times New Roman" w:cs="David"/>
          <w:b/>
          <w:bCs/>
          <w:spacing w:val="0"/>
          <w:sz w:val="24"/>
          <w:szCs w:val="24"/>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5" w:history="1">
        <w:r w:rsidR="00CF2BAC" w:rsidRPr="00CF2BAC">
          <w:rPr>
            <w:rFonts w:ascii="Times New Roman" w:hAnsi="Times New Roman" w:cs="David"/>
            <w:b/>
            <w:bCs/>
            <w:color w:val="0000FF"/>
            <w:spacing w:val="0"/>
            <w:sz w:val="24"/>
            <w:szCs w:val="24"/>
            <w:u w:val="single"/>
            <w:rtl/>
          </w:rPr>
          <w:t>רע"פ 5613/20</w:t>
        </w:r>
      </w:hyperlink>
      <w:r w:rsidRPr="003D5C0B">
        <w:rPr>
          <w:rFonts w:ascii="Times New Roman" w:hAnsi="Times New Roman" w:cs="David"/>
          <w:b/>
          <w:bCs/>
          <w:spacing w:val="0"/>
          <w:sz w:val="24"/>
          <w:szCs w:val="24"/>
          <w:rtl/>
        </w:rPr>
        <w:t xml:space="preserve"> אלהוזייל נ' מדינת ישראל (25.8.2020); </w:t>
      </w:r>
      <w:hyperlink r:id="rId46" w:history="1">
        <w:r w:rsidR="00CF2BAC" w:rsidRPr="00CF2BAC">
          <w:rPr>
            <w:rFonts w:ascii="Times New Roman" w:hAnsi="Times New Roman" w:cs="David"/>
            <w:b/>
            <w:bCs/>
            <w:color w:val="0000FF"/>
            <w:spacing w:val="0"/>
            <w:sz w:val="24"/>
            <w:szCs w:val="24"/>
            <w:u w:val="single"/>
            <w:rtl/>
          </w:rPr>
          <w:t>רע"פ 4065/18</w:t>
        </w:r>
      </w:hyperlink>
      <w:r w:rsidRPr="003D5C0B">
        <w:rPr>
          <w:rFonts w:ascii="Times New Roman" w:hAnsi="Times New Roman" w:cs="David"/>
          <w:b/>
          <w:bCs/>
          <w:spacing w:val="0"/>
          <w:sz w:val="24"/>
          <w:szCs w:val="24"/>
          <w:rtl/>
        </w:rPr>
        <w:t xml:space="preserve"> איאסו נ' מדינת ישראל (30.8.2018)). </w:t>
      </w:r>
    </w:p>
    <w:p w14:paraId="44D03DE4" w14:textId="77777777" w:rsidR="00203E88" w:rsidRDefault="00203E88" w:rsidP="00203E88">
      <w:pPr>
        <w:pStyle w:val="Ruller4"/>
        <w:rPr>
          <w:rFonts w:ascii="David" w:hAnsi="David" w:cs="David"/>
          <w:b/>
          <w:bCs/>
          <w:sz w:val="24"/>
          <w:szCs w:val="24"/>
        </w:rPr>
      </w:pPr>
      <w:r w:rsidRPr="003D5C0B">
        <w:rPr>
          <w:rFonts w:ascii="Times New Roman" w:hAnsi="Times New Roman" w:cs="David"/>
          <w:b/>
          <w:bCs/>
          <w:spacing w:val="0"/>
          <w:sz w:val="24"/>
          <w:szCs w:val="24"/>
          <w:rtl/>
        </w:rPr>
        <w:t>במכלול הנסיבות, אני סבור כי העונש שהושת על המבקשים אף מקל עמם ואין בו כדי לבטא את החומרה שיש בהחזקת כלי הנשק המאולתרים</w:t>
      </w:r>
      <w:r w:rsidRPr="003D5C0B">
        <w:rPr>
          <w:rFonts w:ascii="David" w:hAnsi="David" w:cs="David"/>
          <w:b/>
          <w:bCs/>
          <w:sz w:val="24"/>
          <w:szCs w:val="24"/>
          <w:rtl/>
        </w:rPr>
        <w:t>.</w:t>
      </w:r>
      <w:r>
        <w:rPr>
          <w:rFonts w:ascii="David" w:hAnsi="David" w:cs="David"/>
          <w:sz w:val="24"/>
          <w:szCs w:val="24"/>
          <w:rtl/>
        </w:rPr>
        <w:t>"</w:t>
      </w:r>
    </w:p>
    <w:p w14:paraId="03E33816" w14:textId="77777777" w:rsidR="00203E88" w:rsidRDefault="00203E88" w:rsidP="00203E88">
      <w:pPr>
        <w:spacing w:line="360" w:lineRule="auto"/>
        <w:jc w:val="both"/>
        <w:rPr>
          <w:rFonts w:ascii="David" w:hAnsi="David"/>
          <w:rtl/>
        </w:rPr>
      </w:pPr>
    </w:p>
    <w:p w14:paraId="3EEB58D1" w14:textId="77777777" w:rsidR="00203E88" w:rsidRDefault="00203E88" w:rsidP="00203E88">
      <w:pPr>
        <w:spacing w:line="360" w:lineRule="auto"/>
        <w:jc w:val="both"/>
        <w:rPr>
          <w:noProof/>
          <w:rtl/>
        </w:rPr>
      </w:pPr>
      <w:r>
        <w:rPr>
          <w:rFonts w:hint="cs"/>
          <w:rtl/>
        </w:rPr>
        <w:t xml:space="preserve">הנאשם כאמור, הסליק אקדח ותחמושת ופוטנציאל הנזק הטמון בהם רב לאין ערוך ואין בהיעדר היכולת להוציא את המחסנית מהאקדח כדי להפחית מחומרת הנסיבות הקשורות בביצוע המעשים ולהתעלם מהנזק ומהפגיעות הפוטנציאליות שהיו עלולים להתרחש. </w:t>
      </w:r>
    </w:p>
    <w:p w14:paraId="65BB25F0" w14:textId="77777777" w:rsidR="00203E88" w:rsidRDefault="00203E88" w:rsidP="00203E88">
      <w:pPr>
        <w:spacing w:line="360" w:lineRule="auto"/>
        <w:jc w:val="both"/>
        <w:rPr>
          <w:noProof/>
          <w:rtl/>
        </w:rPr>
      </w:pPr>
    </w:p>
    <w:p w14:paraId="57AB4420" w14:textId="77777777" w:rsidR="00203E88" w:rsidRDefault="00203E88" w:rsidP="00203E88">
      <w:pPr>
        <w:spacing w:line="360" w:lineRule="auto"/>
        <w:jc w:val="both"/>
        <w:rPr>
          <w:rFonts w:ascii="Arial" w:hAnsi="Arial"/>
          <w:rtl/>
        </w:rPr>
      </w:pPr>
      <w:r>
        <w:rPr>
          <w:rFonts w:ascii="Arial" w:hAnsi="Arial" w:hint="cs"/>
          <w:rtl/>
        </w:rPr>
        <w:t>מתחם הענישה ההולם בעבירות של החזקת נשק נע בין עשרה חודשי מאסר לבין עשרים וארבעה חודשי מאסר בפועל, הגם שבמקרים בהם מתקיימות נסיבות חריגות יש ובתי המשפט יחרגו לקולא ממתחם הענישה (</w:t>
      </w:r>
      <w:hyperlink r:id="rId47" w:history="1">
        <w:r w:rsidR="00CF2BAC" w:rsidRPr="00CF2BAC">
          <w:rPr>
            <w:rFonts w:ascii="Arial" w:hAnsi="Arial"/>
            <w:color w:val="0000FF"/>
            <w:u w:val="single"/>
            <w:rtl/>
          </w:rPr>
          <w:t>עפ"ג (מחוזי חיפה) 23517-02-20</w:t>
        </w:r>
      </w:hyperlink>
      <w:r>
        <w:rPr>
          <w:rFonts w:ascii="Arial" w:hAnsi="Arial" w:hint="cs"/>
          <w:rtl/>
        </w:rPr>
        <w:t xml:space="preserve"> </w:t>
      </w:r>
      <w:r>
        <w:rPr>
          <w:rFonts w:ascii="Arial" w:hAnsi="Arial" w:hint="cs"/>
          <w:b/>
          <w:bCs/>
          <w:rtl/>
        </w:rPr>
        <w:t>מדינת ישראל נ' אלכילאני</w:t>
      </w:r>
      <w:r>
        <w:rPr>
          <w:rFonts w:ascii="Arial" w:hAnsi="Arial" w:hint="cs"/>
          <w:rtl/>
        </w:rPr>
        <w:t xml:space="preserve"> (28.7.20), כשבאותו מקרה הוטלו עשרה חודשי מאסר בפועל על נאשם שהיה נעדר כל עבר פלילי, </w:t>
      </w:r>
      <w:hyperlink r:id="rId48" w:history="1">
        <w:r w:rsidR="00CF2BAC" w:rsidRPr="00CF2BAC">
          <w:rPr>
            <w:rFonts w:ascii="Arial" w:hAnsi="Arial"/>
            <w:color w:val="0000FF"/>
            <w:u w:val="single"/>
            <w:rtl/>
          </w:rPr>
          <w:t>עפ"ג (מחוזי חיפה) 52602-12-19</w:t>
        </w:r>
      </w:hyperlink>
      <w:r>
        <w:rPr>
          <w:rFonts w:ascii="Arial" w:hAnsi="Arial" w:hint="cs"/>
          <w:rtl/>
        </w:rPr>
        <w:t xml:space="preserve"> </w:t>
      </w:r>
      <w:r>
        <w:rPr>
          <w:rFonts w:ascii="Arial" w:hAnsi="Arial" w:hint="cs"/>
          <w:b/>
          <w:bCs/>
          <w:rtl/>
        </w:rPr>
        <w:t>מדינת ישראל נ' ריזק</w:t>
      </w:r>
      <w:r>
        <w:rPr>
          <w:rFonts w:ascii="Arial" w:hAnsi="Arial" w:hint="cs"/>
          <w:rtl/>
        </w:rPr>
        <w:t xml:space="preserve"> (27.1.20), </w:t>
      </w:r>
      <w:hyperlink r:id="rId49" w:history="1">
        <w:r w:rsidR="00CF2BAC" w:rsidRPr="00CF2BAC">
          <w:rPr>
            <w:rFonts w:ascii="Arial" w:hAnsi="Arial"/>
            <w:color w:val="0000FF"/>
            <w:u w:val="single"/>
            <w:rtl/>
          </w:rPr>
          <w:t>עפ"ג (מחוזי נצרת) 21260-10-19</w:t>
        </w:r>
      </w:hyperlink>
      <w:r>
        <w:rPr>
          <w:rFonts w:ascii="Arial" w:hAnsi="Arial" w:hint="cs"/>
          <w:rtl/>
        </w:rPr>
        <w:t xml:space="preserve"> </w:t>
      </w:r>
      <w:r>
        <w:rPr>
          <w:rFonts w:ascii="Arial" w:hAnsi="Arial" w:hint="cs"/>
          <w:b/>
          <w:bCs/>
          <w:rtl/>
        </w:rPr>
        <w:t xml:space="preserve">מדינת ישראל נ' מזאריב </w:t>
      </w:r>
      <w:r>
        <w:rPr>
          <w:rFonts w:ascii="Arial" w:hAnsi="Arial" w:hint="cs"/>
          <w:rtl/>
        </w:rPr>
        <w:t>(24.11.19) ו</w:t>
      </w:r>
      <w:hyperlink r:id="rId50" w:history="1">
        <w:r w:rsidR="00CF2BAC" w:rsidRPr="00CF2BAC">
          <w:rPr>
            <w:rFonts w:ascii="Arial" w:hAnsi="Arial"/>
            <w:color w:val="0000FF"/>
            <w:u w:val="single"/>
            <w:rtl/>
          </w:rPr>
          <w:t>עפ"ג (מחוזי חיפה) 34995-05-20</w:t>
        </w:r>
      </w:hyperlink>
      <w:r>
        <w:rPr>
          <w:rFonts w:ascii="Arial" w:hAnsi="Arial" w:hint="cs"/>
          <w:rtl/>
        </w:rPr>
        <w:t xml:space="preserve"> </w:t>
      </w:r>
      <w:r>
        <w:rPr>
          <w:rFonts w:ascii="Arial" w:hAnsi="Arial" w:hint="cs"/>
          <w:b/>
          <w:bCs/>
          <w:rtl/>
        </w:rPr>
        <w:t>מדינת ישראל נ' פלוני</w:t>
      </w:r>
      <w:r>
        <w:rPr>
          <w:rFonts w:ascii="Arial" w:hAnsi="Arial" w:hint="cs"/>
          <w:rtl/>
        </w:rPr>
        <w:t xml:space="preserve">, בפסקה ל"ד (18.6.20), וכן פסקי הדין שאוזכרו שם).  </w:t>
      </w:r>
    </w:p>
    <w:p w14:paraId="60615498" w14:textId="77777777" w:rsidR="00203E88" w:rsidRDefault="00203E88" w:rsidP="00203E88">
      <w:pPr>
        <w:spacing w:line="360" w:lineRule="auto"/>
        <w:jc w:val="both"/>
        <w:rPr>
          <w:rFonts w:ascii="David" w:eastAsia="David" w:hAnsi="David"/>
          <w:rtl/>
        </w:rPr>
      </w:pPr>
    </w:p>
    <w:p w14:paraId="10F72450" w14:textId="77777777" w:rsidR="00203E88" w:rsidRDefault="00203E88" w:rsidP="00203E88">
      <w:pPr>
        <w:spacing w:line="360" w:lineRule="auto"/>
        <w:jc w:val="both"/>
        <w:rPr>
          <w:rtl/>
        </w:rPr>
      </w:pPr>
      <w:r>
        <w:rPr>
          <w:rFonts w:hint="cs"/>
          <w:rtl/>
        </w:rPr>
        <w:t>בהתחשב בעובדות ונסיבות חמורות אלה ובמגמת ההחמרה ההדרגתית של בית המשפט העליון בעבירות נשק, מצאתי כי מתחם העונש ההולם בעניינו של הנאשם</w:t>
      </w:r>
      <w:r>
        <w:rPr>
          <w:rFonts w:hint="cs"/>
          <w:b/>
          <w:bCs/>
          <w:rtl/>
        </w:rPr>
        <w:t xml:space="preserve"> נע בין 12  ל- 24 חודשי מאסר בפועל. </w:t>
      </w:r>
      <w:r>
        <w:rPr>
          <w:rFonts w:hint="cs"/>
          <w:rtl/>
        </w:rPr>
        <w:t>באשר לעמדת ההגנה שתחתית המתחם כוללת גם עבודות שירות, מצאתי להפנות ל</w:t>
      </w:r>
      <w:hyperlink r:id="rId51" w:history="1">
        <w:r w:rsidR="00CF2BAC" w:rsidRPr="00CF2BAC">
          <w:rPr>
            <w:color w:val="0000FF"/>
            <w:u w:val="single"/>
            <w:rtl/>
          </w:rPr>
          <w:t>רע"פ 6265/20</w:t>
        </w:r>
      </w:hyperlink>
      <w:r>
        <w:rPr>
          <w:rFonts w:hint="cs"/>
          <w:rtl/>
        </w:rPr>
        <w:t xml:space="preserve"> אבו אלקיעאן (15.09.20) שם נכתב: "</w:t>
      </w:r>
      <w:r>
        <w:rPr>
          <w:rFonts w:hint="cs"/>
          <w:b/>
          <w:bCs/>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Pr>
          <w:rFonts w:hint="cs"/>
          <w:rtl/>
        </w:rPr>
        <w:t>."</w:t>
      </w:r>
    </w:p>
    <w:p w14:paraId="7438C369" w14:textId="77777777" w:rsidR="00203E88" w:rsidRDefault="00203E88" w:rsidP="00203E88">
      <w:pPr>
        <w:spacing w:line="360" w:lineRule="auto"/>
        <w:jc w:val="both"/>
        <w:rPr>
          <w:rtl/>
        </w:rPr>
      </w:pPr>
    </w:p>
    <w:p w14:paraId="40AD95BF" w14:textId="77777777" w:rsidR="00203E88" w:rsidRDefault="00203E88" w:rsidP="00203E88">
      <w:pPr>
        <w:spacing w:line="360" w:lineRule="auto"/>
        <w:jc w:val="both"/>
        <w:rPr>
          <w:rFonts w:ascii="Arial" w:hAnsi="Arial"/>
          <w:rtl/>
        </w:rPr>
      </w:pPr>
      <w:r>
        <w:rPr>
          <w:rFonts w:hint="cs"/>
          <w:rtl/>
        </w:rPr>
        <w:t xml:space="preserve">באשר לעבירות התעבורה </w:t>
      </w:r>
      <w:r>
        <w:rPr>
          <w:rFonts w:ascii="Arial" w:hAnsi="Arial" w:hint="cs"/>
          <w:rtl/>
        </w:rPr>
        <w:t xml:space="preserve">בבחינת הערכים החברתיים שנפגעו מביצוע העבירות עולה כי במעשיו פגע הנאשם בשלום הציבור ובטחונו. מציאות חיינו מלמדת כי כבישי הארץ הפכו למסוכנים, הנוכחים בה תדיר אי ציות לחוקי התנועה ונהיגה משולחת רסן. </w:t>
      </w:r>
    </w:p>
    <w:p w14:paraId="5E568AF0" w14:textId="77777777" w:rsidR="00203E88" w:rsidRDefault="00203E88" w:rsidP="00203E88">
      <w:pPr>
        <w:spacing w:line="360" w:lineRule="auto"/>
        <w:jc w:val="both"/>
        <w:rPr>
          <w:rFonts w:ascii="Arial" w:hAnsi="Arial"/>
          <w:rtl/>
        </w:rPr>
      </w:pPr>
      <w:r>
        <w:rPr>
          <w:rFonts w:ascii="Arial" w:hAnsi="Arial" w:hint="cs"/>
          <w:rtl/>
        </w:rPr>
        <w:t>לא פעם התוצאה היא קיפוח חיי אדם ופגיעה ברכוש ועל בית המשפט לשלוח מסר תקיף ולהגן על חייהם ורכושם של המשתמשים בכביש כאשר עבירה של נהיגה ללא רישיון תקף הוגדרה בפסיקה כעבירה מסוכנת, "פצצה מתקתקת", אשר גלום בה פוטנציאל רב של סיכון ואף פגיעה ממשית במשתמשי הדרך. הסיכון בא לידי ביטוי במיוחד אם יפגע אחד מהמשתמשים בדרך ולא יהיה לו כיצד להיפרע לאור היות הנאשם נוהג ללא פוליסת ביטוח ברת תוקף.</w:t>
      </w:r>
    </w:p>
    <w:p w14:paraId="391D0F20" w14:textId="77777777" w:rsidR="00203E88" w:rsidRDefault="00203E88" w:rsidP="00203E88">
      <w:pPr>
        <w:spacing w:line="360" w:lineRule="auto"/>
        <w:jc w:val="both"/>
        <w:rPr>
          <w:rFonts w:ascii="Arial" w:hAnsi="Arial"/>
          <w:rtl/>
        </w:rPr>
      </w:pPr>
    </w:p>
    <w:p w14:paraId="2ADA14B8" w14:textId="77777777" w:rsidR="00203E88" w:rsidRDefault="00203E88" w:rsidP="00203E88">
      <w:pPr>
        <w:spacing w:line="360" w:lineRule="auto"/>
        <w:jc w:val="both"/>
        <w:rPr>
          <w:rtl/>
        </w:rPr>
      </w:pPr>
      <w:r>
        <w:rPr>
          <w:rFonts w:hint="cs"/>
          <w:rtl/>
        </w:rPr>
        <w:t xml:space="preserve">יתר על כן, אין לשכוח שהנאשם נהג ברכב כאשר רישיון הנהיגה שלו פקע בשנת 2008, היינו מזה כ- 11 שנים במועד ביצוע העבירות ולמעשה, בהתחשב בגיליונו התעבורתי הכולל עבירות דומות רבות לעבירות הנידונות בפניי, הרי שהנאשם מעולם לא חדל מלנהוג וכדברי בית המשפט המחוזי </w:t>
      </w:r>
      <w:r>
        <w:rPr>
          <w:rFonts w:hint="cs"/>
          <w:b/>
          <w:bCs/>
          <w:rtl/>
        </w:rPr>
        <w:t>"נראה שהמשיב הפך את הנהיגה ללא רישיון ל"מפעל חיים". שלטון החוק לא מעניין אותו. הצורך ברישיון נהיגה אינו מטריד אותו, הוא ממשיך לנהוג כשאין הוא מבוטח, מסכן את ביטחונם של עוברי הדרך ושלו גם כן שוב ושוב, גם אם אצא מהנחה שהנני חייב לצאת ממנה, שנהג רק באותם מקרים שבהם נרשמו דו"חות"</w:t>
      </w:r>
      <w:r>
        <w:rPr>
          <w:rFonts w:hint="cs"/>
          <w:rtl/>
        </w:rPr>
        <w:t xml:space="preserve"> (</w:t>
      </w:r>
      <w:hyperlink r:id="rId52" w:history="1">
        <w:r w:rsidR="00CF2BAC" w:rsidRPr="00CF2BAC">
          <w:rPr>
            <w:color w:val="0000FF"/>
            <w:u w:val="single"/>
            <w:rtl/>
          </w:rPr>
          <w:t>עפ"ת 32611-08-10</w:t>
        </w:r>
      </w:hyperlink>
      <w:r>
        <w:rPr>
          <w:rFonts w:hint="cs"/>
          <w:rtl/>
        </w:rPr>
        <w:t xml:space="preserve"> </w:t>
      </w:r>
      <w:r>
        <w:rPr>
          <w:rFonts w:hint="cs"/>
          <w:b/>
          <w:bCs/>
          <w:rtl/>
        </w:rPr>
        <w:t>מ"י נ' שלמה גיא</w:t>
      </w:r>
      <w:r>
        <w:rPr>
          <w:rFonts w:hint="cs"/>
          <w:rtl/>
        </w:rPr>
        <w:t xml:space="preserve"> [31.10.10]). </w:t>
      </w:r>
    </w:p>
    <w:p w14:paraId="0B59A55F" w14:textId="77777777" w:rsidR="00203E88" w:rsidRDefault="00203E88" w:rsidP="00203E88">
      <w:pPr>
        <w:spacing w:line="360" w:lineRule="auto"/>
        <w:jc w:val="both"/>
        <w:rPr>
          <w:rFonts w:ascii="Arial" w:hAnsi="Arial"/>
          <w:rtl/>
        </w:rPr>
      </w:pPr>
    </w:p>
    <w:p w14:paraId="0929EEC7" w14:textId="77777777" w:rsidR="00203E88" w:rsidRDefault="00203E88" w:rsidP="00203E88">
      <w:pPr>
        <w:spacing w:line="360" w:lineRule="auto"/>
        <w:jc w:val="both"/>
        <w:rPr>
          <w:rFonts w:ascii="Arial" w:hAnsi="Arial"/>
          <w:rtl/>
        </w:rPr>
      </w:pPr>
      <w:r>
        <w:rPr>
          <w:rFonts w:ascii="Arial" w:hAnsi="Arial" w:hint="cs"/>
          <w:rtl/>
        </w:rPr>
        <w:t>בפסקי דין רבים נקבע כי נהיגה כשרישיון הנהיגה פקע לתקופה ארוכה יש לראות את הנוהג כמי שנוהג ללא רישיון כלל:</w:t>
      </w:r>
    </w:p>
    <w:p w14:paraId="28BA03CA" w14:textId="77777777" w:rsidR="00203E88" w:rsidRDefault="00203E88" w:rsidP="00203E88">
      <w:pPr>
        <w:spacing w:line="360" w:lineRule="auto"/>
        <w:ind w:left="567" w:right="567"/>
        <w:jc w:val="both"/>
        <w:rPr>
          <w:b/>
          <w:bCs/>
          <w:rtl/>
        </w:rPr>
      </w:pPr>
      <w:r>
        <w:rPr>
          <w:rFonts w:hint="cs"/>
          <w:b/>
          <w:bCs/>
          <w:rtl/>
        </w:rPr>
        <w:t xml:space="preserve">"גם העבירה של נהיגה כשרישיון הנהיגה פקע לתקופה ארוכה, היא עבירה שהערכים המוגנים בגדרה דומים </w:t>
      </w:r>
      <w:r>
        <w:rPr>
          <w:rFonts w:hint="cs"/>
          <w:rtl/>
        </w:rPr>
        <w:t>(לעבירה של נהיגה בפסילה – א"א)</w:t>
      </w:r>
      <w:r>
        <w:rPr>
          <w:rFonts w:hint="cs"/>
          <w:b/>
          <w:bCs/>
          <w:rtl/>
        </w:rPr>
        <w:t xml:space="preserve">, ושלא ניתן להקל ראש בחומרתה; כאשר ככל שתקופת הפקיעה ארוכה יותר, ראוי להתייחס אל הנהג כמי שאינו מורשה כלל לנהיגה, כך שפוטנציאל הסכנה לציבור הטמון בנהיגתו, גבוה" </w:t>
      </w:r>
      <w:r>
        <w:rPr>
          <w:rFonts w:hint="cs"/>
          <w:rtl/>
        </w:rPr>
        <w:t>(</w:t>
      </w:r>
      <w:hyperlink r:id="rId53" w:history="1">
        <w:r w:rsidR="00CF2BAC" w:rsidRPr="00CF2BAC">
          <w:rPr>
            <w:color w:val="0000FF"/>
            <w:u w:val="single"/>
            <w:rtl/>
          </w:rPr>
          <w:t>עפ"ת 21538-08-19</w:t>
        </w:r>
      </w:hyperlink>
      <w:r>
        <w:rPr>
          <w:rFonts w:hint="cs"/>
          <w:rtl/>
        </w:rPr>
        <w:t xml:space="preserve"> </w:t>
      </w:r>
      <w:r>
        <w:rPr>
          <w:rFonts w:hint="cs"/>
          <w:b/>
          <w:bCs/>
          <w:rtl/>
        </w:rPr>
        <w:t>מדינת ישראל נ' ג'ניים</w:t>
      </w:r>
      <w:r>
        <w:rPr>
          <w:rFonts w:hint="cs"/>
          <w:rtl/>
        </w:rPr>
        <w:t xml:space="preserve"> (ניתן ביום 20.01.20, פורסם בנבו) וכן </w:t>
      </w:r>
      <w:hyperlink r:id="rId54" w:history="1">
        <w:r w:rsidR="00CF2BAC" w:rsidRPr="00CF2BAC">
          <w:rPr>
            <w:color w:val="0000FF"/>
            <w:u w:val="single"/>
            <w:rtl/>
          </w:rPr>
          <w:t>עפ"ת 1647-08-20</w:t>
        </w:r>
      </w:hyperlink>
      <w:r>
        <w:rPr>
          <w:rFonts w:hint="cs"/>
          <w:rtl/>
        </w:rPr>
        <w:t xml:space="preserve"> </w:t>
      </w:r>
      <w:r>
        <w:rPr>
          <w:rFonts w:hint="cs"/>
          <w:b/>
          <w:bCs/>
          <w:rtl/>
        </w:rPr>
        <w:t>מדינת ישראל נ' אבו בנייה</w:t>
      </w:r>
      <w:r>
        <w:rPr>
          <w:rFonts w:hint="cs"/>
          <w:rtl/>
        </w:rPr>
        <w:t xml:space="preserve"> (ניתן ביום 23.09.20, פורסם בנבו))</w:t>
      </w:r>
      <w:r>
        <w:rPr>
          <w:rFonts w:hint="cs"/>
          <w:b/>
          <w:bCs/>
          <w:rtl/>
        </w:rPr>
        <w:t>.</w:t>
      </w:r>
    </w:p>
    <w:p w14:paraId="03301868" w14:textId="77777777" w:rsidR="00203E88" w:rsidRDefault="00203E88" w:rsidP="00203E88">
      <w:pPr>
        <w:spacing w:line="360" w:lineRule="auto"/>
        <w:ind w:left="567" w:right="567"/>
        <w:jc w:val="both"/>
        <w:rPr>
          <w:b/>
          <w:bCs/>
          <w:rtl/>
        </w:rPr>
      </w:pPr>
    </w:p>
    <w:p w14:paraId="6724EDD9" w14:textId="77777777" w:rsidR="00203E88" w:rsidRDefault="00203E88" w:rsidP="00203E88">
      <w:pPr>
        <w:spacing w:line="360" w:lineRule="auto"/>
        <w:jc w:val="both"/>
        <w:rPr>
          <w:rFonts w:ascii="Arial" w:hAnsi="Arial"/>
          <w:rtl/>
        </w:rPr>
      </w:pPr>
      <w:r>
        <w:rPr>
          <w:rFonts w:ascii="Arial" w:hAnsi="Arial" w:hint="cs"/>
          <w:rtl/>
        </w:rPr>
        <w:t>מעיון בפסיקת בתי משפט הן השלום והן המחוזי כערכאת ערעור, נקבע מתחם הענישה ככזה הנע בין מאסר על תנאי לבין מספר חודשי מאסר בפועל אשר יכול וינשאו בעבודות שירות, לצד פסילה לתקופה שבין חודשיים לבין 24 חודשים וענישה נלווית, במקרים בהם קיים ריבוי עבירות והישנות ביצוען.</w:t>
      </w:r>
    </w:p>
    <w:p w14:paraId="0EC59426" w14:textId="77777777" w:rsidR="00203E88" w:rsidRDefault="00203E88" w:rsidP="00203E88">
      <w:pPr>
        <w:spacing w:line="360" w:lineRule="auto"/>
        <w:jc w:val="both"/>
        <w:rPr>
          <w:b/>
          <w:bCs/>
          <w:color w:val="FF0000"/>
          <w:sz w:val="32"/>
          <w:szCs w:val="32"/>
          <w:rtl/>
        </w:rPr>
      </w:pPr>
    </w:p>
    <w:p w14:paraId="4CD13904" w14:textId="77777777" w:rsidR="00203E88" w:rsidRDefault="00203E88" w:rsidP="00203E88">
      <w:pPr>
        <w:spacing w:line="360" w:lineRule="auto"/>
        <w:jc w:val="both"/>
        <w:rPr>
          <w:rFonts w:ascii="David" w:hAnsi="David"/>
          <w:rtl/>
        </w:rPr>
      </w:pPr>
      <w:r>
        <w:rPr>
          <w:rFonts w:hint="cs"/>
          <w:rtl/>
        </w:rPr>
        <w:t xml:space="preserve">מעשיו של הנאשם, המתבטאים בנהיגה עת מרחף מעל ראשו עונש מאסר מותנה של 8 חודשים בגין הרשעה זהה בתיק 1089-05-16 בגזר דין שניתן בתאריך 03.05.16 מלמדים על העוצמה הרבה של הפגיעה בערך החברתי המוגן. </w:t>
      </w:r>
    </w:p>
    <w:p w14:paraId="118525AC" w14:textId="77777777" w:rsidR="00203E88" w:rsidRDefault="00203E88" w:rsidP="00203E88">
      <w:pPr>
        <w:spacing w:line="360" w:lineRule="auto"/>
        <w:jc w:val="both"/>
        <w:rPr>
          <w:rFonts w:ascii="Arial" w:hAnsi="Arial"/>
          <w:rtl/>
        </w:rPr>
      </w:pPr>
    </w:p>
    <w:p w14:paraId="3C02FB72" w14:textId="77777777" w:rsidR="00203E88" w:rsidRDefault="00203E88" w:rsidP="00203E88">
      <w:pPr>
        <w:spacing w:line="360" w:lineRule="auto"/>
        <w:jc w:val="both"/>
        <w:rPr>
          <w:rFonts w:ascii="David" w:eastAsia="David" w:hAnsi="David"/>
          <w:rtl/>
        </w:rPr>
      </w:pPr>
      <w:r>
        <w:rPr>
          <w:rFonts w:hint="cs"/>
          <w:rtl/>
        </w:rPr>
        <w:t xml:space="preserve">סופו של דבר, אני קובע את מתחם העונש ההולם לכלל העבירות אותן ביצע </w:t>
      </w:r>
      <w:r>
        <w:rPr>
          <w:rFonts w:hint="cs"/>
          <w:b/>
          <w:bCs/>
          <w:rtl/>
        </w:rPr>
        <w:t>הנאשם 12-24 חודשי מאסר בפועל,</w:t>
      </w:r>
      <w:r>
        <w:rPr>
          <w:rFonts w:ascii="Arial" w:hAnsi="Arial" w:hint="cs"/>
          <w:b/>
          <w:bCs/>
          <w:rtl/>
        </w:rPr>
        <w:t xml:space="preserve"> לצד פסילה לתקופה שבין 10 חודשים לבין 24 חודשים</w:t>
      </w:r>
      <w:r>
        <w:rPr>
          <w:rFonts w:ascii="Arial" w:hAnsi="Arial" w:hint="cs"/>
          <w:rtl/>
        </w:rPr>
        <w:t xml:space="preserve"> וענישה צופה פני עתיד.</w:t>
      </w:r>
    </w:p>
    <w:p w14:paraId="59751496" w14:textId="77777777" w:rsidR="00203E88" w:rsidRDefault="00203E88" w:rsidP="00203E88">
      <w:pPr>
        <w:spacing w:line="360" w:lineRule="auto"/>
        <w:jc w:val="both"/>
        <w:rPr>
          <w:rFonts w:ascii="Miriam" w:hAnsi="Miriam" w:cs="Miriam"/>
          <w:sz w:val="22"/>
          <w:szCs w:val="22"/>
          <w:rtl/>
        </w:rPr>
      </w:pPr>
    </w:p>
    <w:p w14:paraId="7BA3A5F7" w14:textId="77777777" w:rsidR="00203E88" w:rsidRDefault="00203E88" w:rsidP="00203E88">
      <w:pPr>
        <w:spacing w:line="360" w:lineRule="auto"/>
        <w:jc w:val="both"/>
        <w:rPr>
          <w:rFonts w:ascii="David" w:hAnsi="David"/>
          <w:b/>
          <w:bCs/>
          <w:u w:val="single"/>
          <w:rtl/>
        </w:rPr>
      </w:pPr>
      <w:r>
        <w:rPr>
          <w:rFonts w:hint="cs"/>
          <w:b/>
          <w:bCs/>
          <w:u w:val="single"/>
          <w:rtl/>
        </w:rPr>
        <w:t>קביעת העונש ההולם</w:t>
      </w:r>
    </w:p>
    <w:p w14:paraId="5022EF03" w14:textId="77777777" w:rsidR="00203E88" w:rsidRDefault="00203E88" w:rsidP="00203E88">
      <w:pPr>
        <w:spacing w:line="360" w:lineRule="auto"/>
        <w:jc w:val="both"/>
        <w:rPr>
          <w:rtl/>
        </w:rPr>
      </w:pPr>
      <w:r>
        <w:rPr>
          <w:rFonts w:hint="cs"/>
          <w:rtl/>
        </w:rPr>
        <w:t>לחובת הנאשם הרשעה אחת קודמת שהתיישנה לאחרונה בגין תקיפה הגורמת חבלה של ממש משנת 2013. טוען הסנגור כי ההרשעה איננה קשורה וישנה יחסית אולם לא מצאתי שיש בכך ממש כדי להקל עם הנאשם שהרי הנאשם החל בתקיפה והמשיך בתיק כאן בהחזקת נשק ותחמושת. אם לא יסלל הגבול להתנהלותו פורצת החוק של הנאשם, סופה של דרך זו מי ישורנו.</w:t>
      </w:r>
    </w:p>
    <w:p w14:paraId="673830B6" w14:textId="77777777" w:rsidR="00203E88" w:rsidRDefault="00203E88" w:rsidP="00203E88">
      <w:pPr>
        <w:spacing w:line="360" w:lineRule="auto"/>
        <w:jc w:val="both"/>
        <w:rPr>
          <w:rtl/>
        </w:rPr>
      </w:pPr>
      <w:r>
        <w:rPr>
          <w:rFonts w:hint="cs"/>
          <w:rtl/>
        </w:rPr>
        <w:t>כך גם, לחובת הנאשם 28 הרשעות תעבורה קודמות, רבות מהן בגין נהיגה לאחר שרישיון הנהיגה פקע. למרות שניתנו לנאשם הזדמנויות רבות, לא השכיל הנאשם לחדול מביצוע העבירות והוכיח כי גם בחלוף השנים לא הציב לעצמו גבול ולא נרתע עד שביצע אותן חמש פעמים נוספות לפחות (כאמור, לתיק זה צורפו 4 כ"א נוספים ודוח אחד נוסף).</w:t>
      </w:r>
    </w:p>
    <w:p w14:paraId="71B1A229" w14:textId="77777777" w:rsidR="00203E88" w:rsidRDefault="00203E88" w:rsidP="00203E88">
      <w:pPr>
        <w:spacing w:line="360" w:lineRule="auto"/>
        <w:jc w:val="both"/>
        <w:rPr>
          <w:rtl/>
        </w:rPr>
      </w:pPr>
      <w:r>
        <w:rPr>
          <w:rFonts w:hint="cs"/>
          <w:rtl/>
        </w:rPr>
        <w:t xml:space="preserve"> </w:t>
      </w:r>
    </w:p>
    <w:p w14:paraId="46A6FC40" w14:textId="77777777" w:rsidR="00203E88" w:rsidRDefault="00203E88" w:rsidP="00203E88">
      <w:pPr>
        <w:spacing w:line="360" w:lineRule="auto"/>
        <w:jc w:val="both"/>
        <w:rPr>
          <w:rtl/>
        </w:rPr>
      </w:pPr>
      <w:r>
        <w:rPr>
          <w:rFonts w:hint="cs"/>
          <w:rtl/>
        </w:rPr>
        <w:t xml:space="preserve">בטיעוניו לעונש ביקש בא כוח הנאשם להקל עם הנאשם ולזקוף לזכותו את הודאתו ולהתחשב בנסיבות חייו. דומני, כי אין מקום לתת את מלוא המשקל לנסיבות ולטיעונים אליהם מפנה בא כוח הנאשם. אומנם בצד סוג, טיב וחומרת העבירות המיוחסות לנאשם, ישנם שיקולי ענישה רבים ומגוונים אך בסופו של יום בגזירת הדין אמון בית המשפט על איזון האינטרסים השונים. מחד עומד בפני בית המשפט הצורך בהרתעת הרבים דוגמת הנאשם ובשמירה על אינטרס הציבור, מאידך עומדות נסיבותיו האישיות של הנאשם הספציפי. איזון שיקולים מתחייב זה, אל לו להתפרש כצעד המחייב את בית המשפט להעדיף את נסיבותיו האישיות של הנאשם, על פני האינטרס הציבורי הדורש הרחקתו של העבריין מהחברה </w:t>
      </w:r>
      <w:r>
        <w:rPr>
          <w:rFonts w:ascii="Arial" w:hAnsi="Arial" w:hint="cs"/>
          <w:rtl/>
        </w:rPr>
        <w:t>(</w:t>
      </w:r>
      <w:hyperlink r:id="rId55" w:history="1">
        <w:r w:rsidR="00CF2BAC" w:rsidRPr="00CF2BAC">
          <w:rPr>
            <w:color w:val="0000FF"/>
            <w:u w:val="single"/>
            <w:rtl/>
          </w:rPr>
          <w:t>ע"פ 5330/20</w:t>
        </w:r>
      </w:hyperlink>
      <w:r>
        <w:rPr>
          <w:rFonts w:hint="cs"/>
          <w:rtl/>
        </w:rPr>
        <w:t xml:space="preserve"> </w:t>
      </w:r>
      <w:r>
        <w:rPr>
          <w:rFonts w:hint="cs"/>
          <w:b/>
          <w:bCs/>
          <w:rtl/>
        </w:rPr>
        <w:t>ענבתאוי נ' מדינת ישראל</w:t>
      </w:r>
      <w:r>
        <w:rPr>
          <w:rFonts w:hint="cs"/>
          <w:rtl/>
        </w:rPr>
        <w:t>, (22.11.20)).</w:t>
      </w:r>
    </w:p>
    <w:p w14:paraId="0F27F8BF" w14:textId="77777777" w:rsidR="00203E88" w:rsidRDefault="00203E88" w:rsidP="00203E88">
      <w:pPr>
        <w:spacing w:line="360" w:lineRule="auto"/>
        <w:jc w:val="both"/>
        <w:rPr>
          <w:rtl/>
        </w:rPr>
      </w:pPr>
    </w:p>
    <w:p w14:paraId="0B7E7488" w14:textId="77777777" w:rsidR="00203E88" w:rsidRDefault="00203E88" w:rsidP="00203E88">
      <w:pPr>
        <w:spacing w:line="360" w:lineRule="auto"/>
        <w:jc w:val="both"/>
        <w:rPr>
          <w:rtl/>
        </w:rPr>
      </w:pPr>
      <w:r>
        <w:rPr>
          <w:rFonts w:hint="cs"/>
          <w:rtl/>
        </w:rPr>
        <w:t xml:space="preserve">במקרה דנן יש אף צורך בהרתעת הרבים מפני ביצוע עבירות נשק מסוג זה וכי יש סיכוי של ממש  שהחמרה בעונשו של הנאשם תביא להרתעת הרבים. עבירות הנשק הפכו לנגע שהתפשט בחברה ועל בתי המשפט להילחם בנגע זה מלחמת חורמה. חדשות לבקרים מתבצעים מקרי ירי תוך שימוש בנשק חם. בעשרות מקרים, קיפדו חייהם, צעירים ומבוגרים כאחד, בשל מעשי ירי ושימוש בנשק שלא כדין. </w:t>
      </w:r>
    </w:p>
    <w:p w14:paraId="0D494147" w14:textId="77777777" w:rsidR="00203E88" w:rsidRDefault="00203E88" w:rsidP="00203E88">
      <w:pPr>
        <w:spacing w:line="360" w:lineRule="auto"/>
        <w:jc w:val="both"/>
        <w:rPr>
          <w:rtl/>
        </w:rPr>
      </w:pPr>
    </w:p>
    <w:p w14:paraId="4E59F94A" w14:textId="77777777" w:rsidR="00203E88" w:rsidRDefault="00203E88" w:rsidP="00203E88">
      <w:pPr>
        <w:spacing w:line="360" w:lineRule="auto"/>
        <w:jc w:val="both"/>
        <w:rPr>
          <w:rtl/>
        </w:rPr>
      </w:pPr>
      <w:r>
        <w:rPr>
          <w:rFonts w:hint="cs"/>
          <w:rtl/>
        </w:rPr>
        <w:t>למרות האמור, הנאשם אכן הודה בהזדמנות הראשונה וחסך זמן שיפוטי. נסיבה זו מהווה שיקול לקולא ויש בו כדי להקל במידת מה על העונש בתוך המתחם.</w:t>
      </w:r>
    </w:p>
    <w:p w14:paraId="6CBD6412" w14:textId="77777777" w:rsidR="00203E88" w:rsidRDefault="00203E88" w:rsidP="00203E88">
      <w:pPr>
        <w:spacing w:line="360" w:lineRule="auto"/>
        <w:jc w:val="both"/>
        <w:rPr>
          <w:rtl/>
        </w:rPr>
      </w:pPr>
      <w:r>
        <w:rPr>
          <w:rFonts w:hint="cs"/>
          <w:rtl/>
        </w:rPr>
        <w:t>כמו כן, הנאשם מעולם לא נשא בעונשי מאסר בפועל בעבודות שירות או מאחורי סורג ובריח וגם לנתון זה יש לתת משקל לקולא במיקום הנאשם בתוך המתחם.</w:t>
      </w:r>
    </w:p>
    <w:p w14:paraId="38B4FEBA" w14:textId="77777777" w:rsidR="00203E88" w:rsidRDefault="00203E88" w:rsidP="00203E88">
      <w:pPr>
        <w:spacing w:line="360" w:lineRule="auto"/>
        <w:jc w:val="both"/>
        <w:rPr>
          <w:rtl/>
        </w:rPr>
      </w:pPr>
    </w:p>
    <w:p w14:paraId="129CE689" w14:textId="77777777" w:rsidR="00203E88" w:rsidRDefault="00203E88" w:rsidP="00203E88">
      <w:pPr>
        <w:spacing w:line="360" w:lineRule="atLeast"/>
        <w:ind w:left="510" w:hanging="510"/>
        <w:rPr>
          <w:rFonts w:ascii="Arial" w:hAnsi="Arial"/>
          <w:b/>
          <w:bCs/>
          <w:u w:val="single"/>
          <w:rtl/>
        </w:rPr>
      </w:pPr>
      <w:r>
        <w:rPr>
          <w:rFonts w:ascii="Arial" w:hAnsi="Arial" w:hint="cs"/>
          <w:b/>
          <w:bCs/>
          <w:u w:val="single"/>
          <w:rtl/>
        </w:rPr>
        <w:t>עתירת המאשימה להפעלת המאסר המותנה במצטבר</w:t>
      </w:r>
      <w:r>
        <w:rPr>
          <w:rFonts w:ascii="Arial" w:hAnsi="Arial" w:hint="cs"/>
          <w:rtl/>
        </w:rPr>
        <w:t>:</w:t>
      </w:r>
    </w:p>
    <w:p w14:paraId="2844DBC1" w14:textId="77777777" w:rsidR="00203E88" w:rsidRDefault="00203E88" w:rsidP="00203E88">
      <w:pPr>
        <w:spacing w:line="360" w:lineRule="atLeast"/>
        <w:jc w:val="both"/>
        <w:rPr>
          <w:rFonts w:ascii="Arial" w:hAnsi="Arial"/>
          <w:rtl/>
        </w:rPr>
      </w:pPr>
      <w:r>
        <w:rPr>
          <w:rFonts w:ascii="Arial" w:hAnsi="Arial" w:hint="cs"/>
          <w:rtl/>
        </w:rPr>
        <w:t xml:space="preserve">על פי הוראות </w:t>
      </w:r>
      <w:hyperlink r:id="rId56" w:history="1">
        <w:r w:rsidR="00BE3DD4" w:rsidRPr="00BE3DD4">
          <w:rPr>
            <w:rStyle w:val="Hyperlink"/>
            <w:rFonts w:ascii="Arial" w:hAnsi="Arial" w:hint="eastAsia"/>
            <w:rtl/>
          </w:rPr>
          <w:t>סעיף</w:t>
        </w:r>
        <w:r w:rsidR="00BE3DD4" w:rsidRPr="00BE3DD4">
          <w:rPr>
            <w:rStyle w:val="Hyperlink"/>
            <w:rFonts w:ascii="Arial" w:hAnsi="Arial"/>
            <w:rtl/>
          </w:rPr>
          <w:t xml:space="preserve"> 55(א)</w:t>
        </w:r>
      </w:hyperlink>
      <w:r>
        <w:rPr>
          <w:rFonts w:ascii="Arial" w:hAnsi="Arial" w:hint="cs"/>
          <w:rtl/>
        </w:rPr>
        <w:t xml:space="preserve"> ל</w:t>
      </w:r>
      <w:hyperlink r:id="rId57" w:history="1">
        <w:r w:rsidR="00CF2BAC" w:rsidRPr="00CF2BAC">
          <w:rPr>
            <w:rFonts w:ascii="Arial" w:hAnsi="Arial"/>
            <w:color w:val="0000FF"/>
            <w:u w:val="single"/>
            <w:rtl/>
          </w:rPr>
          <w:t>חוק העונשין</w:t>
        </w:r>
      </w:hyperlink>
      <w:r>
        <w:rPr>
          <w:rFonts w:ascii="Arial" w:hAnsi="Arial" w:hint="cs"/>
          <w:rtl/>
        </w:rPr>
        <w:t>, נאשם אשר נדון למאסר על תנאי והורשע בגין עבירה נוספת, יצווה בית המשפט על הפעלת המאסר על תנאי. מטרתו של עונש המאסר המותנה, להוות מעין חרב אשר תלויה מעל ראשו של הנאשם, באופן שהמאסר המותנה יכול להפוך למאסר בפועל של ממש. באופן זה, יחויב הנאשם אשר נדון לעונש מאסר מותנה, לנהוג בזהירות יתרה בתקופת התנאי וככל שאכן לא יפר את תקופת התנאי, כך ההנחה היא שיקפיד ביתר שאת בהמשך דרכו גם לאחר תום תקופת העונש המותנה.</w:t>
      </w:r>
    </w:p>
    <w:p w14:paraId="74AF479D" w14:textId="77777777" w:rsidR="00203E88" w:rsidRDefault="00203E88" w:rsidP="00203E88">
      <w:pPr>
        <w:spacing w:line="360" w:lineRule="atLeast"/>
        <w:ind w:left="510" w:hanging="510"/>
        <w:rPr>
          <w:rFonts w:ascii="Arial" w:hAnsi="Arial"/>
          <w:rtl/>
        </w:rPr>
      </w:pPr>
    </w:p>
    <w:p w14:paraId="035B3D56" w14:textId="77777777" w:rsidR="00203E88" w:rsidRDefault="00203E88" w:rsidP="00203E88">
      <w:pPr>
        <w:spacing w:line="360" w:lineRule="auto"/>
        <w:jc w:val="both"/>
        <w:rPr>
          <w:rFonts w:ascii="Arial" w:hAnsi="Arial"/>
          <w:rtl/>
        </w:rPr>
      </w:pPr>
      <w:r>
        <w:rPr>
          <w:rFonts w:ascii="Arial" w:hAnsi="Arial" w:hint="cs"/>
          <w:rtl/>
        </w:rPr>
        <w:t xml:space="preserve">טוען ב"כ הנאשם שלא ניתן להפעיל את התנאי שהוטל בתיק 1089-05-16 בגזר דין מתאריך </w:t>
      </w:r>
      <w:r>
        <w:rPr>
          <w:rFonts w:ascii="Arial" w:hAnsi="Arial" w:hint="cs"/>
          <w:u w:val="single"/>
          <w:rtl/>
        </w:rPr>
        <w:t>03.05.16</w:t>
      </w:r>
      <w:r>
        <w:rPr>
          <w:rFonts w:ascii="Arial" w:hAnsi="Arial" w:hint="cs"/>
          <w:rtl/>
        </w:rPr>
        <w:t xml:space="preserve"> ואולם, בגזר הדין שם הוטל על הנאשם "</w:t>
      </w:r>
      <w:r>
        <w:rPr>
          <w:rFonts w:ascii="Arial" w:hAnsi="Arial" w:hint="cs"/>
          <w:b/>
          <w:bCs/>
          <w:rtl/>
        </w:rPr>
        <w:t xml:space="preserve">מאסר לתקופה של 8 חודשים וזאת על תנאי למשך 3 שנים, אם הנאשם יורשע בנהיגה בהיותו פסול מנהיגה, </w:t>
      </w:r>
      <w:r>
        <w:rPr>
          <w:rFonts w:ascii="Arial" w:hAnsi="Arial" w:hint="cs"/>
          <w:b/>
          <w:bCs/>
          <w:u w:val="single"/>
          <w:rtl/>
        </w:rPr>
        <w:t>או שרישיון הנהיגה לא יהיה תקף מעל שנה</w:t>
      </w:r>
      <w:r>
        <w:rPr>
          <w:rFonts w:ascii="Arial" w:hAnsi="Arial" w:hint="cs"/>
          <w:rtl/>
        </w:rPr>
        <w:t>".</w:t>
      </w:r>
    </w:p>
    <w:p w14:paraId="5E4CC3EA" w14:textId="77777777" w:rsidR="00203E88" w:rsidRDefault="00203E88" w:rsidP="00203E88">
      <w:pPr>
        <w:spacing w:line="360" w:lineRule="auto"/>
        <w:jc w:val="both"/>
        <w:rPr>
          <w:rFonts w:ascii="Arial" w:hAnsi="Arial"/>
          <w:rtl/>
        </w:rPr>
      </w:pPr>
      <w:r>
        <w:rPr>
          <w:rFonts w:ascii="Arial" w:hAnsi="Arial" w:hint="cs"/>
          <w:rtl/>
        </w:rPr>
        <w:t xml:space="preserve">כאמור, הנאשם צירף תיק 5726-01-19 בגין נהיגה כאשר רישיון הנהיגה פקע למעלה משנתיים מתאריך </w:t>
      </w:r>
      <w:r>
        <w:rPr>
          <w:rFonts w:ascii="Arial" w:hAnsi="Arial" w:hint="cs"/>
          <w:u w:val="single"/>
          <w:rtl/>
        </w:rPr>
        <w:t>16.12.18</w:t>
      </w:r>
      <w:r>
        <w:rPr>
          <w:rFonts w:ascii="Arial" w:hAnsi="Arial" w:hint="cs"/>
          <w:rtl/>
        </w:rPr>
        <w:t xml:space="preserve"> וכן תיק 7087-05-19 בגין נהיגה כאשר רישיון הנהיגה פקע למעלה משנתיים מתאריך </w:t>
      </w:r>
      <w:r>
        <w:rPr>
          <w:rFonts w:ascii="Arial" w:hAnsi="Arial" w:hint="cs"/>
          <w:u w:val="single"/>
          <w:rtl/>
        </w:rPr>
        <w:t>05.04.19</w:t>
      </w:r>
      <w:r>
        <w:rPr>
          <w:rFonts w:ascii="Arial" w:hAnsi="Arial" w:hint="cs"/>
          <w:rtl/>
        </w:rPr>
        <w:t>. בנסיבות אלה, לא רק שניתן ואפשר להפעיל את המאסר המותנה, אלא ש</w:t>
      </w:r>
      <w:r>
        <w:rPr>
          <w:rFonts w:ascii="Arial" w:hAnsi="Arial" w:hint="cs"/>
          <w:u w:val="single"/>
          <w:rtl/>
        </w:rPr>
        <w:t>חובה</w:t>
      </w:r>
      <w:r>
        <w:rPr>
          <w:rFonts w:ascii="Arial" w:hAnsi="Arial" w:hint="cs"/>
          <w:rtl/>
        </w:rPr>
        <w:t xml:space="preserve"> להפעילו. </w:t>
      </w:r>
    </w:p>
    <w:p w14:paraId="4204C046" w14:textId="77777777" w:rsidR="00203E88" w:rsidRDefault="00203E88" w:rsidP="00203E88">
      <w:pPr>
        <w:spacing w:line="360" w:lineRule="auto"/>
        <w:jc w:val="both"/>
        <w:rPr>
          <w:rFonts w:ascii="Arial" w:hAnsi="Arial"/>
          <w:rtl/>
        </w:rPr>
      </w:pPr>
    </w:p>
    <w:p w14:paraId="4B511638" w14:textId="77777777" w:rsidR="00203E88" w:rsidRDefault="00203E88" w:rsidP="00203E88">
      <w:pPr>
        <w:spacing w:line="360" w:lineRule="auto"/>
        <w:jc w:val="both"/>
        <w:rPr>
          <w:rFonts w:ascii="Arial" w:hAnsi="Arial"/>
          <w:rtl/>
        </w:rPr>
      </w:pPr>
      <w:r>
        <w:rPr>
          <w:rFonts w:ascii="Arial" w:hAnsi="Arial" w:hint="cs"/>
          <w:rtl/>
        </w:rPr>
        <w:t>כאמור, נגד הנאשם תלוי מאסר מותנה, חב הפעלה, של 8 חודשים אשר ניתן בנוכחותו. במסגרת גזר הדין, הוטלו על הנאשם פסילה בפועל למשך 11 חודשים, פסילה על תנאי של 6 חודשים, קנס, התחייבות וכאמור גם מאסר מותנה.</w:t>
      </w:r>
    </w:p>
    <w:p w14:paraId="00CE458E" w14:textId="77777777" w:rsidR="00203E88" w:rsidRDefault="00203E88" w:rsidP="00203E88">
      <w:pPr>
        <w:spacing w:line="360" w:lineRule="atLeast"/>
        <w:ind w:left="510" w:hanging="510"/>
        <w:jc w:val="both"/>
        <w:rPr>
          <w:rFonts w:ascii="Arial" w:hAnsi="Arial"/>
          <w:rtl/>
        </w:rPr>
      </w:pPr>
    </w:p>
    <w:p w14:paraId="044EF896" w14:textId="77777777" w:rsidR="00203E88" w:rsidRDefault="00203E88" w:rsidP="00203E88">
      <w:pPr>
        <w:spacing w:line="360" w:lineRule="auto"/>
        <w:jc w:val="both"/>
        <w:rPr>
          <w:rFonts w:ascii="Arial" w:hAnsi="Arial"/>
          <w:rtl/>
        </w:rPr>
      </w:pPr>
      <w:r>
        <w:rPr>
          <w:rFonts w:ascii="Arial" w:hAnsi="Arial" w:hint="cs"/>
          <w:rtl/>
        </w:rPr>
        <w:t>כפי שנאמר זה מכבר, העבירות אותן ביצע הנאשם עבירות חמורות המה ואם לא די בכך, הנאשם ביצען בעוד שעונש מאסר על תנאי מרחף מעל לראשו ולא הרתיעו. עובדה זו, יש בה די כדי לדון את הנאשם לתקופת מאסר בפועל. כמו כן, גיליון הרשעותיו של הנאשם והיעדר ניסיונותיו של הנאשם לרפא את הפגם שנים כה רבות מעידות על היעדר הפנמה והיעדר הרתעה.</w:t>
      </w:r>
    </w:p>
    <w:p w14:paraId="64A3351C" w14:textId="77777777" w:rsidR="00203E88" w:rsidRDefault="00203E88" w:rsidP="00203E88">
      <w:pPr>
        <w:spacing w:line="360" w:lineRule="auto"/>
        <w:jc w:val="both"/>
        <w:rPr>
          <w:rFonts w:ascii="Arial" w:hAnsi="Arial"/>
          <w:rtl/>
        </w:rPr>
      </w:pPr>
      <w:r>
        <w:rPr>
          <w:rFonts w:ascii="Arial" w:hAnsi="Arial" w:hint="cs"/>
          <w:rtl/>
        </w:rPr>
        <w:t>עם זאת, החוק המתיר הגבלת הרישיון על ידי הוצאה לפועל אכן תוקן לאחרונה באופן בו מעתה לא תוטל הגבלה על רישיון הנהיגה והסיכון להישנות העבירה פחת משמעותית. אמנם בעת ביצוע העבירות, ההגבלה הייתה בתוקף ולנאשם לא הייתה כל ידיעה אודות ביטולה 3 שנים מאוחר יותר, אך אני מוצא בכך טעם לטובת חפיפת המאסר המותנה בחלקו.</w:t>
      </w:r>
    </w:p>
    <w:p w14:paraId="6439555C" w14:textId="77777777" w:rsidR="00203E88" w:rsidRDefault="00203E88" w:rsidP="00203E88">
      <w:pPr>
        <w:spacing w:line="360" w:lineRule="auto"/>
        <w:jc w:val="both"/>
        <w:rPr>
          <w:rFonts w:ascii="Arial" w:hAnsi="Arial"/>
          <w:b/>
          <w:bCs/>
          <w:rtl/>
        </w:rPr>
      </w:pPr>
      <w:r>
        <w:rPr>
          <w:rFonts w:ascii="Arial" w:hAnsi="Arial" w:hint="cs"/>
          <w:rtl/>
        </w:rPr>
        <w:t>כפי שנקבע ב</w:t>
      </w:r>
      <w:hyperlink r:id="rId58" w:history="1">
        <w:r w:rsidR="00CF2BAC" w:rsidRPr="00CF2BAC">
          <w:rPr>
            <w:rFonts w:ascii="Arial" w:hAnsi="Arial"/>
            <w:color w:val="0000FF"/>
            <w:u w:val="single"/>
            <w:rtl/>
          </w:rPr>
          <w:t>עפ"ת 21538-08-19</w:t>
        </w:r>
      </w:hyperlink>
      <w:r>
        <w:rPr>
          <w:rFonts w:hint="cs"/>
          <w:rtl/>
        </w:rPr>
        <w:t xml:space="preserve"> </w:t>
      </w:r>
      <w:r>
        <w:rPr>
          <w:rFonts w:hint="cs"/>
          <w:b/>
          <w:bCs/>
          <w:rtl/>
        </w:rPr>
        <w:t>מדינת ישראל נ' ג'ניים</w:t>
      </w:r>
      <w:r>
        <w:rPr>
          <w:rFonts w:hint="cs"/>
          <w:rtl/>
        </w:rPr>
        <w:t xml:space="preserve"> (20.01.20)</w:t>
      </w:r>
      <w:r>
        <w:rPr>
          <w:rFonts w:ascii="Arial" w:hAnsi="Arial" w:hint="cs"/>
          <w:rtl/>
        </w:rPr>
        <w:t xml:space="preserve">: </w:t>
      </w:r>
    </w:p>
    <w:p w14:paraId="068C9161" w14:textId="77777777" w:rsidR="00203E88" w:rsidRDefault="00203E88" w:rsidP="00203E88">
      <w:pPr>
        <w:spacing w:line="360" w:lineRule="auto"/>
        <w:ind w:left="567" w:right="567"/>
        <w:jc w:val="both"/>
        <w:rPr>
          <w:rFonts w:ascii="Arial" w:hAnsi="Arial"/>
          <w:b/>
          <w:bCs/>
          <w:rtl/>
        </w:rPr>
      </w:pPr>
      <w:r>
        <w:rPr>
          <w:rFonts w:ascii="Arial" w:hAnsi="Arial" w:hint="cs"/>
          <w:b/>
          <w:bCs/>
          <w:rtl/>
        </w:rPr>
        <w:t xml:space="preserve">"אין להעלות על הדעת, כי שופט תעבורה יגלה הבנה להפרת החוק באופן בוטה ע"י נאשם; ויקבע בעניינו של נאשם רצידיביסט, אשר צבר חודשי פסילה ארוכים בשל התנהגותו המסוכנת והמזלזלת, ולא הורתע מעונשי מאסר בפועל וממאסרים מותנים, כי מאחר שענישה מחמירה לא הועילה, יש מקום להקל בעונשו; וחמור מכך, כי בשל הענישה שהוטלה עליו, הוא "נאלץ" או "יאלץ" גם בעתיד לנהוג את רכבו. המדובר במסר הפוך בתכלית, מזה שמצופה מבית המשפט לתעבורה להעביר למשיב עצמו ולציבור בכללותו, ולפיו בטחונו של הציבור אינו הפקר ואינו נתון בידיו או ברצונו של עבריין תנועה סדרתי, ופסיקותיו של בית המשפט אינן "כתובות על הקרח" ואינן מהוות המלצה בלבד, אשר הציבור רשאי לכבדן או להפר אותן לפי רצונו וצרכיו בלבד. </w:t>
      </w:r>
    </w:p>
    <w:p w14:paraId="59B1D961" w14:textId="77777777" w:rsidR="00203E88" w:rsidRDefault="00203E88" w:rsidP="00203E88">
      <w:pPr>
        <w:spacing w:line="360" w:lineRule="auto"/>
        <w:ind w:left="567" w:right="567"/>
        <w:jc w:val="both"/>
        <w:rPr>
          <w:rFonts w:ascii="Arial" w:hAnsi="Arial"/>
          <w:b/>
          <w:bCs/>
          <w:rtl/>
        </w:rPr>
      </w:pPr>
      <w:r>
        <w:rPr>
          <w:rFonts w:ascii="Arial" w:hAnsi="Arial" w:hint="cs"/>
          <w:b/>
          <w:bCs/>
          <w:rtl/>
        </w:rPr>
        <w:t xml:space="preserve">זאת ועוד, אין לומר כי המשיב "נאלץ" לנהוג ברכב, אלא הוא בחר לעשות כן, תוך התעלמות בוטה מהוראות החוק ומהוראות בתי המשפט; כאשר הוא יכול היה, כמו כל אדם סביר שהוטלה עליו פסילה בפועל, לבחור בחלופות אחרות, כגון, נסיעה בתחבורה ציבורית או הסתייעות באדם אחר שינהג עבורו. </w:t>
      </w:r>
    </w:p>
    <w:p w14:paraId="16ED3F59" w14:textId="77777777" w:rsidR="00203E88" w:rsidRDefault="00203E88" w:rsidP="00203E88">
      <w:pPr>
        <w:spacing w:line="360" w:lineRule="auto"/>
        <w:ind w:left="567" w:right="567"/>
        <w:jc w:val="both"/>
        <w:rPr>
          <w:rFonts w:ascii="Arial" w:hAnsi="Arial"/>
          <w:b/>
          <w:bCs/>
          <w:rtl/>
        </w:rPr>
      </w:pPr>
      <w:r>
        <w:rPr>
          <w:rFonts w:ascii="Arial" w:hAnsi="Arial" w:hint="cs"/>
          <w:b/>
          <w:bCs/>
          <w:rtl/>
        </w:rPr>
        <w:t>עוד ראוי להזכיר, כי המשיב הוא זה שהביא במו ידיו למצב בו הוא נמצא כיום, ואין מדובר בגזירה משמיים".</w:t>
      </w:r>
    </w:p>
    <w:p w14:paraId="26A3FC65" w14:textId="77777777" w:rsidR="00203E88" w:rsidRDefault="00203E88" w:rsidP="00203E88">
      <w:pPr>
        <w:spacing w:line="360" w:lineRule="auto"/>
        <w:jc w:val="both"/>
        <w:rPr>
          <w:rFonts w:ascii="David" w:eastAsia="David" w:hAnsi="David"/>
          <w:rtl/>
        </w:rPr>
      </w:pPr>
    </w:p>
    <w:p w14:paraId="7C1677F8" w14:textId="77777777" w:rsidR="00203E88" w:rsidRDefault="00203E88" w:rsidP="00203E88">
      <w:pPr>
        <w:spacing w:line="360" w:lineRule="auto"/>
        <w:jc w:val="both"/>
        <w:rPr>
          <w:noProof/>
          <w:rtl/>
        </w:rPr>
      </w:pPr>
      <w:r>
        <w:rPr>
          <w:rFonts w:ascii="Arial" w:hAnsi="Arial" w:hint="cs"/>
          <w:rtl/>
        </w:rPr>
        <w:t xml:space="preserve">משנאמר כל זאת, ובהתחשב בחומרת המעשים, בנסיבותיהם, במידת אשמו של הנאשם, בערך החברתי שנפגע, במידת הפגיעה בו ובמדיניות הענישה הנוהגת, תוך התחשבות בהודאתו של הנאשם ובנסיבות חייו, תוך עריכת איזון בין רכיבי הענישה השונים, אני סבור שיש למקם את הנאשם מעט מעל הרף התחתון של המתחם ולכן אני מטיל על הנאשם את העונשים הבאים: </w:t>
      </w:r>
    </w:p>
    <w:p w14:paraId="050557AA" w14:textId="77777777" w:rsidR="00203E88" w:rsidRDefault="00203E88" w:rsidP="00203E88">
      <w:pPr>
        <w:spacing w:line="360" w:lineRule="auto"/>
        <w:jc w:val="both"/>
        <w:rPr>
          <w:noProof/>
          <w:rtl/>
        </w:rPr>
      </w:pPr>
      <w:r>
        <w:rPr>
          <w:rFonts w:ascii="Arial" w:hAnsi="Arial" w:hint="cs"/>
          <w:rtl/>
        </w:rPr>
        <w:t xml:space="preserve"> </w:t>
      </w:r>
    </w:p>
    <w:p w14:paraId="3900BDE5" w14:textId="77777777" w:rsidR="00203E88" w:rsidRDefault="00203E88" w:rsidP="00203E88">
      <w:pPr>
        <w:numPr>
          <w:ilvl w:val="0"/>
          <w:numId w:val="1"/>
        </w:numPr>
        <w:spacing w:line="360" w:lineRule="auto"/>
        <w:contextualSpacing/>
        <w:jc w:val="both"/>
        <w:rPr>
          <w:noProof/>
          <w:rtl/>
        </w:rPr>
      </w:pPr>
      <w:r>
        <w:rPr>
          <w:rFonts w:hint="cs"/>
          <w:rtl/>
        </w:rPr>
        <w:t>מאסר בפועל למשך 13 חודשים.</w:t>
      </w:r>
    </w:p>
    <w:p w14:paraId="6C81C950" w14:textId="77777777" w:rsidR="00203E88" w:rsidRDefault="00203E88" w:rsidP="00203E88">
      <w:pPr>
        <w:spacing w:line="360" w:lineRule="auto"/>
        <w:ind w:left="1080"/>
        <w:contextualSpacing/>
        <w:jc w:val="both"/>
        <w:rPr>
          <w:noProof/>
        </w:rPr>
      </w:pPr>
      <w:r>
        <w:rPr>
          <w:rFonts w:hint="cs"/>
          <w:rtl/>
        </w:rPr>
        <w:t xml:space="preserve">אני מורה על הפעלת המאסר המותנה של 8 חודשים שהוטל הנאשם בתיק 1089-05-16 בגזר דין מתאריך 03.05.16 </w:t>
      </w:r>
      <w:r>
        <w:rPr>
          <w:rFonts w:hint="cs"/>
          <w:b/>
          <w:bCs/>
          <w:rtl/>
        </w:rPr>
        <w:t>באופן  ש- 6 חודשים ירוצו בחופף לעונש המאסר האמור לעיל, וחודשיים ירוצו במצטבר</w:t>
      </w:r>
      <w:r>
        <w:rPr>
          <w:rFonts w:hint="cs"/>
          <w:rtl/>
        </w:rPr>
        <w:t xml:space="preserve"> לעונש האמור לעיל  כך  ש</w:t>
      </w:r>
      <w:r>
        <w:rPr>
          <w:rFonts w:hint="cs"/>
          <w:u w:val="single"/>
          <w:rtl/>
        </w:rPr>
        <w:t>סך הכל יישא הנאשם מאסר בפועל למשך 15 חודשים</w:t>
      </w:r>
      <w:r>
        <w:rPr>
          <w:rFonts w:hint="cs"/>
          <w:rtl/>
        </w:rPr>
        <w:t xml:space="preserve"> שיחושבו ממועד מעצרו מתאריך 05.10.21</w:t>
      </w:r>
      <w:r>
        <w:rPr>
          <w:rStyle w:val="normal-h"/>
          <w:rFonts w:hint="cs"/>
          <w:rtl/>
        </w:rPr>
        <w:t>.</w:t>
      </w:r>
    </w:p>
    <w:p w14:paraId="4A14FB12" w14:textId="77777777" w:rsidR="00203E88" w:rsidRPr="004554DA" w:rsidRDefault="00203E88" w:rsidP="00203E88">
      <w:pPr>
        <w:spacing w:line="360" w:lineRule="auto"/>
        <w:jc w:val="both"/>
        <w:rPr>
          <w:noProof/>
        </w:rPr>
      </w:pPr>
    </w:p>
    <w:p w14:paraId="21F0C8DE" w14:textId="77777777" w:rsidR="00203E88" w:rsidRDefault="00203E88" w:rsidP="00203E88">
      <w:pPr>
        <w:numPr>
          <w:ilvl w:val="0"/>
          <w:numId w:val="1"/>
        </w:numPr>
        <w:spacing w:line="360" w:lineRule="auto"/>
        <w:contextualSpacing/>
        <w:jc w:val="both"/>
        <w:rPr>
          <w:noProof/>
          <w:rtl/>
        </w:rPr>
      </w:pPr>
      <w:r>
        <w:rPr>
          <w:rFonts w:hint="cs"/>
          <w:rtl/>
        </w:rPr>
        <w:t xml:space="preserve">מאסר על תנאי לתקופה של 10 חודשים למשך 3 שנים והתנאי הוא שהנאשם לא יעבור  בפרק זמן זה לאחר תום מאסרו בגין תיק זה כל עבירת נשק מסוג פשע. </w:t>
      </w:r>
    </w:p>
    <w:p w14:paraId="2D56B2A2" w14:textId="77777777" w:rsidR="00203E88" w:rsidRDefault="00203E88" w:rsidP="00203E88">
      <w:pPr>
        <w:spacing w:line="360" w:lineRule="auto"/>
        <w:ind w:left="1080"/>
        <w:contextualSpacing/>
        <w:jc w:val="both"/>
        <w:rPr>
          <w:noProof/>
        </w:rPr>
      </w:pPr>
      <w:r>
        <w:rPr>
          <w:rFonts w:hint="cs"/>
          <w:rtl/>
        </w:rPr>
        <w:t>מאסר על תנאי לתקופה של 6 חודשים למשך 3 שנים  והתנאי שהנאשם לא יעבור בפרק זמן זה על עבירות נהיגה ללא רישיון ו/או נהיגה בזמן פסילה (</w:t>
      </w:r>
      <w:hyperlink r:id="rId59" w:history="1">
        <w:r w:rsidR="00BE3DD4" w:rsidRPr="00BE3DD4">
          <w:rPr>
            <w:rStyle w:val="Hyperlink"/>
            <w:rFonts w:hint="eastAsia"/>
            <w:rtl/>
          </w:rPr>
          <w:t>סעיפים</w:t>
        </w:r>
        <w:r w:rsidR="00BE3DD4" w:rsidRPr="00BE3DD4">
          <w:rPr>
            <w:rStyle w:val="Hyperlink"/>
            <w:rtl/>
          </w:rPr>
          <w:t xml:space="preserve"> 10(א)</w:t>
        </w:r>
      </w:hyperlink>
      <w:r>
        <w:rPr>
          <w:rFonts w:hint="cs"/>
          <w:rtl/>
        </w:rPr>
        <w:t xml:space="preserve"> ו/או </w:t>
      </w:r>
      <w:hyperlink r:id="rId60" w:history="1">
        <w:r w:rsidR="00BE3DD4" w:rsidRPr="00BE3DD4">
          <w:rPr>
            <w:rStyle w:val="Hyperlink"/>
            <w:rtl/>
          </w:rPr>
          <w:t>67</w:t>
        </w:r>
      </w:hyperlink>
      <w:r>
        <w:rPr>
          <w:rFonts w:hint="cs"/>
          <w:rtl/>
        </w:rPr>
        <w:t xml:space="preserve"> ל</w:t>
      </w:r>
      <w:hyperlink r:id="rId61" w:history="1">
        <w:r w:rsidR="00CF2BAC" w:rsidRPr="00CF2BAC">
          <w:rPr>
            <w:color w:val="0000FF"/>
            <w:u w:val="single"/>
            <w:rtl/>
          </w:rPr>
          <w:t>פקודת התעבורה</w:t>
        </w:r>
      </w:hyperlink>
      <w:r>
        <w:rPr>
          <w:rFonts w:hint="cs"/>
          <w:rtl/>
        </w:rPr>
        <w:t xml:space="preserve">). </w:t>
      </w:r>
    </w:p>
    <w:p w14:paraId="720FBD5A" w14:textId="77777777" w:rsidR="00203E88" w:rsidRPr="004554DA" w:rsidRDefault="00203E88" w:rsidP="00203E88">
      <w:pPr>
        <w:spacing w:line="360" w:lineRule="auto"/>
        <w:ind w:left="1080"/>
        <w:contextualSpacing/>
        <w:jc w:val="both"/>
        <w:rPr>
          <w:noProof/>
        </w:rPr>
      </w:pPr>
    </w:p>
    <w:p w14:paraId="60E010FE" w14:textId="77777777" w:rsidR="00203E88" w:rsidRDefault="00203E88" w:rsidP="00203E88">
      <w:pPr>
        <w:numPr>
          <w:ilvl w:val="0"/>
          <w:numId w:val="1"/>
        </w:numPr>
        <w:spacing w:line="360" w:lineRule="auto"/>
        <w:contextualSpacing/>
        <w:jc w:val="both"/>
        <w:rPr>
          <w:noProof/>
          <w:rtl/>
        </w:rPr>
      </w:pPr>
      <w:r>
        <w:rPr>
          <w:rFonts w:hint="cs"/>
          <w:rtl/>
        </w:rPr>
        <w:t xml:space="preserve">אני פוסל את הנאשם מלנהוג ו/או מלקבל ו/או מלהחזיק רישיון נהיגה לתקופה של 18 חודשים מוסבר בזאת לנאשם כי לאחר שחרורו מריצוי תום מאסרו בגין תיק זה עליו להפקיד רישיון נהיגה או תצהיר במזכירות בית המשפט וזאת לצורך קבלת אישור הפקדה מתאים. פסילה זו תרוצה במצטבר לכל פסילה אחרת ובמקרה שכזה ידאג הנאשם להגיש בקשה מתאימה למשרד הרישוי לצורך ביצוע חישוב הפסילות. </w:t>
      </w:r>
    </w:p>
    <w:p w14:paraId="0EF8BE50" w14:textId="77777777" w:rsidR="00203E88" w:rsidRDefault="00203E88" w:rsidP="00203E88">
      <w:pPr>
        <w:spacing w:line="360" w:lineRule="auto"/>
        <w:jc w:val="both"/>
        <w:rPr>
          <w:noProof/>
        </w:rPr>
      </w:pPr>
    </w:p>
    <w:p w14:paraId="77A9B4F6" w14:textId="77777777" w:rsidR="00203E88" w:rsidRDefault="00203E88" w:rsidP="00203E88">
      <w:pPr>
        <w:numPr>
          <w:ilvl w:val="0"/>
          <w:numId w:val="1"/>
        </w:numPr>
        <w:spacing w:line="360" w:lineRule="auto"/>
        <w:contextualSpacing/>
        <w:jc w:val="both"/>
        <w:rPr>
          <w:noProof/>
          <w:rtl/>
        </w:rPr>
      </w:pPr>
      <w:r>
        <w:rPr>
          <w:rFonts w:hint="cs"/>
          <w:rtl/>
        </w:rPr>
        <w:t xml:space="preserve">אני פוסל את הנאשם מלקבל או מלהחזיק רישיון נהיגה לתקופה של 8 חודשים על תנאי למשך 3 שנים והתנאי הוא שהנאשם לא יעבור אותן עבירות שעליהן הורשע או אחת העבירות המפורטות בתוספת הראשונה או בתוספת </w:t>
      </w:r>
      <w:r w:rsidRPr="00144D41">
        <w:rPr>
          <w:rFonts w:hint="cs"/>
          <w:rtl/>
        </w:rPr>
        <w:t>השנייה ל</w:t>
      </w:r>
      <w:hyperlink r:id="rId62" w:history="1">
        <w:r w:rsidR="00CF2BAC" w:rsidRPr="00CF2BAC">
          <w:rPr>
            <w:color w:val="0000FF"/>
            <w:u w:val="single"/>
            <w:rtl/>
          </w:rPr>
          <w:t>פקודת התעבורה</w:t>
        </w:r>
      </w:hyperlink>
      <w:r w:rsidRPr="00144D41">
        <w:rPr>
          <w:rFonts w:hint="cs"/>
          <w:rtl/>
        </w:rPr>
        <w:t xml:space="preserve"> </w:t>
      </w:r>
      <w:r>
        <w:rPr>
          <w:rFonts w:hint="cs"/>
          <w:rtl/>
        </w:rPr>
        <w:t xml:space="preserve">[נוסח חדש], תשכ"א - 1961 ויורשע בגינה וזאת לאחר שחרורו מריצוי תום מאסרו בגין תיק זה. </w:t>
      </w:r>
    </w:p>
    <w:p w14:paraId="44904085" w14:textId="77777777" w:rsidR="00203E88" w:rsidRDefault="00203E88" w:rsidP="00203E88">
      <w:pPr>
        <w:spacing w:line="360" w:lineRule="auto"/>
        <w:jc w:val="both"/>
        <w:rPr>
          <w:noProof/>
        </w:rPr>
      </w:pPr>
    </w:p>
    <w:p w14:paraId="6D081198" w14:textId="77777777" w:rsidR="00203E88" w:rsidRDefault="00203E88" w:rsidP="00203E88">
      <w:pPr>
        <w:spacing w:line="360" w:lineRule="auto"/>
        <w:jc w:val="both"/>
        <w:rPr>
          <w:rtl/>
        </w:rPr>
      </w:pPr>
      <w:r>
        <w:rPr>
          <w:rFonts w:hint="cs"/>
          <w:rtl/>
        </w:rPr>
        <w:t xml:space="preserve">בנסיבות העניין לא מצאתי לנכון להטיל על הנאשם קנס כספי. </w:t>
      </w:r>
    </w:p>
    <w:p w14:paraId="6997E7E8" w14:textId="77777777" w:rsidR="00203E88" w:rsidRDefault="00203E88" w:rsidP="00203E88">
      <w:pPr>
        <w:spacing w:line="360" w:lineRule="auto"/>
        <w:jc w:val="both"/>
        <w:rPr>
          <w:rtl/>
        </w:rPr>
      </w:pPr>
    </w:p>
    <w:p w14:paraId="03A89A82" w14:textId="77777777" w:rsidR="00203E88" w:rsidRPr="00AF7D59" w:rsidRDefault="00203E88" w:rsidP="00203E88">
      <w:pPr>
        <w:spacing w:line="360" w:lineRule="auto"/>
        <w:jc w:val="both"/>
        <w:rPr>
          <w:b/>
          <w:bCs/>
          <w:u w:val="single"/>
          <w:rtl/>
        </w:rPr>
      </w:pPr>
      <w:r w:rsidRPr="00AF7D59">
        <w:rPr>
          <w:rFonts w:hint="cs"/>
          <w:b/>
          <w:bCs/>
          <w:u w:val="single"/>
          <w:rtl/>
        </w:rPr>
        <w:t xml:space="preserve">גזר דין זה מהווה פקודת מאסר. </w:t>
      </w:r>
    </w:p>
    <w:p w14:paraId="763C1DED" w14:textId="77777777" w:rsidR="00203E88" w:rsidRDefault="00203E88" w:rsidP="00203E88">
      <w:pPr>
        <w:spacing w:line="360" w:lineRule="auto"/>
        <w:jc w:val="both"/>
        <w:rPr>
          <w:rtl/>
        </w:rPr>
      </w:pPr>
    </w:p>
    <w:p w14:paraId="7B550FD8" w14:textId="77777777" w:rsidR="00203E88" w:rsidRDefault="00203E88" w:rsidP="00203E88">
      <w:pPr>
        <w:rPr>
          <w:b/>
          <w:bCs/>
          <w:rtl/>
        </w:rPr>
      </w:pPr>
      <w:r>
        <w:rPr>
          <w:rFonts w:hint="cs"/>
          <w:b/>
          <w:bCs/>
          <w:rtl/>
        </w:rPr>
        <w:t>ניתן בזאת צו להשמדת המוצגים בתיק (נשק ותחמושת).</w:t>
      </w:r>
    </w:p>
    <w:p w14:paraId="094DD053" w14:textId="77777777" w:rsidR="00203E88" w:rsidRDefault="00203E88" w:rsidP="00203E88">
      <w:pPr>
        <w:rPr>
          <w:b/>
          <w:bCs/>
          <w:rtl/>
        </w:rPr>
      </w:pPr>
    </w:p>
    <w:p w14:paraId="093DC790" w14:textId="77777777" w:rsidR="00203E88" w:rsidRDefault="00203E88" w:rsidP="00203E88">
      <w:pPr>
        <w:rPr>
          <w:b/>
          <w:bCs/>
          <w:rtl/>
        </w:rPr>
      </w:pPr>
    </w:p>
    <w:p w14:paraId="221D96C3" w14:textId="77777777" w:rsidR="00203E88" w:rsidRDefault="00CF2BAC" w:rsidP="00203E88">
      <w:pPr>
        <w:rPr>
          <w:rFonts w:ascii="Calibri" w:hAnsi="Calibri" w:cs="Arial"/>
          <w:rtl/>
        </w:rPr>
      </w:pPr>
      <w:r w:rsidRPr="00CF2BAC">
        <w:rPr>
          <w:b/>
          <w:bCs/>
          <w:color w:val="FFFFFF"/>
          <w:sz w:val="2"/>
          <w:szCs w:val="2"/>
          <w:rtl/>
        </w:rPr>
        <w:t>5129371</w:t>
      </w:r>
      <w:r w:rsidR="00203E88">
        <w:rPr>
          <w:rFonts w:hint="cs"/>
          <w:b/>
          <w:bCs/>
          <w:rtl/>
        </w:rPr>
        <w:t>זכות ערעור לבית המשפט המחוזי בחיפה תוך 45 ימים מהיום.</w:t>
      </w:r>
      <w:r w:rsidR="00203E88">
        <w:rPr>
          <w:rFonts w:hint="cs"/>
          <w:rtl/>
        </w:rPr>
        <w:t xml:space="preserve">  </w:t>
      </w:r>
    </w:p>
    <w:p w14:paraId="642D7A33" w14:textId="77777777" w:rsidR="00203E88" w:rsidRPr="00CF2BAC" w:rsidRDefault="00CF2BAC" w:rsidP="00203E88">
      <w:pPr>
        <w:rPr>
          <w:rFonts w:ascii="Arial" w:hAnsi="Arial"/>
          <w:b/>
          <w:bCs/>
          <w:color w:val="FFFFFF"/>
          <w:sz w:val="2"/>
          <w:szCs w:val="2"/>
          <w:rtl/>
        </w:rPr>
      </w:pPr>
      <w:r w:rsidRPr="00CF2BAC">
        <w:rPr>
          <w:rFonts w:ascii="Arial" w:hAnsi="Arial"/>
          <w:b/>
          <w:bCs/>
          <w:color w:val="FFFFFF"/>
          <w:sz w:val="2"/>
          <w:szCs w:val="2"/>
          <w:rtl/>
        </w:rPr>
        <w:t>54678313</w:t>
      </w:r>
    </w:p>
    <w:p w14:paraId="3FB5DBAE" w14:textId="77777777" w:rsidR="00203E88" w:rsidRPr="000F2247" w:rsidRDefault="00203E88" w:rsidP="00203E88">
      <w:pPr>
        <w:rPr>
          <w:rFonts w:ascii="Arial" w:hAnsi="Arial"/>
          <w:b/>
          <w:bCs/>
          <w:sz w:val="26"/>
          <w:szCs w:val="26"/>
          <w:rtl/>
        </w:rPr>
      </w:pPr>
    </w:p>
    <w:p w14:paraId="3EB9844B" w14:textId="77777777" w:rsidR="00203E88" w:rsidRPr="000F2247" w:rsidRDefault="00CF2BAC" w:rsidP="00203E88">
      <w:pPr>
        <w:rPr>
          <w:rFonts w:ascii="Arial" w:hAnsi="Arial"/>
          <w:b/>
          <w:bCs/>
          <w:sz w:val="26"/>
          <w:szCs w:val="26"/>
          <w:rtl/>
        </w:rPr>
      </w:pPr>
      <w:bookmarkStart w:id="9" w:name="Nitan"/>
      <w:r>
        <w:rPr>
          <w:rFonts w:ascii="Arial" w:hAnsi="Arial"/>
          <w:b/>
          <w:bCs/>
          <w:sz w:val="26"/>
          <w:szCs w:val="26"/>
          <w:rtl/>
        </w:rPr>
        <w:t xml:space="preserve">ניתן היום,  ז' אדר ב' תשפ"ב, 10 מרץ 2022, בהעדר הצדדים. </w:t>
      </w:r>
      <w:bookmarkEnd w:id="9"/>
    </w:p>
    <w:p w14:paraId="6E15022B" w14:textId="77777777" w:rsidR="00203E88" w:rsidRPr="000F2247" w:rsidRDefault="00203E88" w:rsidP="00CF2BAC">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7010C0E" w14:textId="77777777" w:rsidR="00203E88" w:rsidRPr="00BE3DD4" w:rsidRDefault="00BE3DD4" w:rsidP="00203E88">
      <w:pPr>
        <w:jc w:val="center"/>
        <w:rPr>
          <w:rFonts w:ascii="Arial" w:hAnsi="Arial"/>
          <w:b/>
          <w:bCs/>
          <w:color w:val="FFFFFF"/>
          <w:sz w:val="2"/>
          <w:szCs w:val="2"/>
          <w:rtl/>
        </w:rPr>
      </w:pPr>
      <w:r w:rsidRPr="00BE3DD4">
        <w:rPr>
          <w:rFonts w:ascii="Arial" w:hAnsi="Arial"/>
          <w:b/>
          <w:bCs/>
          <w:color w:val="FFFFFF"/>
          <w:sz w:val="2"/>
          <w:szCs w:val="2"/>
          <w:rtl/>
        </w:rPr>
        <w:t>5129371</w:t>
      </w:r>
    </w:p>
    <w:p w14:paraId="3E38463C" w14:textId="77777777" w:rsidR="00F07091" w:rsidRPr="00BE3DD4" w:rsidRDefault="00BE3DD4" w:rsidP="00CF2BAC">
      <w:pPr>
        <w:keepNext/>
        <w:rPr>
          <w:rFonts w:ascii="David" w:hAnsi="David"/>
          <w:color w:val="FFFFFF"/>
          <w:sz w:val="2"/>
          <w:szCs w:val="2"/>
          <w:rtl/>
        </w:rPr>
      </w:pPr>
      <w:r w:rsidRPr="00BE3DD4">
        <w:rPr>
          <w:rFonts w:ascii="David" w:hAnsi="David"/>
          <w:color w:val="FFFFFF"/>
          <w:sz w:val="2"/>
          <w:szCs w:val="2"/>
          <w:rtl/>
        </w:rPr>
        <w:t>54678313</w:t>
      </w:r>
    </w:p>
    <w:p w14:paraId="0FEB3AC6" w14:textId="77777777" w:rsidR="00CF2BAC" w:rsidRPr="00CF2BAC" w:rsidRDefault="00CF2BAC" w:rsidP="00CF2BAC">
      <w:pPr>
        <w:keepNext/>
        <w:rPr>
          <w:rFonts w:ascii="David" w:hAnsi="David"/>
          <w:color w:val="000000"/>
          <w:sz w:val="22"/>
          <w:szCs w:val="22"/>
          <w:rtl/>
        </w:rPr>
      </w:pPr>
      <w:r w:rsidRPr="00CF2BAC">
        <w:rPr>
          <w:rFonts w:ascii="David" w:hAnsi="David"/>
          <w:color w:val="000000"/>
          <w:sz w:val="22"/>
          <w:szCs w:val="22"/>
          <w:rtl/>
        </w:rPr>
        <w:t>אלכס אחטר 54678313</w:t>
      </w:r>
    </w:p>
    <w:p w14:paraId="4E3A82A3" w14:textId="77777777" w:rsidR="00CF2BAC" w:rsidRDefault="00CF2BAC" w:rsidP="00CF2BAC">
      <w:r w:rsidRPr="00CF2BAC">
        <w:rPr>
          <w:color w:val="000000"/>
          <w:rtl/>
        </w:rPr>
        <w:t>נוסח מסמך זה כפוף לשינויי ניסוח ועריכה</w:t>
      </w:r>
    </w:p>
    <w:p w14:paraId="35B296B6" w14:textId="77777777" w:rsidR="00CF2BAC" w:rsidRDefault="00CF2BAC" w:rsidP="00CF2BAC">
      <w:pPr>
        <w:rPr>
          <w:rtl/>
        </w:rPr>
      </w:pPr>
    </w:p>
    <w:p w14:paraId="1F4C8263" w14:textId="77777777" w:rsidR="00CF2BAC" w:rsidRDefault="00CF2BAC" w:rsidP="00CF2BAC">
      <w:pPr>
        <w:jc w:val="center"/>
        <w:rPr>
          <w:color w:val="0000FF"/>
          <w:u w:val="single"/>
        </w:rPr>
      </w:pPr>
      <w:hyperlink r:id="rId63" w:history="1">
        <w:r>
          <w:rPr>
            <w:color w:val="0000FF"/>
            <w:u w:val="single"/>
            <w:rtl/>
          </w:rPr>
          <w:t>בעניין עריכה ושינויים במסמכי פסיקה, חקיקה ועוד באתר נבו – הקש כאן</w:t>
        </w:r>
      </w:hyperlink>
    </w:p>
    <w:p w14:paraId="5532C144" w14:textId="77777777" w:rsidR="00BE3DD4" w:rsidRPr="00BE3DD4" w:rsidRDefault="00BE3DD4" w:rsidP="00BE3DD4">
      <w:pPr>
        <w:keepNext/>
        <w:rPr>
          <w:rFonts w:ascii="David" w:hAnsi="David"/>
          <w:color w:val="000000"/>
          <w:sz w:val="22"/>
          <w:szCs w:val="22"/>
          <w:rtl/>
        </w:rPr>
      </w:pPr>
    </w:p>
    <w:p w14:paraId="172D3B7A" w14:textId="77777777" w:rsidR="00BE3DD4" w:rsidRPr="00BE3DD4" w:rsidRDefault="00BE3DD4" w:rsidP="00BE3DD4">
      <w:pPr>
        <w:keepNext/>
        <w:rPr>
          <w:rFonts w:ascii="David" w:hAnsi="David"/>
          <w:color w:val="000000"/>
          <w:sz w:val="22"/>
          <w:szCs w:val="22"/>
          <w:rtl/>
        </w:rPr>
      </w:pPr>
      <w:r w:rsidRPr="00BE3DD4">
        <w:rPr>
          <w:rFonts w:ascii="David" w:hAnsi="David"/>
          <w:color w:val="000000"/>
          <w:sz w:val="22"/>
          <w:szCs w:val="22"/>
          <w:rtl/>
        </w:rPr>
        <w:t>אלכס אחטר 54678313-/</w:t>
      </w:r>
    </w:p>
    <w:p w14:paraId="3D4F6EC5" w14:textId="77777777" w:rsidR="00CF2BAC" w:rsidRPr="00CF2BAC" w:rsidRDefault="00BE3DD4" w:rsidP="00BE3DD4">
      <w:pPr>
        <w:rPr>
          <w:color w:val="0000FF"/>
          <w:u w:val="single"/>
        </w:rPr>
      </w:pPr>
      <w:r w:rsidRPr="00BE3DD4">
        <w:rPr>
          <w:color w:val="000000"/>
          <w:u w:val="single"/>
          <w:rtl/>
        </w:rPr>
        <w:t>נוסח מסמך זה כפוף לשינויי ניסוח ועריכה</w:t>
      </w:r>
    </w:p>
    <w:sectPr w:rsidR="00CF2BAC" w:rsidRPr="00CF2BAC" w:rsidSect="00BE3DD4">
      <w:headerReference w:type="even" r:id="rId64"/>
      <w:headerReference w:type="default" r:id="rId65"/>
      <w:footerReference w:type="even" r:id="rId66"/>
      <w:footerReference w:type="default" r:id="rId6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1FE5B" w14:textId="77777777" w:rsidR="007A7084" w:rsidRDefault="007A7084" w:rsidP="00064C0D">
      <w:r>
        <w:separator/>
      </w:r>
    </w:p>
  </w:endnote>
  <w:endnote w:type="continuationSeparator" w:id="0">
    <w:p w14:paraId="5F40A201" w14:textId="77777777" w:rsidR="007A7084" w:rsidRDefault="007A7084" w:rsidP="0006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56094" w14:textId="77777777" w:rsidR="00BE3DD4" w:rsidRDefault="00BE3DD4" w:rsidP="00BE3DD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96C331" w14:textId="77777777" w:rsidR="00974575" w:rsidRPr="00BE3DD4" w:rsidRDefault="00BE3DD4" w:rsidP="00BE3DD4">
    <w:pPr>
      <w:pStyle w:val="a5"/>
      <w:pBdr>
        <w:top w:val="single" w:sz="4" w:space="1" w:color="auto"/>
        <w:between w:val="single" w:sz="4" w:space="0" w:color="auto"/>
      </w:pBdr>
      <w:spacing w:after="60"/>
      <w:jc w:val="center"/>
      <w:rPr>
        <w:rFonts w:ascii="FrankRuehl" w:hAnsi="FrankRuehl" w:cs="FrankRuehl"/>
        <w:color w:val="000000"/>
      </w:rPr>
    </w:pPr>
    <w:r w:rsidRPr="00BE3DD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5CDB6" w14:textId="77777777" w:rsidR="00BE3DD4" w:rsidRDefault="00BE3DD4" w:rsidP="00BE3DD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D0C55">
      <w:rPr>
        <w:rFonts w:ascii="FrankRuehl" w:hAnsi="FrankRuehl" w:cs="FrankRuehl"/>
        <w:noProof/>
        <w:rtl/>
      </w:rPr>
      <w:t>1</w:t>
    </w:r>
    <w:r>
      <w:rPr>
        <w:rFonts w:ascii="FrankRuehl" w:hAnsi="FrankRuehl" w:cs="FrankRuehl"/>
        <w:rtl/>
      </w:rPr>
      <w:fldChar w:fldCharType="end"/>
    </w:r>
  </w:p>
  <w:p w14:paraId="3BF19715" w14:textId="77777777" w:rsidR="00974575" w:rsidRPr="00BE3DD4" w:rsidRDefault="00BE3DD4" w:rsidP="00BE3DD4">
    <w:pPr>
      <w:pStyle w:val="a5"/>
      <w:pBdr>
        <w:top w:val="single" w:sz="4" w:space="1" w:color="auto"/>
        <w:between w:val="single" w:sz="4" w:space="0" w:color="auto"/>
      </w:pBdr>
      <w:spacing w:after="60"/>
      <w:jc w:val="center"/>
      <w:rPr>
        <w:rFonts w:ascii="FrankRuehl" w:hAnsi="FrankRuehl" w:cs="FrankRuehl"/>
        <w:color w:val="000000"/>
      </w:rPr>
    </w:pPr>
    <w:r w:rsidRPr="00BE3DD4">
      <w:rPr>
        <w:rFonts w:ascii="FrankRuehl" w:hAnsi="FrankRuehl" w:cs="FrankRuehl"/>
        <w:color w:val="000000"/>
      </w:rPr>
      <w:pict w14:anchorId="7CDFCB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FEF41" w14:textId="77777777" w:rsidR="007A7084" w:rsidRDefault="007A7084" w:rsidP="00064C0D">
      <w:r>
        <w:separator/>
      </w:r>
    </w:p>
  </w:footnote>
  <w:footnote w:type="continuationSeparator" w:id="0">
    <w:p w14:paraId="60EF29CD" w14:textId="77777777" w:rsidR="007A7084" w:rsidRDefault="007A7084" w:rsidP="0006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729D6" w14:textId="77777777" w:rsidR="00CF2BAC" w:rsidRPr="00BE3DD4" w:rsidRDefault="00BE3DD4" w:rsidP="00BE3D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33605-10-21</w:t>
    </w:r>
    <w:r>
      <w:rPr>
        <w:rFonts w:ascii="David" w:hAnsi="David"/>
        <w:color w:val="000000"/>
        <w:sz w:val="22"/>
        <w:szCs w:val="22"/>
        <w:rtl/>
      </w:rPr>
      <w:tab/>
      <w:t xml:space="preserve"> מדינת ישראל נ' עלא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E1833" w14:textId="77777777" w:rsidR="00CF2BAC" w:rsidRPr="00BE3DD4" w:rsidRDefault="00BE3DD4" w:rsidP="00BE3DD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(חד') 33605-10-21</w:t>
    </w:r>
    <w:r>
      <w:rPr>
        <w:rFonts w:ascii="David" w:hAnsi="David"/>
        <w:color w:val="000000"/>
        <w:sz w:val="22"/>
        <w:szCs w:val="22"/>
        <w:rtl/>
      </w:rPr>
      <w:tab/>
      <w:t xml:space="preserve"> מדינת ישראל נ' עלא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142EC"/>
    <w:multiLevelType w:val="hybridMultilevel"/>
    <w:tmpl w:val="1F7E8BAE"/>
    <w:lvl w:ilvl="0" w:tplc="AF140C6C">
      <w:start w:val="1"/>
      <w:numFmt w:val="decimal"/>
      <w:lvlText w:val="%1."/>
      <w:lvlJc w:val="left"/>
      <w:pPr>
        <w:ind w:left="1080" w:hanging="720"/>
      </w:pPr>
      <w:rPr>
        <w:rFonts w:cs="Times New Roman"/>
      </w:rPr>
    </w:lvl>
    <w:lvl w:ilvl="1" w:tplc="FD7666A2">
      <w:start w:val="1"/>
      <w:numFmt w:val="lowerLetter"/>
      <w:lvlText w:val="%2."/>
      <w:lvlJc w:val="left"/>
      <w:pPr>
        <w:ind w:left="1440" w:hanging="360"/>
      </w:pPr>
      <w:rPr>
        <w:rFonts w:cs="Times New Roman"/>
      </w:rPr>
    </w:lvl>
    <w:lvl w:ilvl="2" w:tplc="D16C9D6A">
      <w:start w:val="1"/>
      <w:numFmt w:val="lowerRoman"/>
      <w:lvlText w:val="%3."/>
      <w:lvlJc w:val="right"/>
      <w:pPr>
        <w:ind w:left="2160" w:hanging="180"/>
      </w:pPr>
      <w:rPr>
        <w:rFonts w:cs="Times New Roman"/>
      </w:rPr>
    </w:lvl>
    <w:lvl w:ilvl="3" w:tplc="6A304C82">
      <w:start w:val="1"/>
      <w:numFmt w:val="decimal"/>
      <w:lvlText w:val="%4."/>
      <w:lvlJc w:val="left"/>
      <w:pPr>
        <w:ind w:left="2880" w:hanging="360"/>
      </w:pPr>
      <w:rPr>
        <w:rFonts w:cs="Times New Roman"/>
      </w:rPr>
    </w:lvl>
    <w:lvl w:ilvl="4" w:tplc="A4C6F1B0">
      <w:start w:val="1"/>
      <w:numFmt w:val="lowerLetter"/>
      <w:lvlText w:val="%5."/>
      <w:lvlJc w:val="left"/>
      <w:pPr>
        <w:ind w:left="3600" w:hanging="360"/>
      </w:pPr>
      <w:rPr>
        <w:rFonts w:cs="Times New Roman"/>
      </w:rPr>
    </w:lvl>
    <w:lvl w:ilvl="5" w:tplc="AA7A97A8">
      <w:start w:val="1"/>
      <w:numFmt w:val="lowerRoman"/>
      <w:lvlText w:val="%6."/>
      <w:lvlJc w:val="right"/>
      <w:pPr>
        <w:ind w:left="4320" w:hanging="180"/>
      </w:pPr>
      <w:rPr>
        <w:rFonts w:cs="Times New Roman"/>
      </w:rPr>
    </w:lvl>
    <w:lvl w:ilvl="6" w:tplc="B4BAB1C4">
      <w:start w:val="1"/>
      <w:numFmt w:val="decimal"/>
      <w:lvlText w:val="%7."/>
      <w:lvlJc w:val="left"/>
      <w:pPr>
        <w:ind w:left="5040" w:hanging="360"/>
      </w:pPr>
      <w:rPr>
        <w:rFonts w:cs="Times New Roman"/>
      </w:rPr>
    </w:lvl>
    <w:lvl w:ilvl="7" w:tplc="5E5A3302">
      <w:start w:val="1"/>
      <w:numFmt w:val="lowerLetter"/>
      <w:lvlText w:val="%8."/>
      <w:lvlJc w:val="left"/>
      <w:pPr>
        <w:ind w:left="5760" w:hanging="360"/>
      </w:pPr>
      <w:rPr>
        <w:rFonts w:cs="Times New Roman"/>
      </w:rPr>
    </w:lvl>
    <w:lvl w:ilvl="8" w:tplc="4B6849C4">
      <w:start w:val="1"/>
      <w:numFmt w:val="lowerRoman"/>
      <w:lvlText w:val="%9."/>
      <w:lvlJc w:val="right"/>
      <w:pPr>
        <w:ind w:left="6480" w:hanging="180"/>
      </w:pPr>
      <w:rPr>
        <w:rFonts w:cs="Times New Roman"/>
      </w:rPr>
    </w:lvl>
  </w:abstractNum>
  <w:num w:numId="1" w16cid:durableId="15032802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3E88"/>
    <w:rsid w:val="00064C0D"/>
    <w:rsid w:val="000C4E19"/>
    <w:rsid w:val="000D0C55"/>
    <w:rsid w:val="00203E88"/>
    <w:rsid w:val="003A5794"/>
    <w:rsid w:val="003E0348"/>
    <w:rsid w:val="003F2839"/>
    <w:rsid w:val="007A7084"/>
    <w:rsid w:val="009709DC"/>
    <w:rsid w:val="00974575"/>
    <w:rsid w:val="009A4E4C"/>
    <w:rsid w:val="00BE222E"/>
    <w:rsid w:val="00BE3DD4"/>
    <w:rsid w:val="00CF2BAC"/>
    <w:rsid w:val="00D00CDE"/>
    <w:rsid w:val="00F07091"/>
    <w:rsid w:val="00F94A27"/>
    <w:rsid w:val="00FC28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3F34F"/>
  <w15:chartTrackingRefBased/>
  <w15:docId w15:val="{201FF21A-F5D7-47D8-A221-2192B65A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3E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3E88"/>
    <w:pPr>
      <w:tabs>
        <w:tab w:val="center" w:pos="4153"/>
        <w:tab w:val="right" w:pos="8306"/>
      </w:tabs>
    </w:pPr>
  </w:style>
  <w:style w:type="character" w:customStyle="1" w:styleId="a4">
    <w:name w:val="כותרת עליונה תו"/>
    <w:link w:val="a3"/>
    <w:rsid w:val="00203E88"/>
    <w:rPr>
      <w:rFonts w:ascii="Times New Roman" w:eastAsia="Times New Roman" w:hAnsi="Times New Roman" w:cs="David"/>
      <w:sz w:val="24"/>
      <w:szCs w:val="24"/>
    </w:rPr>
  </w:style>
  <w:style w:type="paragraph" w:styleId="a5">
    <w:name w:val="footer"/>
    <w:basedOn w:val="a"/>
    <w:link w:val="a6"/>
    <w:rsid w:val="00203E88"/>
    <w:pPr>
      <w:tabs>
        <w:tab w:val="center" w:pos="4153"/>
        <w:tab w:val="right" w:pos="8306"/>
      </w:tabs>
    </w:pPr>
  </w:style>
  <w:style w:type="character" w:customStyle="1" w:styleId="a6">
    <w:name w:val="כותרת תחתונה תו"/>
    <w:link w:val="a5"/>
    <w:rsid w:val="00203E88"/>
    <w:rPr>
      <w:rFonts w:ascii="Times New Roman" w:eastAsia="Times New Roman" w:hAnsi="Times New Roman" w:cs="David"/>
      <w:sz w:val="24"/>
      <w:szCs w:val="24"/>
    </w:rPr>
  </w:style>
  <w:style w:type="table" w:styleId="a7">
    <w:name w:val="Table Grid"/>
    <w:basedOn w:val="a1"/>
    <w:rsid w:val="00203E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3E88"/>
  </w:style>
  <w:style w:type="paragraph" w:styleId="a9">
    <w:name w:val="No Spacing"/>
    <w:qFormat/>
    <w:rsid w:val="00203E88"/>
    <w:pPr>
      <w:bidi/>
    </w:pPr>
    <w:rPr>
      <w:sz w:val="22"/>
      <w:szCs w:val="22"/>
    </w:rPr>
  </w:style>
  <w:style w:type="paragraph" w:customStyle="1" w:styleId="ruller5">
    <w:name w:val="ruller5"/>
    <w:basedOn w:val="a"/>
    <w:rsid w:val="00203E88"/>
    <w:pPr>
      <w:overflowPunct w:val="0"/>
      <w:autoSpaceDE w:val="0"/>
      <w:autoSpaceDN w:val="0"/>
      <w:ind w:left="1642" w:right="1282"/>
      <w:jc w:val="both"/>
    </w:pPr>
    <w:rPr>
      <w:rFonts w:ascii="Arial TUR" w:hAnsi="Arial TUR" w:cs="Arial TUR"/>
      <w:spacing w:val="10"/>
      <w:sz w:val="22"/>
      <w:szCs w:val="22"/>
    </w:rPr>
  </w:style>
  <w:style w:type="paragraph" w:customStyle="1" w:styleId="Ruller4">
    <w:name w:val="Ruller4"/>
    <w:basedOn w:val="a"/>
    <w:rsid w:val="00203E88"/>
    <w:pPr>
      <w:overflowPunct w:val="0"/>
      <w:autoSpaceDE w:val="0"/>
      <w:autoSpaceDN w:val="0"/>
      <w:spacing w:line="360" w:lineRule="auto"/>
      <w:jc w:val="both"/>
    </w:pPr>
    <w:rPr>
      <w:rFonts w:ascii="Arial TUR" w:hAnsi="Arial TUR" w:cs="Arial TUR"/>
      <w:spacing w:val="10"/>
      <w:sz w:val="22"/>
      <w:szCs w:val="22"/>
    </w:rPr>
  </w:style>
  <w:style w:type="character" w:customStyle="1" w:styleId="normal-h">
    <w:name w:val="normal-h"/>
    <w:rsid w:val="00203E88"/>
  </w:style>
  <w:style w:type="character" w:styleId="aa">
    <w:name w:val="line number"/>
    <w:rsid w:val="00203E88"/>
  </w:style>
  <w:style w:type="character" w:styleId="Hyperlink">
    <w:name w:val="Hyperlink"/>
    <w:rsid w:val="00CF2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4985" TargetMode="External"/><Relationship Id="rId21" Type="http://schemas.openxmlformats.org/officeDocument/2006/relationships/hyperlink" Target="http://www.nevo.co.il/case/25958807" TargetMode="External"/><Relationship Id="rId42" Type="http://schemas.openxmlformats.org/officeDocument/2006/relationships/hyperlink" Target="http://www.nevo.co.il/case/26442335" TargetMode="External"/><Relationship Id="rId47" Type="http://schemas.openxmlformats.org/officeDocument/2006/relationships/hyperlink" Target="http://www.nevo.co.il/case/26442335" TargetMode="External"/><Relationship Id="rId63" Type="http://schemas.openxmlformats.org/officeDocument/2006/relationships/hyperlink" Target="http://www.nevo.co.il/advertisements/nevo-100.doc" TargetMode="External"/><Relationship Id="rId68"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10.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55.a" TargetMode="External"/><Relationship Id="rId24" Type="http://schemas.openxmlformats.org/officeDocument/2006/relationships/hyperlink" Target="http://www.nevo.co.il/case/25702690" TargetMode="External"/><Relationship Id="rId32" Type="http://schemas.openxmlformats.org/officeDocument/2006/relationships/hyperlink" Target="http://www.nevo.co.il/law/70301/40e"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5824863" TargetMode="External"/><Relationship Id="rId45" Type="http://schemas.openxmlformats.org/officeDocument/2006/relationships/hyperlink" Target="http://www.nevo.co.il/case/26913995" TargetMode="External"/><Relationship Id="rId53" Type="http://schemas.openxmlformats.org/officeDocument/2006/relationships/hyperlink" Target="http://www.nevo.co.il/case/25940510" TargetMode="External"/><Relationship Id="rId58" Type="http://schemas.openxmlformats.org/officeDocument/2006/relationships/hyperlink" Target="http://www.nevo.co.il/case/25940510"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5227"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4985" TargetMode="External"/><Relationship Id="rId22" Type="http://schemas.openxmlformats.org/officeDocument/2006/relationships/hyperlink" Target="http://www.nevo.co.il/case/25335672"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case/27309272" TargetMode="External"/><Relationship Id="rId43" Type="http://schemas.openxmlformats.org/officeDocument/2006/relationships/hyperlink" Target="http://www.nevo.co.il/case/27693610" TargetMode="External"/><Relationship Id="rId48" Type="http://schemas.openxmlformats.org/officeDocument/2006/relationships/hyperlink" Target="http://www.nevo.co.il/case/26294158" TargetMode="External"/><Relationship Id="rId56" Type="http://schemas.openxmlformats.org/officeDocument/2006/relationships/hyperlink" Target="http://www.nevo.co.il/law/70301/55.a"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70301/40d" TargetMode="External"/><Relationship Id="rId51" Type="http://schemas.openxmlformats.org/officeDocument/2006/relationships/hyperlink" Target="http://www.nevo.co.il/case/26986974"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5227/67" TargetMode="External"/><Relationship Id="rId25" Type="http://schemas.openxmlformats.org/officeDocument/2006/relationships/hyperlink" Target="http://www.nevo.co.il/case/21498813" TargetMode="External"/><Relationship Id="rId33" Type="http://schemas.openxmlformats.org/officeDocument/2006/relationships/hyperlink" Target="http://www.nevo.co.il/case/5969313" TargetMode="External"/><Relationship Id="rId38" Type="http://schemas.openxmlformats.org/officeDocument/2006/relationships/hyperlink" Target="http://www.nevo.co.il/case/25824863" TargetMode="External"/><Relationship Id="rId46" Type="http://schemas.openxmlformats.org/officeDocument/2006/relationships/hyperlink" Target="http://www.nevo.co.il/case/24263426" TargetMode="External"/><Relationship Id="rId59" Type="http://schemas.openxmlformats.org/officeDocument/2006/relationships/hyperlink" Target="http://www.nevo.co.il/law/5227/10.a" TargetMode="External"/><Relationship Id="rId67" Type="http://schemas.openxmlformats.org/officeDocument/2006/relationships/footer" Target="footer2.xml"/><Relationship Id="rId20" Type="http://schemas.openxmlformats.org/officeDocument/2006/relationships/hyperlink" Target="http://www.nevo.co.il/law/70301/144.a" TargetMode="External"/><Relationship Id="rId41" Type="http://schemas.openxmlformats.org/officeDocument/2006/relationships/hyperlink" Target="http://www.nevo.co.il/case/27925239" TargetMode="External"/><Relationship Id="rId54" Type="http://schemas.openxmlformats.org/officeDocument/2006/relationships/hyperlink" Target="http://www.nevo.co.il/case/26891014" TargetMode="External"/><Relationship Id="rId62"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case/26095891" TargetMode="External"/><Relationship Id="rId28" Type="http://schemas.openxmlformats.org/officeDocument/2006/relationships/hyperlink" Target="http://www.nevo.co.il/law/70301/40i" TargetMode="External"/><Relationship Id="rId36" Type="http://schemas.openxmlformats.org/officeDocument/2006/relationships/hyperlink" Target="http://www.nevo.co.il/safrut/bookgroup/412" TargetMode="External"/><Relationship Id="rId49" Type="http://schemas.openxmlformats.org/officeDocument/2006/relationships/hyperlink" Target="http://www.nevo.co.il/case/26103748"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40d" TargetMode="External"/><Relationship Id="rId44" Type="http://schemas.openxmlformats.org/officeDocument/2006/relationships/hyperlink" Target="http://www.nevo.co.il/case/27648787" TargetMode="External"/><Relationship Id="rId52" Type="http://schemas.openxmlformats.org/officeDocument/2006/relationships/hyperlink" Target="http://www.nevo.co.il/case/5385333" TargetMode="External"/><Relationship Id="rId60" Type="http://schemas.openxmlformats.org/officeDocument/2006/relationships/hyperlink" Target="http://www.nevo.co.il/law/5227/67"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e"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case/13093744" TargetMode="External"/><Relationship Id="rId34" Type="http://schemas.openxmlformats.org/officeDocument/2006/relationships/hyperlink" Target="http://www.nevo.co.il/case/5762686" TargetMode="External"/><Relationship Id="rId50" Type="http://schemas.openxmlformats.org/officeDocument/2006/relationships/hyperlink" Target="http://www.nevo.co.il/case/26674277" TargetMode="External"/><Relationship Id="rId55" Type="http://schemas.openxmlformats.org/officeDocument/2006/relationships/hyperlink" Target="http://www.nevo.co.il/case/2688865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4632</Words>
  <Characters>23164</Characters>
  <Application>Microsoft Office Word</Application>
  <DocSecurity>0</DocSecurity>
  <Lines>193</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27741</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8323175</vt:i4>
      </vt:variant>
      <vt:variant>
        <vt:i4>168</vt:i4>
      </vt:variant>
      <vt:variant>
        <vt:i4>0</vt:i4>
      </vt:variant>
      <vt:variant>
        <vt:i4>5</vt:i4>
      </vt:variant>
      <vt:variant>
        <vt:lpwstr>http://www.nevo.co.il/law/5227</vt:lpwstr>
      </vt:variant>
      <vt:variant>
        <vt:lpwstr/>
      </vt:variant>
      <vt:variant>
        <vt:i4>8323175</vt:i4>
      </vt:variant>
      <vt:variant>
        <vt:i4>165</vt:i4>
      </vt:variant>
      <vt:variant>
        <vt:i4>0</vt:i4>
      </vt:variant>
      <vt:variant>
        <vt:i4>5</vt:i4>
      </vt:variant>
      <vt:variant>
        <vt:lpwstr>http://www.nevo.co.il/law/5227</vt:lpwstr>
      </vt:variant>
      <vt:variant>
        <vt:lpwstr/>
      </vt:variant>
      <vt:variant>
        <vt:i4>4784200</vt:i4>
      </vt:variant>
      <vt:variant>
        <vt:i4>162</vt:i4>
      </vt:variant>
      <vt:variant>
        <vt:i4>0</vt:i4>
      </vt:variant>
      <vt:variant>
        <vt:i4>5</vt:i4>
      </vt:variant>
      <vt:variant>
        <vt:lpwstr>http://www.nevo.co.il/law/5227/67</vt:lpwstr>
      </vt:variant>
      <vt:variant>
        <vt:lpwstr/>
      </vt:variant>
      <vt:variant>
        <vt:i4>6291576</vt:i4>
      </vt:variant>
      <vt:variant>
        <vt:i4>159</vt:i4>
      </vt:variant>
      <vt:variant>
        <vt:i4>0</vt:i4>
      </vt:variant>
      <vt:variant>
        <vt:i4>5</vt:i4>
      </vt:variant>
      <vt:variant>
        <vt:lpwstr>http://www.nevo.co.il/law/5227/10.a</vt:lpwstr>
      </vt:variant>
      <vt:variant>
        <vt:lpwstr/>
      </vt:variant>
      <vt:variant>
        <vt:i4>3801200</vt:i4>
      </vt:variant>
      <vt:variant>
        <vt:i4>156</vt:i4>
      </vt:variant>
      <vt:variant>
        <vt:i4>0</vt:i4>
      </vt:variant>
      <vt:variant>
        <vt:i4>5</vt:i4>
      </vt:variant>
      <vt:variant>
        <vt:lpwstr>http://www.nevo.co.il/case/25940510</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65614</vt:i4>
      </vt:variant>
      <vt:variant>
        <vt:i4>150</vt:i4>
      </vt:variant>
      <vt:variant>
        <vt:i4>0</vt:i4>
      </vt:variant>
      <vt:variant>
        <vt:i4>5</vt:i4>
      </vt:variant>
      <vt:variant>
        <vt:lpwstr>http://www.nevo.co.il/law/70301/55.a</vt:lpwstr>
      </vt:variant>
      <vt:variant>
        <vt:lpwstr/>
      </vt:variant>
      <vt:variant>
        <vt:i4>3604604</vt:i4>
      </vt:variant>
      <vt:variant>
        <vt:i4>147</vt:i4>
      </vt:variant>
      <vt:variant>
        <vt:i4>0</vt:i4>
      </vt:variant>
      <vt:variant>
        <vt:i4>5</vt:i4>
      </vt:variant>
      <vt:variant>
        <vt:lpwstr>http://www.nevo.co.il/case/26888657</vt:lpwstr>
      </vt:variant>
      <vt:variant>
        <vt:lpwstr/>
      </vt:variant>
      <vt:variant>
        <vt:i4>3801211</vt:i4>
      </vt:variant>
      <vt:variant>
        <vt:i4>144</vt:i4>
      </vt:variant>
      <vt:variant>
        <vt:i4>0</vt:i4>
      </vt:variant>
      <vt:variant>
        <vt:i4>5</vt:i4>
      </vt:variant>
      <vt:variant>
        <vt:lpwstr>http://www.nevo.co.il/case/26891014</vt:lpwstr>
      </vt:variant>
      <vt:variant>
        <vt:lpwstr/>
      </vt:variant>
      <vt:variant>
        <vt:i4>3801200</vt:i4>
      </vt:variant>
      <vt:variant>
        <vt:i4>141</vt:i4>
      </vt:variant>
      <vt:variant>
        <vt:i4>0</vt:i4>
      </vt:variant>
      <vt:variant>
        <vt:i4>5</vt:i4>
      </vt:variant>
      <vt:variant>
        <vt:lpwstr>http://www.nevo.co.il/case/25940510</vt:lpwstr>
      </vt:variant>
      <vt:variant>
        <vt:lpwstr/>
      </vt:variant>
      <vt:variant>
        <vt:i4>3997809</vt:i4>
      </vt:variant>
      <vt:variant>
        <vt:i4>138</vt:i4>
      </vt:variant>
      <vt:variant>
        <vt:i4>0</vt:i4>
      </vt:variant>
      <vt:variant>
        <vt:i4>5</vt:i4>
      </vt:variant>
      <vt:variant>
        <vt:lpwstr>http://www.nevo.co.il/case/5385333</vt:lpwstr>
      </vt:variant>
      <vt:variant>
        <vt:lpwstr/>
      </vt:variant>
      <vt:variant>
        <vt:i4>3801203</vt:i4>
      </vt:variant>
      <vt:variant>
        <vt:i4>135</vt:i4>
      </vt:variant>
      <vt:variant>
        <vt:i4>0</vt:i4>
      </vt:variant>
      <vt:variant>
        <vt:i4>5</vt:i4>
      </vt:variant>
      <vt:variant>
        <vt:lpwstr>http://www.nevo.co.il/case/26986974</vt:lpwstr>
      </vt:variant>
      <vt:variant>
        <vt:lpwstr/>
      </vt:variant>
      <vt:variant>
        <vt:i4>3604599</vt:i4>
      </vt:variant>
      <vt:variant>
        <vt:i4>132</vt:i4>
      </vt:variant>
      <vt:variant>
        <vt:i4>0</vt:i4>
      </vt:variant>
      <vt:variant>
        <vt:i4>5</vt:i4>
      </vt:variant>
      <vt:variant>
        <vt:lpwstr>http://www.nevo.co.il/case/26674277</vt:lpwstr>
      </vt:variant>
      <vt:variant>
        <vt:lpwstr/>
      </vt:variant>
      <vt:variant>
        <vt:i4>3407989</vt:i4>
      </vt:variant>
      <vt:variant>
        <vt:i4>129</vt:i4>
      </vt:variant>
      <vt:variant>
        <vt:i4>0</vt:i4>
      </vt:variant>
      <vt:variant>
        <vt:i4>5</vt:i4>
      </vt:variant>
      <vt:variant>
        <vt:lpwstr>http://www.nevo.co.il/case/26103748</vt:lpwstr>
      </vt:variant>
      <vt:variant>
        <vt:lpwstr/>
      </vt:variant>
      <vt:variant>
        <vt:i4>3211386</vt:i4>
      </vt:variant>
      <vt:variant>
        <vt:i4>126</vt:i4>
      </vt:variant>
      <vt:variant>
        <vt:i4>0</vt:i4>
      </vt:variant>
      <vt:variant>
        <vt:i4>5</vt:i4>
      </vt:variant>
      <vt:variant>
        <vt:lpwstr>http://www.nevo.co.il/case/26294158</vt:lpwstr>
      </vt:variant>
      <vt:variant>
        <vt:lpwstr/>
      </vt:variant>
      <vt:variant>
        <vt:i4>3604597</vt:i4>
      </vt:variant>
      <vt:variant>
        <vt:i4>123</vt:i4>
      </vt:variant>
      <vt:variant>
        <vt:i4>0</vt:i4>
      </vt:variant>
      <vt:variant>
        <vt:i4>5</vt:i4>
      </vt:variant>
      <vt:variant>
        <vt:lpwstr>http://www.nevo.co.il/case/26442335</vt:lpwstr>
      </vt:variant>
      <vt:variant>
        <vt:lpwstr/>
      </vt:variant>
      <vt:variant>
        <vt:i4>3211378</vt:i4>
      </vt:variant>
      <vt:variant>
        <vt:i4>120</vt:i4>
      </vt:variant>
      <vt:variant>
        <vt:i4>0</vt:i4>
      </vt:variant>
      <vt:variant>
        <vt:i4>5</vt:i4>
      </vt:variant>
      <vt:variant>
        <vt:lpwstr>http://www.nevo.co.il/case/24263426</vt:lpwstr>
      </vt:variant>
      <vt:variant>
        <vt:lpwstr/>
      </vt:variant>
      <vt:variant>
        <vt:i4>3211386</vt:i4>
      </vt:variant>
      <vt:variant>
        <vt:i4>117</vt:i4>
      </vt:variant>
      <vt:variant>
        <vt:i4>0</vt:i4>
      </vt:variant>
      <vt:variant>
        <vt:i4>5</vt:i4>
      </vt:variant>
      <vt:variant>
        <vt:lpwstr>http://www.nevo.co.il/case/26913995</vt:lpwstr>
      </vt:variant>
      <vt:variant>
        <vt:lpwstr/>
      </vt:variant>
      <vt:variant>
        <vt:i4>3407984</vt:i4>
      </vt:variant>
      <vt:variant>
        <vt:i4>114</vt:i4>
      </vt:variant>
      <vt:variant>
        <vt:i4>0</vt:i4>
      </vt:variant>
      <vt:variant>
        <vt:i4>5</vt:i4>
      </vt:variant>
      <vt:variant>
        <vt:lpwstr>http://www.nevo.co.il/case/27648787</vt:lpwstr>
      </vt:variant>
      <vt:variant>
        <vt:lpwstr/>
      </vt:variant>
      <vt:variant>
        <vt:i4>3539068</vt:i4>
      </vt:variant>
      <vt:variant>
        <vt:i4>111</vt:i4>
      </vt:variant>
      <vt:variant>
        <vt:i4>0</vt:i4>
      </vt:variant>
      <vt:variant>
        <vt:i4>5</vt:i4>
      </vt:variant>
      <vt:variant>
        <vt:lpwstr>http://www.nevo.co.il/case/27693610</vt:lpwstr>
      </vt:variant>
      <vt:variant>
        <vt:lpwstr/>
      </vt:variant>
      <vt:variant>
        <vt:i4>3604597</vt:i4>
      </vt:variant>
      <vt:variant>
        <vt:i4>108</vt:i4>
      </vt:variant>
      <vt:variant>
        <vt:i4>0</vt:i4>
      </vt:variant>
      <vt:variant>
        <vt:i4>5</vt:i4>
      </vt:variant>
      <vt:variant>
        <vt:lpwstr>http://www.nevo.co.il/case/26442335</vt:lpwstr>
      </vt:variant>
      <vt:variant>
        <vt:lpwstr/>
      </vt:variant>
      <vt:variant>
        <vt:i4>3997811</vt:i4>
      </vt:variant>
      <vt:variant>
        <vt:i4>105</vt:i4>
      </vt:variant>
      <vt:variant>
        <vt:i4>0</vt:i4>
      </vt:variant>
      <vt:variant>
        <vt:i4>5</vt:i4>
      </vt:variant>
      <vt:variant>
        <vt:lpwstr>http://www.nevo.co.il/case/27925239</vt:lpwstr>
      </vt:variant>
      <vt:variant>
        <vt:lpwstr/>
      </vt:variant>
      <vt:variant>
        <vt:i4>3670139</vt:i4>
      </vt:variant>
      <vt:variant>
        <vt:i4>102</vt:i4>
      </vt:variant>
      <vt:variant>
        <vt:i4>0</vt:i4>
      </vt:variant>
      <vt:variant>
        <vt:i4>5</vt:i4>
      </vt:variant>
      <vt:variant>
        <vt:lpwstr>http://www.nevo.co.il/case/25824863</vt:lpwstr>
      </vt:variant>
      <vt:variant>
        <vt:lpwstr/>
      </vt:variant>
      <vt:variant>
        <vt:i4>3539065</vt:i4>
      </vt:variant>
      <vt:variant>
        <vt:i4>99</vt:i4>
      </vt:variant>
      <vt:variant>
        <vt:i4>0</vt:i4>
      </vt:variant>
      <vt:variant>
        <vt:i4>5</vt:i4>
      </vt:variant>
      <vt:variant>
        <vt:lpwstr>http://www.nevo.co.il/case/13093744</vt:lpwstr>
      </vt:variant>
      <vt:variant>
        <vt:lpwstr/>
      </vt:variant>
      <vt:variant>
        <vt:i4>3670139</vt:i4>
      </vt:variant>
      <vt:variant>
        <vt:i4>96</vt:i4>
      </vt:variant>
      <vt:variant>
        <vt:i4>0</vt:i4>
      </vt:variant>
      <vt:variant>
        <vt:i4>5</vt:i4>
      </vt:variant>
      <vt:variant>
        <vt:lpwstr>http://www.nevo.co.il/case/25824863</vt:lpwstr>
      </vt:variant>
      <vt:variant>
        <vt:lpwstr/>
      </vt:variant>
      <vt:variant>
        <vt:i4>7995492</vt:i4>
      </vt:variant>
      <vt:variant>
        <vt:i4>93</vt:i4>
      </vt:variant>
      <vt:variant>
        <vt:i4>0</vt:i4>
      </vt:variant>
      <vt:variant>
        <vt:i4>5</vt:i4>
      </vt:variant>
      <vt:variant>
        <vt:lpwstr>http://www.nevo.co.il/law/70301</vt:lpwstr>
      </vt:variant>
      <vt:variant>
        <vt:lpwstr/>
      </vt:variant>
      <vt:variant>
        <vt:i4>2097193</vt:i4>
      </vt:variant>
      <vt:variant>
        <vt:i4>90</vt:i4>
      </vt:variant>
      <vt:variant>
        <vt:i4>0</vt:i4>
      </vt:variant>
      <vt:variant>
        <vt:i4>5</vt:i4>
      </vt:variant>
      <vt:variant>
        <vt:lpwstr>http://www.nevo.co.il/safrut/bookgroup/412</vt:lpwstr>
      </vt:variant>
      <vt:variant>
        <vt:lpwstr/>
      </vt:variant>
      <vt:variant>
        <vt:i4>4128881</vt:i4>
      </vt:variant>
      <vt:variant>
        <vt:i4>87</vt:i4>
      </vt:variant>
      <vt:variant>
        <vt:i4>0</vt:i4>
      </vt:variant>
      <vt:variant>
        <vt:i4>5</vt:i4>
      </vt:variant>
      <vt:variant>
        <vt:lpwstr>http://www.nevo.co.il/case/27309272</vt:lpwstr>
      </vt:variant>
      <vt:variant>
        <vt:lpwstr/>
      </vt:variant>
      <vt:variant>
        <vt:i4>3342457</vt:i4>
      </vt:variant>
      <vt:variant>
        <vt:i4>84</vt:i4>
      </vt:variant>
      <vt:variant>
        <vt:i4>0</vt:i4>
      </vt:variant>
      <vt:variant>
        <vt:i4>5</vt:i4>
      </vt:variant>
      <vt:variant>
        <vt:lpwstr>http://www.nevo.co.il/case/5762686</vt:lpwstr>
      </vt:variant>
      <vt:variant>
        <vt:lpwstr/>
      </vt:variant>
      <vt:variant>
        <vt:i4>3342453</vt:i4>
      </vt:variant>
      <vt:variant>
        <vt:i4>81</vt:i4>
      </vt:variant>
      <vt:variant>
        <vt:i4>0</vt:i4>
      </vt:variant>
      <vt:variant>
        <vt:i4>5</vt:i4>
      </vt:variant>
      <vt:variant>
        <vt:lpwstr>http://www.nevo.co.il/case/5969313</vt:lpwstr>
      </vt:variant>
      <vt:variant>
        <vt:lpwstr/>
      </vt:variant>
      <vt:variant>
        <vt:i4>6619233</vt:i4>
      </vt:variant>
      <vt:variant>
        <vt:i4>78</vt:i4>
      </vt:variant>
      <vt:variant>
        <vt:i4>0</vt:i4>
      </vt:variant>
      <vt:variant>
        <vt:i4>5</vt:i4>
      </vt:variant>
      <vt:variant>
        <vt:lpwstr>http://www.nevo.co.il/law/70301/40e</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7995492</vt:i4>
      </vt:variant>
      <vt:variant>
        <vt:i4>63</vt:i4>
      </vt:variant>
      <vt:variant>
        <vt:i4>0</vt:i4>
      </vt:variant>
      <vt:variant>
        <vt:i4>5</vt:i4>
      </vt:variant>
      <vt:variant>
        <vt:lpwstr>http://www.nevo.co.il/law/70301</vt:lpwstr>
      </vt:variant>
      <vt:variant>
        <vt:lpwstr/>
      </vt:variant>
      <vt:variant>
        <vt:i4>7733358</vt:i4>
      </vt:variant>
      <vt:variant>
        <vt:i4>60</vt:i4>
      </vt:variant>
      <vt:variant>
        <vt:i4>0</vt:i4>
      </vt:variant>
      <vt:variant>
        <vt:i4>5</vt:i4>
      </vt:variant>
      <vt:variant>
        <vt:lpwstr>http://www.nevo.co.il/law/74985</vt:lpwstr>
      </vt:variant>
      <vt:variant>
        <vt:lpwstr/>
      </vt:variant>
      <vt:variant>
        <vt:i4>4128884</vt:i4>
      </vt:variant>
      <vt:variant>
        <vt:i4>57</vt:i4>
      </vt:variant>
      <vt:variant>
        <vt:i4>0</vt:i4>
      </vt:variant>
      <vt:variant>
        <vt:i4>5</vt:i4>
      </vt:variant>
      <vt:variant>
        <vt:lpwstr>http://www.nevo.co.il/case/21498813</vt:lpwstr>
      </vt:variant>
      <vt:variant>
        <vt:lpwstr/>
      </vt:variant>
      <vt:variant>
        <vt:i4>4063351</vt:i4>
      </vt:variant>
      <vt:variant>
        <vt:i4>54</vt:i4>
      </vt:variant>
      <vt:variant>
        <vt:i4>0</vt:i4>
      </vt:variant>
      <vt:variant>
        <vt:i4>5</vt:i4>
      </vt:variant>
      <vt:variant>
        <vt:lpwstr>http://www.nevo.co.il/case/25702690</vt:lpwstr>
      </vt:variant>
      <vt:variant>
        <vt:lpwstr/>
      </vt:variant>
      <vt:variant>
        <vt:i4>4063347</vt:i4>
      </vt:variant>
      <vt:variant>
        <vt:i4>51</vt:i4>
      </vt:variant>
      <vt:variant>
        <vt:i4>0</vt:i4>
      </vt:variant>
      <vt:variant>
        <vt:i4>5</vt:i4>
      </vt:variant>
      <vt:variant>
        <vt:lpwstr>http://www.nevo.co.il/case/26095891</vt:lpwstr>
      </vt:variant>
      <vt:variant>
        <vt:lpwstr/>
      </vt:variant>
      <vt:variant>
        <vt:i4>3342452</vt:i4>
      </vt:variant>
      <vt:variant>
        <vt:i4>48</vt:i4>
      </vt:variant>
      <vt:variant>
        <vt:i4>0</vt:i4>
      </vt:variant>
      <vt:variant>
        <vt:i4>5</vt:i4>
      </vt:variant>
      <vt:variant>
        <vt:lpwstr>http://www.nevo.co.il/case/25335672</vt:lpwstr>
      </vt:variant>
      <vt:variant>
        <vt:lpwstr/>
      </vt:variant>
      <vt:variant>
        <vt:i4>3342460</vt:i4>
      </vt:variant>
      <vt:variant>
        <vt:i4>45</vt:i4>
      </vt:variant>
      <vt:variant>
        <vt:i4>0</vt:i4>
      </vt:variant>
      <vt:variant>
        <vt:i4>5</vt:i4>
      </vt:variant>
      <vt:variant>
        <vt:lpwstr>http://www.nevo.co.il/case/25958807</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4784200</vt:i4>
      </vt:variant>
      <vt:variant>
        <vt:i4>33</vt:i4>
      </vt:variant>
      <vt:variant>
        <vt:i4>0</vt:i4>
      </vt:variant>
      <vt:variant>
        <vt:i4>5</vt:i4>
      </vt:variant>
      <vt:variant>
        <vt:lpwstr>http://www.nevo.co.il/law/5227/67</vt:lpwstr>
      </vt:variant>
      <vt:variant>
        <vt:lpwstr/>
      </vt:variant>
      <vt:variant>
        <vt:i4>6291576</vt:i4>
      </vt:variant>
      <vt:variant>
        <vt:i4>30</vt:i4>
      </vt:variant>
      <vt:variant>
        <vt:i4>0</vt:i4>
      </vt:variant>
      <vt:variant>
        <vt:i4>5</vt:i4>
      </vt:variant>
      <vt:variant>
        <vt:lpwstr>http://www.nevo.co.il/law/5227/10.a</vt:lpwstr>
      </vt:variant>
      <vt:variant>
        <vt:lpwstr/>
      </vt:variant>
      <vt:variant>
        <vt:i4>8323175</vt:i4>
      </vt:variant>
      <vt:variant>
        <vt:i4>27</vt:i4>
      </vt:variant>
      <vt:variant>
        <vt:i4>0</vt:i4>
      </vt:variant>
      <vt:variant>
        <vt:i4>5</vt:i4>
      </vt:variant>
      <vt:variant>
        <vt:lpwstr>http://www.nevo.co.il/law/5227</vt:lpwstr>
      </vt:variant>
      <vt:variant>
        <vt:lpwstr/>
      </vt:variant>
      <vt:variant>
        <vt:i4>7733358</vt:i4>
      </vt:variant>
      <vt:variant>
        <vt:i4>24</vt:i4>
      </vt:variant>
      <vt:variant>
        <vt:i4>0</vt:i4>
      </vt:variant>
      <vt:variant>
        <vt:i4>5</vt:i4>
      </vt:variant>
      <vt:variant>
        <vt:lpwstr>http://www.nevo.co.il/law/74985</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65614</vt:i4>
      </vt:variant>
      <vt:variant>
        <vt:i4>15</vt:i4>
      </vt:variant>
      <vt:variant>
        <vt:i4>0</vt:i4>
      </vt:variant>
      <vt:variant>
        <vt:i4>5</vt:i4>
      </vt:variant>
      <vt:variant>
        <vt:lpwstr>http://www.nevo.co.il/law/70301/55.a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2025-01-19T17:47:00Z</dcterms:created>
  <dcterms:modified xsi:type="dcterms:W3CDTF">2025-01-19T17:47:00Z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33605</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עלא אגבאריה</vt:lpwstr>
  </property>
  <property fmtid="{D5CDD505-2E9C-101B-9397-08002B2CF9AE}" pid="10" name="JUDGE">
    <vt:lpwstr>אלכס אחטר</vt:lpwstr>
  </property>
  <property fmtid="{D5CDD505-2E9C-101B-9397-08002B2CF9AE}" pid="11" name="CITY">
    <vt:lpwstr>חד'</vt:lpwstr>
  </property>
  <property fmtid="{D5CDD505-2E9C-101B-9397-08002B2CF9AE}" pid="12" name="DATE">
    <vt:lpwstr>20220310</vt:lpwstr>
  </property>
  <property fmtid="{D5CDD505-2E9C-101B-9397-08002B2CF9AE}" pid="13" name="TYPE_N_DATE">
    <vt:lpwstr>38020220310</vt:lpwstr>
  </property>
  <property fmtid="{D5CDD505-2E9C-101B-9397-08002B2CF9AE}" pid="14" name="WORDNUMPAGES">
    <vt:lpwstr>13</vt:lpwstr>
  </property>
  <property fmtid="{D5CDD505-2E9C-101B-9397-08002B2CF9AE}" pid="15" name="TYPE_ABS_DATE">
    <vt:lpwstr>380020220310</vt:lpwstr>
  </property>
  <property fmtid="{D5CDD505-2E9C-101B-9397-08002B2CF9AE}" pid="16" name="ISABSTRACT">
    <vt:lpwstr>Y</vt:lpwstr>
  </property>
  <property fmtid="{D5CDD505-2E9C-101B-9397-08002B2CF9AE}" pid="17" name="LAWYER">
    <vt:lpwstr>לינוי לאליאן;ג'בארין אסמה </vt:lpwstr>
  </property>
  <property fmtid="{D5CDD505-2E9C-101B-9397-08002B2CF9AE}" pid="18" name="CASESLISTTMP1">
    <vt:lpwstr>25958807;25335672;26095891;25702690;21498813;5969313;5762686;27309272;25824863:2;13093744;27925239;26442335:2;27693610;27648787;26913995;24263426;26294158;26103748;26674277;26986974;5385333;25940510:2;26891014;26888657</vt:lpwstr>
  </property>
  <property fmtid="{D5CDD505-2E9C-101B-9397-08002B2CF9AE}" pid="19" name="BOOKGROUPTMP1">
    <vt:lpwstr>412</vt:lpwstr>
  </property>
  <property fmtid="{D5CDD505-2E9C-101B-9397-08002B2CF9AE}" pid="20" name="LAWLISTTMP1">
    <vt:lpwstr>70301/144.a:2;040i;40ja;040d;040e;055.a</vt:lpwstr>
  </property>
  <property fmtid="{D5CDD505-2E9C-101B-9397-08002B2CF9AE}" pid="21" name="LAWLISTTMP2">
    <vt:lpwstr>74985</vt:lpwstr>
  </property>
  <property fmtid="{D5CDD505-2E9C-101B-9397-08002B2CF9AE}" pid="22" name="LAWLISTTMP3">
    <vt:lpwstr>5227/010.a;067</vt:lpwstr>
  </property>
</Properties>
</file>