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824659" w:rsidRPr="00CE5674" w14:paraId="6F25B04A" w14:textId="77777777" w:rsidTr="002414AC">
        <w:trPr>
          <w:trHeight w:hRule="exact" w:val="418"/>
          <w:jc w:val="center"/>
        </w:trPr>
        <w:tc>
          <w:tcPr>
            <w:tcW w:w="8721" w:type="dxa"/>
            <w:gridSpan w:val="2"/>
          </w:tcPr>
          <w:p w14:paraId="00CA6231" w14:textId="77777777" w:rsidR="00824659" w:rsidRPr="00CE5674" w:rsidRDefault="00824659" w:rsidP="007A2BB7">
            <w:pPr>
              <w:pStyle w:val="a3"/>
              <w:jc w:val="center"/>
              <w:rPr>
                <w:rFonts w:ascii="Tahoma" w:hAnsi="Tahoma" w:cs="Tahoma"/>
                <w:color w:val="000080"/>
                <w:rtl/>
              </w:rPr>
            </w:pPr>
            <w:bookmarkStart w:id="0" w:name="LastJudge"/>
            <w:r w:rsidRPr="00CE5674">
              <w:rPr>
                <w:rFonts w:ascii="David" w:hAnsi="David"/>
                <w:b/>
                <w:bCs/>
                <w:color w:val="000080"/>
                <w:sz w:val="28"/>
                <w:szCs w:val="28"/>
                <w:rtl/>
              </w:rPr>
              <w:t>בית משפט השלום בכפר סבא</w:t>
            </w:r>
          </w:p>
        </w:tc>
      </w:tr>
      <w:tr w:rsidR="00824659" w:rsidRPr="00CE5674" w14:paraId="0AED971C" w14:textId="77777777" w:rsidTr="002414AC">
        <w:trPr>
          <w:trHeight w:val="337"/>
          <w:jc w:val="center"/>
        </w:trPr>
        <w:tc>
          <w:tcPr>
            <w:tcW w:w="5061" w:type="dxa"/>
          </w:tcPr>
          <w:p w14:paraId="13E8F375" w14:textId="77777777" w:rsidR="00824659" w:rsidRPr="00CE5674" w:rsidRDefault="00824659" w:rsidP="007A2BB7">
            <w:pPr>
              <w:rPr>
                <w:rFonts w:cs="FrankRuehl"/>
                <w:sz w:val="28"/>
                <w:szCs w:val="28"/>
                <w:rtl/>
              </w:rPr>
            </w:pPr>
            <w:r w:rsidRPr="00CE5674">
              <w:rPr>
                <w:rFonts w:cs="FrankRuehl"/>
                <w:sz w:val="28"/>
                <w:szCs w:val="28"/>
                <w:rtl/>
              </w:rPr>
              <w:t>ת"פ</w:t>
            </w:r>
            <w:r w:rsidRPr="00CE5674">
              <w:rPr>
                <w:rFonts w:cs="FrankRuehl" w:hint="cs"/>
                <w:sz w:val="28"/>
                <w:szCs w:val="28"/>
                <w:rtl/>
              </w:rPr>
              <w:t xml:space="preserve"> </w:t>
            </w:r>
            <w:r w:rsidRPr="00CE5674">
              <w:rPr>
                <w:rFonts w:cs="FrankRuehl"/>
                <w:sz w:val="28"/>
                <w:szCs w:val="28"/>
                <w:rtl/>
              </w:rPr>
              <w:t>33726-11-21</w:t>
            </w:r>
            <w:r w:rsidRPr="00CE5674">
              <w:rPr>
                <w:rFonts w:cs="FrankRuehl" w:hint="cs"/>
                <w:sz w:val="28"/>
                <w:szCs w:val="28"/>
                <w:rtl/>
              </w:rPr>
              <w:t xml:space="preserve"> </w:t>
            </w:r>
            <w:r w:rsidRPr="00CE5674">
              <w:rPr>
                <w:rFonts w:cs="FrankRuehl"/>
                <w:sz w:val="28"/>
                <w:szCs w:val="28"/>
                <w:rtl/>
              </w:rPr>
              <w:t>מדינת ישראל נ' מסרוואה(עציר)</w:t>
            </w:r>
          </w:p>
          <w:p w14:paraId="6AD09629" w14:textId="77777777" w:rsidR="00824659" w:rsidRPr="00CE5674" w:rsidRDefault="00824659" w:rsidP="007A2BB7">
            <w:pPr>
              <w:pStyle w:val="a3"/>
              <w:rPr>
                <w:rFonts w:cs="FrankRuehl"/>
                <w:sz w:val="28"/>
                <w:szCs w:val="28"/>
                <w:rtl/>
              </w:rPr>
            </w:pPr>
          </w:p>
        </w:tc>
        <w:tc>
          <w:tcPr>
            <w:tcW w:w="3660" w:type="dxa"/>
          </w:tcPr>
          <w:p w14:paraId="5F1D87BF" w14:textId="77777777" w:rsidR="00824659" w:rsidRPr="00CE5674" w:rsidRDefault="00824659" w:rsidP="007A2BB7">
            <w:pPr>
              <w:pStyle w:val="a3"/>
              <w:jc w:val="right"/>
              <w:rPr>
                <w:rFonts w:cs="FrankRuehl"/>
                <w:sz w:val="28"/>
                <w:szCs w:val="28"/>
                <w:rtl/>
              </w:rPr>
            </w:pPr>
          </w:p>
        </w:tc>
      </w:tr>
    </w:tbl>
    <w:p w14:paraId="57CAD627" w14:textId="77777777" w:rsidR="00824659" w:rsidRPr="00CE5674" w:rsidRDefault="00824659" w:rsidP="00824659">
      <w:pPr>
        <w:pStyle w:val="a3"/>
        <w:jc w:val="right"/>
        <w:rPr>
          <w:b/>
          <w:bCs/>
          <w:rtl/>
        </w:rPr>
      </w:pPr>
      <w:r w:rsidRPr="00CE5674">
        <w:rPr>
          <w:rFonts w:hint="cs"/>
          <w:rtl/>
        </w:rPr>
        <w:t xml:space="preserve"> </w:t>
      </w:r>
      <w:r w:rsidRPr="00CE5674">
        <w:rPr>
          <w:rFonts w:hint="cs"/>
          <w:b/>
          <w:bCs/>
          <w:rtl/>
        </w:rPr>
        <w:t>9.2.22</w:t>
      </w:r>
    </w:p>
    <w:p w14:paraId="1B866CDD" w14:textId="77777777" w:rsidR="00824659" w:rsidRPr="00CE5674" w:rsidRDefault="00824659" w:rsidP="00824659">
      <w:pPr>
        <w:spacing w:line="360" w:lineRule="auto"/>
        <w:jc w:val="both"/>
        <w:rPr>
          <w:rtl/>
        </w:rPr>
      </w:pPr>
    </w:p>
    <w:p w14:paraId="0F0B13D5" w14:textId="77777777" w:rsidR="00824659" w:rsidRPr="00CE5674" w:rsidRDefault="00824659" w:rsidP="00824659">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824659" w:rsidRPr="00CE5674" w14:paraId="55A824C9" w14:textId="77777777" w:rsidTr="00824659">
        <w:trPr>
          <w:trHeight w:val="295"/>
          <w:jc w:val="center"/>
        </w:trPr>
        <w:tc>
          <w:tcPr>
            <w:tcW w:w="923" w:type="dxa"/>
            <w:tcBorders>
              <w:top w:val="nil"/>
              <w:left w:val="nil"/>
              <w:bottom w:val="nil"/>
              <w:right w:val="nil"/>
            </w:tcBorders>
            <w:shd w:val="clear" w:color="auto" w:fill="auto"/>
          </w:tcPr>
          <w:p w14:paraId="3704990A" w14:textId="77777777" w:rsidR="00824659" w:rsidRPr="00CE5674" w:rsidRDefault="00824659" w:rsidP="00824659">
            <w:pPr>
              <w:spacing w:line="360" w:lineRule="auto"/>
              <w:jc w:val="both"/>
              <w:rPr>
                <w:rFonts w:ascii="David" w:hAnsi="David"/>
                <w:b/>
                <w:bCs/>
                <w:sz w:val="28"/>
                <w:szCs w:val="28"/>
              </w:rPr>
            </w:pPr>
            <w:r w:rsidRPr="00CE5674">
              <w:rPr>
                <w:rFonts w:ascii="David" w:hAnsi="David" w:hint="cs"/>
                <w:b/>
                <w:bCs/>
                <w:sz w:val="28"/>
                <w:szCs w:val="28"/>
                <w:rtl/>
              </w:rPr>
              <w:t>ל</w:t>
            </w:r>
            <w:r w:rsidRPr="00CE5674">
              <w:rPr>
                <w:rFonts w:ascii="David" w:hAnsi="David"/>
                <w:b/>
                <w:bCs/>
                <w:sz w:val="28"/>
                <w:szCs w:val="28"/>
                <w:rtl/>
              </w:rPr>
              <w:t>פני</w:t>
            </w:r>
          </w:p>
        </w:tc>
        <w:tc>
          <w:tcPr>
            <w:tcW w:w="7897" w:type="dxa"/>
            <w:tcBorders>
              <w:top w:val="nil"/>
              <w:left w:val="nil"/>
              <w:bottom w:val="nil"/>
              <w:right w:val="nil"/>
            </w:tcBorders>
            <w:shd w:val="clear" w:color="auto" w:fill="auto"/>
          </w:tcPr>
          <w:p w14:paraId="466FD31F" w14:textId="77777777" w:rsidR="00824659" w:rsidRPr="00CE5674" w:rsidRDefault="00824659" w:rsidP="00824659">
            <w:pPr>
              <w:spacing w:line="360" w:lineRule="auto"/>
              <w:jc w:val="both"/>
              <w:rPr>
                <w:rFonts w:ascii="David" w:hAnsi="David"/>
                <w:b/>
                <w:bCs/>
                <w:sz w:val="28"/>
                <w:szCs w:val="28"/>
                <w:rtl/>
              </w:rPr>
            </w:pPr>
            <w:r w:rsidRPr="00CE5674">
              <w:rPr>
                <w:rFonts w:ascii="David" w:hAnsi="David"/>
                <w:b/>
                <w:bCs/>
                <w:sz w:val="28"/>
                <w:szCs w:val="28"/>
                <w:rtl/>
              </w:rPr>
              <w:t>כבוד השופט אביב שרון</w:t>
            </w:r>
          </w:p>
          <w:p w14:paraId="4B0338D5" w14:textId="77777777" w:rsidR="00824659" w:rsidRPr="00CE5674" w:rsidRDefault="00824659" w:rsidP="00824659">
            <w:pPr>
              <w:spacing w:line="360" w:lineRule="auto"/>
              <w:jc w:val="both"/>
              <w:rPr>
                <w:rFonts w:ascii="David" w:hAnsi="David"/>
                <w:b/>
                <w:bCs/>
              </w:rPr>
            </w:pPr>
          </w:p>
        </w:tc>
      </w:tr>
    </w:tbl>
    <w:p w14:paraId="2E9811F4" w14:textId="77777777" w:rsidR="00824659" w:rsidRPr="00CE5674" w:rsidRDefault="00824659" w:rsidP="00824659">
      <w:pPr>
        <w:spacing w:line="360" w:lineRule="auto"/>
        <w:jc w:val="both"/>
        <w:rPr>
          <w:rFonts w:ascii="David" w:hAnsi="David"/>
          <w:b/>
          <w:bCs/>
          <w:rtl/>
        </w:rPr>
      </w:pPr>
      <w:bookmarkStart w:id="1" w:name="FirstAppellant"/>
      <w:r w:rsidRPr="00CE5674">
        <w:rPr>
          <w:rFonts w:ascii="David" w:hAnsi="David" w:hint="cs"/>
          <w:b/>
          <w:bCs/>
          <w:rtl/>
        </w:rPr>
        <w:t>בעניין</w:t>
      </w:r>
      <w:bookmarkEnd w:id="1"/>
      <w:r w:rsidRPr="00CE5674">
        <w:rPr>
          <w:rFonts w:ascii="David" w:hAnsi="David" w:hint="cs"/>
          <w:b/>
          <w:bCs/>
          <w:rtl/>
        </w:rPr>
        <w:t>:</w:t>
      </w:r>
      <w:r w:rsidRPr="00CE5674">
        <w:rPr>
          <w:rFonts w:ascii="David" w:hAnsi="David"/>
          <w:b/>
          <w:bCs/>
          <w:rtl/>
        </w:rPr>
        <w:tab/>
      </w:r>
      <w:r w:rsidRPr="00CE5674">
        <w:rPr>
          <w:rFonts w:ascii="David" w:hAnsi="David" w:hint="cs"/>
          <w:b/>
          <w:bCs/>
          <w:rtl/>
        </w:rPr>
        <w:t xml:space="preserve">מדינת ישראל </w:t>
      </w:r>
      <w:r w:rsidRPr="00CE5674">
        <w:rPr>
          <w:rFonts w:ascii="David" w:hAnsi="David"/>
          <w:b/>
          <w:bCs/>
          <w:rtl/>
        </w:rPr>
        <w:t>–</w:t>
      </w:r>
      <w:r w:rsidRPr="00CE5674">
        <w:rPr>
          <w:rFonts w:ascii="David" w:hAnsi="David" w:hint="cs"/>
          <w:b/>
          <w:bCs/>
          <w:rtl/>
        </w:rPr>
        <w:t xml:space="preserve"> פרקליטות מחוז מרכז (פלילי)</w:t>
      </w:r>
      <w:r w:rsidRPr="00CE5674">
        <w:rPr>
          <w:rFonts w:ascii="David" w:hAnsi="David"/>
          <w:b/>
          <w:bCs/>
          <w:rtl/>
        </w:rPr>
        <w:tab/>
      </w:r>
      <w:r w:rsidRPr="00CE5674">
        <w:rPr>
          <w:rFonts w:ascii="David" w:hAnsi="David"/>
          <w:b/>
          <w:bCs/>
          <w:rtl/>
        </w:rPr>
        <w:tab/>
      </w:r>
      <w:r w:rsidRPr="00CE5674">
        <w:rPr>
          <w:rFonts w:ascii="David" w:hAnsi="David" w:hint="cs"/>
          <w:b/>
          <w:bCs/>
          <w:rtl/>
        </w:rPr>
        <w:t>המאשימה</w:t>
      </w:r>
    </w:p>
    <w:p w14:paraId="1AF59CCD" w14:textId="77777777" w:rsidR="00824659" w:rsidRPr="00CE5674" w:rsidRDefault="00824659" w:rsidP="00824659">
      <w:pPr>
        <w:spacing w:line="360" w:lineRule="auto"/>
        <w:jc w:val="both"/>
        <w:rPr>
          <w:rFonts w:ascii="David" w:hAnsi="David"/>
          <w:rtl/>
        </w:rPr>
      </w:pPr>
      <w:r w:rsidRPr="00CE5674">
        <w:rPr>
          <w:rFonts w:ascii="David" w:hAnsi="David"/>
          <w:rtl/>
        </w:rPr>
        <w:tab/>
      </w:r>
      <w:r w:rsidRPr="00CE5674">
        <w:rPr>
          <w:rFonts w:ascii="David" w:hAnsi="David" w:hint="cs"/>
          <w:rtl/>
        </w:rPr>
        <w:t xml:space="preserve">ע"י </w:t>
      </w:r>
      <w:bookmarkStart w:id="2" w:name="FirstLawyer"/>
      <w:r w:rsidRPr="00CE5674">
        <w:rPr>
          <w:rFonts w:ascii="David" w:hAnsi="David" w:hint="cs"/>
          <w:rtl/>
        </w:rPr>
        <w:t>ב"כ</w:t>
      </w:r>
      <w:bookmarkEnd w:id="2"/>
      <w:r w:rsidRPr="00CE5674">
        <w:rPr>
          <w:rFonts w:ascii="David" w:hAnsi="David" w:hint="cs"/>
          <w:rtl/>
        </w:rPr>
        <w:t xml:space="preserve"> עו"ד אוריה תוהמי</w:t>
      </w:r>
    </w:p>
    <w:p w14:paraId="5B8D322C" w14:textId="77777777" w:rsidR="00824659" w:rsidRPr="00CE5674" w:rsidRDefault="00824659" w:rsidP="00824659">
      <w:pPr>
        <w:spacing w:line="360" w:lineRule="auto"/>
        <w:jc w:val="both"/>
        <w:rPr>
          <w:rFonts w:ascii="David" w:hAnsi="David"/>
          <w:b/>
          <w:bCs/>
          <w:rtl/>
        </w:rPr>
      </w:pPr>
    </w:p>
    <w:p w14:paraId="52CAA9AF" w14:textId="77777777" w:rsidR="00824659" w:rsidRPr="00CE5674" w:rsidRDefault="00824659" w:rsidP="00824659">
      <w:pPr>
        <w:spacing w:line="360" w:lineRule="auto"/>
        <w:jc w:val="both"/>
        <w:rPr>
          <w:rFonts w:ascii="David" w:hAnsi="David"/>
          <w:b/>
          <w:bCs/>
          <w:rtl/>
        </w:rPr>
      </w:pPr>
      <w:r w:rsidRPr="00CE5674">
        <w:rPr>
          <w:rFonts w:ascii="David" w:hAnsi="David"/>
          <w:b/>
          <w:bCs/>
          <w:rtl/>
        </w:rPr>
        <w:tab/>
      </w:r>
      <w:r w:rsidRPr="00CE5674">
        <w:rPr>
          <w:rFonts w:ascii="David" w:hAnsi="David" w:hint="cs"/>
          <w:b/>
          <w:bCs/>
          <w:rtl/>
        </w:rPr>
        <w:t>נ ג ד</w:t>
      </w:r>
    </w:p>
    <w:p w14:paraId="43DC8766" w14:textId="77777777" w:rsidR="00824659" w:rsidRPr="00CE5674" w:rsidRDefault="00824659" w:rsidP="00824659">
      <w:pPr>
        <w:spacing w:line="360" w:lineRule="auto"/>
        <w:jc w:val="both"/>
        <w:rPr>
          <w:rFonts w:ascii="David" w:hAnsi="David"/>
          <w:b/>
          <w:bCs/>
          <w:rtl/>
        </w:rPr>
      </w:pPr>
    </w:p>
    <w:p w14:paraId="7E433250" w14:textId="77777777" w:rsidR="00824659" w:rsidRPr="00CE5674" w:rsidRDefault="00824659" w:rsidP="00824659">
      <w:pPr>
        <w:spacing w:line="360" w:lineRule="auto"/>
        <w:jc w:val="both"/>
        <w:rPr>
          <w:rFonts w:ascii="Arial" w:hAnsi="Arial"/>
          <w:b/>
          <w:bCs/>
          <w:rtl/>
        </w:rPr>
      </w:pPr>
      <w:r w:rsidRPr="00CE5674">
        <w:rPr>
          <w:rFonts w:ascii="David" w:hAnsi="David"/>
          <w:b/>
          <w:bCs/>
          <w:rtl/>
        </w:rPr>
        <w:tab/>
      </w:r>
      <w:r w:rsidRPr="00CE5674">
        <w:rPr>
          <w:rFonts w:ascii="David" w:hAnsi="David" w:hint="cs"/>
          <w:b/>
          <w:bCs/>
          <w:rtl/>
        </w:rPr>
        <w:t>פראס מסרוואה (עציר)</w:t>
      </w:r>
      <w:r w:rsidRPr="00CE5674">
        <w:rPr>
          <w:rFonts w:ascii="David" w:hAnsi="David"/>
          <w:b/>
          <w:bCs/>
          <w:rtl/>
        </w:rPr>
        <w:tab/>
      </w:r>
      <w:r w:rsidRPr="00CE5674">
        <w:rPr>
          <w:rFonts w:ascii="David" w:hAnsi="David"/>
          <w:b/>
          <w:bCs/>
          <w:rtl/>
        </w:rPr>
        <w:tab/>
      </w:r>
      <w:r w:rsidRPr="00CE5674">
        <w:rPr>
          <w:rFonts w:ascii="David" w:hAnsi="David"/>
          <w:b/>
          <w:bCs/>
          <w:rtl/>
        </w:rPr>
        <w:tab/>
      </w:r>
      <w:r w:rsidRPr="00CE5674">
        <w:rPr>
          <w:rFonts w:ascii="David" w:hAnsi="David"/>
          <w:b/>
          <w:bCs/>
          <w:rtl/>
        </w:rPr>
        <w:tab/>
      </w:r>
      <w:r w:rsidRPr="00CE5674">
        <w:rPr>
          <w:rFonts w:ascii="David" w:hAnsi="David"/>
          <w:b/>
          <w:bCs/>
          <w:rtl/>
        </w:rPr>
        <w:tab/>
      </w:r>
      <w:r w:rsidRPr="00CE5674">
        <w:rPr>
          <w:rFonts w:ascii="David" w:hAnsi="David" w:hint="cs"/>
          <w:b/>
          <w:bCs/>
          <w:rtl/>
        </w:rPr>
        <w:t>הנאשם</w:t>
      </w:r>
    </w:p>
    <w:p w14:paraId="72EE143B" w14:textId="77777777" w:rsidR="00824659" w:rsidRPr="00CE5674" w:rsidRDefault="00824659" w:rsidP="00824659">
      <w:pPr>
        <w:spacing w:line="360" w:lineRule="auto"/>
        <w:jc w:val="both"/>
        <w:rPr>
          <w:rFonts w:ascii="Arial" w:hAnsi="Arial"/>
          <w:rtl/>
        </w:rPr>
      </w:pPr>
      <w:r w:rsidRPr="00CE5674">
        <w:rPr>
          <w:rFonts w:ascii="Arial" w:hAnsi="Arial"/>
          <w:rtl/>
        </w:rPr>
        <w:tab/>
      </w:r>
      <w:r w:rsidRPr="00CE5674">
        <w:rPr>
          <w:rFonts w:ascii="Arial" w:hAnsi="Arial" w:hint="cs"/>
          <w:rtl/>
        </w:rPr>
        <w:t>ע"י ב"כ עו"ד שי טובים</w:t>
      </w:r>
    </w:p>
    <w:p w14:paraId="328B0E4D" w14:textId="77777777" w:rsidR="002414AC" w:rsidRDefault="002414AC" w:rsidP="00824659">
      <w:pPr>
        <w:spacing w:line="360" w:lineRule="auto"/>
        <w:jc w:val="both"/>
        <w:rPr>
          <w:rFonts w:ascii="Arial" w:hAnsi="Arial"/>
          <w:rtl/>
        </w:rPr>
      </w:pPr>
    </w:p>
    <w:p w14:paraId="1BB064FC" w14:textId="77777777" w:rsidR="002414AC" w:rsidRPr="002414AC" w:rsidRDefault="002414AC" w:rsidP="002414AC">
      <w:pPr>
        <w:spacing w:after="120" w:line="240" w:lineRule="exact"/>
        <w:ind w:left="283" w:hanging="283"/>
        <w:jc w:val="both"/>
        <w:rPr>
          <w:rFonts w:ascii="FrankRuehl" w:hAnsi="FrankRuehl" w:cs="FrankRuehl"/>
          <w:rtl/>
        </w:rPr>
      </w:pPr>
    </w:p>
    <w:p w14:paraId="591ED630" w14:textId="77777777" w:rsidR="00260FD1" w:rsidRPr="00260FD1" w:rsidRDefault="00260FD1" w:rsidP="00260FD1">
      <w:pPr>
        <w:spacing w:before="120" w:after="120" w:line="240" w:lineRule="exact"/>
        <w:ind w:left="283" w:hanging="283"/>
        <w:jc w:val="both"/>
        <w:rPr>
          <w:rFonts w:ascii="FrankRuehl" w:hAnsi="FrankRuehl" w:cs="FrankRuehl"/>
          <w:rtl/>
        </w:rPr>
      </w:pPr>
    </w:p>
    <w:p w14:paraId="0F0BC396" w14:textId="77777777" w:rsidR="00260FD1" w:rsidRPr="00260FD1" w:rsidRDefault="00260FD1" w:rsidP="00260FD1">
      <w:pPr>
        <w:spacing w:before="120" w:after="120" w:line="240" w:lineRule="exact"/>
        <w:ind w:left="283" w:hanging="283"/>
        <w:jc w:val="both"/>
        <w:rPr>
          <w:rFonts w:ascii="FrankRuehl" w:hAnsi="FrankRuehl" w:cs="FrankRuehl"/>
          <w:rtl/>
        </w:rPr>
      </w:pPr>
    </w:p>
    <w:p w14:paraId="515B044B" w14:textId="77777777" w:rsidR="00FC5323" w:rsidRDefault="00FC5323" w:rsidP="00FC5323">
      <w:pPr>
        <w:spacing w:line="360" w:lineRule="auto"/>
        <w:jc w:val="center"/>
        <w:rPr>
          <w:rFonts w:ascii="Arial" w:hAnsi="Arial"/>
          <w:sz w:val="28"/>
          <w:szCs w:val="28"/>
          <w:rtl/>
        </w:rPr>
      </w:pPr>
      <w:bookmarkStart w:id="3" w:name="LawTable"/>
      <w:bookmarkEnd w:id="3"/>
    </w:p>
    <w:p w14:paraId="2BC090EE" w14:textId="77777777" w:rsidR="00FC5323" w:rsidRPr="00FC5323" w:rsidRDefault="00FC5323" w:rsidP="00FC5323">
      <w:pPr>
        <w:spacing w:before="120" w:after="120" w:line="240" w:lineRule="exact"/>
        <w:ind w:left="283" w:hanging="283"/>
        <w:jc w:val="both"/>
        <w:rPr>
          <w:rFonts w:ascii="FrankRuehl" w:hAnsi="FrankRuehl" w:cs="FrankRuehl"/>
          <w:rtl/>
        </w:rPr>
      </w:pPr>
    </w:p>
    <w:p w14:paraId="1584D294" w14:textId="77777777" w:rsidR="00FC5323" w:rsidRPr="00FC5323" w:rsidRDefault="00FC5323" w:rsidP="00FC5323">
      <w:pPr>
        <w:spacing w:before="120" w:after="120" w:line="240" w:lineRule="exact"/>
        <w:ind w:left="283" w:hanging="283"/>
        <w:jc w:val="both"/>
        <w:rPr>
          <w:rFonts w:ascii="FrankRuehl" w:hAnsi="FrankRuehl" w:cs="FrankRuehl"/>
          <w:rtl/>
        </w:rPr>
      </w:pPr>
    </w:p>
    <w:p w14:paraId="238F429F" w14:textId="77777777" w:rsidR="00FC5323" w:rsidRPr="00FC5323" w:rsidRDefault="00FC5323" w:rsidP="00FC5323">
      <w:pPr>
        <w:spacing w:before="120" w:after="120" w:line="240" w:lineRule="exact"/>
        <w:ind w:left="283" w:hanging="283"/>
        <w:jc w:val="both"/>
        <w:rPr>
          <w:rFonts w:ascii="FrankRuehl" w:hAnsi="FrankRuehl" w:cs="FrankRuehl"/>
          <w:rtl/>
        </w:rPr>
      </w:pPr>
      <w:r w:rsidRPr="00FC5323">
        <w:rPr>
          <w:rFonts w:ascii="FrankRuehl" w:hAnsi="FrankRuehl" w:cs="FrankRuehl"/>
          <w:rtl/>
        </w:rPr>
        <w:t xml:space="preserve">חקיקה שאוזכרה: </w:t>
      </w:r>
    </w:p>
    <w:p w14:paraId="49FB92D8" w14:textId="77777777" w:rsidR="00FC5323" w:rsidRPr="00FC5323" w:rsidRDefault="00FC5323" w:rsidP="00FC5323">
      <w:pPr>
        <w:spacing w:before="120" w:after="120" w:line="240" w:lineRule="exact"/>
        <w:ind w:left="283" w:hanging="283"/>
        <w:jc w:val="both"/>
        <w:rPr>
          <w:rFonts w:ascii="FrankRuehl" w:hAnsi="FrankRuehl" w:cs="FrankRuehl"/>
          <w:rtl/>
        </w:rPr>
      </w:pPr>
      <w:hyperlink r:id="rId6" w:history="1">
        <w:r w:rsidRPr="00FC5323">
          <w:rPr>
            <w:rFonts w:ascii="FrankRuehl" w:hAnsi="FrankRuehl" w:cs="FrankRuehl"/>
            <w:color w:val="0000FF"/>
            <w:rtl/>
          </w:rPr>
          <w:t>חוק העונשין, תשל"ז-1977</w:t>
        </w:r>
      </w:hyperlink>
      <w:r w:rsidRPr="00FC5323">
        <w:rPr>
          <w:rFonts w:ascii="FrankRuehl" w:hAnsi="FrankRuehl" w:cs="FrankRuehl"/>
          <w:rtl/>
        </w:rPr>
        <w:t xml:space="preserve">: סע'  </w:t>
      </w:r>
      <w:hyperlink r:id="rId7" w:history="1">
        <w:r w:rsidRPr="00FC5323">
          <w:rPr>
            <w:rFonts w:ascii="FrankRuehl" w:hAnsi="FrankRuehl" w:cs="FrankRuehl"/>
            <w:color w:val="0000FF"/>
            <w:rtl/>
          </w:rPr>
          <w:t>144(א)</w:t>
        </w:r>
      </w:hyperlink>
    </w:p>
    <w:p w14:paraId="533D5471" w14:textId="77777777" w:rsidR="00FC5323" w:rsidRPr="00FC5323" w:rsidRDefault="00FC5323" w:rsidP="00FC5323">
      <w:pPr>
        <w:spacing w:line="360" w:lineRule="auto"/>
        <w:jc w:val="center"/>
        <w:rPr>
          <w:rFonts w:ascii="Arial" w:hAnsi="Arial"/>
          <w:sz w:val="28"/>
          <w:szCs w:val="28"/>
          <w:rtl/>
        </w:rPr>
      </w:pPr>
      <w:bookmarkStart w:id="4" w:name="LawTable_End"/>
      <w:bookmarkEnd w:id="4"/>
    </w:p>
    <w:p w14:paraId="72DD4312" w14:textId="77777777" w:rsidR="00CE5674" w:rsidRPr="00260FD1" w:rsidRDefault="00CE5674" w:rsidP="00260FD1">
      <w:pPr>
        <w:spacing w:line="360" w:lineRule="auto"/>
        <w:jc w:val="center"/>
        <w:rPr>
          <w:rFonts w:ascii="Arial" w:hAnsi="Arial"/>
          <w:sz w:val="28"/>
          <w:szCs w:val="28"/>
          <w:rtl/>
        </w:rPr>
      </w:pPr>
    </w:p>
    <w:p w14:paraId="2D630971" w14:textId="77777777" w:rsidR="00CE5674" w:rsidRPr="00CE5674" w:rsidRDefault="00CE5674" w:rsidP="00CE5674">
      <w:pPr>
        <w:spacing w:line="360" w:lineRule="auto"/>
        <w:jc w:val="center"/>
        <w:rPr>
          <w:rFonts w:ascii="Arial" w:hAnsi="Arial"/>
          <w:b/>
          <w:bCs/>
          <w:sz w:val="28"/>
          <w:szCs w:val="28"/>
          <w:u w:val="single"/>
          <w:rtl/>
        </w:rPr>
      </w:pPr>
      <w:bookmarkStart w:id="5" w:name="PsakDin"/>
      <w:bookmarkEnd w:id="0"/>
      <w:r w:rsidRPr="00CE5674">
        <w:rPr>
          <w:rFonts w:ascii="Arial" w:hAnsi="Arial"/>
          <w:b/>
          <w:bCs/>
          <w:sz w:val="28"/>
          <w:szCs w:val="28"/>
          <w:u w:val="single"/>
          <w:rtl/>
        </w:rPr>
        <w:t>גזר דין</w:t>
      </w:r>
    </w:p>
    <w:p w14:paraId="4B6E104A" w14:textId="77777777" w:rsidR="00824659" w:rsidRDefault="00824659" w:rsidP="00824659">
      <w:pPr>
        <w:spacing w:line="360" w:lineRule="auto"/>
        <w:jc w:val="both"/>
        <w:rPr>
          <w:rFonts w:ascii="Arial" w:hAnsi="Arial"/>
          <w:rtl/>
        </w:rPr>
      </w:pPr>
      <w:bookmarkStart w:id="6" w:name="ABSTRACT_START"/>
      <w:bookmarkEnd w:id="5"/>
      <w:bookmarkEnd w:id="6"/>
    </w:p>
    <w:p w14:paraId="5873B15C" w14:textId="77777777" w:rsidR="00824659" w:rsidRDefault="00824659" w:rsidP="00824659">
      <w:pPr>
        <w:spacing w:line="360" w:lineRule="auto"/>
        <w:jc w:val="both"/>
        <w:rPr>
          <w:rFonts w:ascii="Arial" w:hAnsi="Arial"/>
          <w:rtl/>
        </w:rPr>
      </w:pPr>
      <w:r>
        <w:rPr>
          <w:rFonts w:ascii="Arial" w:hAnsi="Arial" w:hint="cs"/>
          <w:rtl/>
        </w:rPr>
        <w:t>1.</w:t>
      </w:r>
      <w:r>
        <w:rPr>
          <w:rFonts w:ascii="Arial" w:hAnsi="Arial" w:hint="cs"/>
          <w:rtl/>
        </w:rPr>
        <w:tab/>
        <w:t xml:space="preserve">הנאשם, יליד 2000, הורשע על פי הודאתו, במסגרת הסדר טיעון, בעבירות של </w:t>
      </w:r>
      <w:r w:rsidRPr="008870CB">
        <w:rPr>
          <w:rFonts w:ascii="Arial" w:hAnsi="Arial" w:hint="cs"/>
          <w:b/>
          <w:bCs/>
          <w:rtl/>
        </w:rPr>
        <w:t>החזקת נשק שלא כדין</w:t>
      </w:r>
      <w:r>
        <w:rPr>
          <w:rFonts w:ascii="Arial" w:hAnsi="Arial" w:hint="cs"/>
          <w:rtl/>
        </w:rPr>
        <w:t xml:space="preserve">, בניגוד </w:t>
      </w:r>
      <w:hyperlink r:id="rId8" w:history="1">
        <w:r w:rsidR="002414AC" w:rsidRPr="002414AC">
          <w:rPr>
            <w:rStyle w:val="Hyperlink"/>
            <w:rFonts w:ascii="Arial" w:hAnsi="Arial" w:hint="eastAsia"/>
            <w:rtl/>
          </w:rPr>
          <w:t>לסעיף</w:t>
        </w:r>
        <w:r w:rsidR="002414AC" w:rsidRPr="002414AC">
          <w:rPr>
            <w:rStyle w:val="Hyperlink"/>
            <w:rFonts w:ascii="Arial" w:hAnsi="Arial"/>
            <w:rtl/>
          </w:rPr>
          <w:t xml:space="preserve"> 144(א)</w:t>
        </w:r>
      </w:hyperlink>
      <w:r>
        <w:rPr>
          <w:rFonts w:ascii="Arial" w:hAnsi="Arial" w:hint="cs"/>
          <w:rtl/>
        </w:rPr>
        <w:t xml:space="preserve"> רישא ל</w:t>
      </w:r>
      <w:hyperlink r:id="rId9" w:history="1">
        <w:r w:rsidR="00CE5674" w:rsidRPr="00CE5674">
          <w:rPr>
            <w:rFonts w:ascii="Arial" w:hAnsi="Arial"/>
            <w:color w:val="0000FF"/>
            <w:u w:val="single"/>
            <w:rtl/>
          </w:rPr>
          <w:t>חוק העונשין</w:t>
        </w:r>
      </w:hyperlink>
      <w:r>
        <w:rPr>
          <w:rFonts w:ascii="Arial" w:hAnsi="Arial" w:hint="cs"/>
          <w:rtl/>
        </w:rPr>
        <w:t>, תשל"ז-1977; ו</w:t>
      </w:r>
      <w:r>
        <w:rPr>
          <w:rFonts w:ascii="Arial" w:hAnsi="Arial" w:hint="cs"/>
          <w:b/>
          <w:bCs/>
          <w:rtl/>
        </w:rPr>
        <w:t>החזקת תחמושת</w:t>
      </w:r>
      <w:r>
        <w:rPr>
          <w:rFonts w:ascii="Arial" w:hAnsi="Arial" w:hint="cs"/>
          <w:rtl/>
        </w:rPr>
        <w:t xml:space="preserve">, בניגוד </w:t>
      </w:r>
      <w:hyperlink r:id="rId10" w:history="1">
        <w:r w:rsidR="002414AC" w:rsidRPr="002414AC">
          <w:rPr>
            <w:rStyle w:val="Hyperlink"/>
            <w:rFonts w:ascii="Arial" w:hAnsi="Arial" w:hint="eastAsia"/>
            <w:rtl/>
          </w:rPr>
          <w:t>לסעיף</w:t>
        </w:r>
        <w:r w:rsidR="002414AC" w:rsidRPr="002414AC">
          <w:rPr>
            <w:rStyle w:val="Hyperlink"/>
            <w:rFonts w:ascii="Arial" w:hAnsi="Arial"/>
            <w:rtl/>
          </w:rPr>
          <w:t xml:space="preserve"> 144(א)</w:t>
        </w:r>
      </w:hyperlink>
      <w:r>
        <w:rPr>
          <w:rFonts w:ascii="Arial" w:hAnsi="Arial" w:hint="cs"/>
          <w:rtl/>
        </w:rPr>
        <w:t xml:space="preserve"> סיפא לחוק העונשין. על פי העובדות ביום 2.11.21 החזיק הנאשם במחסן הסמוך לביתו שבטייבה תת מקלע מאולתר ושתי מחסניות לנשק.</w:t>
      </w:r>
    </w:p>
    <w:p w14:paraId="69680563" w14:textId="77777777" w:rsidR="00824659" w:rsidRDefault="00824659" w:rsidP="00824659">
      <w:pPr>
        <w:spacing w:line="360" w:lineRule="auto"/>
        <w:jc w:val="both"/>
        <w:rPr>
          <w:rFonts w:ascii="Arial" w:hAnsi="Arial"/>
          <w:rtl/>
        </w:rPr>
      </w:pPr>
    </w:p>
    <w:p w14:paraId="56A3A78A" w14:textId="77777777" w:rsidR="00824659" w:rsidRDefault="00824659" w:rsidP="00824659">
      <w:pPr>
        <w:spacing w:line="360" w:lineRule="auto"/>
        <w:jc w:val="both"/>
        <w:rPr>
          <w:rFonts w:ascii="Arial" w:hAnsi="Arial"/>
          <w:rtl/>
        </w:rPr>
      </w:pPr>
      <w:bookmarkStart w:id="7" w:name="ABSTRACT_END"/>
      <w:bookmarkEnd w:id="7"/>
      <w:r>
        <w:rPr>
          <w:rFonts w:ascii="Arial" w:hAnsi="Arial" w:hint="cs"/>
          <w:rtl/>
        </w:rPr>
        <w:t>2.</w:t>
      </w:r>
      <w:r>
        <w:rPr>
          <w:rFonts w:ascii="Arial" w:hAnsi="Arial" w:hint="cs"/>
          <w:rtl/>
        </w:rPr>
        <w:tab/>
        <w:t>לא היתה הסכמה לעונש וכל צד טען כראות עיניו.</w:t>
      </w:r>
    </w:p>
    <w:p w14:paraId="5F5F4DA5" w14:textId="77777777" w:rsidR="00824659" w:rsidRDefault="00824659" w:rsidP="00824659">
      <w:pPr>
        <w:spacing w:line="360" w:lineRule="auto"/>
        <w:jc w:val="both"/>
        <w:rPr>
          <w:rFonts w:ascii="Arial" w:hAnsi="Arial"/>
          <w:rtl/>
        </w:rPr>
      </w:pPr>
    </w:p>
    <w:p w14:paraId="66329E16" w14:textId="77777777" w:rsidR="00824659" w:rsidRDefault="00824659" w:rsidP="00824659">
      <w:pPr>
        <w:spacing w:line="360" w:lineRule="auto"/>
        <w:jc w:val="both"/>
        <w:rPr>
          <w:rFonts w:ascii="Arial" w:hAnsi="Arial"/>
          <w:rtl/>
        </w:rPr>
      </w:pPr>
      <w:r>
        <w:rPr>
          <w:rFonts w:ascii="Arial" w:hAnsi="Arial" w:hint="cs"/>
          <w:rtl/>
        </w:rPr>
        <w:lastRenderedPageBreak/>
        <w:t>3.</w:t>
      </w:r>
      <w:r>
        <w:rPr>
          <w:rFonts w:ascii="Arial" w:hAnsi="Arial" w:hint="cs"/>
          <w:rtl/>
        </w:rPr>
        <w:tab/>
        <w:t xml:space="preserve">ב"כ המאשימה הפנתה לערכים החברתיים המוגנים בעבירות בנשק והדגישה שמדובר בכלי נשק התקפי, כאשר תחמושת לצדו, אשר הנאשם החזיקו בביתו. נסיבות החזקת הנשק נותרו עלומות. התובעת הפנתה למדיניות הענישה הנוהגת ולפסיקה הקוראת להחמרה בענישת עבריינים המחזיקים בנשק שלא כדין, אשר מסכנים את שלום הציבור ובטחונו. עוד הפנתה לכך שהמחוקק נתן דעתו לכך שמדובר ב"מכת מדינה" ושאנו מצויים ב"מצב חירום", ועל כן, במסגרת תיקון </w:t>
      </w:r>
      <w:r w:rsidR="002414AC" w:rsidRPr="002414AC">
        <w:rPr>
          <w:rFonts w:ascii="Arial" w:hAnsi="Arial" w:hint="eastAsia"/>
          <w:rtl/>
        </w:rPr>
        <w:t>מס</w:t>
      </w:r>
      <w:r w:rsidR="002414AC" w:rsidRPr="002414AC">
        <w:rPr>
          <w:rFonts w:ascii="Arial" w:hAnsi="Arial"/>
          <w:rtl/>
        </w:rPr>
        <w:t>' 140</w:t>
      </w:r>
      <w:r>
        <w:rPr>
          <w:rFonts w:ascii="Arial" w:hAnsi="Arial" w:hint="cs"/>
          <w:rtl/>
        </w:rPr>
        <w:t xml:space="preserve"> ל</w:t>
      </w:r>
      <w:hyperlink r:id="rId11" w:history="1">
        <w:r w:rsidR="00CE5674" w:rsidRPr="00CE5674">
          <w:rPr>
            <w:rFonts w:ascii="Arial" w:hAnsi="Arial"/>
            <w:color w:val="0000FF"/>
            <w:u w:val="single"/>
            <w:rtl/>
          </w:rPr>
          <w:t>חוק העונשין</w:t>
        </w:r>
      </w:hyperlink>
      <w:r>
        <w:rPr>
          <w:rFonts w:ascii="Arial" w:hAnsi="Arial" w:hint="cs"/>
          <w:rtl/>
        </w:rPr>
        <w:t xml:space="preserve"> קבע עונשי מינימום לעבירות בנשק, כך שעונשו של העבריין יהיה רבע מהעונש המקסימלי הקבוע לעבירה. התובעת הסכימה שהתיקון אינו חל על המקרה שלפניי, אך טענה שיש לגזור את הדין ברוח התיקון. בהתאם להנחיית פרקליט המדינה, ועל סמך פסיקה שהגישה, ביקשה ב"כ המאשימה לקבוע מתחם עונש הולם לגבי החזקת נשק הנע בין 24 ל-48 חודשי מאסר, אך לטעמה נוכח העובדה שהנאשם החזיק, בנוסף, בשתי מחסניות אזי מתחם העונש ההולם מתחיל ב-30 חודשי מאסר. את עונשו של הנאשם ביקשה התובעת למקם בתחתית המתחם, זאת נוכח היותו צעיר לימים, נעדר עבר פלילי, הודאתו, נטילת האחריות והחסכון בזמן שיפוטי.</w:t>
      </w:r>
    </w:p>
    <w:p w14:paraId="3EE7A874" w14:textId="77777777" w:rsidR="00824659" w:rsidRDefault="00824659" w:rsidP="00824659">
      <w:pPr>
        <w:spacing w:line="360" w:lineRule="auto"/>
        <w:jc w:val="both"/>
        <w:rPr>
          <w:rFonts w:ascii="Arial" w:hAnsi="Arial"/>
          <w:rtl/>
        </w:rPr>
      </w:pPr>
    </w:p>
    <w:p w14:paraId="58364AA6" w14:textId="77777777" w:rsidR="00824659" w:rsidRDefault="00824659" w:rsidP="00824659">
      <w:pPr>
        <w:spacing w:line="360" w:lineRule="auto"/>
        <w:jc w:val="both"/>
        <w:rPr>
          <w:rFonts w:ascii="Arial" w:hAnsi="Arial"/>
          <w:rtl/>
        </w:rPr>
      </w:pPr>
      <w:r>
        <w:rPr>
          <w:rFonts w:ascii="Arial" w:hAnsi="Arial" w:hint="cs"/>
          <w:rtl/>
        </w:rPr>
        <w:t>4.</w:t>
      </w:r>
      <w:r>
        <w:rPr>
          <w:rFonts w:ascii="Arial" w:hAnsi="Arial" w:hint="cs"/>
          <w:rtl/>
        </w:rPr>
        <w:tab/>
        <w:t>ב"כ הנאשם טען שהנאשם צעיר, כבן 22, נעדר עבר פלילי מכל סוג ומין שהוא. הנאשם הודה ונטל אחריות על החזקת הנשק מרגע שהשוטרים הגיעו לביתו כדי לבצע את החיפוש. בכך מנע חקירות מיותרות של בני משפחתו הגרים באותו בית. הנאשם לא הטריח את בית המשפט והסכים למעצרו עד לתום ההליכים. הוא הודה בעבירות בישיבת המענה הראשונה. הנשק נמצא במחסן והמחסניות היו לצידו. ב"כ הנאשם טען שתיקון מס' 140 ל</w:t>
      </w:r>
      <w:hyperlink r:id="rId12" w:history="1">
        <w:r w:rsidR="00CE5674" w:rsidRPr="00CE5674">
          <w:rPr>
            <w:rFonts w:ascii="Arial" w:hAnsi="Arial"/>
            <w:color w:val="0000FF"/>
            <w:u w:val="single"/>
            <w:rtl/>
          </w:rPr>
          <w:t>חוק העונשין</w:t>
        </w:r>
      </w:hyperlink>
      <w:r>
        <w:rPr>
          <w:rFonts w:ascii="Arial" w:hAnsi="Arial" w:hint="cs"/>
          <w:rtl/>
        </w:rPr>
        <w:t xml:space="preserve"> אינו חל על המקרה דנן ועל כן, אין להעלות את רף הענישה "על גבו" של הנאשם, אלא לאותת לבאים אחריו. על סמך פסיקה שהגיש ביקש ב"כ הנאשם לקבוע מתחם עונש הולם אשר מתחיל ב-12 חודשי מאסר בפועל. את עונשו של הנאשם, אשר נתון במעצר מזה כ-4 חודשים, ביקש למקם בתחתית מתחם העונש לו עתר.</w:t>
      </w:r>
    </w:p>
    <w:p w14:paraId="35DA9A59" w14:textId="77777777" w:rsidR="00824659" w:rsidRDefault="00824659" w:rsidP="00824659">
      <w:pPr>
        <w:spacing w:line="360" w:lineRule="auto"/>
        <w:jc w:val="both"/>
        <w:rPr>
          <w:rFonts w:ascii="Arial" w:hAnsi="Arial"/>
          <w:rtl/>
        </w:rPr>
      </w:pPr>
    </w:p>
    <w:p w14:paraId="1E600C38" w14:textId="77777777" w:rsidR="00824659" w:rsidRPr="00201E6D" w:rsidRDefault="00824659" w:rsidP="00824659">
      <w:pPr>
        <w:spacing w:line="360" w:lineRule="auto"/>
        <w:jc w:val="both"/>
        <w:rPr>
          <w:rFonts w:ascii="Arial" w:hAnsi="Arial"/>
          <w:b/>
          <w:bCs/>
          <w:u w:val="single"/>
          <w:rtl/>
        </w:rPr>
      </w:pPr>
      <w:r w:rsidRPr="00201E6D">
        <w:rPr>
          <w:rFonts w:ascii="Arial" w:hAnsi="Arial" w:hint="cs"/>
          <w:b/>
          <w:bCs/>
          <w:u w:val="single"/>
          <w:rtl/>
        </w:rPr>
        <w:t>דיון והכרעה</w:t>
      </w:r>
    </w:p>
    <w:p w14:paraId="65C1898C" w14:textId="77777777" w:rsidR="00824659" w:rsidRDefault="00824659" w:rsidP="00824659">
      <w:pPr>
        <w:spacing w:line="360" w:lineRule="auto"/>
        <w:jc w:val="both"/>
        <w:rPr>
          <w:rFonts w:ascii="David" w:hAnsi="David"/>
        </w:rPr>
      </w:pPr>
      <w:r>
        <w:rPr>
          <w:rFonts w:ascii="David" w:hAnsi="David"/>
          <w:rtl/>
        </w:rPr>
        <w:t>5.</w:t>
      </w:r>
      <w:r>
        <w:rPr>
          <w:rFonts w:ascii="David" w:hAnsi="David"/>
          <w:rtl/>
        </w:rPr>
        <w:tab/>
        <w:t>העבירות שביצע הנאשם חמורות מאוד. במעשיו, פגע הנאשם בשורה של ערכים חברתיים מוגנים, ובהם – שמירה על ערך קדושת החיים; שמירה על שלומו ובטחונו של הציבור; מניעת החזקת נשק ותחמושת בידי מי שאינם מורשים לכך; ומניעת פוטנציאל פגיעה באזרחי המדינה. בית המשפט העליון, בשורה ארוכה של פסקי דין, עמד על הסיכון הגבוה שנשקף לציבור מפני אלו שמחזיקים בנשק שלא כדין ומהשימוש שהם עלולים לבצע בו, כאשר קיים סיכון שהנשק ימצא את דרכו לגורמים עבריינים או חלילה לגורמים בטחוניים.</w:t>
      </w:r>
    </w:p>
    <w:p w14:paraId="4CC6AB75" w14:textId="77777777" w:rsidR="00824659" w:rsidRDefault="00824659" w:rsidP="00824659">
      <w:pPr>
        <w:spacing w:line="360" w:lineRule="auto"/>
        <w:jc w:val="both"/>
        <w:rPr>
          <w:rFonts w:ascii="David" w:hAnsi="David"/>
          <w:rtl/>
        </w:rPr>
      </w:pPr>
    </w:p>
    <w:p w14:paraId="7CAC7B0C" w14:textId="77777777" w:rsidR="00824659" w:rsidRDefault="00824659" w:rsidP="00824659">
      <w:pPr>
        <w:spacing w:line="360" w:lineRule="auto"/>
        <w:jc w:val="both"/>
        <w:rPr>
          <w:rFonts w:ascii="David" w:hAnsi="David"/>
          <w:rtl/>
        </w:rPr>
      </w:pPr>
      <w:r>
        <w:rPr>
          <w:rFonts w:ascii="David" w:hAnsi="David"/>
          <w:rtl/>
        </w:rPr>
        <w:t>ב</w:t>
      </w:r>
      <w:hyperlink r:id="rId13" w:history="1">
        <w:r w:rsidR="00CE5674" w:rsidRPr="00CE5674">
          <w:rPr>
            <w:rFonts w:ascii="David" w:hAnsi="David"/>
            <w:color w:val="0000FF"/>
            <w:u w:val="single"/>
            <w:rtl/>
          </w:rPr>
          <w:t>ע"פ 2564/19</w:t>
        </w:r>
      </w:hyperlink>
      <w:r>
        <w:rPr>
          <w:rFonts w:ascii="David" w:hAnsi="David"/>
          <w:rtl/>
        </w:rPr>
        <w:t xml:space="preserve"> </w:t>
      </w:r>
      <w:r>
        <w:rPr>
          <w:rFonts w:ascii="David" w:hAnsi="David"/>
          <w:b/>
          <w:bCs/>
          <w:rtl/>
        </w:rPr>
        <w:t>אזברגה נ' מדינת ישראל</w:t>
      </w:r>
      <w:r>
        <w:rPr>
          <w:rFonts w:ascii="David" w:hAnsi="David"/>
          <w:rtl/>
        </w:rPr>
        <w:t xml:space="preserve"> (18.7.19) נאמר –</w:t>
      </w:r>
    </w:p>
    <w:p w14:paraId="7FF96980" w14:textId="77777777" w:rsidR="00824659" w:rsidRDefault="00824659" w:rsidP="00824659">
      <w:pPr>
        <w:spacing w:line="360" w:lineRule="auto"/>
        <w:jc w:val="both"/>
        <w:rPr>
          <w:rFonts w:ascii="David" w:hAnsi="David"/>
          <w:rtl/>
        </w:rPr>
      </w:pPr>
      <w:r>
        <w:rPr>
          <w:rFonts w:ascii="David" w:hAnsi="David"/>
          <w:b/>
          <w:bCs/>
          <w:rtl/>
        </w:rPr>
        <w:t>"... הסכנה הגבוהה במיוחד לשלום הציבור ובטחונו הטמונה בנשיאה והחזקה של נשק. הדבר חמור שבעתיים במציאות הישראלית שבה נשק בלתי חוקי עשוי לשמש הן לפעילות חבלנית עוינת על רקע ביטחוני והן לפעילות עבריינית"</w:t>
      </w:r>
      <w:r>
        <w:rPr>
          <w:rFonts w:ascii="David" w:hAnsi="David"/>
          <w:rtl/>
        </w:rPr>
        <w:t>.</w:t>
      </w:r>
    </w:p>
    <w:p w14:paraId="1E51544E" w14:textId="77777777" w:rsidR="00824659" w:rsidRDefault="00824659" w:rsidP="00824659">
      <w:pPr>
        <w:spacing w:line="360" w:lineRule="auto"/>
        <w:jc w:val="both"/>
        <w:rPr>
          <w:rFonts w:ascii="David" w:hAnsi="David"/>
          <w:rtl/>
        </w:rPr>
      </w:pPr>
    </w:p>
    <w:p w14:paraId="311BF11B" w14:textId="77777777" w:rsidR="00824659" w:rsidRDefault="00824659" w:rsidP="00824659">
      <w:pPr>
        <w:spacing w:line="360" w:lineRule="auto"/>
        <w:jc w:val="both"/>
        <w:rPr>
          <w:rFonts w:ascii="David" w:hAnsi="David"/>
          <w:rtl/>
        </w:rPr>
      </w:pPr>
      <w:r>
        <w:rPr>
          <w:rFonts w:ascii="David" w:hAnsi="David"/>
          <w:rtl/>
        </w:rPr>
        <w:lastRenderedPageBreak/>
        <w:t>וב</w:t>
      </w:r>
      <w:hyperlink r:id="rId14" w:history="1">
        <w:r w:rsidR="00CE5674" w:rsidRPr="00CE5674">
          <w:rPr>
            <w:rFonts w:ascii="David" w:hAnsi="David"/>
            <w:color w:val="0000FF"/>
            <w:u w:val="single"/>
            <w:rtl/>
          </w:rPr>
          <w:t>ע"פ 5646/15</w:t>
        </w:r>
      </w:hyperlink>
      <w:r>
        <w:rPr>
          <w:rFonts w:ascii="David" w:hAnsi="David"/>
          <w:rtl/>
        </w:rPr>
        <w:t xml:space="preserve"> </w:t>
      </w:r>
      <w:r>
        <w:rPr>
          <w:rFonts w:ascii="David" w:hAnsi="David"/>
          <w:b/>
          <w:bCs/>
          <w:rtl/>
        </w:rPr>
        <w:t>תיהאווי נ' מדינת ישראל</w:t>
      </w:r>
      <w:r>
        <w:rPr>
          <w:rFonts w:ascii="David" w:hAnsi="David"/>
          <w:rtl/>
        </w:rPr>
        <w:t xml:space="preserve"> (14.2.16) נאמר –</w:t>
      </w:r>
    </w:p>
    <w:p w14:paraId="17FD5833" w14:textId="77777777" w:rsidR="00824659" w:rsidRDefault="00824659" w:rsidP="00824659">
      <w:pPr>
        <w:spacing w:line="360" w:lineRule="auto"/>
        <w:jc w:val="both"/>
        <w:rPr>
          <w:rFonts w:ascii="David" w:hAnsi="David"/>
          <w:rtl/>
        </w:rPr>
      </w:pPr>
      <w:r>
        <w:rPr>
          <w:rFonts w:ascii="David" w:hAnsi="David"/>
          <w:b/>
          <w:bCs/>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15" w:history="1">
        <w:r w:rsidR="00CE5674" w:rsidRPr="00CE5674">
          <w:rPr>
            <w:rFonts w:ascii="David" w:hAnsi="David"/>
            <w:b/>
            <w:bCs/>
            <w:color w:val="0000FF"/>
            <w:u w:val="single"/>
            <w:rtl/>
          </w:rPr>
          <w:t>ע"פ 3300/16</w:t>
        </w:r>
      </w:hyperlink>
      <w:r>
        <w:rPr>
          <w:rFonts w:ascii="David" w:hAnsi="David"/>
          <w:b/>
          <w:bCs/>
          <w:rtl/>
        </w:rPr>
        <w:t xml:space="preserve"> אבו סנינה נ' מדינת ישראל (15.8.06))"</w:t>
      </w:r>
      <w:r>
        <w:rPr>
          <w:rFonts w:ascii="David" w:hAnsi="David"/>
          <w:rtl/>
        </w:rPr>
        <w:t>.</w:t>
      </w:r>
    </w:p>
    <w:p w14:paraId="6D2D69A0" w14:textId="77777777" w:rsidR="00824659" w:rsidRDefault="00824659" w:rsidP="00824659">
      <w:pPr>
        <w:spacing w:line="360" w:lineRule="auto"/>
        <w:jc w:val="both"/>
        <w:rPr>
          <w:rFonts w:ascii="David" w:hAnsi="David"/>
          <w:rtl/>
        </w:rPr>
      </w:pPr>
    </w:p>
    <w:p w14:paraId="023A1BCF" w14:textId="77777777" w:rsidR="00824659" w:rsidRDefault="00824659" w:rsidP="00824659">
      <w:pPr>
        <w:spacing w:line="360" w:lineRule="auto"/>
        <w:jc w:val="both"/>
        <w:rPr>
          <w:rFonts w:ascii="David" w:hAnsi="David"/>
          <w:rtl/>
        </w:rPr>
      </w:pPr>
      <w:r>
        <w:rPr>
          <w:rFonts w:ascii="David" w:hAnsi="David" w:hint="cs"/>
          <w:rtl/>
        </w:rPr>
        <w:t>6.</w:t>
      </w:r>
      <w:r>
        <w:rPr>
          <w:rFonts w:ascii="David" w:hAnsi="David" w:hint="cs"/>
          <w:rtl/>
        </w:rPr>
        <w:tab/>
      </w:r>
      <w:r>
        <w:rPr>
          <w:rFonts w:ascii="David" w:hAnsi="David"/>
          <w:rtl/>
        </w:rPr>
        <w:t>ואכן, במציאות בה אנו חיים, אין לך יום שלא מדווח על תפיסות משטרתיות של כמויות נשק נכבדות, ומספר התיקים הרב אשר נדונים בבתי המשפט מעיד על העובדה שמדובר במכת מדינה של ממש, ובמכת איזור כשמדובר בתחום השיפוט של בית משפט זה. לצערנו, מעת לעת אנו מדווחים אף על התממשות של פוטנציאל הסיכון והנזק, כאשר כדורים תועים שנורים על ידי עברייני הנשק פוגעים, למרבה הצער, באזרחים חפים מפשע שנקלעו, בעל כורכם, לקו ה</w:t>
      </w:r>
      <w:r>
        <w:rPr>
          <w:rFonts w:ascii="David" w:hAnsi="David" w:hint="cs"/>
          <w:rtl/>
        </w:rPr>
        <w:t>אש.</w:t>
      </w:r>
    </w:p>
    <w:p w14:paraId="0A499145" w14:textId="77777777" w:rsidR="00824659" w:rsidRDefault="00824659" w:rsidP="00824659">
      <w:pPr>
        <w:spacing w:line="360" w:lineRule="auto"/>
        <w:jc w:val="both"/>
        <w:rPr>
          <w:rFonts w:ascii="David" w:hAnsi="David"/>
          <w:rtl/>
        </w:rPr>
      </w:pPr>
      <w:r>
        <w:rPr>
          <w:rFonts w:ascii="David" w:hAnsi="David"/>
          <w:rtl/>
        </w:rPr>
        <w:t>בנסיבות אלה ועל רקע האמור לעיל</w:t>
      </w:r>
      <w:r>
        <w:rPr>
          <w:rFonts w:ascii="David" w:hAnsi="David" w:hint="cs"/>
          <w:rtl/>
        </w:rPr>
        <w:t xml:space="preserve"> קוראת </w:t>
      </w:r>
      <w:r>
        <w:rPr>
          <w:rFonts w:ascii="David" w:hAnsi="David"/>
          <w:rtl/>
        </w:rPr>
        <w:t>פסיקת בית המשפט העליון מהעת האחרונה להחמרת הענישה ולהכבדת היד על עברייני הנשק, זאת למען מיגור התופעה, הרתעת היחיד והרתעת הרבים.</w:t>
      </w:r>
    </w:p>
    <w:p w14:paraId="4356B8F8" w14:textId="77777777" w:rsidR="00824659" w:rsidRDefault="00824659" w:rsidP="00824659">
      <w:pPr>
        <w:spacing w:line="360" w:lineRule="auto"/>
        <w:jc w:val="both"/>
        <w:rPr>
          <w:rFonts w:ascii="David" w:hAnsi="David"/>
          <w:rtl/>
        </w:rPr>
      </w:pPr>
    </w:p>
    <w:p w14:paraId="7102D5B4" w14:textId="77777777" w:rsidR="00824659" w:rsidRDefault="00824659" w:rsidP="00824659">
      <w:pPr>
        <w:spacing w:line="360" w:lineRule="auto"/>
        <w:jc w:val="both"/>
        <w:rPr>
          <w:rFonts w:ascii="David" w:hAnsi="David"/>
          <w:rtl/>
        </w:rPr>
      </w:pPr>
      <w:r>
        <w:rPr>
          <w:rFonts w:ascii="David" w:hAnsi="David"/>
          <w:rtl/>
        </w:rPr>
        <w:t>זאת ועוד, גם המחוקק אמר את דברו באופן מפורש. במסגרת תיקון ל</w:t>
      </w:r>
      <w:hyperlink r:id="rId16" w:history="1">
        <w:r w:rsidR="00CE5674" w:rsidRPr="00CE5674">
          <w:rPr>
            <w:rFonts w:ascii="David" w:hAnsi="David"/>
            <w:color w:val="0000FF"/>
            <w:u w:val="single"/>
            <w:rtl/>
          </w:rPr>
          <w:t>חוק העונשין</w:t>
        </w:r>
      </w:hyperlink>
      <w:r>
        <w:rPr>
          <w:rFonts w:ascii="David" w:hAnsi="David"/>
          <w:rtl/>
        </w:rPr>
        <w:t xml:space="preserve"> (חוק העונשין (תיקון מס' 140 – הוראת שעה), תשפ"ב-2021 </w:t>
      </w:r>
      <w:r>
        <w:rPr>
          <w:rFonts w:ascii="David" w:hAnsi="David" w:hint="cs"/>
          <w:rtl/>
        </w:rPr>
        <w:t xml:space="preserve">(נכנס לתוקף ביום 7.12.21) </w:t>
      </w:r>
      <w:r>
        <w:rPr>
          <w:rFonts w:ascii="David" w:hAnsi="David"/>
          <w:rtl/>
        </w:rPr>
        <w:t>– אשר אמנם אינו חל על המקרה שלפניי, אך רוח הדברים ברורה – נקבעו עונשי מינימום לעבירות בנשק, כך שעונשו של העבריין לא יפחת מרבע העונש המקסימלי הקבוע לצד העבירה, כאשר ניתן לחרוג מעונש המינימום בהתקיים נימוקים מיוחדים שיירשמו.</w:t>
      </w:r>
    </w:p>
    <w:p w14:paraId="14CD4039" w14:textId="77777777" w:rsidR="00824659" w:rsidRDefault="00824659" w:rsidP="00824659">
      <w:pPr>
        <w:spacing w:line="360" w:lineRule="auto"/>
        <w:jc w:val="both"/>
        <w:rPr>
          <w:rFonts w:ascii="David" w:hAnsi="David"/>
          <w:rtl/>
        </w:rPr>
      </w:pPr>
      <w:r>
        <w:rPr>
          <w:rFonts w:ascii="David" w:hAnsi="David"/>
          <w:rtl/>
        </w:rPr>
        <w:t>לענין זה אמר בית המשפט העליון את הדברים הבאים –</w:t>
      </w:r>
    </w:p>
    <w:p w14:paraId="2125787E" w14:textId="77777777" w:rsidR="00824659" w:rsidRDefault="00824659" w:rsidP="00824659">
      <w:pPr>
        <w:spacing w:line="360" w:lineRule="auto"/>
        <w:jc w:val="both"/>
        <w:rPr>
          <w:rFonts w:ascii="David" w:hAnsi="David"/>
          <w:rtl/>
        </w:rPr>
      </w:pPr>
      <w:r>
        <w:rPr>
          <w:rFonts w:ascii="David" w:hAnsi="David"/>
          <w:b/>
          <w:bCs/>
          <w:rtl/>
        </w:rPr>
        <w:t xml:space="preserve">"ובאשר לערעור על חומרת העונש. אין צורך להכביר במילים על אודות החומרה הנלווית לעבירות נשק. אין היום חולקין כי עבירות מסוג זה הפכו ל"מכת מדינה" של ממש (ראו לאחרונה: </w:t>
      </w:r>
      <w:hyperlink r:id="rId17" w:history="1">
        <w:r w:rsidR="00CE5674" w:rsidRPr="00CE5674">
          <w:rPr>
            <w:rFonts w:ascii="David" w:hAnsi="David"/>
            <w:b/>
            <w:bCs/>
            <w:color w:val="0000FF"/>
            <w:u w:val="single"/>
            <w:rtl/>
          </w:rPr>
          <w:t>ע"פ 7473/20</w:t>
        </w:r>
      </w:hyperlink>
      <w:r>
        <w:rPr>
          <w:rFonts w:ascii="David" w:hAnsi="David"/>
          <w:b/>
          <w:bCs/>
          <w:rtl/>
        </w:rPr>
        <w:t xml:space="preserve"> מדינת ישראל נ' מחאמיד, פסקה 24 (29.6.2021); </w:t>
      </w:r>
      <w:hyperlink r:id="rId18" w:history="1">
        <w:r w:rsidR="00CE5674" w:rsidRPr="00CE5674">
          <w:rPr>
            <w:rFonts w:ascii="David" w:hAnsi="David"/>
            <w:b/>
            <w:bCs/>
            <w:color w:val="0000FF"/>
            <w:u w:val="single"/>
            <w:rtl/>
          </w:rPr>
          <w:t>ע"פ 5993/21</w:t>
        </w:r>
      </w:hyperlink>
      <w:r>
        <w:rPr>
          <w:rFonts w:ascii="David" w:hAnsi="David"/>
          <w:b/>
          <w:bCs/>
          <w:rtl/>
        </w:rPr>
        <w:t xml:space="preserve"> סאלח נ' מדינת ישראל, פסקה 8 (29.11.2021); </w:t>
      </w:r>
      <w:hyperlink r:id="rId19" w:history="1">
        <w:r w:rsidR="00CE5674" w:rsidRPr="00CE5674">
          <w:rPr>
            <w:rFonts w:ascii="David" w:hAnsi="David"/>
            <w:b/>
            <w:bCs/>
            <w:color w:val="0000FF"/>
            <w:u w:val="single"/>
            <w:rtl/>
          </w:rPr>
          <w:t>ע"פ 8416/20</w:t>
        </w:r>
      </w:hyperlink>
      <w:r>
        <w:rPr>
          <w:rFonts w:ascii="David" w:hAnsi="David"/>
          <w:b/>
          <w:bCs/>
          <w:rtl/>
        </w:rPr>
        <w:t xml:space="preserve"> עייאט נ' מדינת ישראל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0" w:history="1">
        <w:r w:rsidR="00CE5674" w:rsidRPr="00CE5674">
          <w:rPr>
            <w:rFonts w:ascii="David" w:hAnsi="David"/>
            <w:b/>
            <w:bCs/>
            <w:color w:val="0000FF"/>
            <w:u w:val="single"/>
            <w:rtl/>
          </w:rPr>
          <w:t>חוק העונשין</w:t>
        </w:r>
      </w:hyperlink>
      <w:r>
        <w:rPr>
          <w:rFonts w:ascii="David" w:hAnsi="David"/>
          <w:b/>
          <w:bCs/>
          <w:rtl/>
        </w:rPr>
        <w:t xml:space="preserve"> (חוק העונשין (תיקון מס' 140 – הוראת שעה), התשפ"ב-2021) – שלא חל בענייננו – הקובע עונשי מינימום לעבירות נשק"</w:t>
      </w:r>
      <w:r>
        <w:rPr>
          <w:rFonts w:ascii="David" w:hAnsi="David"/>
          <w:rtl/>
        </w:rPr>
        <w:t xml:space="preserve"> (</w:t>
      </w:r>
      <w:hyperlink r:id="rId21" w:history="1">
        <w:r w:rsidR="00CE5674" w:rsidRPr="00CE5674">
          <w:rPr>
            <w:rFonts w:ascii="David" w:hAnsi="David"/>
            <w:color w:val="0000FF"/>
            <w:u w:val="single"/>
            <w:rtl/>
          </w:rPr>
          <w:t>ע"פ 2251/21</w:t>
        </w:r>
      </w:hyperlink>
      <w:r>
        <w:rPr>
          <w:rFonts w:ascii="David" w:hAnsi="David"/>
          <w:rtl/>
        </w:rPr>
        <w:t xml:space="preserve"> </w:t>
      </w:r>
      <w:r>
        <w:rPr>
          <w:rFonts w:ascii="David" w:hAnsi="David"/>
          <w:b/>
          <w:bCs/>
          <w:rtl/>
        </w:rPr>
        <w:t>אבו עראר ואח' נ' מדינת ישראל</w:t>
      </w:r>
      <w:r>
        <w:rPr>
          <w:rFonts w:ascii="David" w:hAnsi="David"/>
          <w:rtl/>
        </w:rPr>
        <w:t xml:space="preserve"> (15.12.21)).</w:t>
      </w:r>
    </w:p>
    <w:p w14:paraId="358C2C93" w14:textId="77777777" w:rsidR="00824659" w:rsidRDefault="00824659" w:rsidP="00824659">
      <w:pPr>
        <w:spacing w:line="360" w:lineRule="auto"/>
        <w:jc w:val="both"/>
        <w:rPr>
          <w:rFonts w:ascii="David" w:hAnsi="David"/>
        </w:rPr>
      </w:pPr>
    </w:p>
    <w:p w14:paraId="5D96E316" w14:textId="77777777" w:rsidR="00824659" w:rsidRDefault="00824659" w:rsidP="00824659">
      <w:pPr>
        <w:spacing w:line="360" w:lineRule="auto"/>
        <w:jc w:val="both"/>
        <w:rPr>
          <w:rFonts w:ascii="David" w:hAnsi="David"/>
          <w:rtl/>
        </w:rPr>
      </w:pPr>
      <w:r>
        <w:rPr>
          <w:rFonts w:ascii="David" w:hAnsi="David" w:hint="cs"/>
          <w:rtl/>
        </w:rPr>
        <w:t>7</w:t>
      </w:r>
      <w:r>
        <w:rPr>
          <w:rFonts w:ascii="David" w:hAnsi="David"/>
          <w:rtl/>
        </w:rPr>
        <w:t>.</w:t>
      </w:r>
      <w:r>
        <w:rPr>
          <w:rFonts w:ascii="David" w:hAnsi="David"/>
          <w:rtl/>
        </w:rPr>
        <w:tab/>
        <w:t>אם כן, אלה הערכים החברתיים המוגנים בעבירות אותן ביצע הנאשם; העבירות מוגדרות בפסיקה כ"מכת מדינה" וכ"מכת איזור"; כשהמצב במדינה בהיבט זה מוגדר כ"מצב חירום של ממש"; והמחוקק ופסיקת בית המשפט העליון קוראים להחמרה בענישה ולהעלאת רף הענישה.</w:t>
      </w:r>
    </w:p>
    <w:p w14:paraId="00929B1D" w14:textId="77777777" w:rsidR="00824659" w:rsidRDefault="00824659" w:rsidP="00824659">
      <w:pPr>
        <w:spacing w:line="360" w:lineRule="auto"/>
        <w:jc w:val="both"/>
        <w:rPr>
          <w:rFonts w:ascii="David" w:hAnsi="David"/>
          <w:rtl/>
        </w:rPr>
      </w:pPr>
    </w:p>
    <w:p w14:paraId="13554C07" w14:textId="77777777" w:rsidR="00824659" w:rsidRDefault="00824659" w:rsidP="00824659">
      <w:pPr>
        <w:spacing w:line="360" w:lineRule="auto"/>
        <w:jc w:val="both"/>
        <w:rPr>
          <w:rFonts w:ascii="David" w:hAnsi="David"/>
          <w:rtl/>
        </w:rPr>
      </w:pPr>
      <w:r>
        <w:rPr>
          <w:rFonts w:ascii="David" w:hAnsi="David" w:hint="cs"/>
          <w:rtl/>
        </w:rPr>
        <w:t>8</w:t>
      </w:r>
      <w:r>
        <w:rPr>
          <w:rFonts w:ascii="David" w:hAnsi="David"/>
          <w:rtl/>
        </w:rPr>
        <w:t>.</w:t>
      </w:r>
      <w:r>
        <w:rPr>
          <w:rFonts w:ascii="David" w:hAnsi="David"/>
          <w:rtl/>
        </w:rPr>
        <w:tab/>
      </w:r>
      <w:r>
        <w:rPr>
          <w:rFonts w:ascii="David" w:hAnsi="David" w:hint="cs"/>
          <w:rtl/>
        </w:rPr>
        <w:t xml:space="preserve">בחינת </w:t>
      </w:r>
      <w:r>
        <w:rPr>
          <w:rFonts w:ascii="David" w:hAnsi="David"/>
          <w:rtl/>
        </w:rPr>
        <w:t>נסיבות ביצוע העבירות</w:t>
      </w:r>
      <w:r>
        <w:rPr>
          <w:rFonts w:ascii="David" w:hAnsi="David" w:hint="cs"/>
          <w:rtl/>
        </w:rPr>
        <w:t xml:space="preserve"> מעלה שהנאשם </w:t>
      </w:r>
      <w:r>
        <w:rPr>
          <w:rFonts w:ascii="David" w:hAnsi="David"/>
          <w:rtl/>
        </w:rPr>
        <w:t xml:space="preserve">החזיק </w:t>
      </w:r>
      <w:r>
        <w:rPr>
          <w:rFonts w:ascii="David" w:hAnsi="David" w:hint="cs"/>
          <w:rtl/>
        </w:rPr>
        <w:t xml:space="preserve">במחסן בביתו </w:t>
      </w:r>
      <w:r>
        <w:rPr>
          <w:rFonts w:ascii="David" w:hAnsi="David"/>
          <w:rtl/>
        </w:rPr>
        <w:t xml:space="preserve">ברובה </w:t>
      </w:r>
      <w:r>
        <w:rPr>
          <w:rFonts w:ascii="David" w:hAnsi="David" w:hint="cs"/>
          <w:rtl/>
        </w:rPr>
        <w:t xml:space="preserve">מסוג תת מקלע </w:t>
      </w:r>
      <w:r>
        <w:rPr>
          <w:rFonts w:ascii="David" w:hAnsi="David"/>
          <w:rtl/>
        </w:rPr>
        <w:t>מאולתר</w:t>
      </w:r>
      <w:r>
        <w:rPr>
          <w:rFonts w:ascii="David" w:hAnsi="David" w:hint="cs"/>
          <w:rtl/>
        </w:rPr>
        <w:t xml:space="preserve"> ובשתי מחסניות לצידו. </w:t>
      </w:r>
      <w:r>
        <w:rPr>
          <w:rFonts w:ascii="David" w:hAnsi="David"/>
          <w:rtl/>
        </w:rPr>
        <w:t>פוטנציאל הנזק שיכול להיגרם מהחזקה ומשימוש ב</w:t>
      </w:r>
      <w:r>
        <w:rPr>
          <w:rFonts w:ascii="David" w:hAnsi="David" w:hint="cs"/>
          <w:rtl/>
        </w:rPr>
        <w:t>תת מקלע</w:t>
      </w:r>
      <w:r>
        <w:rPr>
          <w:rFonts w:ascii="David" w:hAnsi="David"/>
          <w:rtl/>
        </w:rPr>
        <w:t xml:space="preserve"> – בין אם מדובר ברובה תקני ובין אם מדובר ברובה "מאולתר" – גדול והרסני, משמדובר בכלי התקפי לכל דבר בעל עוצמת אש. העובדה שמדובר בנשק מאולתר (להבדיל מנשק תקני), אינה מעלה ואינה מורידה שכן בנשק מאולתר עלולה להתרחש תקלה בעת השימוש שתוצאתה עלולה להיות קטלנית למשתמש בו או לסובבים אותו</w:t>
      </w:r>
      <w:r>
        <w:rPr>
          <w:rFonts w:ascii="David" w:hAnsi="David" w:hint="cs"/>
          <w:rtl/>
        </w:rPr>
        <w:t xml:space="preserve">. </w:t>
      </w:r>
      <w:r>
        <w:rPr>
          <w:rFonts w:ascii="David" w:hAnsi="David"/>
          <w:rtl/>
        </w:rPr>
        <w:t>הנשק</w:t>
      </w:r>
      <w:r>
        <w:rPr>
          <w:rFonts w:ascii="David" w:hAnsi="David" w:hint="cs"/>
          <w:rtl/>
        </w:rPr>
        <w:t>, כך נראה,</w:t>
      </w:r>
      <w:r>
        <w:rPr>
          <w:rFonts w:ascii="David" w:hAnsi="David"/>
          <w:rtl/>
        </w:rPr>
        <w:t xml:space="preserve"> הוחזק כשהוא מוכן ומזומן לשימוש</w:t>
      </w:r>
      <w:r>
        <w:rPr>
          <w:rFonts w:ascii="David" w:hAnsi="David" w:hint="cs"/>
          <w:rtl/>
        </w:rPr>
        <w:t xml:space="preserve"> </w:t>
      </w:r>
      <w:r>
        <w:rPr>
          <w:rFonts w:ascii="David" w:hAnsi="David"/>
          <w:rtl/>
        </w:rPr>
        <w:t>–</w:t>
      </w:r>
      <w:r>
        <w:rPr>
          <w:rFonts w:ascii="David" w:hAnsi="David" w:hint="cs"/>
          <w:rtl/>
        </w:rPr>
        <w:t xml:space="preserve"> כאשר נסיבות השימוש שהנאשם הכוון לעשות בו נותרו עלומות</w:t>
      </w:r>
      <w:r>
        <w:rPr>
          <w:rFonts w:ascii="David" w:hAnsi="David"/>
          <w:rtl/>
        </w:rPr>
        <w:t>.</w:t>
      </w:r>
      <w:r>
        <w:rPr>
          <w:rFonts w:ascii="David" w:hAnsi="David" w:hint="cs"/>
          <w:rtl/>
        </w:rPr>
        <w:t xml:space="preserve"> מנגד, לא נאמר ששתי המחסניות שהחזיק הנאשם תואמות לאותו תת מקלע מאולתר שהחזיק, וכן לא נאמר שהן היו טעונות בכדורים.</w:t>
      </w:r>
    </w:p>
    <w:p w14:paraId="4A526DA1" w14:textId="77777777" w:rsidR="00824659" w:rsidRDefault="00824659" w:rsidP="00824659">
      <w:pPr>
        <w:spacing w:line="360" w:lineRule="auto"/>
        <w:jc w:val="both"/>
        <w:rPr>
          <w:rFonts w:ascii="David" w:hAnsi="David"/>
          <w:rtl/>
        </w:rPr>
      </w:pPr>
      <w:r>
        <w:rPr>
          <w:rFonts w:ascii="David" w:hAnsi="David"/>
          <w:rtl/>
        </w:rPr>
        <w:t xml:space="preserve">מידת הפגיעה בערכים החברתיים המוגנים, איפוא, </w:t>
      </w:r>
      <w:r>
        <w:rPr>
          <w:rFonts w:ascii="David" w:hAnsi="David" w:hint="cs"/>
          <w:rtl/>
        </w:rPr>
        <w:t>אינה נמוכה.</w:t>
      </w:r>
    </w:p>
    <w:p w14:paraId="57448A99" w14:textId="77777777" w:rsidR="00824659" w:rsidRDefault="00824659" w:rsidP="00824659">
      <w:pPr>
        <w:spacing w:line="360" w:lineRule="auto"/>
        <w:jc w:val="both"/>
        <w:rPr>
          <w:rFonts w:ascii="David" w:hAnsi="David"/>
          <w:rtl/>
        </w:rPr>
      </w:pPr>
    </w:p>
    <w:p w14:paraId="7B85EE4A" w14:textId="77777777" w:rsidR="00824659" w:rsidRDefault="00824659" w:rsidP="00824659">
      <w:pPr>
        <w:spacing w:line="360" w:lineRule="auto"/>
        <w:jc w:val="both"/>
        <w:rPr>
          <w:rFonts w:ascii="David" w:hAnsi="David"/>
          <w:rtl/>
        </w:rPr>
      </w:pPr>
    </w:p>
    <w:p w14:paraId="5C137D80" w14:textId="77777777" w:rsidR="00824659" w:rsidRDefault="00824659" w:rsidP="00824659">
      <w:pPr>
        <w:spacing w:line="360" w:lineRule="auto"/>
        <w:jc w:val="both"/>
        <w:rPr>
          <w:rFonts w:ascii="David" w:hAnsi="David"/>
          <w:rtl/>
        </w:rPr>
      </w:pPr>
    </w:p>
    <w:p w14:paraId="72C271A3" w14:textId="77777777" w:rsidR="00824659" w:rsidRDefault="00824659" w:rsidP="00824659">
      <w:pPr>
        <w:spacing w:line="360" w:lineRule="auto"/>
        <w:jc w:val="both"/>
        <w:rPr>
          <w:rFonts w:ascii="David" w:hAnsi="David"/>
          <w:rtl/>
        </w:rPr>
      </w:pPr>
      <w:r>
        <w:rPr>
          <w:rFonts w:ascii="David" w:hAnsi="David"/>
          <w:rtl/>
        </w:rPr>
        <w:t>9.</w:t>
      </w:r>
      <w:r>
        <w:rPr>
          <w:rFonts w:ascii="David" w:hAnsi="David"/>
          <w:rtl/>
        </w:rPr>
        <w:tab/>
        <w:t>לתמיכה בעמדת</w:t>
      </w:r>
      <w:r>
        <w:rPr>
          <w:rFonts w:ascii="David" w:hAnsi="David" w:hint="cs"/>
          <w:rtl/>
        </w:rPr>
        <w:t>ה</w:t>
      </w:r>
      <w:r>
        <w:rPr>
          <w:rFonts w:ascii="David" w:hAnsi="David"/>
          <w:rtl/>
        </w:rPr>
        <w:t xml:space="preserve"> לענין קביעת מתחמי הענישה</w:t>
      </w:r>
      <w:r>
        <w:rPr>
          <w:rFonts w:ascii="David" w:hAnsi="David" w:hint="cs"/>
          <w:rtl/>
        </w:rPr>
        <w:t xml:space="preserve"> והעונש ההולם</w:t>
      </w:r>
      <w:r>
        <w:rPr>
          <w:rFonts w:ascii="David" w:hAnsi="David"/>
          <w:rtl/>
        </w:rPr>
        <w:t>, הפנ</w:t>
      </w:r>
      <w:r>
        <w:rPr>
          <w:rFonts w:ascii="David" w:hAnsi="David" w:hint="cs"/>
          <w:rtl/>
        </w:rPr>
        <w:t>ת</w:t>
      </w:r>
      <w:r>
        <w:rPr>
          <w:rFonts w:ascii="David" w:hAnsi="David"/>
          <w:rtl/>
        </w:rPr>
        <w:t>ה ב"כ המאשימה לפסקי דין מהעת האחרונה, ובין היתר כדלקמן –</w:t>
      </w:r>
    </w:p>
    <w:p w14:paraId="288E67C3" w14:textId="77777777" w:rsidR="00824659" w:rsidRDefault="00824659" w:rsidP="00824659">
      <w:pPr>
        <w:spacing w:line="360" w:lineRule="auto"/>
        <w:ind w:left="720" w:hanging="720"/>
        <w:jc w:val="both"/>
        <w:rPr>
          <w:rFonts w:ascii="David" w:hAnsi="David"/>
          <w:rtl/>
        </w:rPr>
      </w:pPr>
      <w:r>
        <w:rPr>
          <w:rFonts w:ascii="David" w:hAnsi="David"/>
          <w:rtl/>
        </w:rPr>
        <w:t>א.</w:t>
      </w:r>
      <w:r>
        <w:rPr>
          <w:rFonts w:ascii="David" w:hAnsi="David"/>
          <w:rtl/>
        </w:rPr>
        <w:tab/>
      </w:r>
      <w:hyperlink r:id="rId22" w:history="1">
        <w:r w:rsidR="00CE5674" w:rsidRPr="00CE5674">
          <w:rPr>
            <w:rFonts w:ascii="David" w:hAnsi="David"/>
            <w:color w:val="0000FF"/>
            <w:u w:val="single"/>
            <w:rtl/>
          </w:rPr>
          <w:t>עפ"ג (מחוזי נצ') 2024-04-21</w:t>
        </w:r>
      </w:hyperlink>
      <w:r>
        <w:rPr>
          <w:rFonts w:ascii="David" w:hAnsi="David"/>
          <w:rtl/>
        </w:rPr>
        <w:t xml:space="preserve"> </w:t>
      </w:r>
      <w:r>
        <w:rPr>
          <w:rFonts w:ascii="David" w:hAnsi="David"/>
          <w:b/>
          <w:bCs/>
          <w:rtl/>
        </w:rPr>
        <w:t>מדינת ישראל נ' מנדורי</w:t>
      </w:r>
      <w:r>
        <w:rPr>
          <w:rFonts w:ascii="David" w:hAnsi="David"/>
          <w:rtl/>
        </w:rPr>
        <w:t xml:space="preserve"> (29.6.21) – הנאשם הורשע על פי הודאתו בהחזקת רובה דמוי רובה סער מסוג 16-</w:t>
      </w:r>
      <w:r>
        <w:rPr>
          <w:rFonts w:ascii="David" w:hAnsi="David"/>
        </w:rPr>
        <w:t>M</w:t>
      </w:r>
      <w:r>
        <w:rPr>
          <w:rFonts w:ascii="David" w:hAnsi="David"/>
          <w:rtl/>
        </w:rPr>
        <w:t xml:space="preserve"> אשר הוסב לירות תחמושת חיה בקוטר 5.56 מ"מ ובחלק תחתון של רובה 16-</w:t>
      </w:r>
      <w:r>
        <w:rPr>
          <w:rFonts w:ascii="David" w:hAnsi="David"/>
        </w:rPr>
        <w:t>M</w:t>
      </w:r>
      <w:r>
        <w:rPr>
          <w:rFonts w:ascii="David" w:hAnsi="David"/>
          <w:rtl/>
        </w:rPr>
        <w:t>, מחסנית תואמת לנשק ו-30 כדורים; לנאשם הרשעה קודמת מבית דין צבאי; בית משפט השלום קבע מתחם עונש הולם הנע בין 12 ל-30 חודשי מאסר וגזר על הנאשם 12 חודשי מאסר; ערעור המדינה התקבל, נקבע מתחם עונש הולם הנע בין 18 ל-36 חודשי מאסר ועונשו של הנאשם הוחמר ל-20 חודשי מאסר.</w:t>
      </w:r>
    </w:p>
    <w:p w14:paraId="7A2F6CE4" w14:textId="77777777" w:rsidR="00824659" w:rsidRDefault="00824659" w:rsidP="00824659">
      <w:pPr>
        <w:spacing w:line="360" w:lineRule="auto"/>
        <w:ind w:left="720" w:hanging="720"/>
        <w:jc w:val="both"/>
        <w:rPr>
          <w:rFonts w:ascii="David" w:hAnsi="David"/>
          <w:rtl/>
        </w:rPr>
      </w:pPr>
      <w:r>
        <w:rPr>
          <w:rFonts w:ascii="David" w:hAnsi="David" w:hint="cs"/>
          <w:rtl/>
        </w:rPr>
        <w:t>ב.</w:t>
      </w:r>
      <w:r>
        <w:rPr>
          <w:rFonts w:ascii="David" w:hAnsi="David" w:hint="cs"/>
          <w:rtl/>
        </w:rPr>
        <w:tab/>
      </w:r>
      <w:r>
        <w:rPr>
          <w:rFonts w:ascii="David" w:hAnsi="David"/>
          <w:rtl/>
        </w:rPr>
        <w:t xml:space="preserve">עפ"ג (מחוזי ב"ש) </w:t>
      </w:r>
      <w:r>
        <w:rPr>
          <w:rFonts w:ascii="David" w:hAnsi="David"/>
          <w:b/>
          <w:bCs/>
          <w:rtl/>
        </w:rPr>
        <w:t>אל עאסם נ' מדינת ישראל</w:t>
      </w:r>
      <w:r>
        <w:rPr>
          <w:rFonts w:ascii="David" w:hAnsi="David"/>
          <w:rtl/>
        </w:rPr>
        <w:t xml:space="preserve"> (16.6.21) – הנאשם הורשע על פי הודאתו בהחזקת תת מקלע מאולתר 9 מ"מ וכ-20 קליעי 9 מ"מ; הנאשם נעדר עבר פלילי; נקבע מתחם הנע בין 18 ל-36 חודשי מאסר; על הנאשם נגזרו 18 חודשי מאסר.</w:t>
      </w:r>
    </w:p>
    <w:p w14:paraId="08716ADB" w14:textId="77777777" w:rsidR="00824659" w:rsidRDefault="00824659" w:rsidP="00824659">
      <w:pPr>
        <w:spacing w:line="360" w:lineRule="auto"/>
        <w:ind w:left="720" w:hanging="720"/>
        <w:jc w:val="both"/>
        <w:rPr>
          <w:rFonts w:ascii="David" w:hAnsi="David"/>
          <w:rtl/>
        </w:rPr>
      </w:pPr>
      <w:r>
        <w:rPr>
          <w:rFonts w:ascii="David" w:hAnsi="David" w:hint="cs"/>
          <w:rtl/>
        </w:rPr>
        <w:t>ג.</w:t>
      </w:r>
      <w:r>
        <w:rPr>
          <w:rFonts w:ascii="David" w:hAnsi="David" w:hint="cs"/>
          <w:rtl/>
        </w:rPr>
        <w:tab/>
      </w:r>
      <w:r>
        <w:rPr>
          <w:rFonts w:ascii="David" w:hAnsi="David"/>
          <w:rtl/>
        </w:rPr>
        <w:t xml:space="preserve">עפ"ג (מחוזי ב"ש) </w:t>
      </w:r>
      <w:r>
        <w:rPr>
          <w:rFonts w:ascii="David" w:hAnsi="David"/>
          <w:b/>
          <w:bCs/>
          <w:rtl/>
        </w:rPr>
        <w:t>אבו מוסא נ' מדינת ישראל</w:t>
      </w:r>
      <w:r>
        <w:rPr>
          <w:rFonts w:ascii="David" w:hAnsi="David"/>
          <w:rtl/>
        </w:rPr>
        <w:t xml:space="preserve"> (2.10.19) – הנאשם הורשע על פי הודאתו בהחזקה של תת מקלע מאולתר למשך 10 ימים עבור אחר; הנאשם נעדר עבר פלילי; נקבע מתחם הנע בין 18 ל-36 חודשי מאסר; על הנאשם הוטלו 18 חודשי מאסר; הערעור נדחה.</w:t>
      </w:r>
    </w:p>
    <w:p w14:paraId="021D0923" w14:textId="77777777" w:rsidR="00824659" w:rsidRDefault="00824659" w:rsidP="00824659">
      <w:pPr>
        <w:spacing w:line="360" w:lineRule="auto"/>
        <w:ind w:left="720" w:hanging="720"/>
        <w:jc w:val="both"/>
        <w:rPr>
          <w:rFonts w:ascii="David" w:hAnsi="David"/>
          <w:rtl/>
        </w:rPr>
      </w:pPr>
      <w:r>
        <w:rPr>
          <w:rFonts w:ascii="David" w:hAnsi="David" w:hint="cs"/>
          <w:rtl/>
        </w:rPr>
        <w:t>ד.</w:t>
      </w:r>
      <w:r>
        <w:rPr>
          <w:rFonts w:ascii="David" w:hAnsi="David"/>
          <w:rtl/>
        </w:rPr>
        <w:tab/>
      </w:r>
      <w:hyperlink r:id="rId23" w:history="1">
        <w:r w:rsidR="00CE5674" w:rsidRPr="00CE5674">
          <w:rPr>
            <w:rFonts w:ascii="David" w:hAnsi="David"/>
            <w:color w:val="0000FF"/>
            <w:u w:val="single"/>
            <w:rtl/>
          </w:rPr>
          <w:t>עפ"ג (מחוזי ב"ש) 32503-04-19</w:t>
        </w:r>
      </w:hyperlink>
      <w:r>
        <w:rPr>
          <w:rFonts w:ascii="David" w:hAnsi="David"/>
          <w:rtl/>
        </w:rPr>
        <w:t xml:space="preserve"> </w:t>
      </w:r>
      <w:r>
        <w:rPr>
          <w:rFonts w:ascii="David" w:hAnsi="David"/>
          <w:b/>
          <w:bCs/>
          <w:rtl/>
        </w:rPr>
        <w:t>אלקורעאן נ' מדינת ישראל</w:t>
      </w:r>
      <w:r>
        <w:rPr>
          <w:rFonts w:ascii="David" w:hAnsi="David"/>
          <w:rtl/>
        </w:rPr>
        <w:t xml:space="preserve"> (12.6.19) – הנאשם הורשע על פי הודאתו בהחזקת רובה מסוג "גליל", מחסנית ותחמושת; לנאשם הרשעה קודמת ישנה בעבירה של החזקת סם; בית משפט השלום קבע מתחם הנע בין 20 ל-40 חודשי מאסר וגזר על הנאשם 28 חודשי מאסר; בית המשפט המחוזי קיבל את הערעור והעמיד את העונש על 22 חודשי מאסר.</w:t>
      </w:r>
    </w:p>
    <w:p w14:paraId="2EF43252" w14:textId="77777777" w:rsidR="00824659" w:rsidRDefault="00824659" w:rsidP="00824659">
      <w:pPr>
        <w:spacing w:line="360" w:lineRule="auto"/>
        <w:ind w:left="720" w:hanging="720"/>
        <w:jc w:val="both"/>
        <w:rPr>
          <w:rFonts w:ascii="David" w:hAnsi="David"/>
          <w:rtl/>
        </w:rPr>
      </w:pPr>
      <w:r>
        <w:rPr>
          <w:rFonts w:ascii="David" w:hAnsi="David" w:hint="cs"/>
          <w:rtl/>
        </w:rPr>
        <w:t>ה</w:t>
      </w:r>
      <w:r>
        <w:rPr>
          <w:rFonts w:ascii="David" w:hAnsi="David"/>
          <w:rtl/>
        </w:rPr>
        <w:t>.</w:t>
      </w:r>
      <w:r>
        <w:rPr>
          <w:rFonts w:ascii="David" w:hAnsi="David"/>
          <w:rtl/>
        </w:rPr>
        <w:tab/>
      </w:r>
      <w:hyperlink r:id="rId24" w:history="1">
        <w:r w:rsidR="00CE5674" w:rsidRPr="00CE5674">
          <w:rPr>
            <w:rFonts w:ascii="David" w:hAnsi="David"/>
            <w:color w:val="0000FF"/>
            <w:u w:val="single"/>
            <w:rtl/>
          </w:rPr>
          <w:t>ת"פ (מחוזי ב"ש) 54607-07-19</w:t>
        </w:r>
      </w:hyperlink>
      <w:r>
        <w:rPr>
          <w:rFonts w:ascii="David" w:hAnsi="David"/>
          <w:rtl/>
        </w:rPr>
        <w:t xml:space="preserve"> </w:t>
      </w:r>
      <w:r>
        <w:rPr>
          <w:rFonts w:ascii="David" w:hAnsi="David"/>
          <w:b/>
          <w:bCs/>
          <w:rtl/>
        </w:rPr>
        <w:t>מדינת ישראל נ' ג'בור</w:t>
      </w:r>
      <w:r>
        <w:rPr>
          <w:rFonts w:ascii="David" w:hAnsi="David"/>
          <w:rtl/>
        </w:rPr>
        <w:t xml:space="preserve"> (12.1.20) – הנאשם הורשע על פי הודאתו בהחזקת רובה מסוג 16-</w:t>
      </w:r>
      <w:r>
        <w:rPr>
          <w:rFonts w:ascii="David" w:hAnsi="David"/>
        </w:rPr>
        <w:t>M</w:t>
      </w:r>
      <w:r>
        <w:rPr>
          <w:rFonts w:ascii="David" w:hAnsi="David"/>
          <w:rtl/>
        </w:rPr>
        <w:t xml:space="preserve"> ומחסנית ריקה; לנאשם 3 הרשעות קודמות; נקבע מתחם עונש הולם הנע בין 20 ל-40 חודשי מאסר; על הנאשם נגזרו 22 חודשי מאסר (לפני הפעלת מאסר על תנאי בן 4 חודשים).</w:t>
      </w:r>
    </w:p>
    <w:p w14:paraId="693B4CE1" w14:textId="77777777" w:rsidR="00824659" w:rsidRDefault="00824659" w:rsidP="00824659">
      <w:pPr>
        <w:spacing w:line="360" w:lineRule="auto"/>
        <w:ind w:left="720" w:hanging="720"/>
        <w:jc w:val="both"/>
        <w:rPr>
          <w:rFonts w:ascii="David" w:hAnsi="David"/>
          <w:rtl/>
        </w:rPr>
      </w:pPr>
      <w:r>
        <w:rPr>
          <w:rFonts w:ascii="David" w:hAnsi="David" w:hint="cs"/>
          <w:rtl/>
        </w:rPr>
        <w:t>ו</w:t>
      </w:r>
      <w:r>
        <w:rPr>
          <w:rFonts w:ascii="David" w:hAnsi="David"/>
          <w:rtl/>
        </w:rPr>
        <w:t>.</w:t>
      </w:r>
      <w:r>
        <w:rPr>
          <w:rFonts w:ascii="David" w:hAnsi="David"/>
          <w:rtl/>
        </w:rPr>
        <w:tab/>
        <w:t>ת"פ (</w:t>
      </w:r>
      <w:r>
        <w:rPr>
          <w:rFonts w:ascii="David" w:hAnsi="David" w:hint="cs"/>
          <w:rtl/>
        </w:rPr>
        <w:t xml:space="preserve">שלום </w:t>
      </w:r>
      <w:r>
        <w:rPr>
          <w:rFonts w:ascii="David" w:hAnsi="David"/>
          <w:rtl/>
        </w:rPr>
        <w:t xml:space="preserve">ב"ש) </w:t>
      </w:r>
      <w:hyperlink r:id="rId25" w:history="1">
        <w:r w:rsidR="00260FD1" w:rsidRPr="00260FD1">
          <w:rPr>
            <w:rFonts w:ascii="David" w:hAnsi="David"/>
            <w:color w:val="0000FF"/>
            <w:u w:val="single"/>
            <w:rtl/>
          </w:rPr>
          <w:t xml:space="preserve">69980-11-20 </w:t>
        </w:r>
      </w:hyperlink>
      <w:r>
        <w:rPr>
          <w:rFonts w:ascii="David" w:hAnsi="David"/>
          <w:rtl/>
        </w:rPr>
        <w:t xml:space="preserve"> </w:t>
      </w:r>
      <w:r>
        <w:rPr>
          <w:rFonts w:ascii="David" w:hAnsi="David"/>
          <w:b/>
          <w:bCs/>
          <w:rtl/>
        </w:rPr>
        <w:t>מדינת ישראל נ' בדר</w:t>
      </w:r>
      <w:r>
        <w:rPr>
          <w:rFonts w:ascii="David" w:hAnsi="David"/>
          <w:rtl/>
        </w:rPr>
        <w:t xml:space="preserve"> (30.9.21) – הנאשם הורשע על פי הודאתו בהחזקת תת מקלע מאולתר בקוטר 9 מ"מ; לנאשם הרשעה קודמת בעבירה של גניבה ממעביד; נקבע מתחם ענישה הנע בין 20 ל-40 חודשי מאסר; על הנאשם נגזרו 22 חודשי מאסר.</w:t>
      </w:r>
    </w:p>
    <w:p w14:paraId="23014375" w14:textId="77777777" w:rsidR="00824659" w:rsidRDefault="00824659" w:rsidP="00824659">
      <w:pPr>
        <w:spacing w:line="360" w:lineRule="auto"/>
        <w:ind w:left="720" w:hanging="720"/>
        <w:jc w:val="both"/>
        <w:rPr>
          <w:rFonts w:ascii="David" w:hAnsi="David"/>
          <w:rtl/>
        </w:rPr>
      </w:pPr>
      <w:r>
        <w:rPr>
          <w:rFonts w:ascii="David" w:hAnsi="David"/>
          <w:rtl/>
        </w:rPr>
        <w:t>ז.</w:t>
      </w:r>
      <w:r>
        <w:rPr>
          <w:rFonts w:ascii="David" w:hAnsi="David"/>
          <w:rtl/>
        </w:rPr>
        <w:tab/>
      </w:r>
      <w:hyperlink r:id="rId26" w:history="1">
        <w:r w:rsidR="00CE5674" w:rsidRPr="00CE5674">
          <w:rPr>
            <w:rFonts w:ascii="David" w:hAnsi="David"/>
            <w:color w:val="0000FF"/>
            <w:u w:val="single"/>
            <w:rtl/>
          </w:rPr>
          <w:t>ת"פ (שלום כפ"ס) 14044-03-20</w:t>
        </w:r>
      </w:hyperlink>
      <w:r>
        <w:rPr>
          <w:rFonts w:ascii="David" w:hAnsi="David"/>
          <w:rtl/>
        </w:rPr>
        <w:t xml:space="preserve"> </w:t>
      </w:r>
      <w:r>
        <w:rPr>
          <w:rFonts w:ascii="David" w:hAnsi="David"/>
          <w:b/>
          <w:bCs/>
          <w:rtl/>
        </w:rPr>
        <w:t>מדינת ישראל נ' קטאווי</w:t>
      </w:r>
      <w:r>
        <w:rPr>
          <w:rFonts w:ascii="David" w:hAnsi="David"/>
          <w:rtl/>
        </w:rPr>
        <w:t xml:space="preserve"> (15.12.20) – הנאשם הורשע על פי הודאתו בהחזקת תת מקלע מאולתר מסוג "קרלו" ובמחסנית תואמת ובה 11 כדורים; לנאשם עבר פלילי, בין היתר בעבירות נשק; נקבע מתחם הנע בין 15 ל-36 חודשי מאסר; על הנאשם נגזרו 20 חודשי מאסר (לפני הפעלת מאסר על תנאי בן 8 חודשים).</w:t>
      </w:r>
    </w:p>
    <w:p w14:paraId="0285B2AE" w14:textId="77777777" w:rsidR="00824659" w:rsidRDefault="00824659" w:rsidP="00824659">
      <w:pPr>
        <w:spacing w:line="360" w:lineRule="auto"/>
        <w:jc w:val="both"/>
        <w:rPr>
          <w:rFonts w:ascii="David" w:hAnsi="David"/>
          <w:rtl/>
        </w:rPr>
      </w:pPr>
    </w:p>
    <w:p w14:paraId="5E246226" w14:textId="77777777" w:rsidR="00824659" w:rsidRDefault="00824659" w:rsidP="00824659">
      <w:pPr>
        <w:spacing w:line="360" w:lineRule="auto"/>
        <w:jc w:val="both"/>
        <w:rPr>
          <w:rFonts w:ascii="David" w:hAnsi="David"/>
          <w:rtl/>
        </w:rPr>
      </w:pPr>
    </w:p>
    <w:p w14:paraId="34D63AB4" w14:textId="77777777" w:rsidR="00824659" w:rsidRDefault="00824659" w:rsidP="00824659">
      <w:pPr>
        <w:spacing w:line="360" w:lineRule="auto"/>
        <w:jc w:val="both"/>
        <w:rPr>
          <w:rFonts w:ascii="David" w:hAnsi="David"/>
          <w:rtl/>
        </w:rPr>
      </w:pPr>
      <w:r>
        <w:rPr>
          <w:rFonts w:ascii="David" w:hAnsi="David"/>
          <w:rtl/>
        </w:rPr>
        <w:t>10.</w:t>
      </w:r>
      <w:r>
        <w:rPr>
          <w:rFonts w:ascii="David" w:hAnsi="David"/>
          <w:rtl/>
        </w:rPr>
        <w:tab/>
        <w:t>ב"כ  הנאשם, מצידו, הפנה ל</w:t>
      </w:r>
      <w:hyperlink r:id="rId27" w:history="1">
        <w:r w:rsidR="00CE5674" w:rsidRPr="00CE5674">
          <w:rPr>
            <w:rFonts w:ascii="David" w:hAnsi="David"/>
            <w:color w:val="0000FF"/>
            <w:u w:val="single"/>
            <w:rtl/>
          </w:rPr>
          <w:t>ת"פ (שלום כפ"ס) 54418-06-19</w:t>
        </w:r>
      </w:hyperlink>
      <w:r>
        <w:rPr>
          <w:rFonts w:ascii="David" w:hAnsi="David" w:hint="cs"/>
          <w:rtl/>
        </w:rPr>
        <w:t xml:space="preserve"> </w:t>
      </w:r>
      <w:r>
        <w:rPr>
          <w:rFonts w:ascii="David" w:hAnsi="David" w:hint="cs"/>
          <w:b/>
          <w:bCs/>
          <w:rtl/>
        </w:rPr>
        <w:t>מדינת ישראל נ' מצ</w:t>
      </w:r>
      <w:r w:rsidRPr="008622DC">
        <w:rPr>
          <w:rFonts w:ascii="David" w:hAnsi="David" w:hint="cs"/>
          <w:b/>
          <w:bCs/>
          <w:rtl/>
        </w:rPr>
        <w:t>ארווה</w:t>
      </w:r>
      <w:r>
        <w:rPr>
          <w:rFonts w:ascii="David" w:hAnsi="David" w:hint="cs"/>
          <w:rtl/>
        </w:rPr>
        <w:t xml:space="preserve"> (</w:t>
      </w:r>
      <w:r w:rsidRPr="008622DC">
        <w:rPr>
          <w:rFonts w:ascii="David" w:hAnsi="David" w:hint="cs"/>
          <w:b/>
          <w:bCs/>
          <w:rtl/>
        </w:rPr>
        <w:t>7.4.21</w:t>
      </w:r>
      <w:r>
        <w:rPr>
          <w:rFonts w:ascii="David" w:hAnsi="David" w:hint="cs"/>
          <w:rtl/>
        </w:rPr>
        <w:t xml:space="preserve">), במסגרתו הורשע הנאשם, על פי הודאתו, בהחזקת </w:t>
      </w:r>
      <w:r w:rsidRPr="003C4F2D">
        <w:rPr>
          <w:rFonts w:ascii="David" w:hAnsi="David" w:hint="cs"/>
          <w:u w:val="single"/>
          <w:rtl/>
        </w:rPr>
        <w:t>אקדח</w:t>
      </w:r>
      <w:r>
        <w:rPr>
          <w:rFonts w:ascii="David" w:hAnsi="David" w:hint="cs"/>
          <w:rtl/>
        </w:rPr>
        <w:t xml:space="preserve"> ומחסנית תואמת וב-2 כדורים. בית המשפט קבע מתחם עונש הולם הנע בין 12 ל-24 חודשי מאסר ונוכח הליך שיקומי שעבר הנאשם החליט לחרוג ממתחם העונש ההולם מטעמי שיקום כך שהוטלו על הנאשם 10 חודשי מאסר בפועל. ערעור שהוגש על גזר הדין נדחה (</w:t>
      </w:r>
      <w:hyperlink r:id="rId28" w:history="1">
        <w:r w:rsidR="00CE5674" w:rsidRPr="00CE5674">
          <w:rPr>
            <w:rFonts w:ascii="David" w:hAnsi="David"/>
            <w:color w:val="0000FF"/>
            <w:u w:val="single"/>
            <w:rtl/>
          </w:rPr>
          <w:t>עפ"ג (מחוזי מרכז) 40388-05-21</w:t>
        </w:r>
      </w:hyperlink>
      <w:r>
        <w:rPr>
          <w:rFonts w:ascii="David" w:hAnsi="David" w:hint="cs"/>
          <w:rtl/>
        </w:rPr>
        <w:t xml:space="preserve"> </w:t>
      </w:r>
      <w:r w:rsidRPr="00C56413">
        <w:rPr>
          <w:rFonts w:ascii="David" w:hAnsi="David" w:hint="cs"/>
          <w:b/>
          <w:bCs/>
          <w:rtl/>
        </w:rPr>
        <w:t>מצארווה נ' מדינת ישראל</w:t>
      </w:r>
      <w:r>
        <w:rPr>
          <w:rFonts w:ascii="David" w:hAnsi="David" w:hint="cs"/>
          <w:rtl/>
        </w:rPr>
        <w:t xml:space="preserve"> (10.10.21)).</w:t>
      </w:r>
    </w:p>
    <w:p w14:paraId="1996CF47" w14:textId="77777777" w:rsidR="00824659" w:rsidRDefault="00824659" w:rsidP="00824659">
      <w:pPr>
        <w:spacing w:line="360" w:lineRule="auto"/>
        <w:jc w:val="both"/>
        <w:rPr>
          <w:rFonts w:ascii="David" w:hAnsi="David"/>
          <w:rtl/>
        </w:rPr>
      </w:pPr>
    </w:p>
    <w:p w14:paraId="499A9FFF" w14:textId="77777777" w:rsidR="00824659" w:rsidRDefault="00824659" w:rsidP="00824659">
      <w:pPr>
        <w:spacing w:line="360" w:lineRule="auto"/>
        <w:jc w:val="both"/>
        <w:rPr>
          <w:rFonts w:ascii="David" w:hAnsi="David"/>
          <w:rtl/>
        </w:rPr>
      </w:pPr>
      <w:r>
        <w:rPr>
          <w:rFonts w:ascii="David" w:hAnsi="David" w:hint="cs"/>
          <w:rtl/>
        </w:rPr>
        <w:t xml:space="preserve">[וראה גם: עפ"ג (מחוזי מרכז) 10916-12-21 </w:t>
      </w:r>
      <w:r w:rsidRPr="00C56413">
        <w:rPr>
          <w:rFonts w:ascii="David" w:hAnsi="David" w:hint="cs"/>
          <w:b/>
          <w:bCs/>
          <w:rtl/>
        </w:rPr>
        <w:t>מדינת ישראל נ' אבו אלחסאן</w:t>
      </w:r>
      <w:r>
        <w:rPr>
          <w:rFonts w:ascii="David" w:hAnsi="David" w:hint="cs"/>
          <w:rtl/>
        </w:rPr>
        <w:t xml:space="preserve"> (7.2.22), במסגרתו נדחה ערעור המדינה על קולת העונש </w:t>
      </w:r>
      <w:r>
        <w:rPr>
          <w:rFonts w:ascii="David" w:hAnsi="David"/>
          <w:rtl/>
        </w:rPr>
        <w:t>–</w:t>
      </w:r>
      <w:r>
        <w:rPr>
          <w:rFonts w:ascii="David" w:hAnsi="David" w:hint="cs"/>
          <w:rtl/>
        </w:rPr>
        <w:t xml:space="preserve"> 14 חודשי מאסר בפועל </w:t>
      </w:r>
      <w:r>
        <w:rPr>
          <w:rFonts w:ascii="David" w:hAnsi="David"/>
          <w:rtl/>
        </w:rPr>
        <w:t>–</w:t>
      </w:r>
      <w:r>
        <w:rPr>
          <w:rFonts w:ascii="David" w:hAnsi="David" w:hint="cs"/>
          <w:rtl/>
        </w:rPr>
        <w:t xml:space="preserve"> שנגזר על נאשם צעיר, אשר הורשע על פי הודאתו בהחזקת רובה מסוג קלצ'ניקוב, מחסנית וכדורי 9 מ"מ (נקבע מתחם עונש הולם הנע בין 14 ל-36 חודשי מאסר). יחד עם זאת, מצא בית המשפט המחוזי הנכבד להדגיש שהעונש שנגזר על הנאשם מקל, אם כי אינו מצדיק התערבות ערכאת הערעור].</w:t>
      </w:r>
    </w:p>
    <w:p w14:paraId="4BF8E53C" w14:textId="77777777" w:rsidR="00824659" w:rsidRDefault="00824659" w:rsidP="00824659">
      <w:pPr>
        <w:spacing w:line="360" w:lineRule="auto"/>
        <w:jc w:val="both"/>
        <w:rPr>
          <w:rFonts w:ascii="David" w:hAnsi="David"/>
          <w:rtl/>
        </w:rPr>
      </w:pPr>
    </w:p>
    <w:p w14:paraId="267F0258" w14:textId="77777777" w:rsidR="00824659" w:rsidRPr="00E623BA" w:rsidRDefault="00824659" w:rsidP="00824659">
      <w:pPr>
        <w:spacing w:line="360" w:lineRule="auto"/>
        <w:jc w:val="both"/>
        <w:rPr>
          <w:rFonts w:ascii="David" w:hAnsi="David"/>
          <w:rtl/>
        </w:rPr>
      </w:pPr>
      <w:r>
        <w:rPr>
          <w:rFonts w:ascii="David" w:hAnsi="David"/>
          <w:rtl/>
        </w:rPr>
        <w:t>11.</w:t>
      </w:r>
      <w:r>
        <w:rPr>
          <w:rFonts w:ascii="David" w:hAnsi="David"/>
          <w:rtl/>
        </w:rPr>
        <w:tab/>
        <w:t xml:space="preserve">לאחר שנתתי דעתי לערכים החברתיים המוגנים ולמידת הפגיעה בהם, לנסיבות ביצוע העבירות ולמדיניות הפסיקה הנוהגת, אשר כאמור מבטאת מגמת החמרה, </w:t>
      </w:r>
      <w:r w:rsidRPr="008E7AD6">
        <w:rPr>
          <w:rFonts w:ascii="David" w:hAnsi="David"/>
          <w:b/>
          <w:bCs/>
          <w:rtl/>
        </w:rPr>
        <w:t xml:space="preserve">אני קובע </w:t>
      </w:r>
      <w:r w:rsidRPr="008E7AD6">
        <w:rPr>
          <w:rFonts w:ascii="David" w:hAnsi="David" w:hint="cs"/>
          <w:b/>
          <w:bCs/>
          <w:rtl/>
        </w:rPr>
        <w:t xml:space="preserve">כי מתחם העונש ההולם נע </w:t>
      </w:r>
      <w:r>
        <w:rPr>
          <w:rFonts w:ascii="David" w:hAnsi="David"/>
          <w:b/>
          <w:bCs/>
          <w:rtl/>
        </w:rPr>
        <w:t>בין 18 ל-</w:t>
      </w:r>
      <w:r>
        <w:rPr>
          <w:rFonts w:ascii="David" w:hAnsi="David" w:hint="cs"/>
          <w:b/>
          <w:bCs/>
          <w:rtl/>
        </w:rPr>
        <w:t>36</w:t>
      </w:r>
      <w:r>
        <w:rPr>
          <w:rFonts w:ascii="David" w:hAnsi="David"/>
          <w:b/>
          <w:bCs/>
          <w:rtl/>
        </w:rPr>
        <w:t xml:space="preserve"> חודשי מאסר</w:t>
      </w:r>
      <w:r>
        <w:rPr>
          <w:rFonts w:ascii="David" w:hAnsi="David" w:hint="cs"/>
          <w:b/>
          <w:bCs/>
          <w:rtl/>
        </w:rPr>
        <w:t>, לצד רכיבי ענישה נלווים</w:t>
      </w:r>
      <w:r>
        <w:rPr>
          <w:rFonts w:ascii="David" w:hAnsi="David" w:hint="cs"/>
          <w:rtl/>
        </w:rPr>
        <w:t>.</w:t>
      </w:r>
    </w:p>
    <w:p w14:paraId="7189B1BF" w14:textId="77777777" w:rsidR="00824659" w:rsidRDefault="00824659" w:rsidP="00824659">
      <w:pPr>
        <w:spacing w:line="360" w:lineRule="auto"/>
        <w:jc w:val="both"/>
        <w:rPr>
          <w:rFonts w:ascii="Arial" w:hAnsi="Arial"/>
          <w:rtl/>
        </w:rPr>
      </w:pPr>
    </w:p>
    <w:p w14:paraId="4A74ED0A" w14:textId="77777777" w:rsidR="00824659" w:rsidRDefault="00824659" w:rsidP="00824659">
      <w:pPr>
        <w:spacing w:line="360" w:lineRule="auto"/>
        <w:jc w:val="both"/>
        <w:rPr>
          <w:rFonts w:ascii="Arial" w:hAnsi="Arial"/>
          <w:rtl/>
        </w:rPr>
      </w:pPr>
      <w:r>
        <w:rPr>
          <w:rFonts w:ascii="Arial" w:hAnsi="Arial" w:hint="cs"/>
          <w:rtl/>
        </w:rPr>
        <w:t>12.</w:t>
      </w:r>
      <w:r>
        <w:rPr>
          <w:rFonts w:ascii="Arial" w:hAnsi="Arial" w:hint="cs"/>
          <w:rtl/>
        </w:rPr>
        <w:tab/>
        <w:t xml:space="preserve">באשר לנסיבות שאינן קשורות לביצוע העבירות לקחתי בחשבון את אלה </w:t>
      </w:r>
      <w:r>
        <w:rPr>
          <w:rFonts w:ascii="Arial" w:hAnsi="Arial"/>
          <w:rtl/>
        </w:rPr>
        <w:t>–</w:t>
      </w:r>
      <w:r>
        <w:rPr>
          <w:rFonts w:ascii="Arial" w:hAnsi="Arial" w:hint="cs"/>
          <w:rtl/>
        </w:rPr>
        <w:t xml:space="preserve"> הנאשם בחור צעיר, כבן 22; הנאשם נעדר עבר פלילי מכל סוג ומין שהוא, שלו זהו מאסרו הראשון; הנאשם הודה בהזדמנות הראשונה ונטל אחריות על החזקת הנשק והתחמושת, ככל הנראה כבר במהלך החיפוש המשטרתי; הנאשם הסכים למעצרו עד תום ההליכים והודה בכתב האישום המתוקן בישיבה הראשונה; הנאשם חסך בזמן שיפוטי יקר וחסך מזמנם של עדי התביעה.</w:t>
      </w:r>
    </w:p>
    <w:p w14:paraId="02B66DD5" w14:textId="77777777" w:rsidR="00824659" w:rsidRDefault="00824659" w:rsidP="00824659">
      <w:pPr>
        <w:spacing w:line="360" w:lineRule="auto"/>
        <w:jc w:val="both"/>
        <w:rPr>
          <w:rFonts w:ascii="Arial" w:hAnsi="Arial"/>
          <w:rtl/>
        </w:rPr>
      </w:pPr>
    </w:p>
    <w:p w14:paraId="2BA025A6" w14:textId="77777777" w:rsidR="00824659" w:rsidRDefault="00824659" w:rsidP="00824659">
      <w:pPr>
        <w:spacing w:line="360" w:lineRule="auto"/>
        <w:jc w:val="both"/>
        <w:rPr>
          <w:rFonts w:ascii="Arial" w:hAnsi="Arial"/>
          <w:rtl/>
        </w:rPr>
      </w:pPr>
      <w:r>
        <w:rPr>
          <w:rFonts w:ascii="Arial" w:hAnsi="Arial" w:hint="cs"/>
          <w:rtl/>
        </w:rPr>
        <w:t>13.</w:t>
      </w:r>
      <w:r>
        <w:rPr>
          <w:rFonts w:ascii="Arial" w:hAnsi="Arial" w:hint="cs"/>
          <w:rtl/>
        </w:rPr>
        <w:tab/>
        <w:t>לפיכך, מצאתי למקם את עונשו של הנאשם ברף התחתון של מתחם העונש ההולם אותו קבעתי לעיל.</w:t>
      </w:r>
    </w:p>
    <w:p w14:paraId="39D11DA9" w14:textId="77777777" w:rsidR="00824659" w:rsidRDefault="00824659" w:rsidP="00824659">
      <w:pPr>
        <w:spacing w:line="360" w:lineRule="auto"/>
        <w:jc w:val="both"/>
        <w:rPr>
          <w:rFonts w:ascii="Arial" w:hAnsi="Arial"/>
          <w:rtl/>
        </w:rPr>
      </w:pPr>
    </w:p>
    <w:p w14:paraId="266BAA66" w14:textId="77777777" w:rsidR="00824659" w:rsidRDefault="00824659" w:rsidP="00824659">
      <w:pPr>
        <w:spacing w:line="360" w:lineRule="auto"/>
        <w:jc w:val="both"/>
        <w:rPr>
          <w:rFonts w:ascii="Arial" w:hAnsi="Arial"/>
          <w:rtl/>
        </w:rPr>
      </w:pPr>
      <w:r>
        <w:rPr>
          <w:rFonts w:ascii="Arial" w:hAnsi="Arial" w:hint="cs"/>
          <w:rtl/>
        </w:rPr>
        <w:t>14.</w:t>
      </w:r>
      <w:r>
        <w:rPr>
          <w:rFonts w:ascii="Arial" w:hAnsi="Arial" w:hint="cs"/>
          <w:rtl/>
        </w:rPr>
        <w:tab/>
        <w:t>לאור האמור לעיל, אני גוזר על הנאשם את העונשים הבאים:</w:t>
      </w:r>
    </w:p>
    <w:p w14:paraId="0B74C1E8" w14:textId="77777777" w:rsidR="00824659" w:rsidRDefault="00824659" w:rsidP="00824659">
      <w:pPr>
        <w:spacing w:line="360" w:lineRule="auto"/>
        <w:jc w:val="both"/>
        <w:rPr>
          <w:rFonts w:ascii="Arial" w:hAnsi="Arial"/>
          <w:rtl/>
        </w:rPr>
      </w:pPr>
      <w:r>
        <w:rPr>
          <w:rFonts w:ascii="Arial" w:hAnsi="Arial" w:hint="cs"/>
          <w:rtl/>
        </w:rPr>
        <w:t>א.</w:t>
      </w:r>
      <w:r>
        <w:rPr>
          <w:rFonts w:ascii="Arial" w:hAnsi="Arial" w:hint="cs"/>
          <w:rtl/>
        </w:rPr>
        <w:tab/>
        <w:t>18 חודשי מאסר בפועל החל מיום מעצרו, 2.11.21.</w:t>
      </w:r>
    </w:p>
    <w:p w14:paraId="193F9343" w14:textId="77777777" w:rsidR="00824659" w:rsidRDefault="00824659" w:rsidP="00824659">
      <w:pPr>
        <w:spacing w:line="360" w:lineRule="auto"/>
        <w:jc w:val="both"/>
        <w:rPr>
          <w:rFonts w:ascii="Arial" w:hAnsi="Arial"/>
          <w:rtl/>
        </w:rPr>
      </w:pPr>
      <w:r>
        <w:rPr>
          <w:rFonts w:ascii="Arial" w:hAnsi="Arial" w:hint="cs"/>
          <w:rtl/>
        </w:rPr>
        <w:t>ב.</w:t>
      </w:r>
      <w:r>
        <w:rPr>
          <w:rFonts w:ascii="Arial" w:hAnsi="Arial" w:hint="cs"/>
          <w:rtl/>
        </w:rPr>
        <w:tab/>
        <w:t>7 חודשי מאסר על תנאי למשך 3 שנים מיום שחרורו, שלא יעבור כל עבירה בנשק.</w:t>
      </w:r>
    </w:p>
    <w:p w14:paraId="37012ABC" w14:textId="77777777" w:rsidR="00824659" w:rsidRDefault="00824659" w:rsidP="00824659">
      <w:pPr>
        <w:spacing w:line="360" w:lineRule="auto"/>
        <w:ind w:left="720" w:hanging="720"/>
        <w:jc w:val="both"/>
        <w:rPr>
          <w:rFonts w:ascii="Arial" w:hAnsi="Arial"/>
          <w:rtl/>
        </w:rPr>
      </w:pPr>
      <w:r>
        <w:rPr>
          <w:rFonts w:ascii="Arial" w:hAnsi="Arial" w:hint="cs"/>
          <w:rtl/>
        </w:rPr>
        <w:t>ג.</w:t>
      </w:r>
      <w:r>
        <w:rPr>
          <w:rFonts w:ascii="Arial" w:hAnsi="Arial" w:hint="cs"/>
          <w:rtl/>
        </w:rPr>
        <w:tab/>
        <w:t>קנס כספי בסך 2,500 ₪ או 15 ימי מאסר תמורתו. הקנס ישולם ב-5 תשלומים חודשיים, רצופים ושווים החל ביום 15.4.22. לא ישולם תשלום במועד תעמוד מלוא היתרה לפרעון מיידי.</w:t>
      </w:r>
    </w:p>
    <w:p w14:paraId="42D14D62" w14:textId="77777777" w:rsidR="00824659" w:rsidRDefault="00824659" w:rsidP="00824659">
      <w:pPr>
        <w:spacing w:line="360" w:lineRule="auto"/>
        <w:jc w:val="both"/>
        <w:rPr>
          <w:rFonts w:ascii="Arial" w:hAnsi="Arial"/>
          <w:rtl/>
        </w:rPr>
      </w:pPr>
    </w:p>
    <w:p w14:paraId="72926F55" w14:textId="77777777" w:rsidR="00824659" w:rsidRDefault="00824659" w:rsidP="00824659">
      <w:pPr>
        <w:spacing w:line="360" w:lineRule="auto"/>
        <w:jc w:val="both"/>
        <w:rPr>
          <w:rFonts w:ascii="Arial" w:hAnsi="Arial"/>
          <w:rtl/>
        </w:rPr>
      </w:pPr>
    </w:p>
    <w:p w14:paraId="76C5FBB3" w14:textId="77777777" w:rsidR="00824659" w:rsidRDefault="00824659" w:rsidP="00824659">
      <w:pPr>
        <w:spacing w:line="360" w:lineRule="auto"/>
        <w:jc w:val="both"/>
        <w:rPr>
          <w:rFonts w:ascii="Arial" w:hAnsi="Arial"/>
          <w:rtl/>
        </w:rPr>
      </w:pPr>
    </w:p>
    <w:p w14:paraId="2455EA8E" w14:textId="77777777" w:rsidR="00824659" w:rsidRDefault="00824659" w:rsidP="00824659">
      <w:pPr>
        <w:spacing w:line="360" w:lineRule="auto"/>
        <w:jc w:val="both"/>
        <w:rPr>
          <w:rFonts w:ascii="Arial" w:hAnsi="Arial"/>
          <w:rtl/>
        </w:rPr>
      </w:pPr>
      <w:r>
        <w:rPr>
          <w:rFonts w:ascii="Arial" w:hAnsi="Arial" w:hint="cs"/>
          <w:rtl/>
        </w:rPr>
        <w:t xml:space="preserve">מוצגים </w:t>
      </w:r>
      <w:r>
        <w:rPr>
          <w:rFonts w:ascii="Arial" w:hAnsi="Arial"/>
          <w:rtl/>
        </w:rPr>
        <w:t>–</w:t>
      </w:r>
      <w:r>
        <w:rPr>
          <w:rFonts w:ascii="Arial" w:hAnsi="Arial" w:hint="cs"/>
          <w:rtl/>
        </w:rPr>
        <w:t xml:space="preserve"> נשק ותחמושת להשמדה; טלפון </w:t>
      </w:r>
      <w:r>
        <w:rPr>
          <w:rFonts w:ascii="Arial" w:hAnsi="Arial"/>
          <w:rtl/>
        </w:rPr>
        <w:t>–</w:t>
      </w:r>
      <w:r>
        <w:rPr>
          <w:rFonts w:ascii="Arial" w:hAnsi="Arial" w:hint="cs"/>
          <w:rtl/>
        </w:rPr>
        <w:t xml:space="preserve"> להשיב לנאשם או למי מטעמו.</w:t>
      </w:r>
    </w:p>
    <w:p w14:paraId="0F140C0D" w14:textId="77777777" w:rsidR="00824659" w:rsidRDefault="00824659" w:rsidP="00824659">
      <w:pPr>
        <w:spacing w:line="360" w:lineRule="auto"/>
        <w:jc w:val="both"/>
        <w:rPr>
          <w:rFonts w:ascii="Arial" w:hAnsi="Arial"/>
          <w:rtl/>
        </w:rPr>
      </w:pPr>
    </w:p>
    <w:p w14:paraId="0F1F069F" w14:textId="77777777" w:rsidR="00824659" w:rsidRDefault="00CE5674" w:rsidP="00824659">
      <w:pPr>
        <w:spacing w:line="360" w:lineRule="auto"/>
        <w:jc w:val="both"/>
        <w:rPr>
          <w:rFonts w:ascii="Arial" w:hAnsi="Arial"/>
          <w:rtl/>
        </w:rPr>
      </w:pPr>
      <w:r w:rsidRPr="00CE5674">
        <w:rPr>
          <w:rFonts w:ascii="Arial" w:hAnsi="Arial"/>
          <w:color w:val="FFFFFF"/>
          <w:sz w:val="2"/>
          <w:szCs w:val="2"/>
          <w:rtl/>
        </w:rPr>
        <w:t>5129371</w:t>
      </w:r>
      <w:r w:rsidR="00824659">
        <w:rPr>
          <w:rFonts w:ascii="Arial" w:hAnsi="Arial" w:hint="cs"/>
          <w:rtl/>
        </w:rPr>
        <w:t>זכות ערעור לבית המשפט המחוזי מרכז בתוך 45 יום.</w:t>
      </w:r>
    </w:p>
    <w:p w14:paraId="344DC892" w14:textId="77777777" w:rsidR="00824659" w:rsidRPr="00CE5674" w:rsidRDefault="00CE5674" w:rsidP="00824659">
      <w:pPr>
        <w:spacing w:line="360" w:lineRule="auto"/>
        <w:jc w:val="both"/>
        <w:rPr>
          <w:rFonts w:ascii="Arial" w:hAnsi="Arial"/>
          <w:color w:val="FFFFFF"/>
          <w:sz w:val="2"/>
          <w:szCs w:val="2"/>
          <w:rtl/>
        </w:rPr>
      </w:pPr>
      <w:r w:rsidRPr="00CE5674">
        <w:rPr>
          <w:rFonts w:ascii="Arial" w:hAnsi="Arial"/>
          <w:color w:val="FFFFFF"/>
          <w:sz w:val="2"/>
          <w:szCs w:val="2"/>
          <w:rtl/>
        </w:rPr>
        <w:t>54678313</w:t>
      </w:r>
    </w:p>
    <w:p w14:paraId="27145578" w14:textId="77777777" w:rsidR="00824659" w:rsidRPr="00E623BA" w:rsidRDefault="00CE5674" w:rsidP="00824659">
      <w:pPr>
        <w:spacing w:line="360" w:lineRule="auto"/>
        <w:jc w:val="both"/>
        <w:rPr>
          <w:rFonts w:ascii="Arial" w:hAnsi="Arial"/>
        </w:rPr>
      </w:pPr>
      <w:bookmarkStart w:id="8" w:name="Nitan"/>
      <w:r>
        <w:rPr>
          <w:rFonts w:ascii="Arial" w:hAnsi="Arial"/>
          <w:b/>
          <w:bCs/>
          <w:rtl/>
        </w:rPr>
        <w:t xml:space="preserve">ניתן היום,  ח' אדר א' תשפ"ב, 09 פברואר 2022, בנוכחות ב"כ המאשימה, עו"ד דניאל איקן, </w:t>
      </w:r>
      <w:bookmarkEnd w:id="8"/>
      <w:r w:rsidR="00824659" w:rsidRPr="00E623BA">
        <w:rPr>
          <w:rFonts w:ascii="Arial" w:hAnsi="Arial" w:hint="cs"/>
          <w:b/>
          <w:bCs/>
          <w:rtl/>
        </w:rPr>
        <w:t>הנאשם (באמצעות מערכת היוועדות חזותית, לבקשתו) ובא-כוחו</w:t>
      </w:r>
      <w:r w:rsidR="00824659" w:rsidRPr="00E623BA">
        <w:rPr>
          <w:rFonts w:ascii="Arial" w:hAnsi="Arial" w:hint="cs"/>
          <w:rtl/>
        </w:rPr>
        <w:t>.</w:t>
      </w:r>
    </w:p>
    <w:p w14:paraId="521F9A8F" w14:textId="77777777" w:rsidR="00824659" w:rsidRPr="000F2247" w:rsidRDefault="00824659" w:rsidP="00824659">
      <w:pPr>
        <w:spacing w:line="360" w:lineRule="auto"/>
        <w:jc w:val="both"/>
        <w:rPr>
          <w:rFonts w:ascii="Arial" w:hAnsi="Arial"/>
          <w:b/>
          <w:bCs/>
          <w:sz w:val="26"/>
          <w:szCs w:val="26"/>
          <w:rtl/>
        </w:rPr>
      </w:pPr>
    </w:p>
    <w:p w14:paraId="2179421C" w14:textId="77777777" w:rsidR="00824659" w:rsidRPr="000F2247" w:rsidRDefault="00824659" w:rsidP="00CE5674">
      <w:pPr>
        <w:spacing w:line="360" w:lineRule="auto"/>
        <w:jc w:val="both"/>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3E9DDB3" w14:textId="77777777" w:rsidR="00824659" w:rsidRPr="002414AC" w:rsidRDefault="002414AC" w:rsidP="00824659">
      <w:pPr>
        <w:spacing w:line="360" w:lineRule="auto"/>
        <w:jc w:val="both"/>
        <w:rPr>
          <w:rFonts w:ascii="Arial" w:hAnsi="Arial"/>
          <w:b/>
          <w:bCs/>
          <w:color w:val="FFFFFF"/>
          <w:sz w:val="2"/>
          <w:szCs w:val="2"/>
          <w:rtl/>
        </w:rPr>
      </w:pPr>
      <w:r w:rsidRPr="002414AC">
        <w:rPr>
          <w:rFonts w:ascii="Arial" w:hAnsi="Arial"/>
          <w:b/>
          <w:bCs/>
          <w:color w:val="FFFFFF"/>
          <w:sz w:val="2"/>
          <w:szCs w:val="2"/>
          <w:rtl/>
        </w:rPr>
        <w:t>5129371</w:t>
      </w:r>
    </w:p>
    <w:p w14:paraId="7DEAF856" w14:textId="77777777" w:rsidR="00CE5674" w:rsidRDefault="00CE5674" w:rsidP="00CE5674">
      <w:pPr>
        <w:rPr>
          <w:rtl/>
        </w:rPr>
      </w:pPr>
    </w:p>
    <w:p w14:paraId="3A45F30E" w14:textId="77777777" w:rsidR="00CE5674" w:rsidRDefault="00CE5674" w:rsidP="00CE5674">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88A24A6" w14:textId="77777777" w:rsidR="002414AC" w:rsidRPr="002414AC" w:rsidRDefault="002414AC" w:rsidP="002414AC">
      <w:pPr>
        <w:keepNext/>
        <w:rPr>
          <w:rFonts w:ascii="David" w:hAnsi="David"/>
          <w:color w:val="000000"/>
          <w:sz w:val="22"/>
          <w:szCs w:val="22"/>
          <w:rtl/>
        </w:rPr>
      </w:pPr>
    </w:p>
    <w:p w14:paraId="56ACAF7F" w14:textId="77777777" w:rsidR="002414AC" w:rsidRPr="002414AC" w:rsidRDefault="002414AC" w:rsidP="002414AC">
      <w:pPr>
        <w:keepNext/>
        <w:rPr>
          <w:rFonts w:ascii="David" w:hAnsi="David"/>
          <w:color w:val="000000"/>
          <w:sz w:val="22"/>
          <w:szCs w:val="22"/>
          <w:rtl/>
        </w:rPr>
      </w:pPr>
      <w:r w:rsidRPr="002414AC">
        <w:rPr>
          <w:rFonts w:ascii="David" w:hAnsi="David"/>
          <w:color w:val="000000"/>
          <w:sz w:val="22"/>
          <w:szCs w:val="22"/>
          <w:rtl/>
        </w:rPr>
        <w:t>אביב שרון 54678313-/</w:t>
      </w:r>
    </w:p>
    <w:p w14:paraId="39D58802" w14:textId="77777777" w:rsidR="00CE5674" w:rsidRPr="00CE5674" w:rsidRDefault="002414AC" w:rsidP="002414AC">
      <w:pPr>
        <w:rPr>
          <w:color w:val="0000FF"/>
          <w:u w:val="single"/>
        </w:rPr>
      </w:pPr>
      <w:r w:rsidRPr="002414AC">
        <w:rPr>
          <w:color w:val="000000"/>
          <w:u w:val="single"/>
          <w:rtl/>
        </w:rPr>
        <w:t>נוסח מסמך זה כפוף לשינויי ניסוח ועריכה</w:t>
      </w:r>
    </w:p>
    <w:sectPr w:rsidR="00CE5674" w:rsidRPr="00CE5674" w:rsidSect="002414AC">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F3BE4" w14:textId="77777777" w:rsidR="00273838" w:rsidRDefault="00273838" w:rsidP="004C09EA">
      <w:r>
        <w:separator/>
      </w:r>
    </w:p>
  </w:endnote>
  <w:endnote w:type="continuationSeparator" w:id="0">
    <w:p w14:paraId="0515262D" w14:textId="77777777" w:rsidR="00273838" w:rsidRDefault="00273838" w:rsidP="004C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63A2D" w14:textId="77777777" w:rsidR="002414AC" w:rsidRDefault="002414AC" w:rsidP="002414A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828E2B" w14:textId="77777777" w:rsidR="007A2BB7" w:rsidRPr="002414AC" w:rsidRDefault="002414AC" w:rsidP="002414AC">
    <w:pPr>
      <w:pStyle w:val="a5"/>
      <w:pBdr>
        <w:top w:val="single" w:sz="4" w:space="1" w:color="auto"/>
        <w:between w:val="single" w:sz="4" w:space="0" w:color="auto"/>
      </w:pBdr>
      <w:spacing w:after="60"/>
      <w:jc w:val="center"/>
      <w:rPr>
        <w:rFonts w:ascii="FrankRuehl" w:hAnsi="FrankRuehl" w:cs="FrankRuehl"/>
        <w:color w:val="000000"/>
      </w:rPr>
    </w:pPr>
    <w:r w:rsidRPr="002414A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2E973" w14:textId="77777777" w:rsidR="002414AC" w:rsidRDefault="002414AC" w:rsidP="002414A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6FD3">
      <w:rPr>
        <w:rFonts w:ascii="FrankRuehl" w:hAnsi="FrankRuehl" w:cs="FrankRuehl"/>
        <w:noProof/>
        <w:rtl/>
      </w:rPr>
      <w:t>1</w:t>
    </w:r>
    <w:r>
      <w:rPr>
        <w:rFonts w:ascii="FrankRuehl" w:hAnsi="FrankRuehl" w:cs="FrankRuehl"/>
        <w:rtl/>
      </w:rPr>
      <w:fldChar w:fldCharType="end"/>
    </w:r>
  </w:p>
  <w:p w14:paraId="3AC2E2C7" w14:textId="77777777" w:rsidR="007A2BB7" w:rsidRPr="002414AC" w:rsidRDefault="002414AC" w:rsidP="002414AC">
    <w:pPr>
      <w:pStyle w:val="a5"/>
      <w:pBdr>
        <w:top w:val="single" w:sz="4" w:space="1" w:color="auto"/>
        <w:between w:val="single" w:sz="4" w:space="0" w:color="auto"/>
      </w:pBdr>
      <w:spacing w:after="60"/>
      <w:jc w:val="center"/>
      <w:rPr>
        <w:rFonts w:ascii="FrankRuehl" w:hAnsi="FrankRuehl" w:cs="FrankRuehl"/>
        <w:color w:val="000000"/>
      </w:rPr>
    </w:pPr>
    <w:r w:rsidRPr="002414AC">
      <w:rPr>
        <w:rFonts w:ascii="FrankRuehl" w:hAnsi="FrankRuehl" w:cs="FrankRuehl"/>
        <w:color w:val="000000"/>
      </w:rPr>
      <w:pict w14:anchorId="2C0EA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D0764" w14:textId="77777777" w:rsidR="00273838" w:rsidRDefault="00273838" w:rsidP="004C09EA">
      <w:r>
        <w:separator/>
      </w:r>
    </w:p>
  </w:footnote>
  <w:footnote w:type="continuationSeparator" w:id="0">
    <w:p w14:paraId="597F1486" w14:textId="77777777" w:rsidR="00273838" w:rsidRDefault="00273838" w:rsidP="004C0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DF2E1" w14:textId="77777777" w:rsidR="00CE5674" w:rsidRPr="002414AC" w:rsidRDefault="002414AC" w:rsidP="002414A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33726-11-21</w:t>
    </w:r>
    <w:r>
      <w:rPr>
        <w:rFonts w:ascii="David" w:hAnsi="David"/>
        <w:color w:val="000000"/>
        <w:sz w:val="22"/>
        <w:szCs w:val="22"/>
        <w:rtl/>
      </w:rPr>
      <w:tab/>
      <w:t xml:space="preserve"> מדינת ישראל נ' פראס מסרוואה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5E140" w14:textId="77777777" w:rsidR="00CE5674" w:rsidRPr="002414AC" w:rsidRDefault="002414AC" w:rsidP="002414A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33726-11-21</w:t>
    </w:r>
    <w:r>
      <w:rPr>
        <w:rFonts w:ascii="David" w:hAnsi="David"/>
        <w:color w:val="000000"/>
        <w:sz w:val="22"/>
        <w:szCs w:val="22"/>
        <w:rtl/>
      </w:rPr>
      <w:tab/>
      <w:t xml:space="preserve"> מדינת ישראל נ' פראס מסרוואה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4659"/>
    <w:rsid w:val="001B5A3B"/>
    <w:rsid w:val="002414AC"/>
    <w:rsid w:val="00260FD1"/>
    <w:rsid w:val="00273838"/>
    <w:rsid w:val="00423013"/>
    <w:rsid w:val="004C09EA"/>
    <w:rsid w:val="00622B21"/>
    <w:rsid w:val="006411E1"/>
    <w:rsid w:val="006C6FD3"/>
    <w:rsid w:val="007A2BB7"/>
    <w:rsid w:val="00824659"/>
    <w:rsid w:val="008773D4"/>
    <w:rsid w:val="00B16B3D"/>
    <w:rsid w:val="00CE5674"/>
    <w:rsid w:val="00D46E6B"/>
    <w:rsid w:val="00FC53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D28E5E"/>
  <w15:chartTrackingRefBased/>
  <w15:docId w15:val="{C7CD9F35-A5BD-47D3-8198-7C46B0E0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465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4659"/>
    <w:pPr>
      <w:tabs>
        <w:tab w:val="center" w:pos="4153"/>
        <w:tab w:val="right" w:pos="8306"/>
      </w:tabs>
    </w:pPr>
  </w:style>
  <w:style w:type="character" w:customStyle="1" w:styleId="a4">
    <w:name w:val="כותרת עליונה תו"/>
    <w:link w:val="a3"/>
    <w:rsid w:val="00824659"/>
    <w:rPr>
      <w:rFonts w:ascii="Times New Roman" w:eastAsia="Times New Roman" w:hAnsi="Times New Roman" w:cs="David"/>
      <w:sz w:val="24"/>
      <w:szCs w:val="24"/>
    </w:rPr>
  </w:style>
  <w:style w:type="paragraph" w:styleId="a5">
    <w:name w:val="footer"/>
    <w:basedOn w:val="a"/>
    <w:link w:val="a6"/>
    <w:rsid w:val="00824659"/>
    <w:pPr>
      <w:tabs>
        <w:tab w:val="center" w:pos="4153"/>
        <w:tab w:val="right" w:pos="8306"/>
      </w:tabs>
    </w:pPr>
  </w:style>
  <w:style w:type="character" w:customStyle="1" w:styleId="a6">
    <w:name w:val="כותרת תחתונה תו"/>
    <w:link w:val="a5"/>
    <w:rsid w:val="00824659"/>
    <w:rPr>
      <w:rFonts w:ascii="Times New Roman" w:eastAsia="Times New Roman" w:hAnsi="Times New Roman" w:cs="David"/>
      <w:sz w:val="24"/>
      <w:szCs w:val="24"/>
    </w:rPr>
  </w:style>
  <w:style w:type="table" w:styleId="a7">
    <w:name w:val="Table Grid"/>
    <w:basedOn w:val="a1"/>
    <w:rsid w:val="0082465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24659"/>
  </w:style>
  <w:style w:type="character" w:styleId="Hyperlink">
    <w:name w:val="Hyperlink"/>
    <w:rsid w:val="00CE5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612982" TargetMode="External"/><Relationship Id="rId18" Type="http://schemas.openxmlformats.org/officeDocument/2006/relationships/hyperlink" Target="http://www.nevo.co.il/case/27907602" TargetMode="External"/><Relationship Id="rId26" Type="http://schemas.openxmlformats.org/officeDocument/2006/relationships/hyperlink" Target="http://www.nevo.co.il/case/26520337" TargetMode="External"/><Relationship Id="rId3" Type="http://schemas.openxmlformats.org/officeDocument/2006/relationships/webSettings" Target="webSettings.xml"/><Relationship Id="rId21" Type="http://schemas.openxmlformats.org/officeDocument/2006/relationships/hyperlink" Target="http://www.nevo.co.il/case/27513376" TargetMode="External"/><Relationship Id="rId34" Type="http://schemas.openxmlformats.org/officeDocument/2006/relationships/fontTable" Target="fontTable.xml"/><Relationship Id="rId7"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7115374" TargetMode="External"/><Relationship Id="rId25" Type="http://schemas.openxmlformats.org/officeDocument/2006/relationships/hyperlink" Target="http://www.nevo.co.il/case/27196837"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5890687"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21473454" TargetMode="External"/><Relationship Id="rId23" Type="http://schemas.openxmlformats.org/officeDocument/2006/relationships/hyperlink" Target="http://www.nevo.co.il/case/25623200" TargetMode="External"/><Relationship Id="rId28" Type="http://schemas.openxmlformats.org/officeDocument/2006/relationships/hyperlink" Target="http://www.nevo.co.il/case/27634827"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27207408"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0531134" TargetMode="External"/><Relationship Id="rId22" Type="http://schemas.openxmlformats.org/officeDocument/2006/relationships/hyperlink" Target="http://www.nevo.co.il/case/27510949" TargetMode="External"/><Relationship Id="rId27" Type="http://schemas.openxmlformats.org/officeDocument/2006/relationships/hyperlink" Target="http://www.nevo.co.il/case/25809643"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1957</Words>
  <Characters>9788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11722</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3276920</vt:i4>
      </vt:variant>
      <vt:variant>
        <vt:i4>66</vt:i4>
      </vt:variant>
      <vt:variant>
        <vt:i4>0</vt:i4>
      </vt:variant>
      <vt:variant>
        <vt:i4>5</vt:i4>
      </vt:variant>
      <vt:variant>
        <vt:lpwstr>http://www.nevo.co.il/case/27634827</vt:lpwstr>
      </vt:variant>
      <vt:variant>
        <vt:lpwstr/>
      </vt:variant>
      <vt:variant>
        <vt:i4>3604599</vt:i4>
      </vt:variant>
      <vt:variant>
        <vt:i4>63</vt:i4>
      </vt:variant>
      <vt:variant>
        <vt:i4>0</vt:i4>
      </vt:variant>
      <vt:variant>
        <vt:i4>5</vt:i4>
      </vt:variant>
      <vt:variant>
        <vt:lpwstr>http://www.nevo.co.il/case/25809643</vt:lpwstr>
      </vt:variant>
      <vt:variant>
        <vt:lpwstr/>
      </vt:variant>
      <vt:variant>
        <vt:i4>3407987</vt:i4>
      </vt:variant>
      <vt:variant>
        <vt:i4>60</vt:i4>
      </vt:variant>
      <vt:variant>
        <vt:i4>0</vt:i4>
      </vt:variant>
      <vt:variant>
        <vt:i4>5</vt:i4>
      </vt:variant>
      <vt:variant>
        <vt:lpwstr>http://www.nevo.co.il/case/26520337</vt:lpwstr>
      </vt:variant>
      <vt:variant>
        <vt:lpwstr/>
      </vt:variant>
      <vt:variant>
        <vt:i4>3539058</vt:i4>
      </vt:variant>
      <vt:variant>
        <vt:i4>57</vt:i4>
      </vt:variant>
      <vt:variant>
        <vt:i4>0</vt:i4>
      </vt:variant>
      <vt:variant>
        <vt:i4>5</vt:i4>
      </vt:variant>
      <vt:variant>
        <vt:lpwstr>http://www.nevo.co.il/case/27196837</vt:lpwstr>
      </vt:variant>
      <vt:variant>
        <vt:lpwstr/>
      </vt:variant>
      <vt:variant>
        <vt:i4>3276926</vt:i4>
      </vt:variant>
      <vt:variant>
        <vt:i4>54</vt:i4>
      </vt:variant>
      <vt:variant>
        <vt:i4>0</vt:i4>
      </vt:variant>
      <vt:variant>
        <vt:i4>5</vt:i4>
      </vt:variant>
      <vt:variant>
        <vt:lpwstr>http://www.nevo.co.il/case/25890687</vt:lpwstr>
      </vt:variant>
      <vt:variant>
        <vt:lpwstr/>
      </vt:variant>
      <vt:variant>
        <vt:i4>3604593</vt:i4>
      </vt:variant>
      <vt:variant>
        <vt:i4>51</vt:i4>
      </vt:variant>
      <vt:variant>
        <vt:i4>0</vt:i4>
      </vt:variant>
      <vt:variant>
        <vt:i4>5</vt:i4>
      </vt:variant>
      <vt:variant>
        <vt:lpwstr>http://www.nevo.co.il/case/25623200</vt:lpwstr>
      </vt:variant>
      <vt:variant>
        <vt:lpwstr/>
      </vt:variant>
      <vt:variant>
        <vt:i4>3342459</vt:i4>
      </vt:variant>
      <vt:variant>
        <vt:i4>48</vt:i4>
      </vt:variant>
      <vt:variant>
        <vt:i4>0</vt:i4>
      </vt:variant>
      <vt:variant>
        <vt:i4>5</vt:i4>
      </vt:variant>
      <vt:variant>
        <vt:lpwstr>http://www.nevo.co.il/case/27510949</vt:lpwstr>
      </vt:variant>
      <vt:variant>
        <vt:lpwstr/>
      </vt:variant>
      <vt:variant>
        <vt:i4>3342449</vt:i4>
      </vt:variant>
      <vt:variant>
        <vt:i4>45</vt:i4>
      </vt:variant>
      <vt:variant>
        <vt:i4>0</vt:i4>
      </vt:variant>
      <vt:variant>
        <vt:i4>5</vt:i4>
      </vt:variant>
      <vt:variant>
        <vt:lpwstr>http://www.nevo.co.il/case/27513376</vt:lpwstr>
      </vt:variant>
      <vt:variant>
        <vt:lpwstr/>
      </vt:variant>
      <vt:variant>
        <vt:i4>7995492</vt:i4>
      </vt:variant>
      <vt:variant>
        <vt:i4>42</vt:i4>
      </vt:variant>
      <vt:variant>
        <vt:i4>0</vt:i4>
      </vt:variant>
      <vt:variant>
        <vt:i4>5</vt:i4>
      </vt:variant>
      <vt:variant>
        <vt:lpwstr>http://www.nevo.co.il/law/70301</vt:lpwstr>
      </vt:variant>
      <vt:variant>
        <vt:lpwstr/>
      </vt:variant>
      <vt:variant>
        <vt:i4>3604599</vt:i4>
      </vt:variant>
      <vt:variant>
        <vt:i4>39</vt:i4>
      </vt:variant>
      <vt:variant>
        <vt:i4>0</vt:i4>
      </vt:variant>
      <vt:variant>
        <vt:i4>5</vt:i4>
      </vt:variant>
      <vt:variant>
        <vt:lpwstr>http://www.nevo.co.il/case/27207408</vt:lpwstr>
      </vt:variant>
      <vt:variant>
        <vt:lpwstr/>
      </vt:variant>
      <vt:variant>
        <vt:i4>3932277</vt:i4>
      </vt:variant>
      <vt:variant>
        <vt:i4>36</vt:i4>
      </vt:variant>
      <vt:variant>
        <vt:i4>0</vt:i4>
      </vt:variant>
      <vt:variant>
        <vt:i4>5</vt:i4>
      </vt:variant>
      <vt:variant>
        <vt:lpwstr>http://www.nevo.co.il/case/27907602</vt:lpwstr>
      </vt:variant>
      <vt:variant>
        <vt:lpwstr/>
      </vt:variant>
      <vt:variant>
        <vt:i4>3211377</vt:i4>
      </vt:variant>
      <vt:variant>
        <vt:i4>33</vt:i4>
      </vt:variant>
      <vt:variant>
        <vt:i4>0</vt:i4>
      </vt:variant>
      <vt:variant>
        <vt:i4>5</vt:i4>
      </vt:variant>
      <vt:variant>
        <vt:lpwstr>http://www.nevo.co.il/case/27115374</vt:lpwstr>
      </vt:variant>
      <vt:variant>
        <vt:lpwstr/>
      </vt:variant>
      <vt:variant>
        <vt:i4>7995492</vt:i4>
      </vt:variant>
      <vt:variant>
        <vt:i4>30</vt:i4>
      </vt:variant>
      <vt:variant>
        <vt:i4>0</vt:i4>
      </vt:variant>
      <vt:variant>
        <vt:i4>5</vt:i4>
      </vt:variant>
      <vt:variant>
        <vt:lpwstr>http://www.nevo.co.il/law/70301</vt:lpwstr>
      </vt:variant>
      <vt:variant>
        <vt:lpwstr/>
      </vt:variant>
      <vt:variant>
        <vt:i4>3145846</vt:i4>
      </vt:variant>
      <vt:variant>
        <vt:i4>27</vt:i4>
      </vt:variant>
      <vt:variant>
        <vt:i4>0</vt:i4>
      </vt:variant>
      <vt:variant>
        <vt:i4>5</vt:i4>
      </vt:variant>
      <vt:variant>
        <vt:lpwstr>http://www.nevo.co.il/case/21473454</vt:lpwstr>
      </vt:variant>
      <vt:variant>
        <vt:lpwstr/>
      </vt:variant>
      <vt:variant>
        <vt:i4>3473526</vt:i4>
      </vt:variant>
      <vt:variant>
        <vt:i4>24</vt:i4>
      </vt:variant>
      <vt:variant>
        <vt:i4>0</vt:i4>
      </vt:variant>
      <vt:variant>
        <vt:i4>5</vt:i4>
      </vt:variant>
      <vt:variant>
        <vt:lpwstr>http://www.nevo.co.il/case/20531134</vt:lpwstr>
      </vt:variant>
      <vt:variant>
        <vt:lpwstr/>
      </vt:variant>
      <vt:variant>
        <vt:i4>4063353</vt:i4>
      </vt:variant>
      <vt:variant>
        <vt:i4>21</vt:i4>
      </vt:variant>
      <vt:variant>
        <vt:i4>0</vt:i4>
      </vt:variant>
      <vt:variant>
        <vt:i4>5</vt:i4>
      </vt:variant>
      <vt:variant>
        <vt:lpwstr>http://www.nevo.co.il/case/25612982</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2025-01-19T17:48:00Z</dcterms:created>
  <dcterms:modified xsi:type="dcterms:W3CDTF">2025-01-19T17:48:00Z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33726</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פראס מסרוואה</vt:lpwstr>
  </property>
  <property fmtid="{D5CDD505-2E9C-101B-9397-08002B2CF9AE}" pid="10" name="LAWYER">
    <vt:lpwstr>אוריה תוהמי;שי טובים</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20220209</vt:lpwstr>
  </property>
  <property fmtid="{D5CDD505-2E9C-101B-9397-08002B2CF9AE}" pid="14" name="TYPE_N_DATE">
    <vt:lpwstr>38020220209</vt:lpwstr>
  </property>
  <property fmtid="{D5CDD505-2E9C-101B-9397-08002B2CF9AE}" pid="15" name="WORDNUMPAGES">
    <vt:lpwstr>6</vt:lpwstr>
  </property>
  <property fmtid="{D5CDD505-2E9C-101B-9397-08002B2CF9AE}" pid="16" name="TYPE_ABS_DATE">
    <vt:lpwstr>380020220209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25612982;20531134;21473454;27115374;27907602;27207408;27513376;27510949;25623200;25890687;27196837;26520337;25809643;27634827</vt:lpwstr>
  </property>
  <property fmtid="{D5CDD505-2E9C-101B-9397-08002B2CF9AE}" pid="36" name="LAWLISTTMP1">
    <vt:lpwstr>70301/144.a:2</vt:lpwstr>
  </property>
</Properties>
</file>