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C1CDA" w:rsidRPr="003A39FE" w14:paraId="4C7BC844" w14:textId="77777777" w:rsidTr="00872C1C">
        <w:trPr>
          <w:trHeight w:hRule="exact" w:val="418"/>
          <w:jc w:val="center"/>
        </w:trPr>
        <w:tc>
          <w:tcPr>
            <w:tcW w:w="8721" w:type="dxa"/>
            <w:gridSpan w:val="2"/>
          </w:tcPr>
          <w:p w14:paraId="43B9DDB9" w14:textId="77777777" w:rsidR="00EC1CDA" w:rsidRPr="003A39FE" w:rsidRDefault="00EC1CDA" w:rsidP="00945564">
            <w:pPr>
              <w:pStyle w:val="a3"/>
              <w:jc w:val="center"/>
              <w:rPr>
                <w:rFonts w:ascii="Tahoma" w:hAnsi="Tahoma" w:cs="Tahoma"/>
                <w:color w:val="000080"/>
                <w:rtl/>
              </w:rPr>
            </w:pPr>
            <w:bookmarkStart w:id="0" w:name="LastJudge"/>
            <w:r w:rsidRPr="003A39FE">
              <w:rPr>
                <w:rFonts w:ascii="Tahoma" w:hAnsi="Tahoma" w:cs="Tahoma"/>
                <w:b/>
                <w:bCs/>
                <w:color w:val="000080"/>
                <w:rtl/>
              </w:rPr>
              <w:t>בית משפט השלום בירושלים</w:t>
            </w:r>
          </w:p>
        </w:tc>
      </w:tr>
      <w:tr w:rsidR="00EC1CDA" w:rsidRPr="003A39FE" w14:paraId="389DAF15" w14:textId="77777777" w:rsidTr="00872C1C">
        <w:trPr>
          <w:trHeight w:val="337"/>
          <w:jc w:val="center"/>
        </w:trPr>
        <w:tc>
          <w:tcPr>
            <w:tcW w:w="5054" w:type="dxa"/>
          </w:tcPr>
          <w:p w14:paraId="43BEAC2C" w14:textId="77777777" w:rsidR="00EC1CDA" w:rsidRPr="003A39FE" w:rsidRDefault="00EC1CDA" w:rsidP="00945564">
            <w:pPr>
              <w:rPr>
                <w:rFonts w:cs="FrankRuehl"/>
                <w:sz w:val="28"/>
                <w:szCs w:val="28"/>
                <w:rtl/>
              </w:rPr>
            </w:pPr>
            <w:r w:rsidRPr="003A39FE">
              <w:rPr>
                <w:rFonts w:cs="FrankRuehl"/>
                <w:sz w:val="28"/>
                <w:szCs w:val="28"/>
                <w:rtl/>
              </w:rPr>
              <w:t>ת"פ</w:t>
            </w:r>
            <w:r w:rsidRPr="003A39FE">
              <w:rPr>
                <w:rFonts w:cs="FrankRuehl" w:hint="cs"/>
                <w:sz w:val="28"/>
                <w:szCs w:val="28"/>
                <w:rtl/>
              </w:rPr>
              <w:t xml:space="preserve"> </w:t>
            </w:r>
            <w:r w:rsidRPr="003A39FE">
              <w:rPr>
                <w:rFonts w:cs="FrankRuehl"/>
                <w:sz w:val="28"/>
                <w:szCs w:val="28"/>
                <w:rtl/>
              </w:rPr>
              <w:t>5032-11-21</w:t>
            </w:r>
            <w:r w:rsidRPr="003A39FE">
              <w:rPr>
                <w:rFonts w:cs="FrankRuehl" w:hint="cs"/>
                <w:sz w:val="28"/>
                <w:szCs w:val="28"/>
                <w:rtl/>
              </w:rPr>
              <w:t xml:space="preserve"> </w:t>
            </w:r>
            <w:r w:rsidRPr="003A39FE">
              <w:rPr>
                <w:rFonts w:cs="FrankRuehl"/>
                <w:sz w:val="28"/>
                <w:szCs w:val="28"/>
                <w:rtl/>
              </w:rPr>
              <w:t>מדינת ישראל נ' עודה</w:t>
            </w:r>
          </w:p>
          <w:p w14:paraId="04DFFB2A" w14:textId="77777777" w:rsidR="00EC1CDA" w:rsidRPr="003A39FE" w:rsidRDefault="00EC1CDA" w:rsidP="00945564">
            <w:pPr>
              <w:pStyle w:val="a3"/>
              <w:rPr>
                <w:rFonts w:cs="FrankRuehl"/>
                <w:sz w:val="28"/>
                <w:szCs w:val="28"/>
                <w:rtl/>
              </w:rPr>
            </w:pPr>
          </w:p>
        </w:tc>
        <w:tc>
          <w:tcPr>
            <w:tcW w:w="3667" w:type="dxa"/>
          </w:tcPr>
          <w:p w14:paraId="1FB3324E" w14:textId="77777777" w:rsidR="00EC1CDA" w:rsidRPr="003A39FE" w:rsidRDefault="00EC1CDA" w:rsidP="00945564">
            <w:pPr>
              <w:pStyle w:val="a3"/>
              <w:jc w:val="right"/>
              <w:rPr>
                <w:rFonts w:cs="FrankRuehl"/>
                <w:sz w:val="28"/>
                <w:szCs w:val="28"/>
                <w:rtl/>
              </w:rPr>
            </w:pPr>
          </w:p>
        </w:tc>
      </w:tr>
    </w:tbl>
    <w:p w14:paraId="14527CD1" w14:textId="77777777" w:rsidR="00EC1CDA" w:rsidRPr="003A39FE" w:rsidRDefault="00EC1CDA" w:rsidP="00EC1CDA">
      <w:pPr>
        <w:pStyle w:val="a3"/>
        <w:rPr>
          <w:rtl/>
        </w:rPr>
      </w:pPr>
      <w:r w:rsidRPr="003A39FE">
        <w:rPr>
          <w:rFonts w:hint="cs"/>
          <w:rtl/>
        </w:rPr>
        <w:t xml:space="preserve"> </w:t>
      </w:r>
    </w:p>
    <w:p w14:paraId="3B8B1CA4" w14:textId="77777777" w:rsidR="00EC1CDA" w:rsidRPr="003A39FE" w:rsidRDefault="00EC1CDA" w:rsidP="00EC1CDA">
      <w:pPr>
        <w:rPr>
          <w:rtl/>
        </w:rPr>
      </w:pPr>
    </w:p>
    <w:p w14:paraId="62D69AB0" w14:textId="77777777" w:rsidR="00EC1CDA" w:rsidRPr="003A39FE" w:rsidRDefault="00EC1CDA" w:rsidP="00EC1CD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EC1CDA" w:rsidRPr="003A39FE" w14:paraId="37370279" w14:textId="77777777" w:rsidTr="00EC1CDA">
        <w:trPr>
          <w:trHeight w:val="295"/>
          <w:jc w:val="center"/>
        </w:trPr>
        <w:tc>
          <w:tcPr>
            <w:tcW w:w="923" w:type="dxa"/>
            <w:tcBorders>
              <w:top w:val="nil"/>
              <w:left w:val="nil"/>
              <w:bottom w:val="nil"/>
              <w:right w:val="nil"/>
            </w:tcBorders>
            <w:shd w:val="clear" w:color="auto" w:fill="auto"/>
          </w:tcPr>
          <w:p w14:paraId="5DF94D58" w14:textId="77777777" w:rsidR="00EC1CDA" w:rsidRPr="003A39FE" w:rsidRDefault="00EC1CDA" w:rsidP="00EC1CDA">
            <w:pPr>
              <w:jc w:val="both"/>
              <w:rPr>
                <w:rFonts w:ascii="David" w:hAnsi="David"/>
              </w:rPr>
            </w:pPr>
            <w:r w:rsidRPr="003A39FE">
              <w:rPr>
                <w:rFonts w:ascii="David" w:hAnsi="David" w:hint="cs"/>
                <w:rtl/>
              </w:rPr>
              <w:t>ל</w:t>
            </w:r>
            <w:r w:rsidRPr="003A39FE">
              <w:rPr>
                <w:rFonts w:ascii="David" w:hAnsi="David"/>
                <w:rtl/>
              </w:rPr>
              <w:t xml:space="preserve">פני </w:t>
            </w:r>
          </w:p>
        </w:tc>
        <w:tc>
          <w:tcPr>
            <w:tcW w:w="7897" w:type="dxa"/>
            <w:gridSpan w:val="2"/>
            <w:tcBorders>
              <w:top w:val="nil"/>
              <w:left w:val="nil"/>
              <w:bottom w:val="nil"/>
              <w:right w:val="nil"/>
            </w:tcBorders>
            <w:shd w:val="clear" w:color="auto" w:fill="auto"/>
          </w:tcPr>
          <w:p w14:paraId="40190907" w14:textId="77777777" w:rsidR="00EC1CDA" w:rsidRPr="003A39FE" w:rsidRDefault="00EC1CDA" w:rsidP="00945564">
            <w:pPr>
              <w:rPr>
                <w:rFonts w:ascii="David" w:hAnsi="David"/>
                <w:b/>
                <w:bCs/>
                <w:rtl/>
              </w:rPr>
            </w:pPr>
            <w:r w:rsidRPr="003A39FE">
              <w:rPr>
                <w:rFonts w:ascii="David" w:hAnsi="David"/>
                <w:b/>
                <w:bCs/>
                <w:rtl/>
              </w:rPr>
              <w:t>כבוד השופט  ארנון איתן</w:t>
            </w:r>
          </w:p>
          <w:p w14:paraId="1B7C2624" w14:textId="77777777" w:rsidR="00EC1CDA" w:rsidRPr="003A39FE" w:rsidRDefault="00EC1CDA" w:rsidP="00945564">
            <w:pPr>
              <w:rPr>
                <w:rFonts w:ascii="David" w:hAnsi="David"/>
                <w:rtl/>
              </w:rPr>
            </w:pPr>
          </w:p>
          <w:p w14:paraId="04CFE955" w14:textId="77777777" w:rsidR="00EC1CDA" w:rsidRPr="003A39FE" w:rsidRDefault="00EC1CDA" w:rsidP="00EC1CDA">
            <w:pPr>
              <w:jc w:val="both"/>
              <w:rPr>
                <w:rFonts w:ascii="David" w:hAnsi="David"/>
              </w:rPr>
            </w:pPr>
          </w:p>
        </w:tc>
      </w:tr>
      <w:tr w:rsidR="00EC1CDA" w:rsidRPr="003A39FE" w14:paraId="3E1DCA40" w14:textId="77777777" w:rsidTr="00EC1CDA">
        <w:trPr>
          <w:trHeight w:val="355"/>
          <w:jc w:val="center"/>
        </w:trPr>
        <w:tc>
          <w:tcPr>
            <w:tcW w:w="923" w:type="dxa"/>
            <w:tcBorders>
              <w:top w:val="nil"/>
              <w:left w:val="nil"/>
              <w:bottom w:val="nil"/>
              <w:right w:val="nil"/>
            </w:tcBorders>
            <w:shd w:val="clear" w:color="auto" w:fill="auto"/>
          </w:tcPr>
          <w:p w14:paraId="5466B652" w14:textId="77777777" w:rsidR="00EC1CDA" w:rsidRPr="003A39FE" w:rsidRDefault="00EC1CDA" w:rsidP="00EC1CDA">
            <w:pPr>
              <w:jc w:val="both"/>
              <w:rPr>
                <w:rFonts w:ascii="David" w:hAnsi="David"/>
              </w:rPr>
            </w:pPr>
            <w:bookmarkStart w:id="1" w:name="FirstAppellant"/>
            <w:r w:rsidRPr="003A39FE">
              <w:rPr>
                <w:rFonts w:ascii="David" w:hAnsi="David"/>
                <w:rtl/>
              </w:rPr>
              <w:t>בעניין:</w:t>
            </w:r>
          </w:p>
        </w:tc>
        <w:tc>
          <w:tcPr>
            <w:tcW w:w="3219" w:type="dxa"/>
            <w:tcBorders>
              <w:top w:val="nil"/>
              <w:left w:val="nil"/>
              <w:bottom w:val="nil"/>
              <w:right w:val="nil"/>
            </w:tcBorders>
            <w:shd w:val="clear" w:color="auto" w:fill="auto"/>
          </w:tcPr>
          <w:p w14:paraId="036D43E1" w14:textId="77777777" w:rsidR="00EC1CDA" w:rsidRPr="003A39FE" w:rsidRDefault="00EC1CDA" w:rsidP="00EC1CDA">
            <w:pPr>
              <w:suppressLineNumbers/>
            </w:pPr>
            <w:r w:rsidRPr="003A39FE">
              <w:rPr>
                <w:rFonts w:ascii="Arial" w:hAnsi="Arial" w:hint="cs"/>
                <w:b/>
                <w:bCs/>
                <w:rtl/>
              </w:rPr>
              <w:t>ה</w:t>
            </w:r>
            <w:r w:rsidRPr="003A39FE">
              <w:rPr>
                <w:rFonts w:ascii="Arial" w:hAnsi="Arial"/>
                <w:b/>
                <w:bCs/>
                <w:rtl/>
              </w:rPr>
              <w:t>מאשימה</w:t>
            </w:r>
          </w:p>
          <w:p w14:paraId="11D1CB49" w14:textId="77777777" w:rsidR="00EC1CDA" w:rsidRPr="003A39FE" w:rsidRDefault="00EC1CDA" w:rsidP="00945564">
            <w:pPr>
              <w:rPr>
                <w:rFonts w:ascii="David" w:hAnsi="David"/>
              </w:rPr>
            </w:pPr>
          </w:p>
        </w:tc>
        <w:tc>
          <w:tcPr>
            <w:tcW w:w="4678" w:type="dxa"/>
            <w:tcBorders>
              <w:top w:val="nil"/>
              <w:left w:val="nil"/>
              <w:bottom w:val="nil"/>
              <w:right w:val="nil"/>
            </w:tcBorders>
            <w:shd w:val="clear" w:color="auto" w:fill="auto"/>
            <w:vAlign w:val="center"/>
          </w:tcPr>
          <w:p w14:paraId="38705A01" w14:textId="77777777" w:rsidR="00EC1CDA" w:rsidRPr="003A39FE" w:rsidRDefault="00EC1CDA" w:rsidP="00EC1CDA">
            <w:pPr>
              <w:suppressLineNumbers/>
              <w:rPr>
                <w:rFonts w:ascii="Arial" w:hAnsi="Arial"/>
                <w:b/>
                <w:bCs/>
                <w:rtl/>
              </w:rPr>
            </w:pPr>
            <w:r w:rsidRPr="003A39FE">
              <w:rPr>
                <w:rFonts w:ascii="Arial" w:hAnsi="Arial"/>
                <w:b/>
                <w:bCs/>
                <w:rtl/>
              </w:rPr>
              <w:t>מדינת ישראל</w:t>
            </w:r>
            <w:r w:rsidRPr="003A39FE">
              <w:rPr>
                <w:rFonts w:ascii="Arial" w:hAnsi="Arial" w:hint="cs"/>
                <w:b/>
                <w:bCs/>
                <w:rtl/>
              </w:rPr>
              <w:t xml:space="preserve"> </w:t>
            </w:r>
          </w:p>
          <w:p w14:paraId="4939B1D4" w14:textId="77777777" w:rsidR="00EC1CDA" w:rsidRPr="003A39FE" w:rsidRDefault="00EC1CDA" w:rsidP="00EC1CDA">
            <w:pPr>
              <w:suppressLineNumbers/>
            </w:pPr>
            <w:r w:rsidRPr="003A39FE">
              <w:rPr>
                <w:rFonts w:ascii="Arial" w:hAnsi="Arial" w:hint="cs"/>
                <w:rtl/>
              </w:rPr>
              <w:t>באמצעות פרקליטות מחוז ירושלים</w:t>
            </w:r>
          </w:p>
          <w:p w14:paraId="4567E736" w14:textId="77777777" w:rsidR="00EC1CDA" w:rsidRPr="003A39FE" w:rsidRDefault="00EC1CDA" w:rsidP="00945564">
            <w:pPr>
              <w:rPr>
                <w:rFonts w:ascii="David" w:hAnsi="David"/>
              </w:rPr>
            </w:pPr>
          </w:p>
        </w:tc>
      </w:tr>
      <w:bookmarkEnd w:id="1"/>
      <w:tr w:rsidR="00EC1CDA" w:rsidRPr="003A39FE" w14:paraId="205B770F" w14:textId="77777777" w:rsidTr="00EC1CDA">
        <w:trPr>
          <w:trHeight w:val="355"/>
          <w:jc w:val="center"/>
        </w:trPr>
        <w:tc>
          <w:tcPr>
            <w:tcW w:w="923" w:type="dxa"/>
            <w:tcBorders>
              <w:top w:val="nil"/>
              <w:left w:val="nil"/>
              <w:bottom w:val="nil"/>
              <w:right w:val="nil"/>
            </w:tcBorders>
            <w:shd w:val="clear" w:color="auto" w:fill="auto"/>
          </w:tcPr>
          <w:p w14:paraId="17E4C59B" w14:textId="77777777" w:rsidR="00EC1CDA" w:rsidRPr="003A39FE" w:rsidRDefault="00EC1CDA" w:rsidP="00EC1CDA">
            <w:pPr>
              <w:jc w:val="both"/>
              <w:rPr>
                <w:rFonts w:ascii="David" w:hAnsi="David"/>
                <w:rtl/>
              </w:rPr>
            </w:pPr>
          </w:p>
        </w:tc>
        <w:tc>
          <w:tcPr>
            <w:tcW w:w="7897" w:type="dxa"/>
            <w:gridSpan w:val="2"/>
            <w:tcBorders>
              <w:top w:val="nil"/>
              <w:left w:val="nil"/>
              <w:bottom w:val="nil"/>
              <w:right w:val="nil"/>
            </w:tcBorders>
            <w:shd w:val="clear" w:color="auto" w:fill="auto"/>
          </w:tcPr>
          <w:p w14:paraId="3E7D824E" w14:textId="77777777" w:rsidR="00EC1CDA" w:rsidRPr="003A39FE" w:rsidRDefault="00EC1CDA" w:rsidP="00EC1CDA">
            <w:pPr>
              <w:jc w:val="center"/>
              <w:rPr>
                <w:rFonts w:ascii="David" w:hAnsi="David"/>
                <w:b/>
                <w:bCs/>
                <w:rtl/>
              </w:rPr>
            </w:pPr>
          </w:p>
          <w:p w14:paraId="6FFCD09C" w14:textId="77777777" w:rsidR="00EC1CDA" w:rsidRPr="003A39FE" w:rsidRDefault="00EC1CDA" w:rsidP="00EC1CDA">
            <w:pPr>
              <w:jc w:val="center"/>
              <w:rPr>
                <w:rFonts w:ascii="David" w:hAnsi="David"/>
                <w:b/>
                <w:bCs/>
                <w:rtl/>
              </w:rPr>
            </w:pPr>
            <w:r w:rsidRPr="003A39FE">
              <w:rPr>
                <w:rFonts w:ascii="David" w:hAnsi="David"/>
                <w:b/>
                <w:bCs/>
                <w:rtl/>
              </w:rPr>
              <w:t>נגד</w:t>
            </w:r>
          </w:p>
          <w:p w14:paraId="50DBEE8D" w14:textId="77777777" w:rsidR="00EC1CDA" w:rsidRPr="003A39FE" w:rsidRDefault="00EC1CDA" w:rsidP="00EC1CDA">
            <w:pPr>
              <w:jc w:val="both"/>
              <w:rPr>
                <w:rFonts w:ascii="David" w:hAnsi="David"/>
              </w:rPr>
            </w:pPr>
          </w:p>
        </w:tc>
      </w:tr>
      <w:tr w:rsidR="00EC1CDA" w:rsidRPr="003A39FE" w14:paraId="17B66F5F" w14:textId="77777777" w:rsidTr="00EC1CDA">
        <w:trPr>
          <w:trHeight w:val="355"/>
          <w:jc w:val="center"/>
        </w:trPr>
        <w:tc>
          <w:tcPr>
            <w:tcW w:w="923" w:type="dxa"/>
            <w:tcBorders>
              <w:top w:val="nil"/>
              <w:left w:val="nil"/>
              <w:bottom w:val="nil"/>
              <w:right w:val="nil"/>
            </w:tcBorders>
            <w:shd w:val="clear" w:color="auto" w:fill="auto"/>
          </w:tcPr>
          <w:p w14:paraId="6FF33A23" w14:textId="77777777" w:rsidR="00EC1CDA" w:rsidRPr="003A39FE" w:rsidRDefault="00EC1CDA" w:rsidP="00945564">
            <w:pPr>
              <w:rPr>
                <w:rFonts w:ascii="David" w:hAnsi="David"/>
                <w:rtl/>
              </w:rPr>
            </w:pPr>
            <w:bookmarkStart w:id="2" w:name="FirstLawyer"/>
          </w:p>
        </w:tc>
        <w:tc>
          <w:tcPr>
            <w:tcW w:w="3219" w:type="dxa"/>
            <w:tcBorders>
              <w:top w:val="nil"/>
              <w:left w:val="nil"/>
              <w:bottom w:val="nil"/>
              <w:right w:val="nil"/>
            </w:tcBorders>
            <w:shd w:val="clear" w:color="auto" w:fill="auto"/>
          </w:tcPr>
          <w:p w14:paraId="610A39B0" w14:textId="77777777" w:rsidR="00EC1CDA" w:rsidRPr="003A39FE" w:rsidRDefault="00EC1CDA" w:rsidP="00945564">
            <w:pPr>
              <w:rPr>
                <w:rFonts w:ascii="Arial" w:hAnsi="Arial"/>
                <w:b/>
                <w:bCs/>
                <w:rtl/>
              </w:rPr>
            </w:pPr>
            <w:r w:rsidRPr="003A39FE">
              <w:rPr>
                <w:rFonts w:ascii="Arial" w:hAnsi="Arial"/>
                <w:b/>
                <w:bCs/>
                <w:rtl/>
              </w:rPr>
              <w:t>הנאשם</w:t>
            </w:r>
          </w:p>
        </w:tc>
        <w:tc>
          <w:tcPr>
            <w:tcW w:w="4678" w:type="dxa"/>
            <w:tcBorders>
              <w:top w:val="nil"/>
              <w:left w:val="nil"/>
              <w:bottom w:val="nil"/>
              <w:right w:val="nil"/>
            </w:tcBorders>
            <w:shd w:val="clear" w:color="auto" w:fill="auto"/>
            <w:vAlign w:val="center"/>
          </w:tcPr>
          <w:p w14:paraId="60540135" w14:textId="77777777" w:rsidR="00EC1CDA" w:rsidRPr="003A39FE" w:rsidRDefault="00EC1CDA" w:rsidP="00EC1CDA">
            <w:pPr>
              <w:suppressLineNumbers/>
              <w:rPr>
                <w:rFonts w:ascii="Arial" w:hAnsi="Arial"/>
                <w:b/>
                <w:bCs/>
                <w:rtl/>
              </w:rPr>
            </w:pPr>
            <w:r w:rsidRPr="003A39FE">
              <w:rPr>
                <w:rFonts w:ascii="Arial" w:hAnsi="Arial"/>
                <w:b/>
                <w:bCs/>
                <w:rtl/>
              </w:rPr>
              <w:t>עלי עודה</w:t>
            </w:r>
            <w:r w:rsidRPr="003A39FE">
              <w:rPr>
                <w:rFonts w:ascii="Arial" w:hAnsi="Arial" w:hint="cs"/>
                <w:b/>
                <w:bCs/>
                <w:rtl/>
              </w:rPr>
              <w:t xml:space="preserve"> </w:t>
            </w:r>
          </w:p>
          <w:p w14:paraId="11BF3A27" w14:textId="77777777" w:rsidR="00EC1CDA" w:rsidRPr="003A39FE" w:rsidRDefault="00EC1CDA" w:rsidP="00EC1CDA">
            <w:pPr>
              <w:suppressLineNumbers/>
            </w:pPr>
            <w:r w:rsidRPr="003A39FE">
              <w:rPr>
                <w:rFonts w:ascii="Arial" w:hAnsi="Arial"/>
                <w:rtl/>
              </w:rPr>
              <w:t>ע"י ב"כ עוה"ד</w:t>
            </w:r>
            <w:r w:rsidRPr="003A39FE">
              <w:rPr>
                <w:rFonts w:ascii="Arial" w:hAnsi="Arial" w:hint="cs"/>
                <w:rtl/>
              </w:rPr>
              <w:t xml:space="preserve"> חאלד אזברגה</w:t>
            </w:r>
          </w:p>
          <w:p w14:paraId="7026B338" w14:textId="77777777" w:rsidR="00EC1CDA" w:rsidRPr="003A39FE" w:rsidRDefault="00EC1CDA" w:rsidP="00945564">
            <w:pPr>
              <w:rPr>
                <w:rFonts w:ascii="David" w:hAnsi="David"/>
              </w:rPr>
            </w:pPr>
          </w:p>
        </w:tc>
      </w:tr>
      <w:bookmarkEnd w:id="2"/>
    </w:tbl>
    <w:p w14:paraId="4CDB4516" w14:textId="77777777" w:rsidR="003A39FE" w:rsidRPr="003A39FE" w:rsidRDefault="003A39FE" w:rsidP="003A39FE">
      <w:pPr>
        <w:spacing w:before="120" w:after="120" w:line="240" w:lineRule="exact"/>
        <w:ind w:left="283" w:hanging="283"/>
        <w:jc w:val="both"/>
        <w:rPr>
          <w:rFonts w:ascii="FrankRuehl" w:hAnsi="FrankRuehl" w:cs="FrankRuehl"/>
          <w:rtl/>
        </w:rPr>
      </w:pPr>
    </w:p>
    <w:p w14:paraId="12F631F7" w14:textId="77777777" w:rsidR="00872C1C" w:rsidRPr="00872C1C" w:rsidRDefault="00872C1C" w:rsidP="00872C1C">
      <w:pPr>
        <w:spacing w:before="120" w:after="120" w:line="240" w:lineRule="exact"/>
        <w:ind w:left="283" w:hanging="283"/>
        <w:jc w:val="both"/>
        <w:rPr>
          <w:rFonts w:ascii="FrankRuehl" w:hAnsi="FrankRuehl" w:cs="FrankRuehl"/>
          <w:rtl/>
        </w:rPr>
      </w:pPr>
      <w:bookmarkStart w:id="3" w:name="LawTable"/>
      <w:bookmarkEnd w:id="3"/>
      <w:r w:rsidRPr="00872C1C">
        <w:rPr>
          <w:rFonts w:ascii="FrankRuehl" w:hAnsi="FrankRuehl" w:cs="FrankRuehl"/>
          <w:rtl/>
        </w:rPr>
        <w:t xml:space="preserve">חקיקה שאוזכרה: </w:t>
      </w:r>
    </w:p>
    <w:p w14:paraId="09E78376" w14:textId="77777777" w:rsidR="00872C1C" w:rsidRPr="00872C1C" w:rsidRDefault="00872C1C" w:rsidP="00872C1C">
      <w:pPr>
        <w:spacing w:before="120" w:after="120" w:line="240" w:lineRule="exact"/>
        <w:ind w:left="283" w:hanging="283"/>
        <w:jc w:val="both"/>
        <w:rPr>
          <w:rFonts w:ascii="FrankRuehl" w:hAnsi="FrankRuehl" w:cs="FrankRuehl"/>
          <w:color w:val="0000FF"/>
          <w:rtl/>
        </w:rPr>
      </w:pPr>
      <w:hyperlink r:id="rId7" w:history="1">
        <w:r w:rsidRPr="00872C1C">
          <w:rPr>
            <w:rStyle w:val="Hyperlink"/>
            <w:rFonts w:ascii="FrankRuehl" w:hAnsi="FrankRuehl" w:cs="FrankRuehl"/>
            <w:u w:val="none"/>
            <w:rtl/>
          </w:rPr>
          <w:t>חוק העונשין, תשל"ז-1977</w:t>
        </w:r>
      </w:hyperlink>
      <w:r w:rsidRPr="00872C1C">
        <w:rPr>
          <w:rFonts w:ascii="FrankRuehl" w:hAnsi="FrankRuehl" w:cs="FrankRuehl"/>
          <w:color w:val="0000FF"/>
          <w:rtl/>
        </w:rPr>
        <w:t xml:space="preserve">: סע'  </w:t>
      </w:r>
      <w:hyperlink r:id="rId8" w:history="1">
        <w:r w:rsidRPr="00872C1C">
          <w:rPr>
            <w:rStyle w:val="Hyperlink"/>
            <w:rFonts w:ascii="FrankRuehl" w:hAnsi="FrankRuehl" w:cs="FrankRuehl"/>
            <w:u w:val="none"/>
          </w:rPr>
          <w:t>91</w:t>
        </w:r>
      </w:hyperlink>
      <w:r w:rsidRPr="00872C1C">
        <w:rPr>
          <w:rFonts w:ascii="FrankRuehl" w:hAnsi="FrankRuehl" w:cs="FrankRuehl"/>
          <w:color w:val="0000FF"/>
          <w:rtl/>
        </w:rPr>
        <w:t xml:space="preserve">, </w:t>
      </w:r>
      <w:hyperlink r:id="rId9" w:history="1">
        <w:r w:rsidRPr="00872C1C">
          <w:rPr>
            <w:rStyle w:val="Hyperlink"/>
            <w:rFonts w:ascii="FrankRuehl" w:hAnsi="FrankRuehl" w:cs="FrankRuehl"/>
            <w:u w:val="none"/>
          </w:rPr>
          <w:t xml:space="preserve">144 </w:t>
        </w:r>
        <w:r w:rsidRPr="00872C1C">
          <w:rPr>
            <w:rStyle w:val="Hyperlink"/>
            <w:rFonts w:ascii="FrankRuehl" w:hAnsi="FrankRuehl" w:cs="FrankRuehl"/>
            <w:u w:val="none"/>
            <w:rtl/>
          </w:rPr>
          <w:t>ב</w:t>
        </w:r>
      </w:hyperlink>
      <w:r w:rsidRPr="00872C1C">
        <w:rPr>
          <w:rFonts w:ascii="FrankRuehl" w:hAnsi="FrankRuehl" w:cs="FrankRuehl"/>
          <w:color w:val="0000FF"/>
          <w:rtl/>
        </w:rPr>
        <w:t>(א)</w:t>
      </w:r>
    </w:p>
    <w:p w14:paraId="11AAF839" w14:textId="77777777" w:rsidR="00EC1CDA" w:rsidRPr="00872C1C" w:rsidRDefault="00EC1CDA" w:rsidP="00872C1C">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C1CDA" w:rsidRPr="003A3572" w14:paraId="33602747" w14:textId="77777777" w:rsidTr="00EC1CDA">
        <w:trPr>
          <w:trHeight w:val="355"/>
          <w:jc w:val="center"/>
        </w:trPr>
        <w:tc>
          <w:tcPr>
            <w:tcW w:w="8820" w:type="dxa"/>
            <w:tcBorders>
              <w:top w:val="nil"/>
              <w:left w:val="nil"/>
              <w:bottom w:val="nil"/>
              <w:right w:val="nil"/>
            </w:tcBorders>
            <w:shd w:val="clear" w:color="auto" w:fill="auto"/>
          </w:tcPr>
          <w:p w14:paraId="67015894" w14:textId="77777777" w:rsidR="003A39FE" w:rsidRPr="003A39FE" w:rsidRDefault="003A39FE" w:rsidP="003A39FE">
            <w:pPr>
              <w:jc w:val="center"/>
              <w:rPr>
                <w:rFonts w:ascii="David" w:hAnsi="David"/>
                <w:b/>
                <w:bCs/>
                <w:u w:val="single"/>
                <w:rtl/>
              </w:rPr>
            </w:pPr>
            <w:bookmarkStart w:id="5" w:name="PsakDin" w:colFirst="0" w:colLast="0"/>
            <w:bookmarkEnd w:id="0"/>
            <w:r w:rsidRPr="003A39FE">
              <w:rPr>
                <w:rFonts w:ascii="David" w:hAnsi="David"/>
                <w:b/>
                <w:bCs/>
                <w:u w:val="single"/>
                <w:rtl/>
              </w:rPr>
              <w:t>גזר דין</w:t>
            </w:r>
          </w:p>
          <w:p w14:paraId="39B0169C" w14:textId="77777777" w:rsidR="00EC1CDA" w:rsidRPr="003A39FE" w:rsidRDefault="00EC1CDA" w:rsidP="003A39FE">
            <w:pPr>
              <w:jc w:val="center"/>
              <w:rPr>
                <w:rFonts w:ascii="David" w:hAnsi="David"/>
                <w:bCs/>
                <w:u w:val="single"/>
                <w:rtl/>
              </w:rPr>
            </w:pPr>
          </w:p>
        </w:tc>
      </w:tr>
      <w:bookmarkEnd w:id="5"/>
    </w:tbl>
    <w:p w14:paraId="0ACFA903" w14:textId="77777777" w:rsidR="00EC1CDA" w:rsidRPr="003A3572" w:rsidRDefault="00EC1CDA" w:rsidP="00EC1CDA">
      <w:pPr>
        <w:rPr>
          <w:rFonts w:ascii="Arial" w:hAnsi="Arial"/>
          <w:b/>
          <w:bCs/>
          <w:rtl/>
        </w:rPr>
      </w:pPr>
    </w:p>
    <w:p w14:paraId="5B937FE0" w14:textId="77777777" w:rsidR="00EC1CDA" w:rsidRPr="003A3572" w:rsidRDefault="00EC1CDA" w:rsidP="00EC1CDA">
      <w:pPr>
        <w:pStyle w:val="a9"/>
        <w:numPr>
          <w:ilvl w:val="0"/>
          <w:numId w:val="1"/>
        </w:numPr>
        <w:spacing w:line="360" w:lineRule="auto"/>
        <w:jc w:val="both"/>
        <w:rPr>
          <w:rFonts w:ascii="Arial" w:hAnsi="Arial"/>
        </w:rPr>
      </w:pPr>
      <w:bookmarkStart w:id="6" w:name="ABSTRACT_START"/>
      <w:bookmarkEnd w:id="6"/>
      <w:r w:rsidRPr="003A3572">
        <w:rPr>
          <w:rFonts w:ascii="Arial" w:hAnsi="Arial" w:hint="cs"/>
          <w:rtl/>
        </w:rPr>
        <w:t xml:space="preserve">הנאשם הורשע על פי הודאתו בשתי עבירות של הסתה לגזענות, לפי </w:t>
      </w:r>
      <w:hyperlink r:id="rId10" w:history="1">
        <w:r w:rsidR="00872C1C" w:rsidRPr="00872C1C">
          <w:rPr>
            <w:rStyle w:val="Hyperlink"/>
            <w:rFonts w:ascii="Arial" w:hAnsi="Arial" w:hint="eastAsia"/>
            <w:color w:val="0000FF"/>
            <w:rtl/>
          </w:rPr>
          <w:t>סעיף</w:t>
        </w:r>
        <w:r w:rsidR="00872C1C" w:rsidRPr="00872C1C">
          <w:rPr>
            <w:rStyle w:val="Hyperlink"/>
            <w:rFonts w:ascii="Arial" w:hAnsi="Arial"/>
            <w:color w:val="0000FF"/>
            <w:rtl/>
          </w:rPr>
          <w:t xml:space="preserve"> 144 ב(א)</w:t>
        </w:r>
      </w:hyperlink>
      <w:r w:rsidRPr="003A3572">
        <w:rPr>
          <w:rFonts w:ascii="Arial" w:hAnsi="Arial" w:hint="cs"/>
          <w:rtl/>
        </w:rPr>
        <w:t xml:space="preserve"> ל</w:t>
      </w:r>
      <w:hyperlink r:id="rId11" w:history="1">
        <w:r w:rsidR="003A39FE" w:rsidRPr="003A39FE">
          <w:rPr>
            <w:rFonts w:ascii="Arial" w:hAnsi="Arial"/>
            <w:color w:val="0000FF"/>
            <w:u w:val="single"/>
            <w:rtl/>
          </w:rPr>
          <w:t>חוק העונשין</w:t>
        </w:r>
      </w:hyperlink>
      <w:r>
        <w:rPr>
          <w:rFonts w:ascii="Arial" w:hAnsi="Arial" w:hint="cs"/>
          <w:rtl/>
        </w:rPr>
        <w:t>, תשל"ז 1977.</w:t>
      </w:r>
    </w:p>
    <w:p w14:paraId="449D9F86" w14:textId="77777777" w:rsidR="00EC1CDA" w:rsidRPr="003A3572" w:rsidRDefault="00EC1CDA" w:rsidP="00EC1CDA">
      <w:pPr>
        <w:pStyle w:val="a9"/>
        <w:numPr>
          <w:ilvl w:val="0"/>
          <w:numId w:val="1"/>
        </w:numPr>
        <w:spacing w:line="360" w:lineRule="auto"/>
        <w:jc w:val="both"/>
        <w:rPr>
          <w:rFonts w:ascii="Arial" w:hAnsi="Arial"/>
        </w:rPr>
      </w:pPr>
      <w:bookmarkStart w:id="7" w:name="ABSTRACT_END"/>
      <w:bookmarkEnd w:id="7"/>
      <w:r w:rsidRPr="003A3572">
        <w:rPr>
          <w:rFonts w:ascii="Arial" w:hAnsi="Arial" w:hint="cs"/>
          <w:rtl/>
        </w:rPr>
        <w:t>על פי הנטען בכתב האישום, בשני מועדים ביום 6.5.2017 וב-20.8.2017 במהלך היום, הנאשם הגיע לרחבת הר הבית בירושלים. עמד על במה מאולתרת ונשא נאום, באוזני קבוצת אנשים התכנסה במקום ובנוכחות כלי תקשורת:</w:t>
      </w:r>
    </w:p>
    <w:p w14:paraId="6DFDA7C7" w14:textId="77777777" w:rsidR="00EC1CDA" w:rsidRPr="003A3572" w:rsidRDefault="00EC1CDA" w:rsidP="00EC1CDA">
      <w:pPr>
        <w:pStyle w:val="a9"/>
        <w:numPr>
          <w:ilvl w:val="0"/>
          <w:numId w:val="1"/>
        </w:numPr>
        <w:spacing w:line="360" w:lineRule="auto"/>
        <w:jc w:val="both"/>
        <w:rPr>
          <w:rFonts w:ascii="Arial" w:hAnsi="Arial"/>
        </w:rPr>
      </w:pPr>
      <w:r w:rsidRPr="003A3572">
        <w:rPr>
          <w:rFonts w:ascii="Arial" w:hAnsi="Arial" w:hint="cs"/>
          <w:rtl/>
        </w:rPr>
        <w:t>ביום 6.5.2017 במהלך הנא</w:t>
      </w:r>
      <w:r>
        <w:rPr>
          <w:rFonts w:ascii="Arial" w:hAnsi="Arial" w:hint="cs"/>
          <w:rtl/>
        </w:rPr>
        <w:t xml:space="preserve">ום שנשא </w:t>
      </w:r>
      <w:r w:rsidRPr="003A3572">
        <w:rPr>
          <w:rFonts w:ascii="Arial" w:hAnsi="Arial" w:hint="cs"/>
          <w:rtl/>
        </w:rPr>
        <w:t>אמר הנאשם בין היתר את הדברים הבאים:</w:t>
      </w:r>
    </w:p>
    <w:p w14:paraId="371A5DCD" w14:textId="77777777" w:rsidR="00EC1CDA" w:rsidRPr="003A3572" w:rsidRDefault="00EC1CDA" w:rsidP="00EC1CDA">
      <w:pPr>
        <w:pStyle w:val="a9"/>
        <w:numPr>
          <w:ilvl w:val="0"/>
          <w:numId w:val="1"/>
        </w:numPr>
        <w:spacing w:line="360" w:lineRule="auto"/>
        <w:jc w:val="both"/>
        <w:rPr>
          <w:rFonts w:ascii="Arial" w:hAnsi="Arial"/>
        </w:rPr>
      </w:pPr>
      <w:r w:rsidRPr="003A3572">
        <w:rPr>
          <w:rFonts w:ascii="Arial" w:hAnsi="Arial" w:hint="cs"/>
          <w:rtl/>
        </w:rPr>
        <w:t>"סוג</w:t>
      </w:r>
      <w:r>
        <w:rPr>
          <w:rFonts w:ascii="Arial" w:hAnsi="Arial" w:hint="cs"/>
          <w:rtl/>
        </w:rPr>
        <w:t>י</w:t>
      </w:r>
      <w:r w:rsidRPr="003A3572">
        <w:rPr>
          <w:rFonts w:ascii="Arial" w:hAnsi="Arial" w:hint="cs"/>
          <w:rtl/>
        </w:rPr>
        <w:t>ית האסי</w:t>
      </w:r>
      <w:r>
        <w:rPr>
          <w:rFonts w:ascii="Arial" w:hAnsi="Arial" w:hint="cs"/>
          <w:rtl/>
        </w:rPr>
        <w:t>רי</w:t>
      </w:r>
      <w:r w:rsidRPr="003A3572">
        <w:rPr>
          <w:rFonts w:ascii="Arial" w:hAnsi="Arial" w:hint="cs"/>
          <w:rtl/>
        </w:rPr>
        <w:t>ם בבתי הכלא של הכיבוש אינה מנותקת מסוגיית אנ</w:t>
      </w:r>
      <w:r>
        <w:rPr>
          <w:rFonts w:ascii="Arial" w:hAnsi="Arial" w:hint="cs"/>
          <w:rtl/>
        </w:rPr>
        <w:t>שי</w:t>
      </w:r>
      <w:r w:rsidRPr="003A3572">
        <w:rPr>
          <w:rFonts w:ascii="Arial" w:hAnsi="Arial" w:hint="cs"/>
          <w:rtl/>
        </w:rPr>
        <w:t xml:space="preserve"> פלסטין ומסוגיית </w:t>
      </w:r>
      <w:r>
        <w:rPr>
          <w:rFonts w:ascii="Arial" w:hAnsi="Arial" w:hint="cs"/>
          <w:rtl/>
        </w:rPr>
        <w:t>(</w:t>
      </w:r>
      <w:r w:rsidRPr="003A3572">
        <w:rPr>
          <w:rFonts w:ascii="Arial" w:hAnsi="Arial" w:hint="cs"/>
          <w:rtl/>
        </w:rPr>
        <w:t>האומה</w:t>
      </w:r>
      <w:r>
        <w:rPr>
          <w:rFonts w:ascii="Arial" w:hAnsi="Arial" w:hint="cs"/>
          <w:rtl/>
        </w:rPr>
        <w:t xml:space="preserve"> </w:t>
      </w:r>
      <w:r w:rsidRPr="003A3572">
        <w:rPr>
          <w:rFonts w:ascii="Arial" w:hAnsi="Arial" w:hint="cs"/>
          <w:rtl/>
        </w:rPr>
        <w:t>האסלמית) והיא הסוגיה הגדולה והיא היעדר החליפות. נכון הו עבדי אללה בנפילת החליפות נכבשה פ</w:t>
      </w:r>
      <w:r>
        <w:rPr>
          <w:rFonts w:ascii="Arial" w:hAnsi="Arial" w:hint="cs"/>
          <w:rtl/>
        </w:rPr>
        <w:t>לס</w:t>
      </w:r>
      <w:r w:rsidRPr="003A3572">
        <w:rPr>
          <w:rFonts w:ascii="Arial" w:hAnsi="Arial" w:hint="cs"/>
          <w:rtl/>
        </w:rPr>
        <w:t>טין על ידי היהודים, נשפך דם וחולל כבוד הנשים, ה</w:t>
      </w:r>
      <w:r>
        <w:rPr>
          <w:rFonts w:ascii="Arial" w:hAnsi="Arial" w:hint="cs"/>
          <w:rtl/>
        </w:rPr>
        <w:t>וש</w:t>
      </w:r>
      <w:r w:rsidRPr="003A3572">
        <w:rPr>
          <w:rFonts w:ascii="Arial" w:hAnsi="Arial" w:hint="cs"/>
          <w:rtl/>
        </w:rPr>
        <w:t>פלו השיחים ונ</w:t>
      </w:r>
      <w:r>
        <w:rPr>
          <w:rFonts w:ascii="Arial" w:hAnsi="Arial" w:hint="cs"/>
          <w:rtl/>
        </w:rPr>
        <w:t>ר</w:t>
      </w:r>
      <w:r w:rsidRPr="003A3572">
        <w:rPr>
          <w:rFonts w:ascii="Arial" w:hAnsi="Arial" w:hint="cs"/>
          <w:rtl/>
        </w:rPr>
        <w:t>צחו ילדים בידי יהו</w:t>
      </w:r>
      <w:r>
        <w:rPr>
          <w:rFonts w:ascii="Arial" w:hAnsi="Arial" w:hint="cs"/>
          <w:rtl/>
        </w:rPr>
        <w:t>ד</w:t>
      </w:r>
      <w:r w:rsidRPr="003A3572">
        <w:rPr>
          <w:rFonts w:ascii="Arial" w:hAnsi="Arial" w:hint="cs"/>
          <w:rtl/>
        </w:rPr>
        <w:t>ים. הו אומות האסלם, אם תאחזו בנשק למען של</w:t>
      </w:r>
      <w:r>
        <w:rPr>
          <w:rFonts w:ascii="Arial" w:hAnsi="Arial" w:hint="cs"/>
          <w:rtl/>
        </w:rPr>
        <w:t>י</w:t>
      </w:r>
      <w:r w:rsidRPr="003A3572">
        <w:rPr>
          <w:rFonts w:ascii="Arial" w:hAnsi="Arial" w:hint="cs"/>
          <w:rtl/>
        </w:rPr>
        <w:t>טכם ואדוניכם. דעו שהשליטים הרשעים אכזבו אתכם ופנו לאמריקה ולמערב. ומצד שני, אם הרמתם את נשקכם כדי לרצות את אללה וזוהי הסיבה הזמן שלכם הגיע לגייס את צבאותיכם לסיוע למוסלמים בכל המקומות, כדי להשמיד את הישות היהודית המגעילים תשמידו או</w:t>
      </w:r>
      <w:r>
        <w:rPr>
          <w:rFonts w:ascii="Arial" w:hAnsi="Arial" w:hint="cs"/>
          <w:rtl/>
        </w:rPr>
        <w:t>תו</w:t>
      </w:r>
      <w:r w:rsidRPr="003A3572">
        <w:rPr>
          <w:rFonts w:ascii="Arial" w:hAnsi="Arial" w:hint="cs"/>
          <w:rtl/>
        </w:rPr>
        <w:t>. אללה השמד את הממשלות והמדינות אללה השמד את הרשות של הבושה וחוסר הכבוד ואללה השמד את היהודים בכלל, אללה אפשר לנו להשיג את צוואתכם. אלוהים העניק לנו את כבוד החליפות בקרוב".</w:t>
      </w:r>
    </w:p>
    <w:p w14:paraId="098D5984" w14:textId="77777777" w:rsidR="00EC1CDA" w:rsidRPr="003A3572" w:rsidRDefault="00EC1CDA" w:rsidP="00EC1CDA">
      <w:pPr>
        <w:pStyle w:val="a9"/>
        <w:numPr>
          <w:ilvl w:val="0"/>
          <w:numId w:val="1"/>
        </w:numPr>
        <w:spacing w:line="360" w:lineRule="auto"/>
        <w:jc w:val="both"/>
        <w:rPr>
          <w:rFonts w:ascii="Arial" w:hAnsi="Arial"/>
        </w:rPr>
      </w:pPr>
      <w:r w:rsidRPr="003A3572">
        <w:rPr>
          <w:rFonts w:ascii="Arial" w:hAnsi="Arial" w:hint="cs"/>
          <w:rtl/>
        </w:rPr>
        <w:lastRenderedPageBreak/>
        <w:t>בתגובה לדברים אלו חזר הקהל והשיב "אמן"</w:t>
      </w:r>
    </w:p>
    <w:p w14:paraId="0EAFE0D7"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 xml:space="preserve">ארגון "דעא"ש" או המדינה האסלמית הוכרז כהתארגנות בלתי מותרת על ידי שר הביטחון בתאריך 3.9.2014. </w:t>
      </w:r>
    </w:p>
    <w:p w14:paraId="0C516150"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 xml:space="preserve">בתאריך 28.10.2015 הוכרז דאע"ש כארגון טרוריסטי לפי הפקודה למניעת טרור, ומאז 1.1.2016 הוא מהווה ארגון טרור לפי חוק המאבק בטרור. הארגון מהווה ארגון מחבלים כהגדרתו </w:t>
      </w:r>
      <w:hyperlink r:id="rId12" w:history="1">
        <w:r w:rsidR="00872C1C" w:rsidRPr="00872C1C">
          <w:rPr>
            <w:rStyle w:val="Hyperlink"/>
            <w:rFonts w:ascii="Arial" w:hAnsi="Arial" w:hint="eastAsia"/>
            <w:color w:val="0000FF"/>
            <w:rtl/>
          </w:rPr>
          <w:t>בסעיף</w:t>
        </w:r>
        <w:r w:rsidR="00872C1C" w:rsidRPr="00872C1C">
          <w:rPr>
            <w:rStyle w:val="Hyperlink"/>
            <w:rFonts w:ascii="Arial" w:hAnsi="Arial"/>
            <w:color w:val="0000FF"/>
            <w:rtl/>
          </w:rPr>
          <w:t xml:space="preserve"> 91</w:t>
        </w:r>
      </w:hyperlink>
      <w:r>
        <w:rPr>
          <w:rFonts w:ascii="Arial" w:hAnsi="Arial" w:hint="cs"/>
          <w:rtl/>
        </w:rPr>
        <w:t xml:space="preserve"> ל</w:t>
      </w:r>
      <w:hyperlink r:id="rId13" w:history="1">
        <w:r w:rsidR="003A39FE" w:rsidRPr="003A39FE">
          <w:rPr>
            <w:rFonts w:ascii="Arial" w:hAnsi="Arial"/>
            <w:color w:val="0000FF"/>
            <w:u w:val="single"/>
            <w:rtl/>
          </w:rPr>
          <w:t>חוק העונשין</w:t>
        </w:r>
      </w:hyperlink>
      <w:r>
        <w:rPr>
          <w:rFonts w:ascii="Arial" w:hAnsi="Arial" w:hint="cs"/>
          <w:rtl/>
        </w:rPr>
        <w:t>.</w:t>
      </w:r>
    </w:p>
    <w:p w14:paraId="290EFF4C"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דאע"ש מקורו בארגון אל קאעידה בעיראק, והוא ארגון מחבלים קיצוני ביותר, הנמנה על ארגוני ג'יהאד עולמי. משנתו של הארגון מצדדת בתפיסת הסלפייה ג'יהאדיה לפגיעה במשטרים כופרים שאינם הולכים בדרך האסלם וביניהם מדינת ישראל.</w:t>
      </w:r>
    </w:p>
    <w:p w14:paraId="3F64DA28"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ביום 18.8.2017 בוצע על ידי ארגון דאע"ש פיגוע דריסה בברצלונה במהלכו נרצחו 15 בני אדם ולמעלה ממאה איש נפצעו.</w:t>
      </w:r>
    </w:p>
    <w:p w14:paraId="1B11F851"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ביום 20.8.17 במהלך נאום שנשא, אמר הנאשם, בין היתר את הדברים הבאים:</w:t>
      </w:r>
    </w:p>
    <w:p w14:paraId="1B6FEF5B"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 xml:space="preserve"> "הו הפלגים והגדודים הנאבקים בעיראק בסוריה ובכל מקום, במקום להרוג אחד את השני למען הכופרים ואם אתם לא יכולים להילחם המוסלמים הפושעים לפחות אל תפנו את הנשקים לעבר אחיכם אלא לעבר אויבכם, לעבר אויבי האומה האיסלמית. הו משרתי אללה אתמול לאחר הפעולה בברצלונה, החלו שליטי המדינות הערביות לגנות את המעשה הנפשע וייחסו אותו לאסלאם ולמוסלמים שהם לא קשורים. ובאותו הזמן ממשלת הרשע של המדינות שולחת את מטוסיהם, טנקיהם וכלי נשקם לרצח מוסלמים בעיראק, בסוריה בלוב בתימן. הו אומות האסלם אוי המוסלמים ידוע וברור. אויבי האסלם הם אמריקה רוסיה בריטניה ויהודים הארורים. אללה השמד את כל היהודים כולם, הו אללה תן לנו לאחוז בצווארים.</w:t>
      </w:r>
    </w:p>
    <w:p w14:paraId="303E24D1"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 xml:space="preserve">בתגובה לקריאות הנאשם חזר הקהל והשיב "אמן". </w:t>
      </w:r>
    </w:p>
    <w:p w14:paraId="5B172696"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 xml:space="preserve">המאשימה ציינה בטיעוניה, כי הנאשם נעדר רישום פלילי. </w:t>
      </w:r>
    </w:p>
    <w:p w14:paraId="22303F55"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צוין, כי מעבר לתוכן הדברים אותם נשא בנאום הגובלים בהסתה חמורה, הנאשם קרא להשמדת היהודים, כך שמידת הפגיעה בערך המוגן הינה גבוהה. בנוסף, שני האירועים התרחשו ברחבת הר הבית, בליווי תקשורת ובפני מאמינים שהתקבצו סביבו, והשיבו לנאשם לאחר דבריו במילה "אמן", כך שאף מידת התפוצה להם זכו הדברים הייתה גדולה.</w:t>
      </w:r>
    </w:p>
    <w:p w14:paraId="2FFA5681"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המאשימה ביקשה לקבוע מתחמי ענישה נפרדים לכל אחד מהפרסומים, החל מ-10 חודשים ועד 18 חודשים. לקולא ציינה את הודאת הנאשם, והחיסכון בזמן שיפוטי, אף שבשרות המבחן נטילת האחריות הייתה חלקית. עוד צוין, כי המלצת שרות המבחן להטלת צו של"צ אינה תואמת את נסיבות המקרה.</w:t>
      </w:r>
    </w:p>
    <w:p w14:paraId="31D5564D"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במכלול הדברים ביקשה המאשימה להטיל על הנאשם 16 חודשי מאסר לצד ענישה נלווית לרבות קנס משמעותי.</w:t>
      </w:r>
    </w:p>
    <w:p w14:paraId="605C8DBB"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lastRenderedPageBreak/>
        <w:t>ב"כ הנאשם ביקש ליתן דגש לתיקון שנעשה בכתב האישום. לדבריו בתיקי ביטוי המגמה היא להכיל את הביטוי על אף חומרתו. עוד צוין, כי הנאשם נשא את דבריו באופן ספונטני, ובלא הכנה מוקדמת, ואף מתוכנם של הדברים ניתן ללמוד כי הם נעדרי סדר וארגון.</w:t>
      </w:r>
    </w:p>
    <w:p w14:paraId="59B61CE4" w14:textId="77777777" w:rsidR="00EC1CDA" w:rsidRDefault="00EC1CDA" w:rsidP="00EC1CDA">
      <w:pPr>
        <w:pStyle w:val="a9"/>
        <w:numPr>
          <w:ilvl w:val="0"/>
          <w:numId w:val="1"/>
        </w:numPr>
        <w:spacing w:line="360" w:lineRule="auto"/>
        <w:jc w:val="both"/>
        <w:rPr>
          <w:rFonts w:ascii="Arial" w:hAnsi="Arial"/>
        </w:rPr>
      </w:pPr>
      <w:r>
        <w:rPr>
          <w:rFonts w:ascii="Arial" w:hAnsi="Arial" w:hint="cs"/>
          <w:rtl/>
        </w:rPr>
        <w:t xml:space="preserve">לדעת הסנגור קיימים תיקים מסוג זה בהם הוטל צו של"צ, כהמלצת שרות המבחן כעת, ובענייננו יש לקבוע מתחם עונש כולל שבין צו של"צ ועד מספר חודשים שניתן לבצעם בעבודות שירות. נטען, כי מאז אותם אירועים חלף פרק זמן משמעותי של כ-7 שנים, כאשר רף החומרה שבמעשים הינו על הצד הנמוך, ועל כן יש לקבוע את עונשו של הנאשם בתחתית מתחם זה. </w:t>
      </w:r>
    </w:p>
    <w:p w14:paraId="3A7F4E7D" w14:textId="77777777" w:rsidR="00EC1CDA" w:rsidRPr="00C62B99" w:rsidRDefault="00EC1CDA" w:rsidP="00EC1CDA">
      <w:pPr>
        <w:spacing w:line="360" w:lineRule="auto"/>
        <w:ind w:firstLine="720"/>
        <w:jc w:val="both"/>
        <w:rPr>
          <w:rFonts w:ascii="Arial" w:hAnsi="Arial"/>
          <w:b/>
          <w:bCs/>
        </w:rPr>
      </w:pPr>
      <w:r w:rsidRPr="00D85FF9">
        <w:rPr>
          <w:rFonts w:ascii="Arial" w:hAnsi="Arial" w:hint="cs"/>
          <w:b/>
          <w:bCs/>
          <w:u w:val="single"/>
          <w:rtl/>
        </w:rPr>
        <w:t>דיון</w:t>
      </w:r>
      <w:r w:rsidRPr="00C62B99">
        <w:rPr>
          <w:rFonts w:ascii="Arial" w:hAnsi="Arial" w:hint="cs"/>
          <w:b/>
          <w:bCs/>
          <w:rtl/>
        </w:rPr>
        <w:t>:</w:t>
      </w:r>
    </w:p>
    <w:p w14:paraId="40F2EE52" w14:textId="77777777" w:rsidR="00EC1CDA" w:rsidRDefault="00EC1CDA" w:rsidP="00EC1CDA">
      <w:pPr>
        <w:pStyle w:val="a9"/>
        <w:numPr>
          <w:ilvl w:val="0"/>
          <w:numId w:val="1"/>
        </w:numPr>
        <w:spacing w:line="360" w:lineRule="auto"/>
        <w:ind w:left="714" w:hanging="357"/>
        <w:jc w:val="both"/>
        <w:rPr>
          <w:rFonts w:ascii="Arial" w:hAnsi="Arial"/>
        </w:rPr>
      </w:pPr>
      <w:r w:rsidRPr="00D553F6">
        <w:rPr>
          <w:rFonts w:ascii="Arial" w:hAnsi="Arial"/>
          <w:rtl/>
        </w:rPr>
        <w:t>הנאש</w:t>
      </w:r>
      <w:r w:rsidRPr="00D553F6">
        <w:rPr>
          <w:rFonts w:ascii="Arial" w:hAnsi="Arial" w:hint="cs"/>
          <w:rtl/>
        </w:rPr>
        <w:t>ם</w:t>
      </w:r>
      <w:r w:rsidRPr="00D553F6">
        <w:rPr>
          <w:rFonts w:ascii="Arial" w:hAnsi="Arial"/>
          <w:rtl/>
        </w:rPr>
        <w:t xml:space="preserve"> פגע במעשי</w:t>
      </w:r>
      <w:r w:rsidRPr="00D553F6">
        <w:rPr>
          <w:rFonts w:ascii="Arial" w:hAnsi="Arial" w:hint="cs"/>
          <w:rtl/>
        </w:rPr>
        <w:t>ו</w:t>
      </w:r>
      <w:r w:rsidRPr="00D553F6">
        <w:rPr>
          <w:rFonts w:ascii="Arial" w:hAnsi="Arial"/>
          <w:rtl/>
        </w:rPr>
        <w:t xml:space="preserve"> בערכים מוגנים הנוגעים בשמירה על ביטחון הציבור</w:t>
      </w:r>
      <w:r w:rsidRPr="00D553F6">
        <w:rPr>
          <w:rFonts w:ascii="Arial" w:hAnsi="Arial" w:hint="cs"/>
          <w:rtl/>
        </w:rPr>
        <w:t xml:space="preserve">, סדר ציבורי </w:t>
      </w:r>
      <w:r w:rsidRPr="00D553F6">
        <w:rPr>
          <w:rFonts w:ascii="Arial" w:hAnsi="Arial"/>
          <w:rtl/>
        </w:rPr>
        <w:t>ושלומ</w:t>
      </w:r>
      <w:r w:rsidRPr="00D553F6">
        <w:rPr>
          <w:rFonts w:ascii="Arial" w:hAnsi="Arial" w:hint="cs"/>
          <w:rtl/>
        </w:rPr>
        <w:t>ו של הפרט</w:t>
      </w:r>
      <w:r w:rsidRPr="00D553F6">
        <w:rPr>
          <w:rFonts w:ascii="Arial" w:hAnsi="Arial"/>
          <w:rtl/>
        </w:rPr>
        <w:t>.</w:t>
      </w:r>
      <w:r w:rsidRPr="00D553F6">
        <w:rPr>
          <w:rFonts w:ascii="Arial" w:hAnsi="Arial" w:hint="cs"/>
          <w:rtl/>
        </w:rPr>
        <w:t xml:space="preserve"> </w:t>
      </w:r>
    </w:p>
    <w:p w14:paraId="42ADA29F" w14:textId="77777777" w:rsidR="00EC1CDA" w:rsidRDefault="00EC1CDA" w:rsidP="00EC1CDA">
      <w:pPr>
        <w:pStyle w:val="a9"/>
        <w:numPr>
          <w:ilvl w:val="0"/>
          <w:numId w:val="1"/>
        </w:numPr>
        <w:spacing w:line="360" w:lineRule="auto"/>
        <w:ind w:left="714" w:hanging="357"/>
        <w:jc w:val="both"/>
        <w:rPr>
          <w:rFonts w:ascii="Arial" w:hAnsi="Arial"/>
        </w:rPr>
      </w:pPr>
      <w:r w:rsidRPr="00B745C3">
        <w:rPr>
          <w:rFonts w:ascii="Arial" w:hAnsi="Arial"/>
          <w:rtl/>
        </w:rPr>
        <w:t>תוכנ</w:t>
      </w:r>
      <w:r>
        <w:rPr>
          <w:rFonts w:ascii="Arial" w:hAnsi="Arial" w:hint="cs"/>
          <w:rtl/>
        </w:rPr>
        <w:t>ם</w:t>
      </w:r>
      <w:r w:rsidRPr="00B745C3">
        <w:rPr>
          <w:rFonts w:ascii="Arial" w:hAnsi="Arial"/>
          <w:rtl/>
        </w:rPr>
        <w:t xml:space="preserve"> של ה</w:t>
      </w:r>
      <w:r>
        <w:rPr>
          <w:rFonts w:ascii="Arial" w:hAnsi="Arial" w:hint="cs"/>
          <w:rtl/>
        </w:rPr>
        <w:t>פרסומים,</w:t>
      </w:r>
      <w:r w:rsidRPr="00B745C3">
        <w:rPr>
          <w:rFonts w:ascii="Arial" w:hAnsi="Arial"/>
          <w:rtl/>
        </w:rPr>
        <w:t xml:space="preserve"> וכן העובדה ש</w:t>
      </w:r>
      <w:r>
        <w:rPr>
          <w:rFonts w:ascii="Arial" w:hAnsi="Arial" w:hint="cs"/>
          <w:rtl/>
        </w:rPr>
        <w:t xml:space="preserve">מפריד ביניהם </w:t>
      </w:r>
      <w:r w:rsidRPr="00B745C3">
        <w:rPr>
          <w:rFonts w:ascii="Arial" w:hAnsi="Arial"/>
          <w:rtl/>
        </w:rPr>
        <w:t>פרק זמן של מספר חודשים, והוא נעשה על רקע סוגיית האסירים באירוע הראשון, או הפיגוע שביצע דאע"ש ב</w:t>
      </w:r>
      <w:r>
        <w:rPr>
          <w:rFonts w:ascii="Arial" w:hAnsi="Arial" w:hint="cs"/>
          <w:rtl/>
        </w:rPr>
        <w:t>פרסום</w:t>
      </w:r>
      <w:r w:rsidRPr="00B745C3">
        <w:rPr>
          <w:rFonts w:ascii="Arial" w:hAnsi="Arial"/>
          <w:rtl/>
        </w:rPr>
        <w:t xml:space="preserve"> השני, אינם יכולים לבסס אלא את המסקנה</w:t>
      </w:r>
      <w:r>
        <w:rPr>
          <w:rFonts w:ascii="Arial" w:hAnsi="Arial" w:hint="cs"/>
          <w:rtl/>
        </w:rPr>
        <w:t>,</w:t>
      </w:r>
      <w:r w:rsidRPr="00B745C3">
        <w:rPr>
          <w:rFonts w:ascii="Arial" w:hAnsi="Arial"/>
          <w:rtl/>
        </w:rPr>
        <w:t xml:space="preserve"> כי הנאשם פעל בשיקול דעת ומחשבה, ו</w:t>
      </w:r>
      <w:r w:rsidRPr="00B745C3">
        <w:rPr>
          <w:rFonts w:ascii="Arial" w:hAnsi="Arial" w:hint="cs"/>
          <w:rtl/>
        </w:rPr>
        <w:t xml:space="preserve">נאומים </w:t>
      </w:r>
      <w:r w:rsidRPr="00B745C3">
        <w:rPr>
          <w:rFonts w:ascii="Arial" w:hAnsi="Arial"/>
          <w:rtl/>
        </w:rPr>
        <w:t xml:space="preserve">אלו </w:t>
      </w:r>
      <w:r w:rsidRPr="00B745C3">
        <w:rPr>
          <w:rFonts w:ascii="Arial" w:hAnsi="Arial" w:hint="cs"/>
          <w:rtl/>
        </w:rPr>
        <w:t xml:space="preserve">מבטאים </w:t>
      </w:r>
      <w:r w:rsidRPr="00B745C3">
        <w:rPr>
          <w:rFonts w:ascii="Arial" w:hAnsi="Arial"/>
          <w:rtl/>
        </w:rPr>
        <w:t xml:space="preserve">את עמדתו, </w:t>
      </w:r>
      <w:r w:rsidRPr="00B745C3">
        <w:rPr>
          <w:rFonts w:ascii="Arial" w:hAnsi="Arial" w:hint="cs"/>
          <w:rtl/>
        </w:rPr>
        <w:t xml:space="preserve">והם נעשו </w:t>
      </w:r>
      <w:r w:rsidRPr="00B745C3">
        <w:rPr>
          <w:rFonts w:ascii="Arial" w:hAnsi="Arial"/>
          <w:rtl/>
        </w:rPr>
        <w:t>מתוך מטרה ברורה להפיצם.</w:t>
      </w:r>
      <w:r w:rsidRPr="00B745C3">
        <w:rPr>
          <w:rFonts w:ascii="Arial" w:hAnsi="Arial" w:hint="cs"/>
          <w:rtl/>
        </w:rPr>
        <w:t xml:space="preserve"> כאמור</w:t>
      </w:r>
      <w:r>
        <w:rPr>
          <w:rFonts w:ascii="Arial" w:hAnsi="Arial" w:hint="cs"/>
          <w:rtl/>
        </w:rPr>
        <w:t xml:space="preserve"> בכתב האישום</w:t>
      </w:r>
      <w:r w:rsidRPr="00B745C3">
        <w:rPr>
          <w:rFonts w:ascii="Arial" w:hAnsi="Arial" w:hint="cs"/>
          <w:rtl/>
        </w:rPr>
        <w:t xml:space="preserve">, </w:t>
      </w:r>
      <w:r>
        <w:rPr>
          <w:rFonts w:ascii="Arial" w:hAnsi="Arial" w:hint="cs"/>
          <w:rtl/>
        </w:rPr>
        <w:t xml:space="preserve">הנאשם </w:t>
      </w:r>
      <w:r w:rsidRPr="00B745C3">
        <w:rPr>
          <w:rFonts w:ascii="Arial" w:hAnsi="Arial" w:hint="cs"/>
          <w:rtl/>
        </w:rPr>
        <w:t xml:space="preserve">הגיע לרחבת הר הבית </w:t>
      </w:r>
      <w:r>
        <w:rPr>
          <w:rFonts w:ascii="Arial" w:hAnsi="Arial" w:hint="cs"/>
          <w:rtl/>
        </w:rPr>
        <w:t xml:space="preserve">בירושלים, </w:t>
      </w:r>
      <w:r w:rsidRPr="00B745C3">
        <w:rPr>
          <w:rFonts w:ascii="Arial" w:hAnsi="Arial" w:hint="cs"/>
          <w:rtl/>
        </w:rPr>
        <w:t xml:space="preserve">ונשא </w:t>
      </w:r>
      <w:r>
        <w:rPr>
          <w:rFonts w:ascii="Arial" w:hAnsi="Arial" w:hint="cs"/>
          <w:rtl/>
        </w:rPr>
        <w:t xml:space="preserve">את </w:t>
      </w:r>
      <w:r w:rsidRPr="00B745C3">
        <w:rPr>
          <w:rFonts w:ascii="Arial" w:hAnsi="Arial" w:hint="cs"/>
          <w:rtl/>
        </w:rPr>
        <w:t xml:space="preserve">שני </w:t>
      </w:r>
      <w:r>
        <w:rPr>
          <w:rFonts w:ascii="Arial" w:hAnsi="Arial" w:hint="cs"/>
          <w:rtl/>
        </w:rPr>
        <w:t>ה</w:t>
      </w:r>
      <w:r w:rsidRPr="00B745C3">
        <w:rPr>
          <w:rFonts w:ascii="Arial" w:hAnsi="Arial" w:hint="cs"/>
          <w:rtl/>
        </w:rPr>
        <w:t xml:space="preserve">נאומים על במה מאולתרת באוזני קבוצת אנשים, ובנוכחות תקשורת, במהלכם הסית כנגד יהודים ואחרים. את פיגוע הדריסה שבוצע על ידי ארגון דאע"ש בברצלונה, במהלכו נרצחו 15 בני אדם, ולמעלה מ-100 אנשים נפצעו כינה בנאום "פעולה", תוך שקרא לאלוהים בנאומיו להשמדת היהודים או במילותיו שלו: "תן לנו לאחוז בצווארם". </w:t>
      </w:r>
    </w:p>
    <w:p w14:paraId="1A4477A5" w14:textId="77777777" w:rsidR="00EC1CDA" w:rsidRPr="00AF2FC7" w:rsidRDefault="00EC1CDA" w:rsidP="00EC1CDA">
      <w:pPr>
        <w:pStyle w:val="a9"/>
        <w:numPr>
          <w:ilvl w:val="0"/>
          <w:numId w:val="1"/>
        </w:numPr>
        <w:spacing w:line="360" w:lineRule="auto"/>
        <w:jc w:val="both"/>
        <w:rPr>
          <w:rFonts w:ascii="Arial" w:hAnsi="Arial"/>
          <w:rtl/>
        </w:rPr>
      </w:pPr>
      <w:r w:rsidRPr="00AF2FC7">
        <w:rPr>
          <w:rFonts w:ascii="Arial" w:hAnsi="Arial"/>
          <w:rtl/>
        </w:rPr>
        <w:t>ניתוח הפסיקה מלמד כי בעבירות דומות הוטלו על דרך הכלל עונשי מאסר. ראו לדוגמה:</w:t>
      </w:r>
    </w:p>
    <w:p w14:paraId="4FAEAC2A" w14:textId="77777777" w:rsidR="00EC1CDA" w:rsidRPr="00AF2FC7" w:rsidRDefault="00EC1CDA" w:rsidP="00EC1CDA">
      <w:pPr>
        <w:pStyle w:val="a9"/>
        <w:numPr>
          <w:ilvl w:val="0"/>
          <w:numId w:val="1"/>
        </w:numPr>
        <w:spacing w:line="360" w:lineRule="auto"/>
        <w:jc w:val="both"/>
        <w:rPr>
          <w:rFonts w:ascii="Arial" w:hAnsi="Arial"/>
          <w:rtl/>
        </w:rPr>
      </w:pPr>
      <w:r w:rsidRPr="00AF2FC7">
        <w:rPr>
          <w:rFonts w:ascii="Arial" w:hAnsi="Arial"/>
          <w:rtl/>
        </w:rPr>
        <w:t>(</w:t>
      </w:r>
      <w:hyperlink r:id="rId14" w:history="1">
        <w:r w:rsidR="003A39FE" w:rsidRPr="003A39FE">
          <w:rPr>
            <w:rFonts w:ascii="Arial" w:hAnsi="Arial"/>
            <w:color w:val="0000FF"/>
            <w:u w:val="single"/>
            <w:rtl/>
          </w:rPr>
          <w:t>ת"פ 14839-05-19</w:t>
        </w:r>
      </w:hyperlink>
      <w:r w:rsidRPr="00AF2FC7">
        <w:rPr>
          <w:rFonts w:ascii="Arial" w:hAnsi="Arial"/>
          <w:rtl/>
        </w:rPr>
        <w:t xml:space="preserve"> מדינת ישראל נגד ופאא אבו ג'ומעה (9.11.2020), </w:t>
      </w:r>
      <w:hyperlink r:id="rId15" w:history="1">
        <w:r w:rsidR="003A39FE" w:rsidRPr="003A39FE">
          <w:rPr>
            <w:rFonts w:ascii="Arial" w:hAnsi="Arial"/>
            <w:color w:val="0000FF"/>
            <w:u w:val="single"/>
            <w:rtl/>
          </w:rPr>
          <w:t>ת"פ 44920-12-14</w:t>
        </w:r>
      </w:hyperlink>
      <w:r w:rsidRPr="00AF2FC7">
        <w:rPr>
          <w:rFonts w:ascii="Arial" w:hAnsi="Arial"/>
          <w:rtl/>
        </w:rPr>
        <w:t xml:space="preserve"> מדינת ישראל נגד אברהים עבאדין (9.6.2015), </w:t>
      </w:r>
      <w:hyperlink r:id="rId16" w:history="1">
        <w:r w:rsidR="003A39FE" w:rsidRPr="003A39FE">
          <w:rPr>
            <w:rFonts w:ascii="Arial" w:hAnsi="Arial"/>
            <w:color w:val="0000FF"/>
            <w:u w:val="single"/>
            <w:rtl/>
          </w:rPr>
          <w:t>רע"פ 4175/19</w:t>
        </w:r>
      </w:hyperlink>
      <w:r w:rsidRPr="00AF2FC7">
        <w:rPr>
          <w:rFonts w:ascii="Arial" w:hAnsi="Arial"/>
          <w:rtl/>
        </w:rPr>
        <w:t xml:space="preserve"> אליהו מועלם נגד מדינת ישראל (22.7.2019), </w:t>
      </w:r>
      <w:hyperlink r:id="rId17" w:history="1">
        <w:r w:rsidR="003A39FE" w:rsidRPr="003A39FE">
          <w:rPr>
            <w:rFonts w:ascii="Arial" w:hAnsi="Arial"/>
            <w:color w:val="0000FF"/>
            <w:u w:val="single"/>
            <w:rtl/>
          </w:rPr>
          <w:t>ת"פ 8247-04-18</w:t>
        </w:r>
      </w:hyperlink>
      <w:r w:rsidRPr="00AF2FC7">
        <w:rPr>
          <w:rFonts w:ascii="Arial" w:hAnsi="Arial"/>
          <w:rtl/>
        </w:rPr>
        <w:t xml:space="preserve"> מדינת ישראל נגד דירבאס (3.7.2018)).</w:t>
      </w:r>
    </w:p>
    <w:p w14:paraId="7B0F9C13" w14:textId="77777777" w:rsidR="00EC1CDA" w:rsidRPr="00AF2FC7" w:rsidRDefault="00EC1CDA" w:rsidP="00EC1CDA">
      <w:pPr>
        <w:pStyle w:val="a9"/>
        <w:numPr>
          <w:ilvl w:val="0"/>
          <w:numId w:val="1"/>
        </w:numPr>
        <w:spacing w:line="360" w:lineRule="auto"/>
        <w:jc w:val="both"/>
        <w:rPr>
          <w:rFonts w:ascii="Arial" w:hAnsi="Arial"/>
          <w:rtl/>
        </w:rPr>
      </w:pPr>
      <w:r w:rsidRPr="00AF2FC7">
        <w:rPr>
          <w:rFonts w:ascii="Arial" w:hAnsi="Arial"/>
          <w:rtl/>
        </w:rPr>
        <w:t xml:space="preserve">סבורני, כי בנסיבות המקרה שבפנינו, </w:t>
      </w:r>
      <w:r>
        <w:rPr>
          <w:rFonts w:ascii="Arial" w:hAnsi="Arial" w:hint="cs"/>
          <w:rtl/>
        </w:rPr>
        <w:t xml:space="preserve">ונוכח המועדים בהם פורסמו הדברים, יש לקבוע את </w:t>
      </w:r>
      <w:r w:rsidRPr="00AF2FC7">
        <w:rPr>
          <w:rFonts w:ascii="Arial" w:hAnsi="Arial"/>
          <w:rtl/>
        </w:rPr>
        <w:t>מתחם העונש ההולם החל ממאסר למשך 8 חודשים ועד 20 חודשים, לצד ענישה נלווית.</w:t>
      </w:r>
    </w:p>
    <w:p w14:paraId="20E3766C" w14:textId="77777777" w:rsidR="00EC1CDA" w:rsidRDefault="00EC1CDA" w:rsidP="00EC1CDA">
      <w:pPr>
        <w:pStyle w:val="a9"/>
        <w:numPr>
          <w:ilvl w:val="0"/>
          <w:numId w:val="1"/>
        </w:numPr>
        <w:spacing w:line="360" w:lineRule="auto"/>
        <w:jc w:val="both"/>
        <w:rPr>
          <w:rFonts w:ascii="Arial" w:hAnsi="Arial"/>
        </w:rPr>
      </w:pPr>
      <w:r w:rsidRPr="00263F7F">
        <w:rPr>
          <w:rFonts w:ascii="Arial" w:hAnsi="Arial"/>
          <w:rtl/>
        </w:rPr>
        <w:t>אשר לעונש המתאים בתוך המתחם יש להביא ב</w:t>
      </w:r>
      <w:r w:rsidRPr="00263F7F">
        <w:rPr>
          <w:rFonts w:ascii="Arial" w:hAnsi="Arial" w:hint="cs"/>
          <w:rtl/>
        </w:rPr>
        <w:t xml:space="preserve">מסגרת שיקולי הענישה את הנסיבות הבאות: הנאשם כבן 44 אב לשני ילדים. הנאשם נעדר רישום פלילי, והוא נטל אחריות על מעשיו בבית המשפט. מנגד, במסגרת תסקיר המבחן התקשה ליטול אחריות מלאה על המעשים, </w:t>
      </w:r>
      <w:r>
        <w:rPr>
          <w:rFonts w:ascii="Arial" w:hAnsi="Arial" w:hint="cs"/>
          <w:rtl/>
        </w:rPr>
        <w:t xml:space="preserve">אף </w:t>
      </w:r>
      <w:r w:rsidRPr="00263F7F">
        <w:rPr>
          <w:rFonts w:ascii="Arial" w:hAnsi="Arial" w:hint="cs"/>
          <w:rtl/>
        </w:rPr>
        <w:t xml:space="preserve">שהביע חרטה על מעורבותו בביצוען. </w:t>
      </w:r>
    </w:p>
    <w:p w14:paraId="5142C7E7" w14:textId="77777777" w:rsidR="00EC1CDA" w:rsidRDefault="00EC1CDA" w:rsidP="00EC1CDA">
      <w:pPr>
        <w:pStyle w:val="a9"/>
        <w:numPr>
          <w:ilvl w:val="0"/>
          <w:numId w:val="1"/>
        </w:numPr>
        <w:spacing w:line="360" w:lineRule="auto"/>
        <w:jc w:val="both"/>
        <w:rPr>
          <w:rFonts w:ascii="Arial" w:hAnsi="Arial"/>
        </w:rPr>
      </w:pPr>
      <w:r w:rsidRPr="00263F7F">
        <w:rPr>
          <w:rFonts w:ascii="Arial" w:hAnsi="Arial" w:hint="cs"/>
          <w:rtl/>
        </w:rPr>
        <w:t>שרות המבחן מתרשם</w:t>
      </w:r>
      <w:r>
        <w:rPr>
          <w:rFonts w:ascii="Arial" w:hAnsi="Arial" w:hint="cs"/>
          <w:rtl/>
        </w:rPr>
        <w:t>,</w:t>
      </w:r>
      <w:r w:rsidRPr="00263F7F">
        <w:rPr>
          <w:rFonts w:ascii="Arial" w:hAnsi="Arial" w:hint="cs"/>
          <w:rtl/>
        </w:rPr>
        <w:t xml:space="preserve"> כי הנאשם מבטא חוסר שיקול דעת וקושי בבחינת השלכות מעשיו, ואלו מהווים לדעתם גורמי סיכון. </w:t>
      </w:r>
      <w:r>
        <w:rPr>
          <w:rFonts w:ascii="Arial" w:hAnsi="Arial" w:hint="cs"/>
          <w:rtl/>
        </w:rPr>
        <w:t>לצד זאת</w:t>
      </w:r>
      <w:r w:rsidRPr="00263F7F">
        <w:rPr>
          <w:rFonts w:ascii="Arial" w:hAnsi="Arial" w:hint="cs"/>
          <w:rtl/>
        </w:rPr>
        <w:t xml:space="preserve">, ובבחינת גורמי סיכוי </w:t>
      </w:r>
      <w:r>
        <w:rPr>
          <w:rFonts w:ascii="Arial" w:hAnsi="Arial" w:hint="cs"/>
          <w:rtl/>
        </w:rPr>
        <w:t xml:space="preserve">צוין, </w:t>
      </w:r>
      <w:r w:rsidRPr="00263F7F">
        <w:rPr>
          <w:rFonts w:ascii="Arial" w:hAnsi="Arial" w:hint="cs"/>
          <w:rtl/>
        </w:rPr>
        <w:t xml:space="preserve">כי הנאשם מנהל אורח חיים נורמטיבי בתחומי עבודה ומשפחה. </w:t>
      </w:r>
    </w:p>
    <w:p w14:paraId="09FBCB61" w14:textId="77777777" w:rsidR="00EC1CDA" w:rsidRDefault="00EC1CDA" w:rsidP="00EC1CDA">
      <w:pPr>
        <w:pStyle w:val="a9"/>
        <w:numPr>
          <w:ilvl w:val="0"/>
          <w:numId w:val="1"/>
        </w:numPr>
        <w:spacing w:line="360" w:lineRule="auto"/>
        <w:jc w:val="both"/>
        <w:rPr>
          <w:rFonts w:ascii="Arial" w:hAnsi="Arial"/>
        </w:rPr>
      </w:pPr>
      <w:r w:rsidRPr="00263F7F">
        <w:rPr>
          <w:rFonts w:ascii="Arial" w:hAnsi="Arial" w:hint="cs"/>
          <w:rtl/>
        </w:rPr>
        <w:t>בנסיבות אלו, ממליץ שרות המבחן להטיל על הנאשם ענישה חינוכית</w:t>
      </w:r>
      <w:r>
        <w:rPr>
          <w:rFonts w:ascii="Arial" w:hAnsi="Arial" w:hint="cs"/>
          <w:rtl/>
        </w:rPr>
        <w:t>-</w:t>
      </w:r>
      <w:r w:rsidRPr="00263F7F">
        <w:rPr>
          <w:rFonts w:ascii="Arial" w:hAnsi="Arial" w:hint="cs"/>
          <w:rtl/>
        </w:rPr>
        <w:t xml:space="preserve"> שיקומית בדמות צו של"צ בהיקף 250 שעות.  </w:t>
      </w:r>
    </w:p>
    <w:p w14:paraId="1BB5EF47" w14:textId="77777777" w:rsidR="00EC1CDA" w:rsidRDefault="00EC1CDA" w:rsidP="00EC1CDA">
      <w:pPr>
        <w:pStyle w:val="a9"/>
        <w:numPr>
          <w:ilvl w:val="0"/>
          <w:numId w:val="1"/>
        </w:numPr>
        <w:spacing w:line="360" w:lineRule="auto"/>
        <w:jc w:val="both"/>
        <w:rPr>
          <w:rFonts w:ascii="Arial" w:hAnsi="Arial"/>
        </w:rPr>
      </w:pPr>
      <w:r w:rsidRPr="006D0FCB">
        <w:rPr>
          <w:rFonts w:ascii="Arial" w:hAnsi="Arial" w:hint="cs"/>
          <w:rtl/>
        </w:rPr>
        <w:t>תמים דעים אני עם עמדת המאשימה לכך שהמלצתו של שרות המבחן אינ</w:t>
      </w:r>
      <w:r>
        <w:rPr>
          <w:rFonts w:ascii="Arial" w:hAnsi="Arial" w:hint="cs"/>
          <w:rtl/>
        </w:rPr>
        <w:t>ה</w:t>
      </w:r>
      <w:r w:rsidRPr="006D0FCB">
        <w:rPr>
          <w:rFonts w:ascii="Arial" w:hAnsi="Arial" w:hint="cs"/>
          <w:rtl/>
        </w:rPr>
        <w:t xml:space="preserve"> הולמת את נסיבות המקרה, ונוכח חומרת המעשים, יש להטיל על הנאשם עונש הכולל רכיב של מאסר. יחד עם זאת, ובנסיבות מקרה זה סברתי, כי ניתן לשקול בחיוב את האפשרות לכך שהנאשם ייבצע את העונש בדרך של עבודות שירות, ולא מאחורי סורג ובריח</w:t>
      </w:r>
      <w:r>
        <w:rPr>
          <w:rFonts w:ascii="Arial" w:hAnsi="Arial" w:hint="cs"/>
          <w:rtl/>
        </w:rPr>
        <w:t>, זאת משום הטעמים הבאים</w:t>
      </w:r>
      <w:r w:rsidRPr="006D0FCB">
        <w:rPr>
          <w:rFonts w:ascii="Arial" w:hAnsi="Arial" w:hint="cs"/>
          <w:rtl/>
        </w:rPr>
        <w:t xml:space="preserve">: </w:t>
      </w:r>
    </w:p>
    <w:p w14:paraId="2DA9429F" w14:textId="77777777" w:rsidR="00EC1CDA" w:rsidRPr="006D0FCB" w:rsidRDefault="00EC1CDA" w:rsidP="00EC1CDA">
      <w:pPr>
        <w:pStyle w:val="a9"/>
        <w:numPr>
          <w:ilvl w:val="0"/>
          <w:numId w:val="1"/>
        </w:numPr>
        <w:spacing w:line="360" w:lineRule="auto"/>
        <w:jc w:val="both"/>
        <w:rPr>
          <w:rFonts w:ascii="Arial" w:hAnsi="Arial"/>
        </w:rPr>
      </w:pPr>
      <w:r w:rsidRPr="006D0FCB">
        <w:rPr>
          <w:rFonts w:ascii="Arial" w:hAnsi="Arial" w:hint="cs"/>
          <w:rtl/>
        </w:rPr>
        <w:t>המדובר בשני פרסומים שנעשו במהלך שנת 2017</w:t>
      </w:r>
      <w:r>
        <w:rPr>
          <w:rFonts w:ascii="Arial" w:hAnsi="Arial" w:hint="cs"/>
          <w:rtl/>
        </w:rPr>
        <w:t xml:space="preserve">. </w:t>
      </w:r>
      <w:r w:rsidRPr="006D0FCB">
        <w:rPr>
          <w:rFonts w:ascii="Arial" w:hAnsi="Arial" w:hint="cs"/>
          <w:rtl/>
        </w:rPr>
        <w:t>מאז חלף פרק זמן משמעותי של כ-7 שנים, ולא נמסר לי על מעורבות פלילית נוספת של הנאשם בעבירות דומות, או בכלל. שנית, עיון בתיק בית המשפט מלמד, כי תיק זה הוגש לבית המשפט ביום 2.11.2021, קרי, שלוש וחצי שנים מעת ביצוע</w:t>
      </w:r>
      <w:r>
        <w:rPr>
          <w:rFonts w:ascii="Arial" w:hAnsi="Arial" w:hint="cs"/>
          <w:rtl/>
        </w:rPr>
        <w:t>ן</w:t>
      </w:r>
      <w:r w:rsidRPr="006D0FCB">
        <w:rPr>
          <w:rFonts w:ascii="Arial" w:hAnsi="Arial" w:hint="cs"/>
          <w:rtl/>
        </w:rPr>
        <w:t xml:space="preserve"> של ה</w:t>
      </w:r>
      <w:r>
        <w:rPr>
          <w:rFonts w:ascii="Arial" w:hAnsi="Arial" w:hint="cs"/>
          <w:rtl/>
        </w:rPr>
        <w:t>עבירות</w:t>
      </w:r>
      <w:r w:rsidRPr="006D0FCB">
        <w:rPr>
          <w:rFonts w:ascii="Arial" w:hAnsi="Arial" w:hint="cs"/>
          <w:rtl/>
        </w:rPr>
        <w:t xml:space="preserve">. בנוסף, התיק לא הוגש כתיק מעצר, זאת בשונה </w:t>
      </w:r>
      <w:r>
        <w:rPr>
          <w:rFonts w:ascii="Arial" w:hAnsi="Arial" w:hint="cs"/>
          <w:rtl/>
        </w:rPr>
        <w:t>מ</w:t>
      </w:r>
      <w:r w:rsidRPr="006D0FCB">
        <w:rPr>
          <w:rFonts w:ascii="Arial" w:hAnsi="Arial" w:hint="cs"/>
          <w:rtl/>
        </w:rPr>
        <w:t xml:space="preserve">מקרים </w:t>
      </w:r>
      <w:r>
        <w:rPr>
          <w:rFonts w:ascii="Arial" w:hAnsi="Arial" w:hint="cs"/>
          <w:rtl/>
        </w:rPr>
        <w:t xml:space="preserve">דומים </w:t>
      </w:r>
      <w:r w:rsidRPr="006D0FCB">
        <w:rPr>
          <w:rFonts w:ascii="Arial" w:hAnsi="Arial" w:hint="cs"/>
          <w:rtl/>
        </w:rPr>
        <w:t xml:space="preserve">בהם </w:t>
      </w:r>
      <w:r>
        <w:rPr>
          <w:rFonts w:ascii="Arial" w:hAnsi="Arial" w:hint="cs"/>
          <w:rtl/>
        </w:rPr>
        <w:t xml:space="preserve">על דרך הכלל הוגשו </w:t>
      </w:r>
      <w:r w:rsidRPr="006D0FCB">
        <w:rPr>
          <w:rFonts w:ascii="Arial" w:hAnsi="Arial" w:hint="cs"/>
          <w:rtl/>
        </w:rPr>
        <w:t>כתבי אישום בעבירה מסוג זה</w:t>
      </w:r>
      <w:r>
        <w:rPr>
          <w:rFonts w:ascii="Arial" w:hAnsi="Arial" w:hint="cs"/>
          <w:rtl/>
        </w:rPr>
        <w:t>, לצד בקשות מעצר</w:t>
      </w:r>
      <w:r w:rsidRPr="006D0FCB">
        <w:rPr>
          <w:rFonts w:ascii="Arial" w:hAnsi="Arial" w:hint="cs"/>
          <w:rtl/>
        </w:rPr>
        <w:t>.</w:t>
      </w:r>
      <w:r>
        <w:rPr>
          <w:rFonts w:ascii="Arial" w:hAnsi="Arial" w:hint="cs"/>
          <w:rtl/>
        </w:rPr>
        <w:t xml:space="preserve">  </w:t>
      </w:r>
      <w:r w:rsidRPr="006D0FCB">
        <w:rPr>
          <w:rFonts w:ascii="Arial" w:hAnsi="Arial" w:hint="cs"/>
          <w:rtl/>
        </w:rPr>
        <w:t xml:space="preserve"> </w:t>
      </w:r>
    </w:p>
    <w:p w14:paraId="516DA0B5" w14:textId="77777777" w:rsidR="00EC1CDA" w:rsidRPr="00263F7F" w:rsidRDefault="00EC1CDA" w:rsidP="00EC1CDA">
      <w:pPr>
        <w:pStyle w:val="a9"/>
        <w:numPr>
          <w:ilvl w:val="0"/>
          <w:numId w:val="1"/>
        </w:numPr>
        <w:spacing w:line="360" w:lineRule="auto"/>
        <w:jc w:val="both"/>
        <w:rPr>
          <w:rFonts w:ascii="Arial" w:hAnsi="Arial"/>
          <w:rtl/>
        </w:rPr>
      </w:pPr>
      <w:r>
        <w:rPr>
          <w:rFonts w:ascii="Arial" w:hAnsi="Arial" w:hint="cs"/>
          <w:rtl/>
        </w:rPr>
        <w:t xml:space="preserve">ער אני לכך, כי גזר הדין ניתן במהלך חודש אוקטובר 2024 והחל מיום 7.10.2023 נקבעו מתחמי ענישה מחמירים יותר, לרבות במספר גזר דין שניתנו על ידי, אך במקרה דנן יש להחיל על הנאשם את אותם מתחמים אשר היו נהוגים טרם מועד זה, וכן משום פרק זמן ניכר שחלף מעת ביצוען של העבירות.    </w:t>
      </w:r>
    </w:p>
    <w:p w14:paraId="75BB1C83" w14:textId="77777777" w:rsidR="00EC1CDA" w:rsidRPr="00AF2FC7" w:rsidRDefault="00EC1CDA" w:rsidP="00EC1CDA">
      <w:pPr>
        <w:pStyle w:val="a9"/>
        <w:numPr>
          <w:ilvl w:val="0"/>
          <w:numId w:val="1"/>
        </w:numPr>
        <w:spacing w:line="360" w:lineRule="auto"/>
        <w:jc w:val="both"/>
        <w:rPr>
          <w:rFonts w:ascii="Arial" w:hAnsi="Arial"/>
          <w:rtl/>
        </w:rPr>
      </w:pPr>
      <w:r>
        <w:rPr>
          <w:rFonts w:ascii="Arial" w:hAnsi="Arial" w:hint="cs"/>
          <w:rtl/>
        </w:rPr>
        <w:t xml:space="preserve">אשר על כן </w:t>
      </w:r>
      <w:r w:rsidRPr="00AF2FC7">
        <w:rPr>
          <w:rFonts w:ascii="Arial" w:hAnsi="Arial"/>
          <w:rtl/>
        </w:rPr>
        <w:t>אני דן את הנאש</w:t>
      </w:r>
      <w:r>
        <w:rPr>
          <w:rFonts w:ascii="Arial" w:hAnsi="Arial" w:hint="cs"/>
          <w:rtl/>
        </w:rPr>
        <w:t>ם</w:t>
      </w:r>
      <w:r w:rsidRPr="00AF2FC7">
        <w:rPr>
          <w:rFonts w:ascii="Arial" w:hAnsi="Arial"/>
          <w:rtl/>
        </w:rPr>
        <w:t xml:space="preserve"> לעונשים הבאים:</w:t>
      </w:r>
    </w:p>
    <w:p w14:paraId="2641C8D9" w14:textId="77777777" w:rsidR="00EC1CDA" w:rsidRPr="00AF2FC7" w:rsidRDefault="00EC1CDA" w:rsidP="00EC1CDA">
      <w:pPr>
        <w:pStyle w:val="a9"/>
        <w:numPr>
          <w:ilvl w:val="0"/>
          <w:numId w:val="1"/>
        </w:numPr>
        <w:spacing w:line="360" w:lineRule="auto"/>
        <w:jc w:val="both"/>
        <w:rPr>
          <w:rFonts w:ascii="Arial" w:hAnsi="Arial"/>
          <w:rtl/>
        </w:rPr>
      </w:pPr>
      <w:r w:rsidRPr="00AF2FC7">
        <w:rPr>
          <w:rFonts w:ascii="Arial" w:hAnsi="Arial"/>
          <w:rtl/>
        </w:rPr>
        <w:t xml:space="preserve">9 חודשי מאסר אשר ירוצו בדרך של עבודות שירות. הממונה יגיש מועד חדש לתחילת עבודות השירות בתוך </w:t>
      </w:r>
      <w:r>
        <w:rPr>
          <w:rFonts w:ascii="Arial" w:hAnsi="Arial" w:hint="cs"/>
          <w:rtl/>
        </w:rPr>
        <w:t>30</w:t>
      </w:r>
      <w:r w:rsidRPr="00AF2FC7">
        <w:rPr>
          <w:rFonts w:ascii="Arial" w:hAnsi="Arial"/>
          <w:rtl/>
        </w:rPr>
        <w:t xml:space="preserve"> יום.</w:t>
      </w:r>
    </w:p>
    <w:p w14:paraId="44C2FF07" w14:textId="77777777" w:rsidR="00EC1CDA" w:rsidRPr="00AF2FC7" w:rsidRDefault="003A39FE" w:rsidP="00EC1CDA">
      <w:pPr>
        <w:pStyle w:val="a9"/>
        <w:numPr>
          <w:ilvl w:val="0"/>
          <w:numId w:val="1"/>
        </w:numPr>
        <w:spacing w:line="360" w:lineRule="auto"/>
        <w:jc w:val="both"/>
        <w:rPr>
          <w:rFonts w:ascii="Arial" w:hAnsi="Arial"/>
          <w:rtl/>
        </w:rPr>
      </w:pPr>
      <w:r w:rsidRPr="003A39FE">
        <w:rPr>
          <w:rFonts w:ascii="Arial" w:hAnsi="Arial"/>
          <w:color w:val="FFFFFF"/>
          <w:sz w:val="2"/>
          <w:szCs w:val="2"/>
          <w:rtl/>
        </w:rPr>
        <w:t>5129371</w:t>
      </w:r>
      <w:r w:rsidR="00EC1CDA" w:rsidRPr="00AF2FC7">
        <w:rPr>
          <w:rFonts w:ascii="Arial" w:hAnsi="Arial"/>
          <w:rtl/>
        </w:rPr>
        <w:t xml:space="preserve">מאסר למשך 6 חודשים וזאת על תנאי למשך 3 שנים שלא </w:t>
      </w:r>
      <w:r w:rsidR="00EC1CDA">
        <w:rPr>
          <w:rFonts w:ascii="Arial" w:hAnsi="Arial" w:hint="cs"/>
          <w:rtl/>
        </w:rPr>
        <w:t>י</w:t>
      </w:r>
      <w:r w:rsidR="00EC1CDA" w:rsidRPr="00AF2FC7">
        <w:rPr>
          <w:rFonts w:ascii="Arial" w:hAnsi="Arial"/>
          <w:rtl/>
        </w:rPr>
        <w:t>עבור על אחת העבירות בהן הורשע.</w:t>
      </w:r>
    </w:p>
    <w:p w14:paraId="07BE935A" w14:textId="77777777" w:rsidR="00EC1CDA" w:rsidRPr="00C62B99" w:rsidRDefault="003A39FE" w:rsidP="00EC1CDA">
      <w:pPr>
        <w:pStyle w:val="a9"/>
        <w:numPr>
          <w:ilvl w:val="0"/>
          <w:numId w:val="1"/>
        </w:numPr>
        <w:spacing w:line="360" w:lineRule="auto"/>
        <w:jc w:val="both"/>
        <w:rPr>
          <w:rFonts w:ascii="Arial" w:hAnsi="Arial"/>
          <w:rtl/>
        </w:rPr>
      </w:pPr>
      <w:r w:rsidRPr="003A39FE">
        <w:rPr>
          <w:rFonts w:ascii="Arial" w:hAnsi="Arial"/>
          <w:color w:val="FFFFFF"/>
          <w:sz w:val="2"/>
          <w:szCs w:val="2"/>
          <w:rtl/>
        </w:rPr>
        <w:t>54678313</w:t>
      </w:r>
      <w:r w:rsidR="00EC1CDA" w:rsidRPr="00C62B99">
        <w:rPr>
          <w:rFonts w:ascii="Arial" w:hAnsi="Arial"/>
          <w:rtl/>
        </w:rPr>
        <w:t>קנס בסך 4500 ₪ א</w:t>
      </w:r>
      <w:r w:rsidR="00EC1CDA">
        <w:rPr>
          <w:rFonts w:ascii="Arial" w:hAnsi="Arial" w:hint="cs"/>
          <w:rtl/>
        </w:rPr>
        <w:t>שר ישולם עד ליום 1.1.2025</w:t>
      </w:r>
      <w:r w:rsidR="00EC1CDA" w:rsidRPr="00C62B99">
        <w:rPr>
          <w:rFonts w:ascii="Arial" w:hAnsi="Arial"/>
          <w:rtl/>
        </w:rPr>
        <w:t>.</w:t>
      </w:r>
    </w:p>
    <w:p w14:paraId="35279513" w14:textId="77777777" w:rsidR="00EC1CDA" w:rsidRPr="006146F1" w:rsidRDefault="00EC1CDA" w:rsidP="00EC1CDA">
      <w:pPr>
        <w:spacing w:line="360" w:lineRule="auto"/>
        <w:ind w:left="360"/>
        <w:jc w:val="both"/>
        <w:rPr>
          <w:rFonts w:ascii="Arial" w:hAnsi="Arial"/>
          <w:b/>
          <w:bCs/>
          <w:rtl/>
        </w:rPr>
      </w:pPr>
      <w:r w:rsidRPr="006146F1">
        <w:rPr>
          <w:rFonts w:ascii="Arial" w:hAnsi="Arial"/>
          <w:b/>
          <w:bCs/>
          <w:rtl/>
        </w:rPr>
        <w:t>זכות ערעור לבית המשפט המחוזי בתוך 45 יום</w:t>
      </w:r>
      <w:r>
        <w:rPr>
          <w:rFonts w:ascii="Arial" w:hAnsi="Arial" w:hint="cs"/>
          <w:b/>
          <w:bCs/>
          <w:rtl/>
        </w:rPr>
        <w:t xml:space="preserve"> מהיום</w:t>
      </w:r>
      <w:r w:rsidRPr="006146F1">
        <w:rPr>
          <w:rFonts w:ascii="Arial" w:hAnsi="Arial"/>
          <w:b/>
          <w:bCs/>
          <w:rtl/>
        </w:rPr>
        <w:t>.</w:t>
      </w:r>
    </w:p>
    <w:p w14:paraId="4A8EC847" w14:textId="77777777" w:rsidR="00EC1CDA" w:rsidRPr="003A3572" w:rsidRDefault="003A39FE" w:rsidP="00EC1CDA">
      <w:pPr>
        <w:spacing w:line="360" w:lineRule="auto"/>
        <w:jc w:val="both"/>
        <w:rPr>
          <w:rFonts w:ascii="Arial" w:hAnsi="Arial"/>
          <w:rtl/>
        </w:rPr>
      </w:pPr>
      <w:bookmarkStart w:id="8" w:name="Nitan"/>
      <w:r>
        <w:rPr>
          <w:rFonts w:ascii="Arial" w:hAnsi="Arial"/>
          <w:rtl/>
        </w:rPr>
        <w:t xml:space="preserve">ניתן היום,  ט' תשרי תשפ"ה, 11 אוקטובר 2024, במעמד הנוכחים. </w:t>
      </w:r>
      <w:bookmarkEnd w:id="8"/>
      <w:r w:rsidR="00EC1CDA" w:rsidRPr="003A3572">
        <w:rPr>
          <w:rFonts w:ascii="Arial" w:hAnsi="Arial"/>
          <w:rtl/>
        </w:rPr>
        <w:tab/>
      </w:r>
      <w:r w:rsidR="00EC1CDA" w:rsidRPr="003A3572">
        <w:rPr>
          <w:rFonts w:ascii="Arial" w:hAnsi="Arial"/>
          <w:rtl/>
        </w:rPr>
        <w:tab/>
      </w:r>
      <w:r w:rsidR="00EC1CDA" w:rsidRPr="003A3572">
        <w:rPr>
          <w:rFonts w:ascii="Arial" w:hAnsi="Arial"/>
          <w:rtl/>
        </w:rPr>
        <w:tab/>
      </w:r>
      <w:r w:rsidR="00EC1CDA" w:rsidRPr="003A3572">
        <w:rPr>
          <w:rFonts w:ascii="Arial" w:hAnsi="Arial"/>
          <w:rtl/>
        </w:rPr>
        <w:tab/>
      </w:r>
      <w:r w:rsidR="00EC1CDA" w:rsidRPr="003A3572">
        <w:rPr>
          <w:rFonts w:ascii="Arial" w:hAnsi="Arial"/>
          <w:rtl/>
        </w:rPr>
        <w:tab/>
      </w:r>
      <w:r w:rsidR="00EC1CDA" w:rsidRPr="003A3572">
        <w:rPr>
          <w:rFonts w:ascii="Arial" w:hAnsi="Arial"/>
          <w:rtl/>
        </w:rPr>
        <w:tab/>
      </w:r>
      <w:r w:rsidR="00EC1CDA" w:rsidRPr="003A3572">
        <w:rPr>
          <w:rFonts w:ascii="Arial" w:hAnsi="Arial"/>
          <w:rtl/>
        </w:rPr>
        <w:tab/>
      </w:r>
      <w:r w:rsidR="00EC1CDA" w:rsidRPr="003A3572">
        <w:rPr>
          <w:rFonts w:ascii="Arial" w:hAnsi="Arial" w:hint="cs"/>
          <w:rtl/>
        </w:rPr>
        <w:t xml:space="preserve">         </w:t>
      </w:r>
    </w:p>
    <w:p w14:paraId="62A6257B" w14:textId="77777777" w:rsidR="00EC1CDA" w:rsidRPr="003A3572" w:rsidRDefault="00EC1CDA" w:rsidP="003A39FE">
      <w:pPr>
        <w:jc w:val="center"/>
      </w:pPr>
      <w:r w:rsidRPr="003A3572">
        <w:rPr>
          <w:rFonts w:ascii="Arial" w:hAnsi="Arial"/>
          <w:rtl/>
        </w:rPr>
        <w:t xml:space="preserve">   </w:t>
      </w:r>
      <w:r w:rsidRPr="003A3572">
        <w:rPr>
          <w:rFonts w:ascii="Arial" w:hAnsi="Arial"/>
          <w:rtl/>
        </w:rPr>
        <w:tab/>
      </w:r>
      <w:r w:rsidRPr="003A3572">
        <w:rPr>
          <w:rFonts w:ascii="Arial" w:hAnsi="Arial"/>
          <w:rtl/>
        </w:rPr>
        <w:tab/>
      </w:r>
      <w:r w:rsidRPr="003A3572">
        <w:rPr>
          <w:rFonts w:ascii="Arial" w:hAnsi="Arial"/>
          <w:rtl/>
        </w:rPr>
        <w:tab/>
      </w:r>
      <w:r w:rsidRPr="003A3572">
        <w:rPr>
          <w:rFonts w:ascii="Arial" w:hAnsi="Arial"/>
          <w:rtl/>
        </w:rPr>
        <w:tab/>
      </w:r>
      <w:r w:rsidRPr="003A3572">
        <w:rPr>
          <w:rFonts w:ascii="Arial" w:hAnsi="Arial"/>
          <w:rtl/>
        </w:rPr>
        <w:tab/>
      </w:r>
    </w:p>
    <w:p w14:paraId="1AF8C9C9" w14:textId="77777777" w:rsidR="00EC1CDA" w:rsidRPr="00872C1C" w:rsidRDefault="00872C1C" w:rsidP="00EC1CDA">
      <w:pPr>
        <w:jc w:val="center"/>
        <w:rPr>
          <w:rFonts w:ascii="Arial" w:hAnsi="Arial"/>
          <w:color w:val="FFFFFF"/>
          <w:sz w:val="2"/>
          <w:szCs w:val="2"/>
          <w:rtl/>
        </w:rPr>
      </w:pPr>
      <w:r w:rsidRPr="00872C1C">
        <w:rPr>
          <w:rFonts w:ascii="Arial" w:hAnsi="Arial"/>
          <w:color w:val="FFFFFF"/>
          <w:sz w:val="2"/>
          <w:szCs w:val="2"/>
          <w:rtl/>
        </w:rPr>
        <w:t>5129371</w:t>
      </w:r>
    </w:p>
    <w:p w14:paraId="5561DF49" w14:textId="77777777" w:rsidR="00DE236A" w:rsidRPr="00872C1C" w:rsidRDefault="00872C1C" w:rsidP="003A39FE">
      <w:pPr>
        <w:keepNext/>
        <w:rPr>
          <w:rFonts w:ascii="David" w:hAnsi="David"/>
          <w:color w:val="FFFFFF"/>
          <w:sz w:val="2"/>
          <w:szCs w:val="2"/>
          <w:rtl/>
        </w:rPr>
      </w:pPr>
      <w:r w:rsidRPr="00872C1C">
        <w:rPr>
          <w:rFonts w:ascii="David" w:hAnsi="David"/>
          <w:color w:val="FFFFFF"/>
          <w:sz w:val="2"/>
          <w:szCs w:val="2"/>
          <w:rtl/>
        </w:rPr>
        <w:t>54678313</w:t>
      </w:r>
    </w:p>
    <w:p w14:paraId="26BFE75C" w14:textId="77777777" w:rsidR="003A39FE" w:rsidRPr="003A39FE" w:rsidRDefault="003A39FE" w:rsidP="003A39FE">
      <w:pPr>
        <w:keepNext/>
        <w:rPr>
          <w:rFonts w:ascii="David" w:hAnsi="David"/>
          <w:color w:val="000000"/>
          <w:sz w:val="22"/>
          <w:szCs w:val="22"/>
          <w:rtl/>
        </w:rPr>
      </w:pPr>
      <w:r w:rsidRPr="003A39FE">
        <w:rPr>
          <w:rFonts w:ascii="David" w:hAnsi="David"/>
          <w:color w:val="000000"/>
          <w:sz w:val="22"/>
          <w:szCs w:val="22"/>
          <w:rtl/>
        </w:rPr>
        <w:t>ארנון איתן 54678313</w:t>
      </w:r>
    </w:p>
    <w:p w14:paraId="2B1B8738" w14:textId="77777777" w:rsidR="003A39FE" w:rsidRDefault="003A39FE" w:rsidP="003A39FE">
      <w:r w:rsidRPr="003A39FE">
        <w:rPr>
          <w:color w:val="000000"/>
          <w:rtl/>
        </w:rPr>
        <w:t>נוסח מסמך זה כפוף לשינויי ניסוח ועריכה</w:t>
      </w:r>
    </w:p>
    <w:p w14:paraId="5A1F3E2B" w14:textId="77777777" w:rsidR="003A39FE" w:rsidRDefault="003A39FE" w:rsidP="003A39FE">
      <w:pPr>
        <w:rPr>
          <w:rtl/>
        </w:rPr>
      </w:pPr>
    </w:p>
    <w:p w14:paraId="7BA0D4C1" w14:textId="77777777" w:rsidR="003A39FE" w:rsidRDefault="003A39FE" w:rsidP="003A39FE">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640EE7D9" w14:textId="77777777" w:rsidR="00872C1C" w:rsidRPr="00872C1C" w:rsidRDefault="00872C1C" w:rsidP="00872C1C">
      <w:pPr>
        <w:keepNext/>
        <w:rPr>
          <w:rFonts w:ascii="David" w:hAnsi="David"/>
          <w:color w:val="000000"/>
          <w:sz w:val="22"/>
          <w:szCs w:val="22"/>
          <w:rtl/>
        </w:rPr>
      </w:pPr>
    </w:p>
    <w:sectPr w:rsidR="00872C1C" w:rsidRPr="00872C1C" w:rsidSect="00872C1C">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30484" w14:textId="77777777" w:rsidR="00E740DD" w:rsidRDefault="00E740DD" w:rsidP="00424FBF">
      <w:r>
        <w:separator/>
      </w:r>
    </w:p>
  </w:endnote>
  <w:endnote w:type="continuationSeparator" w:id="0">
    <w:p w14:paraId="2680E9CD" w14:textId="77777777" w:rsidR="00E740DD" w:rsidRDefault="00E740DD" w:rsidP="00424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D2AE6" w14:textId="77777777" w:rsidR="00872C1C" w:rsidRDefault="00872C1C" w:rsidP="00872C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D3A2C0" w14:textId="77777777" w:rsidR="00945564" w:rsidRPr="00872C1C" w:rsidRDefault="00872C1C" w:rsidP="00872C1C">
    <w:pPr>
      <w:pStyle w:val="a5"/>
      <w:pBdr>
        <w:top w:val="single" w:sz="4" w:space="1" w:color="auto"/>
        <w:between w:val="single" w:sz="4" w:space="0" w:color="auto"/>
      </w:pBdr>
      <w:spacing w:after="60"/>
      <w:jc w:val="center"/>
      <w:rPr>
        <w:rFonts w:ascii="FrankRuehl" w:hAnsi="FrankRuehl" w:cs="FrankRuehl"/>
        <w:color w:val="000000"/>
      </w:rPr>
    </w:pPr>
    <w:r w:rsidRPr="00872C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2A3D6" w14:textId="77777777" w:rsidR="00872C1C" w:rsidRDefault="00872C1C" w:rsidP="00872C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23920">
      <w:rPr>
        <w:rFonts w:ascii="FrankRuehl" w:hAnsi="FrankRuehl" w:cs="FrankRuehl"/>
        <w:noProof/>
        <w:rtl/>
      </w:rPr>
      <w:t>1</w:t>
    </w:r>
    <w:r>
      <w:rPr>
        <w:rFonts w:ascii="FrankRuehl" w:hAnsi="FrankRuehl" w:cs="FrankRuehl"/>
        <w:rtl/>
      </w:rPr>
      <w:fldChar w:fldCharType="end"/>
    </w:r>
  </w:p>
  <w:p w14:paraId="1DD41E03" w14:textId="77777777" w:rsidR="00945564" w:rsidRPr="00872C1C" w:rsidRDefault="00872C1C" w:rsidP="00872C1C">
    <w:pPr>
      <w:pStyle w:val="a5"/>
      <w:pBdr>
        <w:top w:val="single" w:sz="4" w:space="1" w:color="auto"/>
        <w:between w:val="single" w:sz="4" w:space="0" w:color="auto"/>
      </w:pBdr>
      <w:spacing w:after="60"/>
      <w:jc w:val="center"/>
      <w:rPr>
        <w:rFonts w:ascii="FrankRuehl" w:hAnsi="FrankRuehl" w:cs="FrankRuehl"/>
        <w:color w:val="000000"/>
      </w:rPr>
    </w:pPr>
    <w:r w:rsidRPr="00872C1C">
      <w:rPr>
        <w:rFonts w:ascii="FrankRuehl" w:hAnsi="FrankRuehl" w:cs="FrankRuehl"/>
        <w:color w:val="000000"/>
      </w:rPr>
      <w:pict w14:anchorId="59F6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B0B92" w14:textId="77777777" w:rsidR="00E740DD" w:rsidRDefault="00E740DD" w:rsidP="00424FBF">
      <w:r>
        <w:separator/>
      </w:r>
    </w:p>
  </w:footnote>
  <w:footnote w:type="continuationSeparator" w:id="0">
    <w:p w14:paraId="3770A789" w14:textId="77777777" w:rsidR="00E740DD" w:rsidRDefault="00E740DD" w:rsidP="00424F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EAEB9" w14:textId="77777777" w:rsidR="003A39FE" w:rsidRPr="00872C1C" w:rsidRDefault="00872C1C" w:rsidP="00872C1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5032-11-21</w:t>
    </w:r>
    <w:r>
      <w:rPr>
        <w:rFonts w:ascii="David" w:hAnsi="David"/>
        <w:color w:val="000000"/>
        <w:sz w:val="22"/>
        <w:szCs w:val="22"/>
        <w:rtl/>
      </w:rPr>
      <w:tab/>
      <w:t xml:space="preserve"> מדינת ישראל נ' עלי עודה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1362B" w14:textId="77777777" w:rsidR="003A39FE" w:rsidRPr="00872C1C" w:rsidRDefault="00872C1C" w:rsidP="00872C1C">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5032-11-21</w:t>
    </w:r>
    <w:r>
      <w:rPr>
        <w:rFonts w:ascii="David" w:hAnsi="David"/>
        <w:color w:val="000000"/>
        <w:sz w:val="22"/>
        <w:szCs w:val="22"/>
        <w:rtl/>
      </w:rPr>
      <w:tab/>
      <w:t xml:space="preserve"> מדינת ישראל נ' עלי עודה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53D5C"/>
    <w:multiLevelType w:val="hybridMultilevel"/>
    <w:tmpl w:val="2FBA7DD2"/>
    <w:lvl w:ilvl="0" w:tplc="6DA0368A">
      <w:start w:val="1"/>
      <w:numFmt w:val="decimal"/>
      <w:lvlText w:val="%1."/>
      <w:lvlJc w:val="left"/>
      <w:pPr>
        <w:ind w:left="720" w:hanging="360"/>
      </w:pPr>
      <w:rPr>
        <w:lang w:val="en-US" w:bidi="he-IL"/>
      </w:rPr>
    </w:lvl>
    <w:lvl w:ilvl="1" w:tplc="CF744FEC">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18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C1CDA"/>
    <w:rsid w:val="001B5A3B"/>
    <w:rsid w:val="003A39FE"/>
    <w:rsid w:val="003E4B20"/>
    <w:rsid w:val="00424FBF"/>
    <w:rsid w:val="00623920"/>
    <w:rsid w:val="00872C1C"/>
    <w:rsid w:val="00945564"/>
    <w:rsid w:val="00DE236A"/>
    <w:rsid w:val="00E740DD"/>
    <w:rsid w:val="00EA5A91"/>
    <w:rsid w:val="00EC1C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0D73A7"/>
  <w15:chartTrackingRefBased/>
  <w15:docId w15:val="{99F86A0C-7FE1-4E65-8285-20C378A9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C1CD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C1CDA"/>
    <w:pPr>
      <w:tabs>
        <w:tab w:val="center" w:pos="4153"/>
        <w:tab w:val="right" w:pos="8306"/>
      </w:tabs>
    </w:pPr>
  </w:style>
  <w:style w:type="character" w:customStyle="1" w:styleId="a4">
    <w:name w:val="כותרת עליונה תו"/>
    <w:link w:val="a3"/>
    <w:rsid w:val="00EC1CDA"/>
    <w:rPr>
      <w:rFonts w:ascii="Times New Roman" w:eastAsia="Times New Roman" w:hAnsi="Times New Roman" w:cs="David"/>
      <w:sz w:val="24"/>
      <w:szCs w:val="24"/>
    </w:rPr>
  </w:style>
  <w:style w:type="paragraph" w:styleId="a5">
    <w:name w:val="footer"/>
    <w:basedOn w:val="a"/>
    <w:link w:val="a6"/>
    <w:rsid w:val="00EC1CDA"/>
    <w:pPr>
      <w:tabs>
        <w:tab w:val="center" w:pos="4153"/>
        <w:tab w:val="right" w:pos="8306"/>
      </w:tabs>
    </w:pPr>
  </w:style>
  <w:style w:type="character" w:customStyle="1" w:styleId="a6">
    <w:name w:val="כותרת תחתונה תו"/>
    <w:link w:val="a5"/>
    <w:rsid w:val="00EC1CDA"/>
    <w:rPr>
      <w:rFonts w:ascii="Times New Roman" w:eastAsia="Times New Roman" w:hAnsi="Times New Roman" w:cs="David"/>
      <w:sz w:val="24"/>
      <w:szCs w:val="24"/>
    </w:rPr>
  </w:style>
  <w:style w:type="table" w:styleId="a7">
    <w:name w:val="Table Grid"/>
    <w:basedOn w:val="a1"/>
    <w:rsid w:val="00EC1CD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C1CDA"/>
  </w:style>
  <w:style w:type="paragraph" w:styleId="a9">
    <w:name w:val="List Paragraph"/>
    <w:basedOn w:val="a"/>
    <w:qFormat/>
    <w:rsid w:val="00EC1CDA"/>
    <w:pPr>
      <w:ind w:left="720"/>
      <w:contextualSpacing/>
    </w:pPr>
  </w:style>
  <w:style w:type="character" w:styleId="Hyperlink">
    <w:name w:val="Hyperlink"/>
    <w:rsid w:val="003A39F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91"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91" TargetMode="External"/><Relationship Id="rId17" Type="http://schemas.openxmlformats.org/officeDocument/2006/relationships/hyperlink" Target="http://www.nevo.co.il/case/23845840" TargetMode="External"/><Relationship Id="rId2" Type="http://schemas.openxmlformats.org/officeDocument/2006/relationships/styles" Target="styles.xml"/><Relationship Id="rId16" Type="http://schemas.openxmlformats.org/officeDocument/2006/relationships/hyperlink" Target="http://www.nevo.co.il/case/25796849"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8750191" TargetMode="External"/><Relationship Id="rId23" Type="http://schemas.openxmlformats.org/officeDocument/2006/relationships/fontTable" Target="fontTable.xml"/><Relationship Id="rId10" Type="http://schemas.openxmlformats.org/officeDocument/2006/relationships/hyperlink" Target="http://www.nevo.co.il/law/70301/144b.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a" TargetMode="External"/><Relationship Id="rId14" Type="http://schemas.openxmlformats.org/officeDocument/2006/relationships/hyperlink" Target="http://www.nevo.co.il/case/25672409"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1309</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7840</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3866747</vt:i4>
      </vt:variant>
      <vt:variant>
        <vt:i4>30</vt:i4>
      </vt:variant>
      <vt:variant>
        <vt:i4>0</vt:i4>
      </vt:variant>
      <vt:variant>
        <vt:i4>5</vt:i4>
      </vt:variant>
      <vt:variant>
        <vt:lpwstr>http://www.nevo.co.il/case/23845840</vt:lpwstr>
      </vt:variant>
      <vt:variant>
        <vt:lpwstr/>
      </vt:variant>
      <vt:variant>
        <vt:i4>3604592</vt:i4>
      </vt:variant>
      <vt:variant>
        <vt:i4>27</vt:i4>
      </vt:variant>
      <vt:variant>
        <vt:i4>0</vt:i4>
      </vt:variant>
      <vt:variant>
        <vt:i4>5</vt:i4>
      </vt:variant>
      <vt:variant>
        <vt:lpwstr>http://www.nevo.co.il/case/25796849</vt:lpwstr>
      </vt:variant>
      <vt:variant>
        <vt:lpwstr/>
      </vt:variant>
      <vt:variant>
        <vt:i4>4128888</vt:i4>
      </vt:variant>
      <vt:variant>
        <vt:i4>24</vt:i4>
      </vt:variant>
      <vt:variant>
        <vt:i4>0</vt:i4>
      </vt:variant>
      <vt:variant>
        <vt:i4>5</vt:i4>
      </vt:variant>
      <vt:variant>
        <vt:lpwstr>http://www.nevo.co.il/case/18750191</vt:lpwstr>
      </vt:variant>
      <vt:variant>
        <vt:lpwstr/>
      </vt:variant>
      <vt:variant>
        <vt:i4>3539058</vt:i4>
      </vt:variant>
      <vt:variant>
        <vt:i4>21</vt:i4>
      </vt:variant>
      <vt:variant>
        <vt:i4>0</vt:i4>
      </vt:variant>
      <vt:variant>
        <vt:i4>5</vt:i4>
      </vt:variant>
      <vt:variant>
        <vt:lpwstr>http://www.nevo.co.il/case/25672409</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6553708</vt:i4>
      </vt:variant>
      <vt:variant>
        <vt:i4>15</vt:i4>
      </vt:variant>
      <vt:variant>
        <vt:i4>0</vt:i4>
      </vt:variant>
      <vt:variant>
        <vt:i4>5</vt:i4>
      </vt:variant>
      <vt:variant>
        <vt:lpwstr>http://www.nevo.co.il/law/70301/91</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6422654</vt:i4>
      </vt:variant>
      <vt:variant>
        <vt:i4>9</vt:i4>
      </vt:variant>
      <vt:variant>
        <vt:i4>0</vt:i4>
      </vt:variant>
      <vt:variant>
        <vt:i4>5</vt:i4>
      </vt:variant>
      <vt:variant>
        <vt:lpwstr>http://www.nevo.co.il/law/70301/144b.a</vt:lpwstr>
      </vt:variant>
      <vt:variant>
        <vt:lpwstr/>
      </vt:variant>
      <vt:variant>
        <vt:i4>6422654</vt:i4>
      </vt:variant>
      <vt:variant>
        <vt:i4>6</vt:i4>
      </vt:variant>
      <vt:variant>
        <vt:i4>0</vt:i4>
      </vt:variant>
      <vt:variant>
        <vt:i4>5</vt:i4>
      </vt:variant>
      <vt:variant>
        <vt:lpwstr>http://www.nevo.co.il/law/70301/144b.a</vt:lpwstr>
      </vt:variant>
      <vt:variant>
        <vt:lpwstr/>
      </vt:variant>
      <vt:variant>
        <vt:i4>6553708</vt:i4>
      </vt:variant>
      <vt:variant>
        <vt:i4>3</vt:i4>
      </vt:variant>
      <vt:variant>
        <vt:i4>0</vt:i4>
      </vt:variant>
      <vt:variant>
        <vt:i4>5</vt:i4>
      </vt:variant>
      <vt:variant>
        <vt:lpwstr>http://www.nevo.co.il/law/70301/91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5032</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עלי עודה</vt:lpwstr>
  </property>
  <property fmtid="{D5CDD505-2E9C-101B-9397-08002B2CF9AE}" pid="10" name="LAWYER">
    <vt:lpwstr>חאלד אזברגה</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20241011</vt:lpwstr>
  </property>
  <property fmtid="{D5CDD505-2E9C-101B-9397-08002B2CF9AE}" pid="14" name="TYPE_N_DATE">
    <vt:lpwstr>38020241011</vt:lpwstr>
  </property>
  <property fmtid="{D5CDD505-2E9C-101B-9397-08002B2CF9AE}" pid="15" name="CASESLISTTMP1">
    <vt:lpwstr>25672409;18750191;25796849;23845840</vt:lpwstr>
  </property>
  <property fmtid="{D5CDD505-2E9C-101B-9397-08002B2CF9AE}" pid="16" name="WORDNUMPAGES">
    <vt:lpwstr>4</vt:lpwstr>
  </property>
  <property fmtid="{D5CDD505-2E9C-101B-9397-08002B2CF9AE}" pid="17" name="TYPE_ABS_DATE">
    <vt:lpwstr>380020241011</vt:lpwstr>
  </property>
  <property fmtid="{D5CDD505-2E9C-101B-9397-08002B2CF9AE}" pid="18" name="ISABSTRACT">
    <vt:lpwstr>Y</vt:lpwstr>
  </property>
  <property fmtid="{D5CDD505-2E9C-101B-9397-08002B2CF9AE}" pid="19" name="LAWLISTTMP1">
    <vt:lpwstr>70301/144b.a;091</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ies>
</file>