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67"/>
        <w:gridCol w:w="2838"/>
      </w:tblGrid>
      <w:tr w:rsidR="00383D76" w:rsidRPr="00630959" w14:paraId="155AEFE2" w14:textId="77777777" w:rsidTr="009465E5">
        <w:trPr>
          <w:trHeight w:hRule="exact" w:val="418"/>
          <w:jc w:val="center"/>
        </w:trPr>
        <w:tc>
          <w:tcPr>
            <w:tcW w:w="8505" w:type="dxa"/>
            <w:gridSpan w:val="2"/>
          </w:tcPr>
          <w:p w14:paraId="3586F467" w14:textId="77777777" w:rsidR="00383D76" w:rsidRPr="00630959" w:rsidRDefault="00383D76" w:rsidP="009465E5">
            <w:pPr>
              <w:pStyle w:val="a3"/>
              <w:jc w:val="center"/>
              <w:rPr>
                <w:rFonts w:ascii="Tahoma" w:hAnsi="Tahoma" w:cs="Tahoma"/>
                <w:color w:val="000080"/>
                <w:rtl/>
              </w:rPr>
            </w:pPr>
            <w:r w:rsidRPr="00630959">
              <w:rPr>
                <w:rFonts w:ascii="Tahoma" w:hAnsi="Tahoma" w:cs="Tahoma"/>
                <w:b/>
                <w:bCs/>
                <w:color w:val="000080"/>
                <w:rtl/>
              </w:rPr>
              <w:t>בית משפט השלום בבאר שבע</w:t>
            </w:r>
          </w:p>
        </w:tc>
      </w:tr>
      <w:tr w:rsidR="00383D76" w:rsidRPr="003A2FA8" w14:paraId="632464FC" w14:textId="77777777" w:rsidTr="009465E5">
        <w:trPr>
          <w:trHeight w:val="337"/>
          <w:jc w:val="center"/>
        </w:trPr>
        <w:tc>
          <w:tcPr>
            <w:tcW w:w="5667" w:type="dxa"/>
          </w:tcPr>
          <w:p w14:paraId="5CB16A1F" w14:textId="77777777" w:rsidR="00383D76" w:rsidRPr="003A2FA8" w:rsidRDefault="00383D76" w:rsidP="003A2FA8">
            <w:pPr>
              <w:pStyle w:val="a3"/>
              <w:spacing w:before="120" w:after="120" w:line="240" w:lineRule="exact"/>
              <w:rPr>
                <w:rFonts w:cs="FrankRuehl"/>
                <w:sz w:val="26"/>
                <w:szCs w:val="26"/>
                <w:rtl/>
              </w:rPr>
            </w:pPr>
            <w:r w:rsidRPr="003A2FA8">
              <w:rPr>
                <w:rFonts w:ascii="David" w:hAnsi="David"/>
                <w:b/>
                <w:bCs/>
                <w:sz w:val="26"/>
                <w:szCs w:val="26"/>
                <w:rtl/>
              </w:rPr>
              <w:t>ת"פ 29566-01-22 מדינת ישראל נ' אבו עגינה(עציר)</w:t>
            </w:r>
          </w:p>
        </w:tc>
        <w:tc>
          <w:tcPr>
            <w:tcW w:w="2838" w:type="dxa"/>
          </w:tcPr>
          <w:p w14:paraId="1D4109DF" w14:textId="77777777" w:rsidR="00383D76" w:rsidRPr="003A2FA8" w:rsidRDefault="00383D76" w:rsidP="003A2FA8">
            <w:pPr>
              <w:pStyle w:val="a3"/>
              <w:spacing w:before="120" w:after="120" w:line="240" w:lineRule="exact"/>
              <w:jc w:val="right"/>
              <w:rPr>
                <w:rFonts w:cs="FrankRuehl"/>
                <w:sz w:val="26"/>
                <w:szCs w:val="26"/>
                <w:rtl/>
              </w:rPr>
            </w:pPr>
          </w:p>
        </w:tc>
      </w:tr>
    </w:tbl>
    <w:p w14:paraId="06430180" w14:textId="77777777" w:rsidR="00383D76" w:rsidRPr="003A2FA8" w:rsidRDefault="00383D76" w:rsidP="003A2FA8">
      <w:pPr>
        <w:pStyle w:val="a3"/>
        <w:spacing w:before="120" w:after="120" w:line="240" w:lineRule="exact"/>
        <w:rPr>
          <w:sz w:val="26"/>
          <w:szCs w:val="26"/>
          <w:rtl/>
        </w:rPr>
      </w:pPr>
      <w:r w:rsidRPr="003A2FA8">
        <w:rPr>
          <w:rFonts w:hint="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380"/>
        <w:gridCol w:w="6517"/>
      </w:tblGrid>
      <w:tr w:rsidR="00383D76" w:rsidRPr="003A2FA8" w14:paraId="1FC1A621" w14:textId="77777777" w:rsidTr="00383D76">
        <w:trPr>
          <w:trHeight w:val="295"/>
          <w:jc w:val="center"/>
        </w:trPr>
        <w:tc>
          <w:tcPr>
            <w:tcW w:w="923" w:type="dxa"/>
            <w:tcBorders>
              <w:top w:val="nil"/>
              <w:left w:val="nil"/>
              <w:bottom w:val="nil"/>
              <w:right w:val="nil"/>
            </w:tcBorders>
            <w:shd w:val="clear" w:color="auto" w:fill="auto"/>
          </w:tcPr>
          <w:p w14:paraId="539D38D5" w14:textId="77777777" w:rsidR="00383D76" w:rsidRPr="003A2FA8" w:rsidRDefault="00383D76" w:rsidP="003A2FA8">
            <w:pPr>
              <w:spacing w:before="120" w:after="120" w:line="240" w:lineRule="exact"/>
              <w:jc w:val="both"/>
              <w:rPr>
                <w:rFonts w:ascii="David" w:hAnsi="David"/>
                <w:b/>
                <w:bCs/>
                <w:sz w:val="26"/>
                <w:szCs w:val="26"/>
              </w:rPr>
            </w:pPr>
            <w:r w:rsidRPr="003A2FA8">
              <w:rPr>
                <w:rFonts w:ascii="David" w:hAnsi="David" w:hint="cs"/>
                <w:b/>
                <w:bCs/>
                <w:sz w:val="26"/>
                <w:szCs w:val="26"/>
                <w:rtl/>
              </w:rPr>
              <w:t>ל</w:t>
            </w:r>
            <w:r w:rsidRPr="003A2FA8">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519A1919" w14:textId="77777777" w:rsidR="00383D76" w:rsidRPr="003A2FA8" w:rsidRDefault="00383D76" w:rsidP="003A2FA8">
            <w:pPr>
              <w:spacing w:before="120" w:after="120" w:line="240" w:lineRule="exact"/>
              <w:jc w:val="both"/>
              <w:rPr>
                <w:rFonts w:ascii="David" w:hAnsi="David"/>
                <w:b/>
                <w:bCs/>
                <w:sz w:val="26"/>
                <w:szCs w:val="26"/>
              </w:rPr>
            </w:pPr>
            <w:r w:rsidRPr="003A2FA8">
              <w:rPr>
                <w:rFonts w:ascii="David" w:hAnsi="David"/>
                <w:b/>
                <w:bCs/>
                <w:sz w:val="26"/>
                <w:szCs w:val="26"/>
                <w:rtl/>
              </w:rPr>
              <w:t>כבוד השופטת, סגנית הנשיא  ענת חולתא</w:t>
            </w:r>
          </w:p>
        </w:tc>
      </w:tr>
      <w:tr w:rsidR="003A2FA8" w:rsidRPr="003A2FA8" w14:paraId="0E3AB43B" w14:textId="77777777" w:rsidTr="003A2FA8">
        <w:trPr>
          <w:trHeight w:val="355"/>
          <w:jc w:val="center"/>
        </w:trPr>
        <w:tc>
          <w:tcPr>
            <w:tcW w:w="2303" w:type="dxa"/>
            <w:gridSpan w:val="2"/>
            <w:tcBorders>
              <w:top w:val="nil"/>
              <w:left w:val="nil"/>
              <w:bottom w:val="nil"/>
              <w:right w:val="nil"/>
            </w:tcBorders>
            <w:shd w:val="clear" w:color="auto" w:fill="auto"/>
          </w:tcPr>
          <w:p w14:paraId="630F15DB" w14:textId="77777777" w:rsidR="003A2FA8" w:rsidRPr="003A2FA8" w:rsidRDefault="003A2FA8" w:rsidP="003A2FA8">
            <w:pPr>
              <w:spacing w:before="120" w:after="120" w:line="240" w:lineRule="exact"/>
              <w:jc w:val="both"/>
              <w:rPr>
                <w:rFonts w:ascii="David" w:hAnsi="David"/>
                <w:b/>
                <w:bCs/>
                <w:sz w:val="26"/>
                <w:szCs w:val="26"/>
              </w:rPr>
            </w:pPr>
            <w:bookmarkStart w:id="0" w:name="LastJudge"/>
            <w:bookmarkStart w:id="1" w:name="FirstAppellant"/>
            <w:bookmarkStart w:id="2" w:name="FirstLawyer"/>
            <w:bookmarkEnd w:id="0"/>
            <w:r w:rsidRPr="003A2FA8">
              <w:rPr>
                <w:rFonts w:ascii="David" w:hAnsi="David"/>
                <w:b/>
                <w:bCs/>
                <w:sz w:val="26"/>
                <w:szCs w:val="26"/>
                <w:rtl/>
              </w:rPr>
              <w:t>בעניין:</w:t>
            </w:r>
          </w:p>
          <w:p w14:paraId="54C6528A" w14:textId="77777777" w:rsidR="003A2FA8" w:rsidRPr="003A2FA8" w:rsidRDefault="003A2FA8" w:rsidP="003A2FA8">
            <w:pPr>
              <w:suppressLineNumbers/>
              <w:spacing w:before="120" w:after="120" w:line="240" w:lineRule="exact"/>
              <w:rPr>
                <w:b/>
                <w:bCs/>
                <w:sz w:val="26"/>
                <w:szCs w:val="26"/>
              </w:rPr>
            </w:pPr>
            <w:r w:rsidRPr="003A2FA8">
              <w:rPr>
                <w:rFonts w:ascii="Arial" w:hAnsi="Arial" w:hint="cs"/>
                <w:b/>
                <w:bCs/>
                <w:sz w:val="26"/>
                <w:szCs w:val="26"/>
                <w:rtl/>
              </w:rPr>
              <w:t>ה</w:t>
            </w:r>
            <w:r w:rsidRPr="003A2FA8">
              <w:rPr>
                <w:rFonts w:ascii="Arial" w:hAnsi="Arial"/>
                <w:b/>
                <w:bCs/>
                <w:sz w:val="26"/>
                <w:szCs w:val="26"/>
                <w:rtl/>
              </w:rPr>
              <w:t>מאשימה</w:t>
            </w:r>
          </w:p>
          <w:p w14:paraId="57596C1F" w14:textId="77777777" w:rsidR="003A2FA8" w:rsidRPr="003A2FA8" w:rsidRDefault="003A2FA8" w:rsidP="003A2FA8">
            <w:pPr>
              <w:spacing w:before="120" w:after="120" w:line="240" w:lineRule="exact"/>
              <w:rPr>
                <w:rFonts w:ascii="David" w:hAnsi="David"/>
                <w:b/>
                <w:bCs/>
                <w:sz w:val="26"/>
                <w:szCs w:val="26"/>
              </w:rPr>
            </w:pPr>
          </w:p>
        </w:tc>
        <w:tc>
          <w:tcPr>
            <w:tcW w:w="6517" w:type="dxa"/>
            <w:tcBorders>
              <w:top w:val="nil"/>
              <w:left w:val="nil"/>
              <w:bottom w:val="nil"/>
              <w:right w:val="nil"/>
            </w:tcBorders>
            <w:shd w:val="clear" w:color="auto" w:fill="auto"/>
            <w:vAlign w:val="center"/>
          </w:tcPr>
          <w:p w14:paraId="1C95C1FF" w14:textId="77777777" w:rsidR="003A2FA8" w:rsidRPr="003A2FA8" w:rsidRDefault="003A2FA8" w:rsidP="003A2FA8">
            <w:pPr>
              <w:suppressLineNumbers/>
              <w:spacing w:before="120" w:after="120" w:line="240" w:lineRule="exact"/>
              <w:rPr>
                <w:rFonts w:ascii="Arial" w:hAnsi="Arial"/>
                <w:b/>
                <w:bCs/>
                <w:sz w:val="26"/>
                <w:szCs w:val="26"/>
                <w:rtl/>
              </w:rPr>
            </w:pPr>
            <w:r w:rsidRPr="003A2FA8">
              <w:rPr>
                <w:rFonts w:ascii="Arial" w:hAnsi="Arial"/>
                <w:b/>
                <w:bCs/>
                <w:sz w:val="26"/>
                <w:szCs w:val="26"/>
                <w:rtl/>
              </w:rPr>
              <w:t>מדינת ישראל</w:t>
            </w:r>
            <w:r w:rsidRPr="003A2FA8">
              <w:rPr>
                <w:rFonts w:ascii="Arial" w:hAnsi="Arial" w:hint="cs"/>
                <w:b/>
                <w:bCs/>
                <w:sz w:val="26"/>
                <w:szCs w:val="26"/>
                <w:rtl/>
              </w:rPr>
              <w:t xml:space="preserve">-פמ"ד </w:t>
            </w:r>
          </w:p>
          <w:p w14:paraId="38401A38" w14:textId="77777777" w:rsidR="003A2FA8" w:rsidRPr="003A2FA8" w:rsidRDefault="003A2FA8" w:rsidP="003A2FA8">
            <w:pPr>
              <w:suppressLineNumbers/>
              <w:spacing w:before="120" w:after="120" w:line="240" w:lineRule="exact"/>
              <w:rPr>
                <w:b/>
                <w:bCs/>
                <w:sz w:val="26"/>
                <w:szCs w:val="26"/>
              </w:rPr>
            </w:pPr>
            <w:r w:rsidRPr="003A2FA8">
              <w:rPr>
                <w:rFonts w:ascii="Arial" w:hAnsi="Arial"/>
                <w:b/>
                <w:bCs/>
                <w:sz w:val="26"/>
                <w:szCs w:val="26"/>
                <w:rtl/>
              </w:rPr>
              <w:t>ע"י ב"כ עוה"ד</w:t>
            </w:r>
            <w:r w:rsidRPr="003A2FA8">
              <w:rPr>
                <w:rFonts w:ascii="Arial" w:hAnsi="Arial" w:hint="cs"/>
                <w:b/>
                <w:bCs/>
                <w:sz w:val="26"/>
                <w:szCs w:val="26"/>
                <w:rtl/>
              </w:rPr>
              <w:t xml:space="preserve"> אדר בכר-סאסי</w:t>
            </w:r>
          </w:p>
        </w:tc>
      </w:tr>
      <w:bookmarkEnd w:id="1"/>
      <w:bookmarkEnd w:id="2"/>
      <w:tr w:rsidR="003A2FA8" w:rsidRPr="003A2FA8" w14:paraId="76E6EADE" w14:textId="77777777" w:rsidTr="005F0CAD">
        <w:trPr>
          <w:trHeight w:val="355"/>
          <w:jc w:val="center"/>
        </w:trPr>
        <w:tc>
          <w:tcPr>
            <w:tcW w:w="8820" w:type="dxa"/>
            <w:gridSpan w:val="3"/>
            <w:tcBorders>
              <w:top w:val="nil"/>
              <w:left w:val="nil"/>
              <w:bottom w:val="nil"/>
              <w:right w:val="nil"/>
            </w:tcBorders>
            <w:shd w:val="clear" w:color="auto" w:fill="auto"/>
          </w:tcPr>
          <w:p w14:paraId="7D2105C2" w14:textId="77777777" w:rsidR="003A2FA8" w:rsidRPr="003A2FA8" w:rsidRDefault="003A2FA8" w:rsidP="003A2FA8">
            <w:pPr>
              <w:spacing w:before="240" w:after="240" w:line="240" w:lineRule="exact"/>
              <w:jc w:val="center"/>
              <w:rPr>
                <w:rFonts w:ascii="David" w:hAnsi="David" w:hint="cs"/>
                <w:b/>
                <w:bCs/>
                <w:sz w:val="26"/>
                <w:szCs w:val="26"/>
              </w:rPr>
            </w:pPr>
            <w:r w:rsidRPr="003A2FA8">
              <w:rPr>
                <w:rFonts w:ascii="David" w:hAnsi="David"/>
                <w:b/>
                <w:bCs/>
                <w:sz w:val="26"/>
                <w:szCs w:val="26"/>
                <w:rtl/>
              </w:rPr>
              <w:t>נגד</w:t>
            </w:r>
          </w:p>
        </w:tc>
      </w:tr>
      <w:tr w:rsidR="003A2FA8" w:rsidRPr="003A2FA8" w14:paraId="2312AF46" w14:textId="77777777" w:rsidTr="003A2FA8">
        <w:trPr>
          <w:trHeight w:val="355"/>
          <w:jc w:val="center"/>
        </w:trPr>
        <w:tc>
          <w:tcPr>
            <w:tcW w:w="2303" w:type="dxa"/>
            <w:gridSpan w:val="2"/>
            <w:tcBorders>
              <w:top w:val="nil"/>
              <w:left w:val="nil"/>
              <w:bottom w:val="nil"/>
              <w:right w:val="nil"/>
            </w:tcBorders>
            <w:shd w:val="clear" w:color="auto" w:fill="auto"/>
          </w:tcPr>
          <w:p w14:paraId="13CD4F8C" w14:textId="77777777" w:rsidR="003A2FA8" w:rsidRPr="003A2FA8" w:rsidRDefault="003A2FA8" w:rsidP="003A2FA8">
            <w:pPr>
              <w:spacing w:before="120" w:after="120" w:line="240" w:lineRule="exact"/>
              <w:rPr>
                <w:rFonts w:ascii="Arial" w:hAnsi="Arial"/>
                <w:b/>
                <w:bCs/>
                <w:sz w:val="26"/>
                <w:szCs w:val="26"/>
                <w:rtl/>
              </w:rPr>
            </w:pPr>
            <w:r w:rsidRPr="003A2FA8">
              <w:rPr>
                <w:rFonts w:ascii="Arial" w:hAnsi="Arial"/>
                <w:b/>
                <w:bCs/>
                <w:sz w:val="26"/>
                <w:szCs w:val="26"/>
                <w:rtl/>
              </w:rPr>
              <w:t>הנאשם</w:t>
            </w:r>
          </w:p>
        </w:tc>
        <w:tc>
          <w:tcPr>
            <w:tcW w:w="6517" w:type="dxa"/>
            <w:tcBorders>
              <w:top w:val="nil"/>
              <w:left w:val="nil"/>
              <w:bottom w:val="nil"/>
              <w:right w:val="nil"/>
            </w:tcBorders>
            <w:shd w:val="clear" w:color="auto" w:fill="auto"/>
            <w:vAlign w:val="center"/>
          </w:tcPr>
          <w:p w14:paraId="46715BF1" w14:textId="77777777" w:rsidR="003A2FA8" w:rsidRPr="003A2FA8" w:rsidRDefault="003A2FA8" w:rsidP="003A2FA8">
            <w:pPr>
              <w:suppressLineNumbers/>
              <w:spacing w:before="120" w:after="120" w:line="240" w:lineRule="exact"/>
              <w:rPr>
                <w:rFonts w:ascii="Arial" w:hAnsi="Arial"/>
                <w:b/>
                <w:bCs/>
                <w:sz w:val="26"/>
                <w:szCs w:val="26"/>
                <w:rtl/>
              </w:rPr>
            </w:pPr>
            <w:r w:rsidRPr="003A2FA8">
              <w:rPr>
                <w:rFonts w:ascii="Arial" w:hAnsi="Arial"/>
                <w:b/>
                <w:bCs/>
                <w:sz w:val="26"/>
                <w:szCs w:val="26"/>
                <w:rtl/>
              </w:rPr>
              <w:t>יוליד אבו עגינה (עציר)</w:t>
            </w:r>
            <w:r w:rsidRPr="003A2FA8">
              <w:rPr>
                <w:rFonts w:ascii="Arial" w:hAnsi="Arial" w:hint="cs"/>
                <w:b/>
                <w:bCs/>
                <w:sz w:val="26"/>
                <w:szCs w:val="26"/>
                <w:rtl/>
              </w:rPr>
              <w:t xml:space="preserve">-הובא ע"י שב"ס </w:t>
            </w:r>
          </w:p>
          <w:p w14:paraId="05E0FB3B" w14:textId="77777777" w:rsidR="003A2FA8" w:rsidRPr="003A2FA8" w:rsidRDefault="003A2FA8" w:rsidP="003A2FA8">
            <w:pPr>
              <w:suppressLineNumbers/>
              <w:spacing w:before="120" w:after="120" w:line="240" w:lineRule="exact"/>
              <w:rPr>
                <w:b/>
                <w:bCs/>
                <w:sz w:val="26"/>
                <w:szCs w:val="26"/>
              </w:rPr>
            </w:pPr>
            <w:r w:rsidRPr="003A2FA8">
              <w:rPr>
                <w:rFonts w:ascii="Arial" w:hAnsi="Arial"/>
                <w:b/>
                <w:bCs/>
                <w:sz w:val="26"/>
                <w:szCs w:val="26"/>
                <w:rtl/>
              </w:rPr>
              <w:t>ע"י ב"כ עוה"ד</w:t>
            </w:r>
            <w:r w:rsidRPr="003A2FA8">
              <w:rPr>
                <w:rFonts w:ascii="Arial" w:hAnsi="Arial" w:hint="cs"/>
                <w:b/>
                <w:bCs/>
                <w:sz w:val="26"/>
                <w:szCs w:val="26"/>
                <w:rtl/>
              </w:rPr>
              <w:t xml:space="preserve"> מעין ברון בשם עו"ד בני גריקו</w:t>
            </w:r>
          </w:p>
        </w:tc>
      </w:tr>
    </w:tbl>
    <w:p w14:paraId="1EDAC3AF" w14:textId="77777777" w:rsidR="00630959" w:rsidRPr="00630959" w:rsidRDefault="00630959" w:rsidP="00630959">
      <w:pPr>
        <w:spacing w:before="120" w:after="120" w:line="240" w:lineRule="exact"/>
        <w:ind w:left="283" w:hanging="283"/>
        <w:jc w:val="both"/>
        <w:rPr>
          <w:rFonts w:ascii="FrankRuehl" w:hAnsi="FrankRuehl" w:cs="FrankRuehl"/>
          <w:rtl/>
        </w:rPr>
      </w:pPr>
    </w:p>
    <w:p w14:paraId="4991CD57" w14:textId="77777777" w:rsidR="003A2FA8" w:rsidRPr="003A2FA8" w:rsidRDefault="003A2FA8" w:rsidP="003A2FA8">
      <w:pPr>
        <w:spacing w:before="120" w:after="120" w:line="240" w:lineRule="exact"/>
        <w:ind w:left="283" w:hanging="283"/>
        <w:jc w:val="both"/>
        <w:rPr>
          <w:rFonts w:ascii="FrankRuehl" w:hAnsi="FrankRuehl" w:cs="FrankRuehl"/>
          <w:rtl/>
        </w:rPr>
      </w:pPr>
      <w:bookmarkStart w:id="3" w:name="LawTable"/>
      <w:bookmarkEnd w:id="3"/>
      <w:r w:rsidRPr="003A2FA8">
        <w:rPr>
          <w:rFonts w:ascii="FrankRuehl" w:hAnsi="FrankRuehl" w:cs="FrankRuehl"/>
          <w:rtl/>
        </w:rPr>
        <w:t xml:space="preserve">חקיקה שאוזכרה: </w:t>
      </w:r>
    </w:p>
    <w:p w14:paraId="797F685B" w14:textId="77777777" w:rsidR="003A2FA8" w:rsidRPr="003A2FA8" w:rsidRDefault="003A2FA8" w:rsidP="003A2FA8">
      <w:pPr>
        <w:spacing w:before="120" w:after="120" w:line="240" w:lineRule="exact"/>
        <w:ind w:left="283" w:hanging="283"/>
        <w:jc w:val="both"/>
        <w:rPr>
          <w:rFonts w:ascii="FrankRuehl" w:hAnsi="FrankRuehl" w:cs="FrankRuehl"/>
          <w:color w:val="0000FF"/>
          <w:rtl/>
        </w:rPr>
      </w:pPr>
      <w:hyperlink r:id="rId7" w:history="1">
        <w:r w:rsidRPr="003A2FA8">
          <w:rPr>
            <w:rStyle w:val="Hyperlink"/>
            <w:rFonts w:ascii="FrankRuehl" w:hAnsi="FrankRuehl" w:cs="FrankRuehl"/>
            <w:u w:val="none"/>
            <w:rtl/>
          </w:rPr>
          <w:t>חוק העונשין, תשל"ז-1977</w:t>
        </w:r>
      </w:hyperlink>
      <w:r w:rsidRPr="003A2FA8">
        <w:rPr>
          <w:rFonts w:ascii="FrankRuehl" w:hAnsi="FrankRuehl" w:cs="FrankRuehl"/>
          <w:color w:val="0000FF"/>
          <w:rtl/>
        </w:rPr>
        <w:t xml:space="preserve">: סע'  </w:t>
      </w:r>
      <w:hyperlink r:id="rId8" w:history="1">
        <w:r w:rsidRPr="003A2FA8">
          <w:rPr>
            <w:rStyle w:val="Hyperlink"/>
            <w:rFonts w:ascii="FrankRuehl" w:hAnsi="FrankRuehl" w:cs="FrankRuehl"/>
            <w:u w:val="none"/>
          </w:rPr>
          <w:t>45</w:t>
        </w:r>
      </w:hyperlink>
      <w:r w:rsidRPr="003A2FA8">
        <w:rPr>
          <w:rFonts w:ascii="FrankRuehl" w:hAnsi="FrankRuehl" w:cs="FrankRuehl"/>
          <w:color w:val="0000FF"/>
          <w:rtl/>
        </w:rPr>
        <w:t xml:space="preserve">(ב), </w:t>
      </w:r>
      <w:hyperlink r:id="rId9" w:history="1">
        <w:r w:rsidRPr="003A2FA8">
          <w:rPr>
            <w:rStyle w:val="Hyperlink"/>
            <w:rFonts w:ascii="FrankRuehl" w:hAnsi="FrankRuehl" w:cs="FrankRuehl"/>
            <w:u w:val="none"/>
          </w:rPr>
          <w:t>144</w:t>
        </w:r>
      </w:hyperlink>
      <w:r w:rsidRPr="003A2FA8">
        <w:rPr>
          <w:rFonts w:ascii="FrankRuehl" w:hAnsi="FrankRuehl" w:cs="FrankRuehl"/>
          <w:color w:val="0000FF"/>
          <w:rtl/>
        </w:rPr>
        <w:t xml:space="preserve">(א), </w:t>
      </w:r>
      <w:hyperlink r:id="rId10" w:history="1">
        <w:r w:rsidRPr="003A2FA8">
          <w:rPr>
            <w:rStyle w:val="Hyperlink"/>
            <w:rFonts w:ascii="FrankRuehl" w:hAnsi="FrankRuehl" w:cs="FrankRuehl"/>
            <w:u w:val="none"/>
          </w:rPr>
          <w:t>144</w:t>
        </w:r>
      </w:hyperlink>
      <w:r w:rsidRPr="003A2FA8">
        <w:rPr>
          <w:rFonts w:ascii="FrankRuehl" w:hAnsi="FrankRuehl" w:cs="FrankRuehl"/>
          <w:color w:val="0000FF"/>
          <w:rtl/>
        </w:rPr>
        <w:t xml:space="preserve">(ב2), </w:t>
      </w:r>
      <w:hyperlink r:id="rId11" w:history="1">
        <w:r w:rsidRPr="003A2FA8">
          <w:rPr>
            <w:rStyle w:val="Hyperlink"/>
            <w:rFonts w:ascii="FrankRuehl" w:hAnsi="FrankRuehl" w:cs="FrankRuehl"/>
            <w:u w:val="none"/>
          </w:rPr>
          <w:t>144</w:t>
        </w:r>
      </w:hyperlink>
      <w:r w:rsidRPr="003A2FA8">
        <w:rPr>
          <w:rFonts w:ascii="FrankRuehl" w:hAnsi="FrankRuehl" w:cs="FrankRuehl"/>
          <w:color w:val="0000FF"/>
          <w:rtl/>
        </w:rPr>
        <w:t>(ג)(3).</w:t>
      </w:r>
    </w:p>
    <w:p w14:paraId="27D35E86" w14:textId="77777777" w:rsidR="00383D76" w:rsidRDefault="00383D76" w:rsidP="003A2FA8">
      <w:pPr>
        <w:rPr>
          <w:rFonts w:ascii="Arial" w:hAnsi="Arial" w:hint="cs"/>
          <w:sz w:val="26"/>
          <w:szCs w:val="26"/>
          <w:rtl/>
        </w:rPr>
      </w:pPr>
      <w:bookmarkStart w:id="4" w:name="LawTable_End"/>
      <w:bookmarkEnd w:id="4"/>
    </w:p>
    <w:p w14:paraId="72DE1112"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2A00B7">
        <w:rPr>
          <w:rFonts w:cs="FrankRuehl" w:hint="cs"/>
          <w:szCs w:val="26"/>
          <w:rtl/>
        </w:rPr>
        <w:t>מיני-רציו:</w:t>
      </w:r>
    </w:p>
    <w:p w14:paraId="4C41C9F0"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sidRPr="002A00B7">
        <w:rPr>
          <w:rFonts w:cs="FrankRuehl" w:hint="cs"/>
          <w:szCs w:val="26"/>
          <w:rtl/>
        </w:rPr>
        <w:t>*</w:t>
      </w:r>
      <w:r w:rsidRPr="002A00B7">
        <w:rPr>
          <w:rFonts w:cs="FrankRuehl"/>
          <w:szCs w:val="26"/>
          <w:rtl/>
        </w:rPr>
        <w:t xml:space="preserve"> </w:t>
      </w:r>
      <w:r w:rsidRPr="002A00B7">
        <w:rPr>
          <w:rFonts w:cs="FrankRuehl" w:hint="cs"/>
          <w:szCs w:val="26"/>
          <w:rtl/>
        </w:rPr>
        <w:t xml:space="preserve">ביהמ"ש גזר את דינו של נאשם שהורשע </w:t>
      </w:r>
      <w:r w:rsidRPr="002A00B7">
        <w:rPr>
          <w:rFonts w:cs="FrankRuehl"/>
          <w:szCs w:val="26"/>
          <w:rtl/>
        </w:rPr>
        <w:t>בעבירה של החזקת נשק</w:t>
      </w:r>
      <w:r w:rsidRPr="002A00B7">
        <w:rPr>
          <w:rFonts w:cs="FrankRuehl" w:hint="cs"/>
          <w:szCs w:val="26"/>
          <w:rtl/>
        </w:rPr>
        <w:t xml:space="preserve"> שלא כדין. הוטלו על הנאשם </w:t>
      </w:r>
      <w:r w:rsidRPr="002A00B7">
        <w:rPr>
          <w:rFonts w:cs="FrankRuehl"/>
          <w:szCs w:val="26"/>
          <w:rtl/>
        </w:rPr>
        <w:t>12 חודשי מאסר בפועל</w:t>
      </w:r>
      <w:r w:rsidRPr="002A00B7">
        <w:rPr>
          <w:rFonts w:cs="FrankRuehl"/>
          <w:szCs w:val="26"/>
          <w:shd w:val="clear" w:color="auto" w:fill="FFFFFF"/>
          <w:rtl/>
        </w:rPr>
        <w:t xml:space="preserve">, </w:t>
      </w:r>
      <w:r w:rsidRPr="002A00B7">
        <w:rPr>
          <w:rFonts w:cs="FrankRuehl" w:hint="cs"/>
          <w:szCs w:val="26"/>
          <w:shd w:val="clear" w:color="auto" w:fill="FFFFFF"/>
          <w:rtl/>
        </w:rPr>
        <w:t xml:space="preserve">כאשר </w:t>
      </w:r>
      <w:r w:rsidRPr="002A00B7">
        <w:rPr>
          <w:rFonts w:cs="FrankRuehl"/>
          <w:szCs w:val="26"/>
          <w:rtl/>
        </w:rPr>
        <w:t>עונש זה ירוצה במצטבר לכל עונש אשר מרצה הנאשם היום</w:t>
      </w:r>
      <w:r w:rsidRPr="002A00B7">
        <w:rPr>
          <w:rFonts w:cs="FrankRuehl" w:hint="cs"/>
          <w:szCs w:val="26"/>
          <w:rtl/>
        </w:rPr>
        <w:t xml:space="preserve"> ו</w:t>
      </w:r>
      <w:r w:rsidRPr="002A00B7">
        <w:rPr>
          <w:rFonts w:cs="FrankRuehl"/>
          <w:szCs w:val="26"/>
          <w:rtl/>
        </w:rPr>
        <w:t>מאסר על תנאי</w:t>
      </w:r>
      <w:r w:rsidRPr="002A00B7">
        <w:rPr>
          <w:rFonts w:cs="FrankRuehl" w:hint="cs"/>
          <w:szCs w:val="26"/>
          <w:rtl/>
        </w:rPr>
        <w:t>.</w:t>
      </w:r>
    </w:p>
    <w:p w14:paraId="12ECD355"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sidRPr="002A00B7">
        <w:rPr>
          <w:rFonts w:cs="FrankRuehl" w:hint="cs"/>
          <w:szCs w:val="26"/>
          <w:shd w:val="clear" w:color="auto" w:fill="FFFFFF"/>
          <w:rtl/>
        </w:rPr>
        <w:t xml:space="preserve">* </w:t>
      </w:r>
      <w:r w:rsidRPr="002A00B7">
        <w:rPr>
          <w:rFonts w:cs="FrankRuehl"/>
          <w:szCs w:val="26"/>
          <w:shd w:val="clear" w:color="auto" w:fill="FFFFFF"/>
          <w:rtl/>
        </w:rPr>
        <w:t>עונשין – ענישה – מדיניות ענישה: החזקת נשק</w:t>
      </w:r>
    </w:p>
    <w:p w14:paraId="227420DF"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C1DDF4E"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sidRPr="002A00B7">
        <w:rPr>
          <w:rFonts w:cs="FrankRuehl"/>
          <w:szCs w:val="26"/>
          <w:rtl/>
        </w:rPr>
        <w:t>הנאשם הורשע</w:t>
      </w:r>
      <w:r w:rsidRPr="002A00B7">
        <w:rPr>
          <w:rFonts w:cs="FrankRuehl" w:hint="cs"/>
          <w:szCs w:val="26"/>
          <w:rtl/>
        </w:rPr>
        <w:t>,</w:t>
      </w:r>
      <w:r w:rsidRPr="002A00B7">
        <w:rPr>
          <w:rFonts w:cs="FrankRuehl"/>
          <w:szCs w:val="26"/>
          <w:rtl/>
        </w:rPr>
        <w:t xml:space="preserve"> לאחר ניהול משפט</w:t>
      </w:r>
      <w:r w:rsidRPr="002A00B7">
        <w:rPr>
          <w:rFonts w:cs="FrankRuehl" w:hint="cs"/>
          <w:szCs w:val="26"/>
          <w:rtl/>
        </w:rPr>
        <w:t xml:space="preserve">, </w:t>
      </w:r>
      <w:r w:rsidRPr="002A00B7">
        <w:rPr>
          <w:rFonts w:cs="FrankRuehl"/>
          <w:szCs w:val="26"/>
          <w:rtl/>
        </w:rPr>
        <w:t>בעבירה של החזקת נשק</w:t>
      </w:r>
      <w:r w:rsidRPr="002A00B7">
        <w:rPr>
          <w:rFonts w:cs="FrankRuehl" w:hint="cs"/>
          <w:szCs w:val="26"/>
          <w:rtl/>
        </w:rPr>
        <w:t>,</w:t>
      </w:r>
      <w:r w:rsidRPr="002A00B7">
        <w:rPr>
          <w:rFonts w:cs="FrankRuehl"/>
          <w:szCs w:val="26"/>
          <w:rtl/>
        </w:rPr>
        <w:t xml:space="preserve"> לפי </w:t>
      </w:r>
      <w:hyperlink r:id="rId12" w:history="1">
        <w:r w:rsidRPr="002A00B7">
          <w:rPr>
            <w:rStyle w:val="Hyperlink"/>
            <w:rFonts w:cs="FrankRuehl"/>
            <w:color w:val="auto"/>
            <w:szCs w:val="26"/>
            <w:u w:val="none"/>
            <w:rtl/>
          </w:rPr>
          <w:t>סעיף 144(א)</w:t>
        </w:r>
      </w:hyperlink>
      <w:r w:rsidRPr="002A00B7">
        <w:rPr>
          <w:rFonts w:cs="FrankRuehl"/>
          <w:szCs w:val="26"/>
          <w:rtl/>
        </w:rPr>
        <w:t xml:space="preserve"> רישא ל</w:t>
      </w:r>
      <w:hyperlink r:id="rId13" w:history="1">
        <w:r w:rsidRPr="002A00B7">
          <w:rPr>
            <w:rFonts w:cs="FrankRuehl"/>
            <w:szCs w:val="26"/>
            <w:rtl/>
          </w:rPr>
          <w:t>חוק העונשין</w:t>
        </w:r>
      </w:hyperlink>
      <w:r w:rsidRPr="002A00B7">
        <w:rPr>
          <w:rFonts w:cs="FrankRuehl"/>
          <w:szCs w:val="26"/>
          <w:rtl/>
        </w:rPr>
        <w:t>.</w:t>
      </w:r>
    </w:p>
    <w:p w14:paraId="010C9A71"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B8D9221"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sidRPr="002A00B7">
        <w:rPr>
          <w:rFonts w:cs="FrankRuehl" w:hint="cs"/>
          <w:szCs w:val="26"/>
          <w:rtl/>
        </w:rPr>
        <w:t>בית המשפט גזר את דינו של הנאשם, ופסק כלהלן:</w:t>
      </w:r>
    </w:p>
    <w:p w14:paraId="612BD4DA" w14:textId="77777777" w:rsidR="00807283" w:rsidRPr="002A00B7" w:rsidRDefault="00807283" w:rsidP="00807283">
      <w:pPr>
        <w:pBdr>
          <w:top w:val="single" w:sz="4" w:space="1" w:color="auto"/>
          <w:bottom w:val="single" w:sz="4" w:space="1" w:color="auto"/>
        </w:pBdr>
        <w:spacing w:after="120" w:line="320" w:lineRule="exact"/>
        <w:jc w:val="both"/>
        <w:rPr>
          <w:rFonts w:cs="FrankRuehl"/>
          <w:szCs w:val="26"/>
          <w:rtl/>
        </w:rPr>
      </w:pPr>
      <w:r w:rsidRPr="002A00B7">
        <w:rPr>
          <w:rFonts w:cs="FrankRuehl" w:hint="cs"/>
          <w:szCs w:val="26"/>
          <w:rtl/>
        </w:rPr>
        <w:t>אין</w:t>
      </w:r>
      <w:r w:rsidRPr="002A00B7">
        <w:rPr>
          <w:rFonts w:cs="FrankRuehl"/>
          <w:szCs w:val="26"/>
          <w:rtl/>
        </w:rPr>
        <w:t xml:space="preserve"> לקבל את טיעון ההגנה לגבי המידה הפחותה של פוטנציאל הנזק הטמון בהחזקת רימון אימונים לעומת רימון הלם. הנאשם הורשע בעובדות כתב האישום שם נכתב כי החזיק ברימון יד מס' 26 אימונים</w:t>
      </w:r>
      <w:r w:rsidRPr="002A00B7">
        <w:rPr>
          <w:rFonts w:cs="FrankRuehl" w:hint="cs"/>
          <w:szCs w:val="26"/>
          <w:rtl/>
        </w:rPr>
        <w:t>,</w:t>
      </w:r>
      <w:r w:rsidRPr="002A00B7">
        <w:rPr>
          <w:rFonts w:cs="FrankRuehl"/>
          <w:szCs w:val="26"/>
          <w:rtl/>
        </w:rPr>
        <w:t xml:space="preserve"> שמכיל בין היתר חומרי נפץ כגון מלח ניטראטי וסוכרוז, וניטרוגליצרין אשר מסוגל להזיק לאדם. מומחה התביעה העיד</w:t>
      </w:r>
      <w:r w:rsidRPr="002A00B7">
        <w:rPr>
          <w:rFonts w:cs="FrankRuehl" w:hint="cs"/>
          <w:szCs w:val="26"/>
          <w:rtl/>
        </w:rPr>
        <w:t xml:space="preserve"> </w:t>
      </w:r>
      <w:r w:rsidRPr="002A00B7">
        <w:rPr>
          <w:rFonts w:cs="FrankRuehl"/>
          <w:szCs w:val="26"/>
          <w:rtl/>
        </w:rPr>
        <w:t>על שינוי זה שנעשה ברימון המקורי. טענת הנאשם בנוגע ליסוד הנפשי ביחס למהות הנשק אותו החזיק צריכה הייתה להישמע במפגיע ובמפורש במסגרת פרשת ההגנה, שאז היו נקבעים בעניין זה ממצאי עובדה. הנאשם הכחיש את עצם החזקת הנשק, ומשהורשע בהחזקה מודעת שלו, המודעות חלה על כלל רכיביו אשר הוכחו במשפט.</w:t>
      </w:r>
    </w:p>
    <w:p w14:paraId="6991A4D5" w14:textId="77777777" w:rsidR="00807283" w:rsidRPr="002A00B7" w:rsidRDefault="00807283" w:rsidP="00807283">
      <w:pPr>
        <w:pBdr>
          <w:top w:val="single" w:sz="4" w:space="1" w:color="auto"/>
          <w:bottom w:val="single" w:sz="4" w:space="1" w:color="auto"/>
        </w:pBdr>
        <w:spacing w:after="120" w:line="320" w:lineRule="exact"/>
        <w:jc w:val="both"/>
        <w:rPr>
          <w:rFonts w:cs="FrankRuehl"/>
          <w:szCs w:val="26"/>
          <w:rtl/>
        </w:rPr>
      </w:pPr>
      <w:r w:rsidRPr="002A00B7">
        <w:rPr>
          <w:rFonts w:cs="FrankRuehl"/>
          <w:szCs w:val="26"/>
          <w:rtl/>
        </w:rPr>
        <w:t>הנאשם החזיק את הרימון בארון שעוני המים בבניין מגוריו, בקרבת בני משפחתו, שכניו ואורחי הבניין וזאת ללא השגחה מתאימה. בכך, הנאשם יצר סיכון ברור ומי</w:t>
      </w:r>
      <w:r w:rsidRPr="002A00B7">
        <w:rPr>
          <w:rFonts w:cs="FrankRuehl" w:hint="cs"/>
          <w:szCs w:val="26"/>
          <w:rtl/>
        </w:rPr>
        <w:t>י</w:t>
      </w:r>
      <w:r w:rsidRPr="002A00B7">
        <w:rPr>
          <w:rFonts w:cs="FrankRuehl"/>
          <w:szCs w:val="26"/>
          <w:rtl/>
        </w:rPr>
        <w:t xml:space="preserve">די לפגיעה באזרחים ובעוברי אורח, ולו </w:t>
      </w:r>
      <w:r w:rsidRPr="002A00B7">
        <w:rPr>
          <w:rFonts w:cs="FrankRuehl"/>
          <w:szCs w:val="26"/>
          <w:rtl/>
        </w:rPr>
        <w:lastRenderedPageBreak/>
        <w:t>עקב תאונה, תקלה או טיפול רשלני. הרימון נמצא על ידי שכן תמים, אשר עירב מ</w:t>
      </w:r>
      <w:r w:rsidRPr="002A00B7">
        <w:rPr>
          <w:rFonts w:cs="FrankRuehl" w:hint="cs"/>
          <w:szCs w:val="26"/>
          <w:rtl/>
        </w:rPr>
        <w:t>י</w:t>
      </w:r>
      <w:r w:rsidRPr="002A00B7">
        <w:rPr>
          <w:rFonts w:cs="FrankRuehl"/>
          <w:szCs w:val="26"/>
          <w:rtl/>
        </w:rPr>
        <w:t>יד את המשטרה, לאחר שיצר מגע עם הרימון העטוף. אדם זה נקלע שלא בטובתו לסיכון בפועל כתוצאה מהמגע הלא רצוני עם כלי הנשק. השכן פנה למשטרה אך האירוע שאותו הנאשם הוציא מכלל שליטתו, עלול היה גם להסתיים באופן אחר. בנוסף, לעובדה כי מדובר בהחזקה של נשק שמקורו בצה"ל חומרה נוספת.</w:t>
      </w:r>
    </w:p>
    <w:p w14:paraId="136D5FF7" w14:textId="77777777" w:rsidR="00807283" w:rsidRPr="002A00B7" w:rsidRDefault="00807283" w:rsidP="00807283">
      <w:pPr>
        <w:pBdr>
          <w:top w:val="single" w:sz="4" w:space="1" w:color="auto"/>
          <w:bottom w:val="single" w:sz="4" w:space="1" w:color="auto"/>
        </w:pBdr>
        <w:spacing w:after="120" w:line="320" w:lineRule="exact"/>
        <w:jc w:val="both"/>
        <w:rPr>
          <w:rFonts w:cs="FrankRuehl" w:hint="cs"/>
          <w:szCs w:val="26"/>
          <w:rtl/>
        </w:rPr>
      </w:pPr>
      <w:r w:rsidRPr="002A00B7">
        <w:rPr>
          <w:rFonts w:cs="FrankRuehl"/>
          <w:szCs w:val="26"/>
          <w:rtl/>
        </w:rPr>
        <w:t>יש לקבוע מתחם ענישה של 8-18 חודשי מאסר בפועל וענישה נלווית. קשה למצוא נימוקים לקולא.</w:t>
      </w:r>
      <w:r w:rsidRPr="002A00B7">
        <w:rPr>
          <w:rFonts w:cs="FrankRuehl" w:hint="cs"/>
          <w:szCs w:val="26"/>
          <w:rtl/>
        </w:rPr>
        <w:t xml:space="preserve"> </w:t>
      </w:r>
      <w:r w:rsidRPr="002A00B7">
        <w:rPr>
          <w:rFonts w:cs="FrankRuehl"/>
          <w:szCs w:val="26"/>
          <w:rtl/>
        </w:rPr>
        <w:t>לנאשם עבר פלילי מכבי</w:t>
      </w:r>
      <w:r w:rsidRPr="002A00B7">
        <w:rPr>
          <w:rFonts w:cs="FrankRuehl" w:hint="cs"/>
          <w:szCs w:val="26"/>
          <w:rtl/>
        </w:rPr>
        <w:t>ד</w:t>
      </w:r>
      <w:r w:rsidRPr="002A00B7">
        <w:rPr>
          <w:rFonts w:cs="FrankRuehl"/>
          <w:szCs w:val="26"/>
          <w:rtl/>
        </w:rPr>
        <w:t xml:space="preserve"> והוא ריצה עונשי מאסר בעברו. אף הופעלו בעניינו בעבר מאסרים מותנים, דבר המלמד על היעדר מורא מן החוק ומהוראות הרשויות.</w:t>
      </w:r>
      <w:r w:rsidRPr="002A00B7">
        <w:rPr>
          <w:rFonts w:cs="FrankRuehl" w:hint="cs"/>
          <w:szCs w:val="26"/>
          <w:rtl/>
        </w:rPr>
        <w:t xml:space="preserve"> </w:t>
      </w:r>
      <w:r w:rsidRPr="002A00B7">
        <w:rPr>
          <w:rFonts w:cs="FrankRuehl"/>
          <w:szCs w:val="26"/>
          <w:rtl/>
        </w:rPr>
        <w:t>לא ניתן במקרה זה להקל עם הנאשם ונכח הכרה בטעות, נטילת אחריות או חיסכון בזמן שיפוטי.</w:t>
      </w:r>
      <w:r w:rsidRPr="002A00B7">
        <w:rPr>
          <w:rFonts w:cs="FrankRuehl" w:hint="cs"/>
          <w:szCs w:val="26"/>
          <w:rtl/>
        </w:rPr>
        <w:t xml:space="preserve"> </w:t>
      </w:r>
      <w:r w:rsidRPr="002A00B7">
        <w:rPr>
          <w:rFonts w:cs="FrankRuehl"/>
          <w:szCs w:val="26"/>
          <w:rtl/>
        </w:rPr>
        <w:t>אין בעניינו של הנאשם שיקולי שיקום והנאשם לא עשה מאמץ להראות כי הוא חזר למוטב.</w:t>
      </w:r>
      <w:r w:rsidRPr="002A00B7">
        <w:rPr>
          <w:rFonts w:cs="FrankRuehl" w:hint="cs"/>
          <w:szCs w:val="26"/>
          <w:rtl/>
        </w:rPr>
        <w:t xml:space="preserve"> יש להטיל על הנאשם </w:t>
      </w:r>
      <w:r w:rsidRPr="002A00B7">
        <w:rPr>
          <w:rFonts w:cs="FrankRuehl"/>
          <w:szCs w:val="26"/>
          <w:rtl/>
        </w:rPr>
        <w:t>12 חודשי מאסר בפועל</w:t>
      </w:r>
      <w:r w:rsidRPr="002A00B7">
        <w:rPr>
          <w:rFonts w:cs="FrankRuehl"/>
          <w:szCs w:val="26"/>
          <w:shd w:val="clear" w:color="auto" w:fill="FFFFFF"/>
          <w:rtl/>
        </w:rPr>
        <w:t xml:space="preserve">, </w:t>
      </w:r>
      <w:r w:rsidRPr="002A00B7">
        <w:rPr>
          <w:rFonts w:cs="FrankRuehl" w:hint="cs"/>
          <w:szCs w:val="26"/>
          <w:shd w:val="clear" w:color="auto" w:fill="FFFFFF"/>
          <w:rtl/>
        </w:rPr>
        <w:t xml:space="preserve">כאשר </w:t>
      </w:r>
      <w:r w:rsidRPr="002A00B7">
        <w:rPr>
          <w:rFonts w:cs="FrankRuehl"/>
          <w:szCs w:val="26"/>
          <w:rtl/>
        </w:rPr>
        <w:t>עונש זה ירוצה במצטבר לכל עונש אשר מרצה הנאשם היום</w:t>
      </w:r>
      <w:r w:rsidRPr="002A00B7">
        <w:rPr>
          <w:rFonts w:cs="FrankRuehl" w:hint="cs"/>
          <w:szCs w:val="26"/>
          <w:rtl/>
        </w:rPr>
        <w:t xml:space="preserve"> ו</w:t>
      </w:r>
      <w:r w:rsidRPr="002A00B7">
        <w:rPr>
          <w:rFonts w:cs="FrankRuehl"/>
          <w:szCs w:val="26"/>
          <w:rtl/>
        </w:rPr>
        <w:t>מאסר על תנאי</w:t>
      </w:r>
      <w:r w:rsidRPr="002A00B7">
        <w:rPr>
          <w:rFonts w:cs="FrankRuehl" w:hint="cs"/>
          <w:szCs w:val="26"/>
          <w:rtl/>
        </w:rPr>
        <w:t>.</w:t>
      </w:r>
    </w:p>
    <w:p w14:paraId="66073F60" w14:textId="77777777" w:rsidR="00807283" w:rsidRPr="003A2FA8" w:rsidRDefault="00807283" w:rsidP="003A2FA8">
      <w:pPr>
        <w:rPr>
          <w:rFonts w:ascii="Arial" w:hAnsi="Arial" w:hint="cs"/>
          <w:sz w:val="26"/>
          <w:szCs w:val="26"/>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83D76" w14:paraId="76FFEBF1" w14:textId="77777777" w:rsidTr="00383D76">
        <w:trPr>
          <w:trHeight w:val="355"/>
          <w:jc w:val="center"/>
        </w:trPr>
        <w:tc>
          <w:tcPr>
            <w:tcW w:w="8820" w:type="dxa"/>
            <w:tcBorders>
              <w:top w:val="nil"/>
              <w:left w:val="nil"/>
              <w:bottom w:val="nil"/>
              <w:right w:val="nil"/>
            </w:tcBorders>
            <w:shd w:val="clear" w:color="auto" w:fill="auto"/>
          </w:tcPr>
          <w:p w14:paraId="3F172C01" w14:textId="77777777" w:rsidR="00383D76" w:rsidRPr="00630959" w:rsidRDefault="00630959" w:rsidP="00630959">
            <w:pPr>
              <w:jc w:val="center"/>
              <w:rPr>
                <w:rFonts w:ascii="David" w:hAnsi="David"/>
                <w:bCs/>
                <w:sz w:val="32"/>
                <w:szCs w:val="32"/>
                <w:u w:val="single"/>
                <w:rtl/>
              </w:rPr>
            </w:pPr>
            <w:bookmarkStart w:id="7" w:name="PsakDin" w:colFirst="0" w:colLast="0"/>
            <w:r w:rsidRPr="00630959">
              <w:rPr>
                <w:rFonts w:ascii="David" w:hAnsi="David"/>
                <w:b/>
                <w:bCs/>
                <w:sz w:val="32"/>
                <w:szCs w:val="32"/>
                <w:u w:val="single"/>
                <w:rtl/>
              </w:rPr>
              <w:t>גזר דין</w:t>
            </w:r>
          </w:p>
        </w:tc>
      </w:tr>
      <w:bookmarkEnd w:id="7"/>
    </w:tbl>
    <w:p w14:paraId="530B64A0" w14:textId="77777777" w:rsidR="00383D76" w:rsidRPr="000F2247" w:rsidRDefault="00383D76" w:rsidP="00383D76">
      <w:pPr>
        <w:rPr>
          <w:rFonts w:ascii="Arial" w:hAnsi="Arial"/>
          <w:b/>
          <w:bCs/>
          <w:sz w:val="26"/>
          <w:szCs w:val="26"/>
          <w:rtl/>
        </w:rPr>
      </w:pPr>
    </w:p>
    <w:p w14:paraId="77203380" w14:textId="77777777" w:rsidR="00383D76" w:rsidRDefault="00383D76" w:rsidP="00383D76">
      <w:pPr>
        <w:spacing w:line="360" w:lineRule="auto"/>
        <w:jc w:val="both"/>
        <w:rPr>
          <w:rFonts w:ascii="David" w:hAnsi="David"/>
          <w:b/>
          <w:bCs/>
          <w:u w:val="single"/>
        </w:rPr>
      </w:pPr>
      <w:r>
        <w:rPr>
          <w:rFonts w:ascii="David" w:hAnsi="David"/>
          <w:b/>
          <w:bCs/>
          <w:u w:val="single"/>
          <w:rtl/>
        </w:rPr>
        <w:t xml:space="preserve">רקע: </w:t>
      </w:r>
    </w:p>
    <w:p w14:paraId="2964AC7D"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הנאשם הורשע לאחר ניהול משפט בהכרעת דין מיום 23.09.2024, בעבירה של </w:t>
      </w:r>
      <w:r>
        <w:rPr>
          <w:rFonts w:ascii="David" w:hAnsi="David" w:cs="David"/>
          <w:b/>
          <w:bCs/>
          <w:sz w:val="24"/>
          <w:szCs w:val="24"/>
          <w:rtl/>
        </w:rPr>
        <w:t>החזקת נשק</w:t>
      </w:r>
      <w:r>
        <w:rPr>
          <w:rFonts w:ascii="David" w:hAnsi="David" w:cs="David"/>
          <w:sz w:val="24"/>
          <w:szCs w:val="24"/>
          <w:rtl/>
        </w:rPr>
        <w:t xml:space="preserve">  לפי </w:t>
      </w:r>
      <w:hyperlink r:id="rId14" w:history="1">
        <w:r w:rsidR="007F6983" w:rsidRPr="007F6983">
          <w:rPr>
            <w:rStyle w:val="Hyperlink"/>
            <w:rFonts w:ascii="David" w:hAnsi="David" w:cs="David"/>
            <w:sz w:val="24"/>
            <w:szCs w:val="24"/>
            <w:rtl/>
          </w:rPr>
          <w:t>סעיף 144(א)</w:t>
        </w:r>
      </w:hyperlink>
      <w:r>
        <w:rPr>
          <w:rFonts w:ascii="David" w:hAnsi="David" w:cs="David"/>
          <w:sz w:val="24"/>
          <w:szCs w:val="24"/>
          <w:rtl/>
        </w:rPr>
        <w:t xml:space="preserve"> רישא ל</w:t>
      </w:r>
      <w:hyperlink r:id="rId15" w:history="1">
        <w:r w:rsidR="00630959" w:rsidRPr="00630959">
          <w:rPr>
            <w:rFonts w:ascii="David" w:hAnsi="David" w:cs="David"/>
            <w:color w:val="0000FF"/>
            <w:sz w:val="24"/>
            <w:szCs w:val="24"/>
            <w:u w:val="single"/>
            <w:rtl/>
          </w:rPr>
          <w:t>חוק העונשין</w:t>
        </w:r>
      </w:hyperlink>
      <w:r>
        <w:rPr>
          <w:rFonts w:ascii="David" w:hAnsi="David" w:cs="David"/>
          <w:sz w:val="24"/>
          <w:szCs w:val="24"/>
          <w:rtl/>
        </w:rPr>
        <w:t xml:space="preserve"> התשל"ז-1977.</w:t>
      </w:r>
    </w:p>
    <w:p w14:paraId="1639FBF9" w14:textId="77777777" w:rsidR="00383D76" w:rsidRDefault="00383D76" w:rsidP="00383D76">
      <w:pPr>
        <w:pStyle w:val="ListParagraph"/>
        <w:spacing w:line="360" w:lineRule="auto"/>
        <w:jc w:val="both"/>
        <w:rPr>
          <w:rFonts w:ascii="David" w:hAnsi="David" w:cs="David"/>
          <w:sz w:val="24"/>
          <w:szCs w:val="24"/>
        </w:rPr>
      </w:pPr>
    </w:p>
    <w:p w14:paraId="49843AA6"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בתמצית יוזכר, כי הנאשם הורשע בכך שהחזיק בביתו בבאר-שבע ברימון אימונים, המכיל חומרי נפץ ואשר מסוגל להזיק לאדם. הרימון נתפס בתאריך 21.11.21, כשהוא עטוף בגרביים, בארון שעוני המים בבניין שבו מתגורר הנאשם.</w:t>
      </w:r>
    </w:p>
    <w:p w14:paraId="70CADF2C"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הנאשם הורשע לאחר שנמצא, כי מכלול הראיות הנסיבתיות שהובאו בפני בית המשפט, בצירוף ההתרשמות השלילית מעדות הנאשם ועדיו במסגרת פרשת ההגנה אינם מותירים ספק סביר באשמתו.</w:t>
      </w:r>
    </w:p>
    <w:p w14:paraId="31E09844" w14:textId="77777777" w:rsidR="00383D76" w:rsidRPr="00383D76" w:rsidRDefault="00383D76" w:rsidP="00383D76">
      <w:pPr>
        <w:rPr>
          <w:rFonts w:ascii="Calibri" w:hAnsi="Calibri" w:cs="Arial"/>
          <w:sz w:val="22"/>
          <w:szCs w:val="22"/>
          <w:rtl/>
        </w:rPr>
      </w:pPr>
    </w:p>
    <w:p w14:paraId="103E3728" w14:textId="77777777" w:rsidR="00383D76" w:rsidRDefault="00383D76" w:rsidP="00383D76">
      <w:pPr>
        <w:spacing w:line="360" w:lineRule="auto"/>
        <w:jc w:val="both"/>
        <w:rPr>
          <w:rFonts w:ascii="David" w:hAnsi="David"/>
          <w:b/>
          <w:bCs/>
          <w:u w:val="single"/>
          <w:rtl/>
        </w:rPr>
      </w:pPr>
      <w:r>
        <w:rPr>
          <w:rFonts w:ascii="David" w:hAnsi="David"/>
          <w:b/>
          <w:bCs/>
          <w:u w:val="single"/>
          <w:rtl/>
        </w:rPr>
        <w:t>טענות הצדדים לעונש</w:t>
      </w:r>
      <w:r>
        <w:rPr>
          <w:rFonts w:ascii="David" w:hAnsi="David" w:hint="cs"/>
          <w:b/>
          <w:bCs/>
          <w:u w:val="single"/>
          <w:rtl/>
        </w:rPr>
        <w:t>:</w:t>
      </w:r>
    </w:p>
    <w:p w14:paraId="3DD6B3D3"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המועד שנקבע לטיעונים לעונש נדחה מספר פעמים בשל אילוצי ההגנה וכן אילוצי בית המשפט. </w:t>
      </w:r>
    </w:p>
    <w:p w14:paraId="70BD8BA1"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טיעונים לעונש נשמעו בסופו של דבר בתאריך 28.01.2024. במועד זה מסרו הצדדים לבית המשפט, כי באותו היום ממש נגזר דינו של הנאשם לעונש כולל של 18.5 שנות מאסר בגין הרשעתו בבית המשפט המחוזי בבאר שבע בשורת עבירות נשק וסמים (</w:t>
      </w:r>
      <w:hyperlink r:id="rId16" w:history="1">
        <w:r w:rsidR="00630959" w:rsidRPr="00630959">
          <w:rPr>
            <w:rFonts w:ascii="David" w:hAnsi="David" w:cs="David"/>
            <w:color w:val="0000FF"/>
            <w:sz w:val="24"/>
            <w:szCs w:val="24"/>
            <w:u w:val="single"/>
            <w:rtl/>
          </w:rPr>
          <w:t>ת"פ 24237</w:t>
        </w:r>
        <w:r w:rsidR="00630959" w:rsidRPr="00630959">
          <w:rPr>
            <w:rFonts w:ascii="David" w:hAnsi="David" w:cs="David"/>
            <w:color w:val="0000FF"/>
            <w:sz w:val="24"/>
            <w:szCs w:val="24"/>
            <w:u w:val="single"/>
            <w:rtl/>
          </w:rPr>
          <w:t>-</w:t>
        </w:r>
        <w:r w:rsidR="00630959" w:rsidRPr="00630959">
          <w:rPr>
            <w:rFonts w:ascii="David" w:hAnsi="David" w:cs="David"/>
            <w:color w:val="0000FF"/>
            <w:sz w:val="24"/>
            <w:szCs w:val="24"/>
            <w:u w:val="single"/>
            <w:rtl/>
          </w:rPr>
          <w:t>06-23</w:t>
        </w:r>
      </w:hyperlink>
      <w:r>
        <w:rPr>
          <w:rFonts w:ascii="David" w:hAnsi="David" w:cs="David"/>
          <w:sz w:val="24"/>
          <w:szCs w:val="24"/>
          <w:rtl/>
        </w:rPr>
        <w:t>). בשל כך, כללו טיעוני הצדדים גם התייחסות לשאלת הצטברות העונשים.</w:t>
      </w:r>
    </w:p>
    <w:p w14:paraId="32A2817F" w14:textId="77777777" w:rsidR="00383D76" w:rsidRDefault="00383D76" w:rsidP="00383D76">
      <w:pPr>
        <w:pStyle w:val="ListParagraph"/>
        <w:spacing w:line="360" w:lineRule="auto"/>
        <w:jc w:val="both"/>
        <w:rPr>
          <w:rFonts w:ascii="David" w:hAnsi="David" w:cs="David"/>
          <w:sz w:val="24"/>
          <w:szCs w:val="24"/>
        </w:rPr>
      </w:pPr>
    </w:p>
    <w:p w14:paraId="1F4EAF18" w14:textId="77777777" w:rsidR="00383D76" w:rsidRDefault="00383D76" w:rsidP="00383D76">
      <w:pPr>
        <w:pStyle w:val="ListParagraph"/>
        <w:numPr>
          <w:ilvl w:val="0"/>
          <w:numId w:val="2"/>
        </w:numPr>
        <w:spacing w:line="360" w:lineRule="auto"/>
        <w:jc w:val="both"/>
        <w:rPr>
          <w:rFonts w:ascii="David" w:hAnsi="David" w:cs="David"/>
          <w:sz w:val="24"/>
          <w:szCs w:val="24"/>
        </w:rPr>
      </w:pPr>
      <w:r>
        <w:rPr>
          <w:rFonts w:ascii="David" w:hAnsi="David" w:cs="David"/>
          <w:b/>
          <w:bCs/>
          <w:sz w:val="24"/>
          <w:szCs w:val="24"/>
          <w:rtl/>
        </w:rPr>
        <w:t>המאשימה</w:t>
      </w:r>
      <w:r>
        <w:rPr>
          <w:rFonts w:ascii="David" w:hAnsi="David" w:cs="David"/>
          <w:sz w:val="24"/>
          <w:szCs w:val="24"/>
          <w:rtl/>
        </w:rPr>
        <w:t xml:space="preserve"> הגישה טיעוניה בכתב (במ/2), וכן הוגש גיליון הרישום הפלילי (ת/35). המאשימה סבורה כי מתחם העונש ההולם במקרה זה הוא 9-24 חודשי מאסר בפועל וענישה נלווית. </w:t>
      </w:r>
    </w:p>
    <w:p w14:paraId="289FE9E9"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lastRenderedPageBreak/>
        <w:t xml:space="preserve">המאשימה עומדת על הערכים המוגנים אשר נפגעו כתוצאה ממעשי הנאשם ובהם, שמירה על חיי אדם ועל שלמות הגוף והנפש וכן שמירה על הסדר הציבורי ועל אורח חיים תקין. המאשימה מפנה לאסמכתאות מן הפסיקה בנוגע לחומרה שיש בעבירות של החזקת נשק ולתמיכה בעמדתה העונשית. </w:t>
      </w:r>
    </w:p>
    <w:p w14:paraId="19DD6058"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ביחס לפוטנציאל הנזק המאשימה מפנה לחוות הדעת המלמדת, כי לרימון המאולתר פוטנציאל לגרימת נזק חמור ביותר. המאשימה מדגישה את הסיכון הפוטנציאלי הקיים בכך שנשק יגיע ליידי מי שמבקש את רעתה של מדינת ישראל, במיוחד בתקופה זו. כן מודגש פוטנציאל הסיכון כלפי דיירי הבניין בו הוחזק הנשק. המאשימה מדגישה בהקשר זה, שהרימון נמצא על ידי צעיר המגורר בבניין, באקראי, שעלול היה להיפגע מהרימון.</w:t>
      </w:r>
    </w:p>
    <w:p w14:paraId="5CC5DB7F"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בנוסף, נטען, כי קיימים שיקולי הרתעת הרבים בשל נפיצות עבירות הנשק במדינה המצדיקים החמרה בענישה.</w:t>
      </w:r>
    </w:p>
    <w:p w14:paraId="2D827493"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המאשימה מפנה לתיקון 140 ל</w:t>
      </w:r>
      <w:hyperlink r:id="rId17" w:history="1">
        <w:r w:rsidR="00630959" w:rsidRPr="00630959">
          <w:rPr>
            <w:rFonts w:ascii="David" w:hAnsi="David" w:cs="David"/>
            <w:color w:val="0000FF"/>
            <w:sz w:val="24"/>
            <w:szCs w:val="24"/>
            <w:u w:val="single"/>
            <w:rtl/>
          </w:rPr>
          <w:t>חוק העונשין</w:t>
        </w:r>
      </w:hyperlink>
      <w:r>
        <w:rPr>
          <w:rFonts w:ascii="David" w:hAnsi="David" w:cs="David"/>
          <w:sz w:val="24"/>
          <w:szCs w:val="24"/>
          <w:rtl/>
        </w:rPr>
        <w:t xml:space="preserve"> (הוראת שעה) וכן מפנה לאסמכתאות שונות – לפני התיקון ולאחריו. יש להדגיש, כי התיקון אינו חל בענייננו במישרין לאור מועד ביצוע העבירה ולכל היותר ניתן ללמוד ממנו על מגמת החמרה בענישה.</w:t>
      </w:r>
    </w:p>
    <w:p w14:paraId="00BEF24A" w14:textId="77777777" w:rsidR="00383D76" w:rsidRDefault="00383D76" w:rsidP="00383D76">
      <w:pPr>
        <w:pStyle w:val="ListParagraph"/>
        <w:spacing w:line="360" w:lineRule="auto"/>
        <w:jc w:val="both"/>
        <w:rPr>
          <w:rFonts w:ascii="David" w:hAnsi="David" w:cs="David"/>
          <w:b/>
          <w:bCs/>
          <w:sz w:val="24"/>
          <w:szCs w:val="24"/>
          <w:rtl/>
        </w:rPr>
      </w:pPr>
    </w:p>
    <w:p w14:paraId="3861ADEA"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המדינה מפנה לפסקי דין הבאים לעניין מדיניות הענישה הנוהגת:</w:t>
      </w:r>
    </w:p>
    <w:p w14:paraId="1659CA38" w14:textId="77777777" w:rsidR="00383D76" w:rsidRDefault="00383D76" w:rsidP="00383D76">
      <w:pPr>
        <w:pStyle w:val="ListParagraph"/>
        <w:spacing w:line="360" w:lineRule="auto"/>
        <w:jc w:val="both"/>
        <w:rPr>
          <w:rFonts w:ascii="David" w:hAnsi="David" w:cs="David"/>
          <w:sz w:val="24"/>
          <w:szCs w:val="24"/>
          <w:rtl/>
        </w:rPr>
      </w:pPr>
    </w:p>
    <w:p w14:paraId="0DAF8DFB" w14:textId="77777777" w:rsidR="00383D76" w:rsidRDefault="00630959" w:rsidP="00383D76">
      <w:pPr>
        <w:pStyle w:val="ListParagraph"/>
        <w:numPr>
          <w:ilvl w:val="0"/>
          <w:numId w:val="3"/>
        </w:numPr>
        <w:spacing w:line="360" w:lineRule="auto"/>
        <w:jc w:val="both"/>
        <w:rPr>
          <w:rFonts w:ascii="David" w:hAnsi="David" w:cs="David"/>
          <w:sz w:val="24"/>
          <w:szCs w:val="24"/>
          <w:rtl/>
        </w:rPr>
      </w:pPr>
      <w:hyperlink r:id="rId18" w:history="1">
        <w:r w:rsidRPr="00630959">
          <w:rPr>
            <w:rFonts w:ascii="David" w:hAnsi="David" w:cs="David"/>
            <w:color w:val="0000FF"/>
            <w:sz w:val="24"/>
            <w:szCs w:val="24"/>
            <w:u w:val="single"/>
            <w:rtl/>
          </w:rPr>
          <w:t>ת"פ (פ"ת) 53548-04-24</w:t>
        </w:r>
      </w:hyperlink>
      <w:r w:rsidR="00383D76">
        <w:rPr>
          <w:rFonts w:ascii="David" w:hAnsi="David" w:cs="David"/>
          <w:sz w:val="24"/>
          <w:szCs w:val="24"/>
          <w:rtl/>
        </w:rPr>
        <w:t xml:space="preserve"> </w:t>
      </w:r>
      <w:r w:rsidR="00383D76">
        <w:rPr>
          <w:rFonts w:ascii="David" w:hAnsi="David" w:cs="David"/>
          <w:b/>
          <w:bCs/>
          <w:sz w:val="24"/>
          <w:szCs w:val="24"/>
          <w:rtl/>
        </w:rPr>
        <w:t xml:space="preserve">מדינת ישראל נ' טל </w:t>
      </w:r>
      <w:r w:rsidR="003A2FA8">
        <w:rPr>
          <w:rFonts w:ascii="David" w:hAnsi="David" w:cs="David"/>
          <w:b/>
          <w:bCs/>
          <w:sz w:val="24"/>
          <w:szCs w:val="24"/>
          <w:rtl/>
        </w:rPr>
        <w:t>[נבו]</w:t>
      </w:r>
      <w:r w:rsidR="003A2FA8">
        <w:rPr>
          <w:rFonts w:ascii="David" w:hAnsi="David" w:cs="David" w:hint="cs"/>
          <w:b/>
          <w:bCs/>
          <w:sz w:val="24"/>
          <w:szCs w:val="24"/>
          <w:rtl/>
        </w:rPr>
        <w:t xml:space="preserve"> </w:t>
      </w:r>
      <w:r w:rsidR="00383D76">
        <w:rPr>
          <w:rFonts w:ascii="David" w:hAnsi="David" w:cs="David"/>
          <w:b/>
          <w:bCs/>
          <w:sz w:val="24"/>
          <w:szCs w:val="24"/>
          <w:rtl/>
        </w:rPr>
        <w:t xml:space="preserve">– </w:t>
      </w:r>
      <w:r w:rsidR="00383D76">
        <w:rPr>
          <w:rFonts w:ascii="David" w:hAnsi="David" w:cs="David"/>
          <w:sz w:val="24"/>
          <w:szCs w:val="24"/>
          <w:rtl/>
        </w:rPr>
        <w:t>הנאשם הורשע על פי הודאתו בהחזקת רימון הלם שבכוחו להזיק לאדם בארון במטבח ביתו. נקבע מתחם ענישה של 8-24 חודשי מאסר בפועל. לנאשם הרשעה פלילית בודדת בשל התחשבות בנסיבות רפואיות הוטלו עליו שמונה חודשי מאסר בפועל, 13 חודשי מאסר על תנאי וקנס על סך 1,000 ₪. בתיק זה חל תיקון 140.</w:t>
      </w:r>
    </w:p>
    <w:p w14:paraId="22E67C2D" w14:textId="77777777" w:rsidR="00383D76" w:rsidRDefault="00630959" w:rsidP="00383D76">
      <w:pPr>
        <w:pStyle w:val="ListParagraph"/>
        <w:numPr>
          <w:ilvl w:val="0"/>
          <w:numId w:val="3"/>
        </w:numPr>
        <w:spacing w:line="360" w:lineRule="auto"/>
        <w:jc w:val="both"/>
        <w:rPr>
          <w:rFonts w:ascii="David" w:hAnsi="David" w:cs="David"/>
          <w:sz w:val="24"/>
          <w:szCs w:val="24"/>
        </w:rPr>
      </w:pPr>
      <w:hyperlink r:id="rId19" w:history="1">
        <w:r w:rsidRPr="00630959">
          <w:rPr>
            <w:rFonts w:ascii="David" w:hAnsi="David" w:cs="David"/>
            <w:color w:val="0000FF"/>
            <w:sz w:val="24"/>
            <w:szCs w:val="24"/>
            <w:u w:val="single"/>
            <w:rtl/>
          </w:rPr>
          <w:t>ת"פ (ב"ש) 26547-09-21</w:t>
        </w:r>
      </w:hyperlink>
      <w:r w:rsidR="00383D76">
        <w:rPr>
          <w:rFonts w:ascii="David" w:hAnsi="David" w:cs="David"/>
          <w:sz w:val="24"/>
          <w:szCs w:val="24"/>
          <w:rtl/>
        </w:rPr>
        <w:t xml:space="preserve"> </w:t>
      </w:r>
      <w:r w:rsidR="00383D76">
        <w:rPr>
          <w:rFonts w:ascii="David" w:hAnsi="David" w:cs="David"/>
          <w:b/>
          <w:bCs/>
          <w:sz w:val="24"/>
          <w:szCs w:val="24"/>
          <w:rtl/>
        </w:rPr>
        <w:t xml:space="preserve">מדינת ישראל נ' אלחסוני </w:t>
      </w:r>
      <w:r w:rsidR="003A2FA8">
        <w:rPr>
          <w:rFonts w:ascii="David" w:hAnsi="David" w:cs="David"/>
          <w:b/>
          <w:bCs/>
          <w:sz w:val="24"/>
          <w:szCs w:val="24"/>
          <w:rtl/>
        </w:rPr>
        <w:t>[נבו]</w:t>
      </w:r>
      <w:r w:rsidR="003A2FA8">
        <w:rPr>
          <w:rFonts w:ascii="David" w:hAnsi="David" w:cs="David" w:hint="cs"/>
          <w:b/>
          <w:bCs/>
          <w:sz w:val="24"/>
          <w:szCs w:val="24"/>
          <w:rtl/>
        </w:rPr>
        <w:t xml:space="preserve"> </w:t>
      </w:r>
      <w:r w:rsidR="00383D76">
        <w:rPr>
          <w:rFonts w:ascii="David" w:hAnsi="David" w:cs="David"/>
          <w:b/>
          <w:bCs/>
          <w:sz w:val="24"/>
          <w:szCs w:val="24"/>
          <w:rtl/>
        </w:rPr>
        <w:t xml:space="preserve">– </w:t>
      </w:r>
      <w:r w:rsidR="00383D76">
        <w:rPr>
          <w:rFonts w:ascii="David" w:hAnsi="David" w:cs="David"/>
          <w:sz w:val="24"/>
          <w:szCs w:val="24"/>
          <w:rtl/>
        </w:rPr>
        <w:t>הנאשם הורשע על פי הודאתו בהחזקת רימון הלם במחסן הסמוך לביתו. נקבע מתחם ענישה של 6-20 חודשי מאסר בפועל. בית המשפט התחשב בכך שלנאשם נסיבות אישיות שהובילו לכך שלא עבר הליך טיפולי וכן התחשב בהשפעת העונש עליו, ועל כן הוטלו על הנאשם שבעה חודשי מאסר לריצוי בעבודות שירות, מאסר על תנאי לתקופה של שמונה חודשים והתחייבות כספית על סך 5,000 ₪. בתיק זה תיקון 140 לא חל.</w:t>
      </w:r>
    </w:p>
    <w:p w14:paraId="7F368157" w14:textId="77777777" w:rsidR="00383D76" w:rsidRDefault="00630959" w:rsidP="00383D76">
      <w:pPr>
        <w:pStyle w:val="ListParagraph"/>
        <w:numPr>
          <w:ilvl w:val="0"/>
          <w:numId w:val="3"/>
        </w:numPr>
        <w:spacing w:line="360" w:lineRule="auto"/>
        <w:jc w:val="both"/>
        <w:rPr>
          <w:rFonts w:ascii="David" w:hAnsi="David" w:cs="David"/>
          <w:sz w:val="24"/>
          <w:szCs w:val="24"/>
        </w:rPr>
      </w:pPr>
      <w:hyperlink r:id="rId20" w:history="1">
        <w:r w:rsidRPr="00630959">
          <w:rPr>
            <w:rFonts w:ascii="David" w:hAnsi="David" w:cs="David"/>
            <w:color w:val="0000FF"/>
            <w:sz w:val="24"/>
            <w:szCs w:val="24"/>
            <w:u w:val="single"/>
            <w:rtl/>
          </w:rPr>
          <w:t>ת"פ (מח' י-ם) 44840-06-16</w:t>
        </w:r>
      </w:hyperlink>
      <w:r w:rsidR="00383D76">
        <w:rPr>
          <w:rFonts w:ascii="David" w:hAnsi="David" w:cs="David"/>
          <w:sz w:val="24"/>
          <w:szCs w:val="24"/>
          <w:rtl/>
        </w:rPr>
        <w:t xml:space="preserve"> </w:t>
      </w:r>
      <w:r w:rsidR="00383D76">
        <w:rPr>
          <w:rFonts w:ascii="David" w:hAnsi="David" w:cs="David"/>
          <w:b/>
          <w:bCs/>
          <w:sz w:val="24"/>
          <w:szCs w:val="24"/>
          <w:rtl/>
        </w:rPr>
        <w:t xml:space="preserve">מדינת ישראל נ' סלמה </w:t>
      </w:r>
      <w:r w:rsidR="003A2FA8">
        <w:rPr>
          <w:rFonts w:ascii="David" w:hAnsi="David" w:cs="David"/>
          <w:b/>
          <w:bCs/>
          <w:sz w:val="24"/>
          <w:szCs w:val="24"/>
          <w:rtl/>
        </w:rPr>
        <w:t>[נבו]</w:t>
      </w:r>
      <w:r w:rsidR="003A2FA8">
        <w:rPr>
          <w:rFonts w:ascii="David" w:hAnsi="David" w:cs="David" w:hint="cs"/>
          <w:b/>
          <w:bCs/>
          <w:sz w:val="24"/>
          <w:szCs w:val="24"/>
          <w:rtl/>
        </w:rPr>
        <w:t xml:space="preserve"> </w:t>
      </w:r>
      <w:r w:rsidR="00383D76">
        <w:rPr>
          <w:rFonts w:ascii="David" w:hAnsi="David" w:cs="David"/>
          <w:b/>
          <w:bCs/>
          <w:sz w:val="24"/>
          <w:szCs w:val="24"/>
          <w:rtl/>
        </w:rPr>
        <w:t xml:space="preserve">– </w:t>
      </w:r>
      <w:r w:rsidR="00383D76">
        <w:rPr>
          <w:rFonts w:ascii="David" w:hAnsi="David" w:cs="David"/>
          <w:sz w:val="24"/>
          <w:szCs w:val="24"/>
          <w:rtl/>
        </w:rPr>
        <w:t>הנאשם הורשע על פי הודאתו בעבירות של החזקה ונשיאת שני רימוני הלם ורימון גז וסיוע לניסיון תקיפה. נקבע מתחם שנע בין שישה חודשי מאסר שיכול שירוצו בעבודות שירות לבין 20 חודשי מאסר בפועל. על הנאשם הוטלו שמונה חודשי מאסר, ומאסר על תנאי. ערעור הנאשם נדחה ונקבע, כי העונש אף נוטה לקולא. בתיק זה תיקון 140 לא חל.</w:t>
      </w:r>
    </w:p>
    <w:p w14:paraId="690CF33E" w14:textId="77777777" w:rsidR="00383D76" w:rsidRDefault="00383D76" w:rsidP="00383D76">
      <w:pPr>
        <w:pStyle w:val="ListParagraph"/>
        <w:numPr>
          <w:ilvl w:val="0"/>
          <w:numId w:val="3"/>
        </w:numPr>
        <w:spacing w:after="0" w:line="360" w:lineRule="auto"/>
        <w:jc w:val="both"/>
        <w:rPr>
          <w:rFonts w:ascii="David" w:hAnsi="David" w:cs="David"/>
          <w:sz w:val="24"/>
          <w:szCs w:val="24"/>
        </w:rPr>
      </w:pPr>
      <w:r>
        <w:rPr>
          <w:rFonts w:ascii="David" w:hAnsi="David" w:cs="David"/>
          <w:sz w:val="24"/>
          <w:szCs w:val="24"/>
          <w:rtl/>
        </w:rPr>
        <w:t>ת''</w:t>
      </w:r>
      <w:hyperlink r:id="rId21" w:history="1">
        <w:r w:rsidR="00630959" w:rsidRPr="00630959">
          <w:rPr>
            <w:rFonts w:ascii="David" w:hAnsi="David" w:cs="David"/>
            <w:color w:val="0000FF"/>
            <w:sz w:val="24"/>
            <w:szCs w:val="24"/>
            <w:u w:val="single"/>
            <w:rtl/>
          </w:rPr>
          <w:t>פ (מח' י-ם) 11786-06-16</w:t>
        </w:r>
      </w:hyperlink>
      <w:r>
        <w:rPr>
          <w:rFonts w:ascii="David" w:hAnsi="David" w:cs="David"/>
          <w:sz w:val="24"/>
          <w:szCs w:val="24"/>
          <w:rtl/>
        </w:rPr>
        <w:t xml:space="preserve"> </w:t>
      </w:r>
      <w:r>
        <w:rPr>
          <w:rFonts w:ascii="David" w:hAnsi="David" w:cs="David"/>
          <w:b/>
          <w:bCs/>
          <w:sz w:val="24"/>
          <w:szCs w:val="24"/>
          <w:rtl/>
        </w:rPr>
        <w:t>מדינת ישראל נ' רזאק</w:t>
      </w:r>
      <w:r>
        <w:rPr>
          <w:rFonts w:ascii="David" w:hAnsi="David" w:cs="David"/>
          <w:sz w:val="24"/>
          <w:szCs w:val="24"/>
          <w:rtl/>
        </w:rPr>
        <w:t xml:space="preserve"> </w:t>
      </w:r>
      <w:r w:rsidR="003A2FA8">
        <w:rPr>
          <w:rFonts w:ascii="David" w:hAnsi="David" w:cs="David"/>
          <w:sz w:val="24"/>
          <w:szCs w:val="24"/>
          <w:rtl/>
        </w:rPr>
        <w:t>[נבו]</w:t>
      </w:r>
      <w:r w:rsidR="003A2FA8">
        <w:rPr>
          <w:rFonts w:ascii="David" w:hAnsi="David" w:cs="David" w:hint="cs"/>
          <w:sz w:val="24"/>
          <w:szCs w:val="24"/>
          <w:rtl/>
        </w:rPr>
        <w:t xml:space="preserve"> </w:t>
      </w:r>
      <w:r>
        <w:rPr>
          <w:rFonts w:ascii="David" w:hAnsi="David" w:cs="David"/>
          <w:sz w:val="24"/>
          <w:szCs w:val="24"/>
          <w:rtl/>
        </w:rPr>
        <w:t>– הנאשם הורשע בהחזקת שני רימוני הלם ברכבו, אותם מצא יום קודם לכן. נוכח הנסיבות המוסכמות המקלות יחסית של ביצוע העבירה, נקבע מתחם ענישה של מאסר קצר בעבודות שירות ועד 18 חודשי מאסר בפועל. על הנאשם הוטלו 3 חודשי מאסר ומאסר על תנאי. בתיק זה תיקון 140 לא חל.</w:t>
      </w:r>
    </w:p>
    <w:p w14:paraId="30DC8F7B" w14:textId="77777777" w:rsidR="00383D76" w:rsidRDefault="00630959" w:rsidP="00383D76">
      <w:pPr>
        <w:pStyle w:val="ListParagraph"/>
        <w:numPr>
          <w:ilvl w:val="0"/>
          <w:numId w:val="3"/>
        </w:numPr>
        <w:spacing w:after="0" w:line="360" w:lineRule="auto"/>
        <w:jc w:val="both"/>
        <w:rPr>
          <w:rFonts w:ascii="David" w:hAnsi="David" w:cs="David"/>
          <w:sz w:val="24"/>
          <w:szCs w:val="24"/>
        </w:rPr>
      </w:pPr>
      <w:hyperlink r:id="rId22" w:history="1">
        <w:r w:rsidRPr="00630959">
          <w:rPr>
            <w:rFonts w:ascii="David" w:hAnsi="David" w:cs="David"/>
            <w:color w:val="0000FF"/>
            <w:sz w:val="24"/>
            <w:szCs w:val="24"/>
            <w:u w:val="single"/>
            <w:rtl/>
          </w:rPr>
          <w:t>ת"פ (ב"ש) 16541-01-21</w:t>
        </w:r>
      </w:hyperlink>
      <w:r w:rsidR="00383D76">
        <w:rPr>
          <w:rFonts w:ascii="David" w:hAnsi="David" w:cs="David"/>
          <w:sz w:val="24"/>
          <w:szCs w:val="24"/>
          <w:rtl/>
        </w:rPr>
        <w:t xml:space="preserve"> </w:t>
      </w:r>
      <w:r w:rsidR="00383D76">
        <w:rPr>
          <w:rFonts w:ascii="David" w:hAnsi="David" w:cs="David"/>
          <w:b/>
          <w:bCs/>
          <w:sz w:val="24"/>
          <w:szCs w:val="24"/>
          <w:rtl/>
        </w:rPr>
        <w:t xml:space="preserve">מדינת ישראל נ' אלנעמי </w:t>
      </w:r>
      <w:r w:rsidR="003A2FA8">
        <w:rPr>
          <w:rFonts w:ascii="David" w:hAnsi="David" w:cs="David"/>
          <w:b/>
          <w:bCs/>
          <w:sz w:val="24"/>
          <w:szCs w:val="24"/>
          <w:rtl/>
        </w:rPr>
        <w:t>[נבו]</w:t>
      </w:r>
      <w:r w:rsidR="003A2FA8">
        <w:rPr>
          <w:rFonts w:ascii="David" w:hAnsi="David" w:cs="David" w:hint="cs"/>
          <w:b/>
          <w:bCs/>
          <w:sz w:val="24"/>
          <w:szCs w:val="24"/>
          <w:rtl/>
        </w:rPr>
        <w:t xml:space="preserve"> </w:t>
      </w:r>
      <w:r w:rsidR="00383D76">
        <w:rPr>
          <w:rFonts w:ascii="David" w:hAnsi="David" w:cs="David"/>
          <w:b/>
          <w:bCs/>
          <w:sz w:val="24"/>
          <w:szCs w:val="24"/>
          <w:rtl/>
        </w:rPr>
        <w:t xml:space="preserve">- </w:t>
      </w:r>
      <w:r w:rsidR="00383D76">
        <w:rPr>
          <w:rFonts w:ascii="David" w:hAnsi="David" w:cs="David"/>
          <w:sz w:val="24"/>
          <w:szCs w:val="24"/>
          <w:rtl/>
        </w:rPr>
        <w:t xml:space="preserve"> הנאשם הורשע על פי הודאתו בהחזקת רובה לא תקין ומחסנית מתאימה שהוחבאו בתוך צינור אינסטלציה במחסן ביתו;</w:t>
      </w:r>
      <w:r w:rsidR="00383D76">
        <w:rPr>
          <w:rFonts w:ascii="David" w:hAnsi="David" w:cs="David"/>
          <w:sz w:val="24"/>
          <w:szCs w:val="24"/>
        </w:rPr>
        <w:t xml:space="preserve"> </w:t>
      </w:r>
      <w:r w:rsidR="00383D76">
        <w:rPr>
          <w:rFonts w:ascii="David" w:hAnsi="David" w:cs="David"/>
          <w:sz w:val="24"/>
          <w:szCs w:val="24"/>
          <w:rtl/>
        </w:rPr>
        <w:t>בהחזקת רימון יד מאולתר, אקדח תופי ושישה כדורי אקדח שהוחבאו בתוך תנור ישן במחסן שהיה בחצר הבית;</w:t>
      </w:r>
      <w:r w:rsidR="00383D76">
        <w:rPr>
          <w:rFonts w:ascii="David" w:hAnsi="David" w:cs="David"/>
          <w:sz w:val="24"/>
          <w:szCs w:val="24"/>
        </w:rPr>
        <w:t xml:space="preserve"> </w:t>
      </w:r>
      <w:r w:rsidR="00383D76">
        <w:rPr>
          <w:rFonts w:ascii="David" w:hAnsi="David" w:cs="David"/>
          <w:sz w:val="24"/>
          <w:szCs w:val="24"/>
          <w:rtl/>
        </w:rPr>
        <w:t xml:space="preserve">בהחזקת 49 כדורים וארבע מחסניות לרובה </w:t>
      </w:r>
      <w:r w:rsidR="00383D76">
        <w:rPr>
          <w:rFonts w:ascii="David" w:hAnsi="David" w:cs="David"/>
          <w:sz w:val="24"/>
          <w:szCs w:val="24"/>
        </w:rPr>
        <w:t xml:space="preserve">M16 </w:t>
      </w:r>
      <w:r w:rsidR="00383D76">
        <w:rPr>
          <w:rFonts w:ascii="David" w:hAnsi="David" w:cs="David"/>
          <w:sz w:val="24"/>
          <w:szCs w:val="24"/>
          <w:rtl/>
        </w:rPr>
        <w:t xml:space="preserve"> </w:t>
      </w:r>
      <w:r w:rsidR="00383D76">
        <w:rPr>
          <w:rFonts w:ascii="David" w:hAnsi="David" w:cs="David" w:hint="cs"/>
          <w:sz w:val="24"/>
          <w:szCs w:val="24"/>
          <w:rtl/>
        </w:rPr>
        <w:t xml:space="preserve">וכן בהחזקת קנבוס במשקל 273.19 גרם. נקבע מתחם של 22-48 חודשי מאסר בפועל. על הנאשם, נעדר עבר פלילי, הוטלו 30 חודשי מאסר בפועל וענישה נלווית הכוללת גם קנס בסך 2,000 ₪. בתיק זה תיקון 140 לא חל. </w:t>
      </w:r>
    </w:p>
    <w:p w14:paraId="18792220" w14:textId="77777777" w:rsidR="00383D76" w:rsidRDefault="00383D76" w:rsidP="00383D76">
      <w:pPr>
        <w:pStyle w:val="ListParagraph"/>
        <w:spacing w:after="0" w:line="360" w:lineRule="auto"/>
        <w:ind w:left="1080"/>
        <w:jc w:val="both"/>
        <w:rPr>
          <w:rFonts w:ascii="David" w:hAnsi="David" w:cs="David"/>
          <w:sz w:val="24"/>
          <w:szCs w:val="24"/>
        </w:rPr>
      </w:pPr>
      <w:r>
        <w:rPr>
          <w:rFonts w:ascii="David" w:hAnsi="David" w:cs="David"/>
          <w:sz w:val="24"/>
          <w:szCs w:val="24"/>
          <w:rtl/>
        </w:rPr>
        <w:t>המאשימה מציינת כי זהו תיק חמור יותר, אך מבקשת להקיש ממנו באופן יחסי לעניין החזקת הרימון.</w:t>
      </w:r>
    </w:p>
    <w:p w14:paraId="7A1EE131" w14:textId="77777777" w:rsidR="00383D76" w:rsidRDefault="00383D76" w:rsidP="00383D76">
      <w:pPr>
        <w:pStyle w:val="ListParagraph"/>
        <w:spacing w:line="360" w:lineRule="auto"/>
        <w:jc w:val="both"/>
        <w:rPr>
          <w:rFonts w:ascii="David" w:hAnsi="David" w:cs="David"/>
          <w:sz w:val="24"/>
          <w:szCs w:val="24"/>
        </w:rPr>
      </w:pPr>
    </w:p>
    <w:p w14:paraId="0DB1FE27"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בקביעת העונש בגדרי המתחם המאשימה טוענת, כי אין נימוקים להקלה במקרה זה. הנאשם לא לקח אחריות על המיוחס לו, לא עבר הליך שיקומי ולא פעל לתקן את דרכו העבריינית. על כן, קיימים במקרה זה שיקולים של הרתעת היחיד, בנוסף לשיקולי הרתעת הרבים. לעניין הרתעת הרבים המאשימה טוענת, כי אנו מצויים ב"מצב חירום של ממש" שמחייב את בתי המשפט לתת את ידו במאבק ולהחמיר בענישה.</w:t>
      </w:r>
    </w:p>
    <w:p w14:paraId="006FE0A2"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 xml:space="preserve">המאשימה מבקשת לזקוף לחובת הנאשם את עברו הפלילי שכלל מאסרים ממושכים. </w:t>
      </w:r>
    </w:p>
    <w:p w14:paraId="5F095EBF" w14:textId="77777777" w:rsidR="00383D76" w:rsidRDefault="00383D76" w:rsidP="00383D76">
      <w:pPr>
        <w:pStyle w:val="ListParagraph"/>
        <w:rPr>
          <w:rFonts w:ascii="David" w:hAnsi="David" w:cs="David"/>
          <w:sz w:val="24"/>
          <w:szCs w:val="24"/>
          <w:rtl/>
        </w:rPr>
      </w:pPr>
    </w:p>
    <w:p w14:paraId="0584B290"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 xml:space="preserve">על כן, המאשימה עותרת להטיל על הנאשם לכל הפחות </w:t>
      </w:r>
      <w:r>
        <w:rPr>
          <w:rFonts w:ascii="David" w:hAnsi="David" w:cs="David"/>
          <w:b/>
          <w:bCs/>
          <w:sz w:val="24"/>
          <w:szCs w:val="24"/>
          <w:rtl/>
        </w:rPr>
        <w:t>12 חודשי מאסר</w:t>
      </w:r>
      <w:r>
        <w:rPr>
          <w:rFonts w:ascii="David" w:hAnsi="David" w:cs="David"/>
          <w:sz w:val="24"/>
          <w:szCs w:val="24"/>
          <w:rtl/>
        </w:rPr>
        <w:t xml:space="preserve"> וענישה נלווית הכוללת גם קנס משמעותי. </w:t>
      </w:r>
    </w:p>
    <w:p w14:paraId="4EC2EFD7"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 xml:space="preserve">בנוסף, המאשימה עותרת שלא לנכות מעונשו של הנאשם את כל תקופת מעצרו אלא רק את התקופה שבה היה עצור בתיק זה בלבד. </w:t>
      </w:r>
    </w:p>
    <w:p w14:paraId="2777E76B"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כמו כן המאשימה עותרת להורות כי הנאשם ירצה את עונשו במצטבר לכל עונש אחר.</w:t>
      </w:r>
    </w:p>
    <w:p w14:paraId="3DF5C552" w14:textId="77777777" w:rsidR="00383D76" w:rsidRDefault="00383D76" w:rsidP="00383D76">
      <w:pPr>
        <w:pStyle w:val="ListParagraph"/>
        <w:spacing w:line="360" w:lineRule="auto"/>
        <w:jc w:val="both"/>
        <w:rPr>
          <w:rFonts w:ascii="David" w:hAnsi="David" w:cs="David"/>
          <w:sz w:val="24"/>
          <w:szCs w:val="24"/>
          <w:rtl/>
        </w:rPr>
      </w:pPr>
    </w:p>
    <w:p w14:paraId="189F9F47"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b/>
          <w:bCs/>
          <w:sz w:val="24"/>
          <w:szCs w:val="24"/>
          <w:rtl/>
        </w:rPr>
        <w:t>ההגנה</w:t>
      </w:r>
      <w:r>
        <w:rPr>
          <w:rFonts w:ascii="David" w:hAnsi="David" w:cs="David"/>
          <w:sz w:val="24"/>
          <w:szCs w:val="24"/>
          <w:rtl/>
        </w:rPr>
        <w:t xml:space="preserve"> סבורה, כי מתחם העונש ההולם במקרה זה הוא 4-16 חודשי מאסר בפועל. ההגנה מכירה בכך, שבנסיבות המקרה עונשו של הנאשם לא ייקבע בתחתית המתחם. עם זאת, ההגנה מבקשת לקבוע, כי חלק משמעותי מהעונש ירוצה בחפיפה לעונש אשר הוטל עליו בתיק של בית המשפט המחוזי, שכן מדובר בעבירות שנעברו בתקופה מקבילה. לדעת ההגנה, לו המדינה הייתה מאחדת את העבירות בכתב אישום אחד, סביר להניח שעונש המאסר בגין תיק זה היה נבלע בעבירות האחרות. </w:t>
      </w:r>
    </w:p>
    <w:p w14:paraId="3EAE1B05" w14:textId="77777777" w:rsidR="00383D76" w:rsidRDefault="00383D76" w:rsidP="00383D76">
      <w:pPr>
        <w:pStyle w:val="ListParagraph"/>
        <w:spacing w:line="360" w:lineRule="auto"/>
        <w:jc w:val="both"/>
        <w:rPr>
          <w:rFonts w:ascii="David" w:hAnsi="David" w:cs="David"/>
          <w:sz w:val="24"/>
          <w:szCs w:val="24"/>
        </w:rPr>
      </w:pPr>
    </w:p>
    <w:p w14:paraId="384F5972"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לעניין מדיניות הענישה הנוהגת, גם ההגנה הפנתה ל</w:t>
      </w:r>
      <w:hyperlink r:id="rId23" w:history="1">
        <w:r w:rsidR="00630959" w:rsidRPr="00630959">
          <w:rPr>
            <w:rFonts w:ascii="David" w:hAnsi="David" w:cs="David"/>
            <w:color w:val="0000FF"/>
            <w:sz w:val="24"/>
            <w:szCs w:val="24"/>
            <w:u w:val="single"/>
            <w:rtl/>
          </w:rPr>
          <w:t>ת"פ 26547-09-21</w:t>
        </w:r>
      </w:hyperlink>
      <w:r>
        <w:rPr>
          <w:rFonts w:ascii="David" w:hAnsi="David" w:cs="David"/>
          <w:sz w:val="24"/>
          <w:szCs w:val="24"/>
          <w:rtl/>
        </w:rPr>
        <w:t xml:space="preserve"> </w:t>
      </w:r>
      <w:r>
        <w:rPr>
          <w:rFonts w:ascii="David" w:hAnsi="David" w:cs="David"/>
          <w:b/>
          <w:bCs/>
          <w:sz w:val="24"/>
          <w:szCs w:val="24"/>
          <w:rtl/>
        </w:rPr>
        <w:t>מדינת ישראל נ' אלחסוני</w:t>
      </w:r>
      <w:r>
        <w:rPr>
          <w:rFonts w:ascii="David" w:hAnsi="David" w:cs="David"/>
          <w:sz w:val="24"/>
          <w:szCs w:val="24"/>
          <w:rtl/>
        </w:rPr>
        <w:t xml:space="preserve"> הנ"ל</w:t>
      </w:r>
      <w:r w:rsidR="003A2FA8">
        <w:rPr>
          <w:rFonts w:ascii="David" w:hAnsi="David" w:cs="David" w:hint="cs"/>
          <w:sz w:val="24"/>
          <w:szCs w:val="24"/>
          <w:rtl/>
        </w:rPr>
        <w:t xml:space="preserve">, </w:t>
      </w:r>
      <w:r w:rsidR="003A2FA8">
        <w:rPr>
          <w:rFonts w:ascii="David" w:hAnsi="David" w:cs="David"/>
          <w:sz w:val="24"/>
          <w:szCs w:val="24"/>
          <w:rtl/>
        </w:rPr>
        <w:t>[נבו]</w:t>
      </w:r>
      <w:r>
        <w:rPr>
          <w:rFonts w:ascii="David" w:hAnsi="David" w:cs="David"/>
          <w:sz w:val="24"/>
          <w:szCs w:val="24"/>
          <w:rtl/>
        </w:rPr>
        <w:t xml:space="preserve">, שנידון בפני מותב זה. לדעת ההגנה, מתחם העונש שנקבע שם אינו תומך בעמדתה העונשית של המאשימה, מה גם שפוטנציאל הנזק ברימון הלם גדול יותר מזה של רימון אימונים. ההגנה הפנתה לחוות הדעת ולעדות המומחה, לפיהם רימון אימונים, במתכונתו המקורית, הוא רימון בטיחותי שפוטנציאל הנזק שלו הוא ברמה של כווייה בלבד, אך ברימון אשר נתפס נעשה שינוי במנגנון הפנימי שהפך אותו למסוכן יותר. ההגנה מבקשת לקבוע, כי הנאשם הורשע בהחזקת רימון אימונים מבלי שצוין בכתב האישום אם נעשו בו שינויים אם לאו, ולכן אין להעניש אותו בגין עובדות נוספות. בנסיבות אלה, יש לקבוע בענייננו מתחם ענישה נמוך יותר מזה שנקבע בפסק הדין בעניין </w:t>
      </w:r>
      <w:r>
        <w:rPr>
          <w:rFonts w:ascii="David" w:hAnsi="David" w:cs="David"/>
          <w:b/>
          <w:bCs/>
          <w:sz w:val="24"/>
          <w:szCs w:val="24"/>
          <w:rtl/>
        </w:rPr>
        <w:t>אלחסוני</w:t>
      </w:r>
      <w:r>
        <w:rPr>
          <w:rFonts w:ascii="David" w:hAnsi="David" w:cs="David"/>
          <w:sz w:val="24"/>
          <w:szCs w:val="24"/>
          <w:rtl/>
        </w:rPr>
        <w:t>.</w:t>
      </w:r>
    </w:p>
    <w:p w14:paraId="572740F5" w14:textId="77777777" w:rsidR="00383D76" w:rsidRDefault="00383D76" w:rsidP="00383D76">
      <w:pPr>
        <w:pStyle w:val="ListParagraph"/>
        <w:rPr>
          <w:rFonts w:ascii="David" w:hAnsi="David" w:cs="David"/>
          <w:sz w:val="24"/>
          <w:szCs w:val="24"/>
        </w:rPr>
      </w:pPr>
    </w:p>
    <w:p w14:paraId="17F3C8FA" w14:textId="77777777" w:rsidR="00383D76" w:rsidRDefault="00383D76" w:rsidP="00383D76">
      <w:pPr>
        <w:pStyle w:val="ListParagraph"/>
        <w:rPr>
          <w:rFonts w:ascii="David" w:hAnsi="David" w:cs="David"/>
          <w:sz w:val="24"/>
          <w:szCs w:val="24"/>
          <w:rtl/>
        </w:rPr>
      </w:pPr>
      <w:r>
        <w:rPr>
          <w:rFonts w:ascii="David" w:hAnsi="David" w:cs="David"/>
          <w:sz w:val="24"/>
          <w:szCs w:val="24"/>
          <w:rtl/>
        </w:rPr>
        <w:t>ההגנה אינה חולקת על עמדת המאשימה בעניין ניכוי ימי המעצר.</w:t>
      </w:r>
    </w:p>
    <w:p w14:paraId="7E71EDB7" w14:textId="77777777" w:rsidR="00383D76" w:rsidRPr="00383D76" w:rsidRDefault="00383D76" w:rsidP="00383D76">
      <w:pPr>
        <w:rPr>
          <w:rFonts w:ascii="Calibri" w:hAnsi="Calibri" w:cs="Arial"/>
          <w:sz w:val="22"/>
          <w:szCs w:val="22"/>
          <w:rtl/>
        </w:rPr>
      </w:pPr>
    </w:p>
    <w:p w14:paraId="73B98FF2" w14:textId="77777777" w:rsidR="00383D76" w:rsidRDefault="00383D76" w:rsidP="00383D76">
      <w:pPr>
        <w:spacing w:line="360" w:lineRule="auto"/>
        <w:jc w:val="both"/>
        <w:rPr>
          <w:rFonts w:ascii="David" w:hAnsi="David"/>
          <w:rtl/>
        </w:rPr>
      </w:pPr>
      <w:r>
        <w:rPr>
          <w:rFonts w:ascii="David" w:hAnsi="David"/>
          <w:b/>
          <w:bCs/>
          <w:u w:val="single"/>
          <w:rtl/>
        </w:rPr>
        <w:t>דיון והכרעה</w:t>
      </w:r>
    </w:p>
    <w:p w14:paraId="30D42A88" w14:textId="77777777" w:rsidR="00383D76" w:rsidRDefault="00383D76" w:rsidP="00383D76">
      <w:pPr>
        <w:spacing w:line="360" w:lineRule="auto"/>
        <w:jc w:val="both"/>
        <w:rPr>
          <w:rFonts w:ascii="David" w:hAnsi="David"/>
          <w:b/>
          <w:bCs/>
          <w:u w:val="single"/>
          <w:rtl/>
        </w:rPr>
      </w:pPr>
      <w:r>
        <w:rPr>
          <w:rFonts w:ascii="David" w:hAnsi="David"/>
          <w:b/>
          <w:bCs/>
          <w:u w:val="single"/>
          <w:rtl/>
        </w:rPr>
        <w:t>קביעת מתחם העונש ההולם</w:t>
      </w:r>
      <w:r>
        <w:rPr>
          <w:rFonts w:ascii="David" w:hAnsi="David" w:hint="cs"/>
          <w:b/>
          <w:bCs/>
          <w:u w:val="single"/>
          <w:rtl/>
        </w:rPr>
        <w:t>:</w:t>
      </w:r>
    </w:p>
    <w:p w14:paraId="5670615F" w14:textId="77777777" w:rsidR="00383D76" w:rsidRDefault="00383D76" w:rsidP="00383D76">
      <w:pPr>
        <w:spacing w:line="360" w:lineRule="auto"/>
        <w:jc w:val="both"/>
        <w:rPr>
          <w:rFonts w:ascii="David" w:hAnsi="David"/>
          <w:b/>
          <w:bCs/>
          <w:u w:val="single"/>
          <w:rtl/>
        </w:rPr>
      </w:pPr>
    </w:p>
    <w:p w14:paraId="30545BAB"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2F4D8703" w14:textId="77777777" w:rsidR="00383D76" w:rsidRDefault="00383D76" w:rsidP="00383D76">
      <w:pPr>
        <w:pStyle w:val="ListParagraph"/>
        <w:spacing w:line="360" w:lineRule="auto"/>
        <w:jc w:val="both"/>
        <w:rPr>
          <w:rFonts w:ascii="David" w:hAnsi="David" w:cs="David"/>
          <w:sz w:val="24"/>
          <w:szCs w:val="24"/>
        </w:rPr>
      </w:pPr>
    </w:p>
    <w:p w14:paraId="4C415A67" w14:textId="77777777" w:rsidR="00383D76" w:rsidRDefault="00383D76" w:rsidP="00383D76">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אין מחלוקת בין הצדדים ביחס לערכים המוגנים אשר נפגעו כתוצאה ממעשי הנאשם. עבירות בנשק פוגעות בשלום הציבור, בביטחון הציבור ובסדר הציבורי. פסיקתו המנחה של בית המשפט העליון בעניין זה היא מימים ימימה. ראו, למשל:</w:t>
      </w:r>
    </w:p>
    <w:p w14:paraId="0235F2DE" w14:textId="77777777" w:rsidR="00383D76" w:rsidRDefault="00383D76" w:rsidP="00383D76">
      <w:pPr>
        <w:pStyle w:val="ListParagraph"/>
        <w:rPr>
          <w:rFonts w:ascii="David" w:hAnsi="David" w:cs="David"/>
          <w:sz w:val="24"/>
          <w:szCs w:val="24"/>
        </w:rPr>
      </w:pPr>
    </w:p>
    <w:p w14:paraId="6AB2F321" w14:textId="77777777" w:rsidR="00383D76" w:rsidRDefault="00630959" w:rsidP="00383D76">
      <w:pPr>
        <w:pStyle w:val="ListParagraph"/>
        <w:spacing w:line="480" w:lineRule="auto"/>
        <w:jc w:val="both"/>
        <w:rPr>
          <w:rFonts w:ascii="David" w:hAnsi="David" w:cs="David"/>
          <w:b/>
          <w:bCs/>
          <w:sz w:val="24"/>
          <w:szCs w:val="24"/>
          <w:rtl/>
        </w:rPr>
      </w:pPr>
      <w:hyperlink r:id="rId24" w:history="1">
        <w:r w:rsidRPr="00630959">
          <w:rPr>
            <w:rFonts w:ascii="David" w:hAnsi="David" w:cs="David"/>
            <w:color w:val="0000FF"/>
            <w:sz w:val="24"/>
            <w:szCs w:val="24"/>
            <w:u w:val="single"/>
            <w:rtl/>
          </w:rPr>
          <w:t>ע"פ 1323/12</w:t>
        </w:r>
      </w:hyperlink>
      <w:r w:rsidR="00383D76">
        <w:rPr>
          <w:rFonts w:ascii="David" w:hAnsi="David" w:cs="David"/>
          <w:sz w:val="24"/>
          <w:szCs w:val="24"/>
          <w:rtl/>
        </w:rPr>
        <w:t xml:space="preserve"> </w:t>
      </w:r>
      <w:r w:rsidR="00383D76">
        <w:rPr>
          <w:rFonts w:ascii="David" w:hAnsi="David" w:cs="David"/>
          <w:b/>
          <w:bCs/>
          <w:sz w:val="24"/>
          <w:szCs w:val="24"/>
          <w:rtl/>
        </w:rPr>
        <w:t>חסן ואח' נגד מדינת ישראל</w:t>
      </w:r>
      <w:r w:rsidR="003A2FA8">
        <w:rPr>
          <w:rFonts w:ascii="David" w:hAnsi="David" w:cs="David" w:hint="cs"/>
          <w:b/>
          <w:bCs/>
          <w:sz w:val="24"/>
          <w:szCs w:val="24"/>
          <w:rtl/>
        </w:rPr>
        <w:t xml:space="preserve"> </w:t>
      </w:r>
      <w:r w:rsidR="003A2FA8">
        <w:rPr>
          <w:rFonts w:ascii="David" w:hAnsi="David" w:cs="David"/>
          <w:b/>
          <w:bCs/>
          <w:sz w:val="24"/>
          <w:szCs w:val="24"/>
          <w:rtl/>
        </w:rPr>
        <w:t>[נבו]</w:t>
      </w:r>
      <w:r w:rsidR="00383D76">
        <w:rPr>
          <w:rFonts w:ascii="David" w:hAnsi="David" w:cs="David"/>
          <w:b/>
          <w:bCs/>
          <w:sz w:val="24"/>
          <w:szCs w:val="24"/>
          <w:rtl/>
        </w:rPr>
        <w:t>:</w:t>
      </w:r>
    </w:p>
    <w:p w14:paraId="6E2639F1" w14:textId="77777777" w:rsidR="00383D76" w:rsidRDefault="00383D76" w:rsidP="00383D76">
      <w:pPr>
        <w:pStyle w:val="ListParagraph"/>
        <w:spacing w:line="360" w:lineRule="auto"/>
        <w:ind w:left="1218" w:right="709"/>
        <w:jc w:val="both"/>
        <w:rPr>
          <w:rFonts w:ascii="David" w:hAnsi="David" w:cs="David"/>
          <w:b/>
          <w:bCs/>
          <w:sz w:val="24"/>
          <w:szCs w:val="24"/>
          <w:rtl/>
        </w:rPr>
      </w:pPr>
      <w:r>
        <w:rPr>
          <w:rFonts w:ascii="David" w:hAnsi="David" w:cs="David"/>
          <w:b/>
          <w:bCs/>
          <w:sz w:val="24"/>
          <w:szCs w:val="24"/>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בסכסוך ברחוב, בקטטה בין ניצים –אף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4B89B42F" w14:textId="77777777" w:rsidR="00383D76" w:rsidRDefault="00383D76" w:rsidP="00383D76">
      <w:pPr>
        <w:pStyle w:val="ListParagraph"/>
        <w:rPr>
          <w:rFonts w:ascii="David" w:hAnsi="David" w:cs="David"/>
          <w:sz w:val="24"/>
          <w:szCs w:val="24"/>
          <w:rtl/>
        </w:rPr>
      </w:pPr>
    </w:p>
    <w:p w14:paraId="7CD23C9F" w14:textId="77777777" w:rsidR="00383D76" w:rsidRDefault="00630959" w:rsidP="00383D76">
      <w:pPr>
        <w:pStyle w:val="ListParagraph"/>
        <w:spacing w:line="360" w:lineRule="auto"/>
        <w:jc w:val="both"/>
        <w:rPr>
          <w:rFonts w:ascii="David" w:hAnsi="David" w:cs="David"/>
          <w:sz w:val="24"/>
          <w:szCs w:val="24"/>
          <w:rtl/>
        </w:rPr>
      </w:pPr>
      <w:hyperlink r:id="rId25" w:history="1">
        <w:r w:rsidRPr="00630959">
          <w:rPr>
            <w:rFonts w:ascii="David" w:hAnsi="David" w:cs="David"/>
            <w:color w:val="0000FF"/>
            <w:sz w:val="24"/>
            <w:szCs w:val="24"/>
            <w:u w:val="single"/>
            <w:rtl/>
          </w:rPr>
          <w:t>ע"פ 4945/13</w:t>
        </w:r>
      </w:hyperlink>
      <w:r w:rsidR="00383D76">
        <w:rPr>
          <w:rFonts w:ascii="David" w:hAnsi="David" w:cs="David"/>
          <w:sz w:val="24"/>
          <w:szCs w:val="24"/>
          <w:rtl/>
        </w:rPr>
        <w:t xml:space="preserve"> </w:t>
      </w:r>
      <w:r w:rsidR="00383D76">
        <w:rPr>
          <w:rFonts w:ascii="David" w:hAnsi="David" w:cs="David"/>
          <w:b/>
          <w:bCs/>
          <w:sz w:val="24"/>
          <w:szCs w:val="24"/>
          <w:rtl/>
        </w:rPr>
        <w:t>מדינת ישראל נ' סלימאן</w:t>
      </w:r>
      <w:r w:rsidR="003A2FA8">
        <w:rPr>
          <w:rFonts w:ascii="David" w:hAnsi="David" w:cs="David" w:hint="cs"/>
          <w:b/>
          <w:bCs/>
          <w:sz w:val="24"/>
          <w:szCs w:val="24"/>
          <w:rtl/>
        </w:rPr>
        <w:t xml:space="preserve"> </w:t>
      </w:r>
      <w:r w:rsidR="003A2FA8">
        <w:rPr>
          <w:rFonts w:ascii="David" w:hAnsi="David" w:cs="David"/>
          <w:b/>
          <w:bCs/>
          <w:sz w:val="24"/>
          <w:szCs w:val="24"/>
          <w:rtl/>
        </w:rPr>
        <w:t>[נבו]</w:t>
      </w:r>
      <w:r w:rsidR="00383D76">
        <w:rPr>
          <w:rFonts w:ascii="David" w:hAnsi="David" w:cs="David"/>
          <w:sz w:val="24"/>
          <w:szCs w:val="24"/>
          <w:rtl/>
        </w:rPr>
        <w:t>:</w:t>
      </w:r>
    </w:p>
    <w:p w14:paraId="286C9FE4" w14:textId="77777777" w:rsidR="00383D76" w:rsidRDefault="00383D76" w:rsidP="00383D76">
      <w:pPr>
        <w:pStyle w:val="ListParagraph"/>
        <w:rPr>
          <w:rFonts w:ascii="David" w:hAnsi="David" w:cs="David"/>
          <w:sz w:val="24"/>
          <w:szCs w:val="24"/>
        </w:rPr>
      </w:pPr>
    </w:p>
    <w:p w14:paraId="6A3EB8AE" w14:textId="77777777" w:rsidR="00383D76" w:rsidRDefault="00383D76" w:rsidP="00383D76">
      <w:pPr>
        <w:pStyle w:val="ListParagraph"/>
        <w:spacing w:line="360" w:lineRule="auto"/>
        <w:ind w:left="1218" w:right="567"/>
        <w:jc w:val="both"/>
        <w:rPr>
          <w:rFonts w:ascii="David" w:hAnsi="David" w:cs="David"/>
          <w:b/>
          <w:bCs/>
          <w:sz w:val="24"/>
          <w:szCs w:val="24"/>
          <w:rtl/>
        </w:rPr>
      </w:pPr>
      <w:r>
        <w:rPr>
          <w:rFonts w:ascii="David" w:hAnsi="David" w:cs="David"/>
          <w:b/>
          <w:bCs/>
          <w:sz w:val="24"/>
          <w:szCs w:val="24"/>
          <w:rtl/>
        </w:rPr>
        <w:t>"עבירות המבוצעות בנשק – לרבות רכישה, החזקה ונשיאת נשק – טומנות בחובן פוטנציאל סיכון הרסני לפגיעה בשלום הציבור וביטחונו. החשש הוא כי הנשק המוחזק שלא כדין ישמש לפעילות עבריינית העלולה להביא לפגיעה ואף לקיפוח חייהם של אזרחים תמימים... ... ...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033FD6AA" w14:textId="77777777" w:rsidR="00383D76" w:rsidRDefault="00383D76" w:rsidP="00383D76">
      <w:pPr>
        <w:pStyle w:val="ListParagraph"/>
        <w:spacing w:line="360" w:lineRule="auto"/>
        <w:jc w:val="both"/>
        <w:rPr>
          <w:rFonts w:ascii="David" w:hAnsi="David" w:cs="David"/>
          <w:sz w:val="24"/>
          <w:szCs w:val="24"/>
          <w:rtl/>
        </w:rPr>
      </w:pPr>
    </w:p>
    <w:p w14:paraId="431AD701"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על החומרה היתרה הטמונה בעבירות בנשק ממקור צבאי, ראו:</w:t>
      </w:r>
    </w:p>
    <w:p w14:paraId="77B71163" w14:textId="77777777" w:rsidR="00383D76" w:rsidRDefault="00383D76" w:rsidP="00383D76">
      <w:pPr>
        <w:pStyle w:val="ListParagraph"/>
        <w:spacing w:line="360" w:lineRule="auto"/>
        <w:jc w:val="both"/>
        <w:rPr>
          <w:rFonts w:ascii="David" w:hAnsi="David" w:cs="David"/>
          <w:sz w:val="24"/>
          <w:szCs w:val="24"/>
          <w:rtl/>
        </w:rPr>
      </w:pPr>
    </w:p>
    <w:p w14:paraId="4522F382" w14:textId="77777777" w:rsidR="00383D76" w:rsidRDefault="003A2FA8" w:rsidP="00383D76">
      <w:pPr>
        <w:pStyle w:val="ListParagraph"/>
        <w:spacing w:line="360" w:lineRule="auto"/>
        <w:jc w:val="both"/>
        <w:rPr>
          <w:rFonts w:ascii="David" w:hAnsi="David" w:cs="David"/>
          <w:sz w:val="24"/>
          <w:szCs w:val="24"/>
          <w:rtl/>
        </w:rPr>
      </w:pPr>
      <w:hyperlink r:id="rId26" w:history="1">
        <w:r w:rsidRPr="003A2FA8">
          <w:rPr>
            <w:rStyle w:val="Hyperlink"/>
            <w:rFonts w:ascii="David" w:hAnsi="David" w:cs="David"/>
            <w:sz w:val="24"/>
            <w:szCs w:val="24"/>
            <w:rtl/>
          </w:rPr>
          <w:t xml:space="preserve">ע"פ 1332/04 </w:t>
        </w:r>
      </w:hyperlink>
      <w:r w:rsidR="00383D76">
        <w:rPr>
          <w:rFonts w:ascii="David" w:hAnsi="David" w:cs="David"/>
          <w:sz w:val="24"/>
          <w:szCs w:val="24"/>
          <w:rtl/>
        </w:rPr>
        <w:t xml:space="preserve"> </w:t>
      </w:r>
      <w:r w:rsidR="00383D76">
        <w:rPr>
          <w:rFonts w:ascii="David" w:hAnsi="David" w:cs="David"/>
          <w:b/>
          <w:bCs/>
          <w:sz w:val="24"/>
          <w:szCs w:val="24"/>
          <w:rtl/>
        </w:rPr>
        <w:t>מדינת ישראל נ' פס</w:t>
      </w:r>
      <w:r>
        <w:rPr>
          <w:rFonts w:ascii="David" w:hAnsi="David" w:cs="David" w:hint="cs"/>
          <w:b/>
          <w:bCs/>
          <w:sz w:val="24"/>
          <w:szCs w:val="24"/>
          <w:rtl/>
        </w:rPr>
        <w:t xml:space="preserve"> </w:t>
      </w:r>
      <w:r>
        <w:rPr>
          <w:rFonts w:ascii="David" w:hAnsi="David" w:cs="David"/>
          <w:b/>
          <w:bCs/>
          <w:sz w:val="24"/>
          <w:szCs w:val="24"/>
          <w:rtl/>
        </w:rPr>
        <w:t>[נבו]</w:t>
      </w:r>
      <w:r w:rsidR="00383D76">
        <w:rPr>
          <w:rFonts w:ascii="David" w:hAnsi="David" w:cs="David"/>
          <w:sz w:val="24"/>
          <w:szCs w:val="24"/>
          <w:rtl/>
        </w:rPr>
        <w:t>:</w:t>
      </w:r>
    </w:p>
    <w:p w14:paraId="68E49578" w14:textId="77777777" w:rsidR="00383D76" w:rsidRDefault="00383D76" w:rsidP="00383D76">
      <w:pPr>
        <w:pStyle w:val="ListParagraph"/>
        <w:spacing w:line="360" w:lineRule="auto"/>
        <w:ind w:left="1076" w:right="567"/>
        <w:jc w:val="both"/>
        <w:rPr>
          <w:rFonts w:ascii="David" w:hAnsi="David" w:cs="David"/>
          <w:b/>
          <w:bCs/>
          <w:sz w:val="24"/>
          <w:szCs w:val="24"/>
          <w:rtl/>
        </w:rPr>
      </w:pPr>
    </w:p>
    <w:p w14:paraId="2447153B" w14:textId="77777777" w:rsidR="00383D76" w:rsidRDefault="00383D76" w:rsidP="00383D76">
      <w:pPr>
        <w:pStyle w:val="ListParagraph"/>
        <w:spacing w:line="360" w:lineRule="auto"/>
        <w:ind w:left="1076" w:right="567"/>
        <w:jc w:val="both"/>
        <w:rPr>
          <w:rFonts w:ascii="David" w:hAnsi="David" w:cs="David"/>
          <w:b/>
          <w:bCs/>
          <w:sz w:val="24"/>
          <w:szCs w:val="24"/>
          <w:rtl/>
        </w:rPr>
      </w:pPr>
      <w:r>
        <w:rPr>
          <w:rFonts w:ascii="David" w:hAnsi="David" w:cs="David"/>
          <w:b/>
          <w:bCs/>
          <w:sz w:val="24"/>
          <w:szCs w:val="24"/>
          <w:rtl/>
        </w:rPr>
        <w:t xml:space="preserve"> "בכל הנוגע לרמת הענישה, הגיעה העת לתת משקל לחומרת העבירות של החזקת נשק, ובייחוד נשק התקפי שנגנב מצה"ל. מן הראוי שיהיה בעונש כדי להרתיע מנפיצות התופעה העבריינית של החזקת נשק חם מסוגים שונים, נשיאתו ושימוש בו.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והאידאולוגית כאחד – מחייבת מתן ביטוי עונשי הולם והחמרה ברמת הענישה".</w:t>
      </w:r>
    </w:p>
    <w:p w14:paraId="56063CD8" w14:textId="77777777" w:rsidR="00383D76" w:rsidRDefault="00383D76" w:rsidP="00383D76">
      <w:pPr>
        <w:pStyle w:val="ListParagraph"/>
        <w:spacing w:line="360" w:lineRule="auto"/>
        <w:ind w:left="1076" w:right="567"/>
        <w:jc w:val="both"/>
        <w:rPr>
          <w:rFonts w:ascii="David" w:hAnsi="David" w:cs="David"/>
          <w:b/>
          <w:bCs/>
          <w:sz w:val="24"/>
          <w:szCs w:val="24"/>
          <w:rtl/>
        </w:rPr>
      </w:pPr>
    </w:p>
    <w:p w14:paraId="4858FE17" w14:textId="77777777" w:rsidR="00383D76" w:rsidRDefault="00383D76" w:rsidP="00383D76">
      <w:pPr>
        <w:pStyle w:val="ListParagraph"/>
        <w:spacing w:line="360" w:lineRule="auto"/>
        <w:jc w:val="both"/>
        <w:rPr>
          <w:rFonts w:ascii="David" w:hAnsi="David" w:cs="David"/>
          <w:b/>
          <w:bCs/>
          <w:sz w:val="24"/>
          <w:szCs w:val="24"/>
          <w:rtl/>
        </w:rPr>
      </w:pPr>
      <w:r>
        <w:rPr>
          <w:rFonts w:ascii="David" w:hAnsi="David" w:cs="David"/>
          <w:sz w:val="24"/>
          <w:szCs w:val="24"/>
          <w:rtl/>
        </w:rPr>
        <w:t xml:space="preserve">ראו גם </w:t>
      </w:r>
      <w:hyperlink r:id="rId27" w:history="1">
        <w:r w:rsidR="00630959" w:rsidRPr="00630959">
          <w:rPr>
            <w:rFonts w:ascii="David" w:hAnsi="David" w:cs="David"/>
            <w:color w:val="0000FF"/>
            <w:sz w:val="24"/>
            <w:szCs w:val="24"/>
            <w:u w:val="single"/>
            <w:rtl/>
          </w:rPr>
          <w:t>ע"פ 6814/16</w:t>
        </w:r>
      </w:hyperlink>
      <w:r>
        <w:rPr>
          <w:rFonts w:ascii="David" w:hAnsi="David" w:cs="David"/>
          <w:sz w:val="24"/>
          <w:szCs w:val="24"/>
          <w:rtl/>
        </w:rPr>
        <w:t xml:space="preserve"> </w:t>
      </w:r>
      <w:r>
        <w:rPr>
          <w:rFonts w:ascii="David" w:hAnsi="David" w:cs="David"/>
          <w:b/>
          <w:bCs/>
          <w:sz w:val="24"/>
          <w:szCs w:val="24"/>
          <w:rtl/>
        </w:rPr>
        <w:t xml:space="preserve"> מלכה נ' מדינת ישראל </w:t>
      </w:r>
      <w:r w:rsidR="003A2FA8">
        <w:rPr>
          <w:rFonts w:ascii="David" w:hAnsi="David" w:cs="David"/>
          <w:b/>
          <w:bCs/>
          <w:sz w:val="24"/>
          <w:szCs w:val="24"/>
          <w:rtl/>
        </w:rPr>
        <w:t>[נבו]</w:t>
      </w:r>
      <w:r w:rsidR="003A2FA8">
        <w:rPr>
          <w:rFonts w:ascii="David" w:hAnsi="David" w:cs="David" w:hint="cs"/>
          <w:b/>
          <w:bCs/>
          <w:sz w:val="24"/>
          <w:szCs w:val="24"/>
          <w:rtl/>
        </w:rPr>
        <w:t xml:space="preserve"> </w:t>
      </w:r>
      <w:r>
        <w:rPr>
          <w:rFonts w:ascii="David" w:hAnsi="David" w:cs="David"/>
          <w:sz w:val="24"/>
          <w:szCs w:val="24"/>
          <w:rtl/>
        </w:rPr>
        <w:t>(במקרה חמור משמעותית מענייננו)</w:t>
      </w:r>
      <w:r>
        <w:rPr>
          <w:rFonts w:ascii="David" w:hAnsi="David" w:cs="David"/>
          <w:b/>
          <w:bCs/>
          <w:sz w:val="24"/>
          <w:szCs w:val="24"/>
          <w:rtl/>
        </w:rPr>
        <w:t>:</w:t>
      </w:r>
    </w:p>
    <w:p w14:paraId="1918871C" w14:textId="77777777" w:rsidR="00383D76" w:rsidRDefault="00383D76" w:rsidP="00383D76">
      <w:pPr>
        <w:pStyle w:val="ListParagraph"/>
        <w:spacing w:line="360" w:lineRule="auto"/>
        <w:ind w:left="1076" w:right="567"/>
        <w:jc w:val="both"/>
        <w:rPr>
          <w:rFonts w:ascii="David" w:hAnsi="David" w:cs="David"/>
          <w:b/>
          <w:bCs/>
          <w:sz w:val="24"/>
          <w:szCs w:val="24"/>
        </w:rPr>
      </w:pPr>
      <w:r>
        <w:rPr>
          <w:rFonts w:ascii="David" w:hAnsi="David" w:cs="David"/>
          <w:b/>
          <w:bCs/>
          <w:sz w:val="24"/>
          <w:szCs w:val="24"/>
          <w:rtl/>
        </w:rPr>
        <w:t>"המדובר בתיק חריג בהיקפו ובחומרתו, של סחר בהיקף סיטונאי באמל"ח שנגנב מצה"ל, שמסתובב כיום אי שם ברחבי העולם הפלילי וארגוני הפשע במקרה הטוב, או שמצא דרכו לגורמי טרור במקרה הרע. המערער לא הסגיר את האמל"ח ולא סיפר למי מכר אותו, וקיים חשש ממשי כי לבנות החבלה והרימונים יצוצו יום אחד באירוע פלילי או בטחוני. בהיבט זה, ניתן לתאר את העבירות בהן הורשע המערער לא רק כחמורות, אלא גם כעבירות בזויות, שהעונש בגינן צריך לבטא גם הוקעה וגינוי, לצד שיקולי ההרתעה".</w:t>
      </w:r>
    </w:p>
    <w:p w14:paraId="5D03ECFA" w14:textId="77777777" w:rsidR="00383D76" w:rsidRDefault="00383D76" w:rsidP="00383D76">
      <w:pPr>
        <w:pStyle w:val="ListParagraph"/>
        <w:spacing w:line="360" w:lineRule="auto"/>
        <w:jc w:val="both"/>
        <w:rPr>
          <w:rFonts w:ascii="David" w:hAnsi="David" w:cs="David"/>
          <w:sz w:val="24"/>
          <w:szCs w:val="24"/>
          <w:rtl/>
        </w:rPr>
      </w:pPr>
    </w:p>
    <w:p w14:paraId="7AA7084F" w14:textId="77777777" w:rsidR="00383D76" w:rsidRDefault="00383D76" w:rsidP="00383D76">
      <w:pPr>
        <w:pStyle w:val="ListParagraph"/>
        <w:spacing w:line="360" w:lineRule="auto"/>
        <w:jc w:val="both"/>
        <w:rPr>
          <w:rFonts w:ascii="David" w:hAnsi="David" w:cs="David"/>
          <w:b/>
          <w:bCs/>
          <w:sz w:val="24"/>
          <w:szCs w:val="24"/>
          <w:rtl/>
        </w:rPr>
      </w:pPr>
      <w:r>
        <w:rPr>
          <w:rFonts w:ascii="David" w:hAnsi="David" w:cs="David"/>
          <w:sz w:val="24"/>
          <w:szCs w:val="24"/>
          <w:rtl/>
        </w:rPr>
        <w:t>ראו לאחרונה ממש גם ב</w:t>
      </w:r>
      <w:hyperlink r:id="rId28" w:history="1">
        <w:r w:rsidR="00630959" w:rsidRPr="00630959">
          <w:rPr>
            <w:rFonts w:ascii="David" w:hAnsi="David" w:cs="David"/>
            <w:color w:val="0000FF"/>
            <w:sz w:val="24"/>
            <w:szCs w:val="24"/>
            <w:u w:val="single"/>
            <w:rtl/>
          </w:rPr>
          <w:t>ע"פ 5136/24</w:t>
        </w:r>
      </w:hyperlink>
      <w:r>
        <w:rPr>
          <w:rFonts w:ascii="David" w:hAnsi="David" w:cs="David"/>
          <w:sz w:val="24"/>
          <w:szCs w:val="24"/>
          <w:rtl/>
        </w:rPr>
        <w:t xml:space="preserve"> </w:t>
      </w:r>
      <w:r>
        <w:rPr>
          <w:rFonts w:ascii="David" w:hAnsi="David" w:cs="David"/>
          <w:b/>
          <w:bCs/>
          <w:sz w:val="24"/>
          <w:szCs w:val="24"/>
          <w:rtl/>
        </w:rPr>
        <w:t xml:space="preserve">אלסאנע ואח' </w:t>
      </w:r>
      <w:r w:rsidR="003A2FA8">
        <w:rPr>
          <w:rFonts w:ascii="David" w:hAnsi="David" w:cs="David"/>
          <w:b/>
          <w:bCs/>
          <w:sz w:val="24"/>
          <w:szCs w:val="24"/>
          <w:rtl/>
        </w:rPr>
        <w:t>[נבו]</w:t>
      </w:r>
      <w:r w:rsidR="003A2FA8">
        <w:rPr>
          <w:rFonts w:ascii="David" w:hAnsi="David" w:cs="David" w:hint="cs"/>
          <w:b/>
          <w:bCs/>
          <w:sz w:val="24"/>
          <w:szCs w:val="24"/>
          <w:rtl/>
        </w:rPr>
        <w:t xml:space="preserve"> </w:t>
      </w:r>
      <w:r>
        <w:rPr>
          <w:rFonts w:ascii="David" w:hAnsi="David" w:cs="David"/>
          <w:sz w:val="24"/>
          <w:szCs w:val="24"/>
          <w:rtl/>
        </w:rPr>
        <w:t>(גם כאן במקרה חמור משמעותית מענייננו)</w:t>
      </w:r>
      <w:r>
        <w:rPr>
          <w:rFonts w:ascii="David" w:hAnsi="David" w:cs="David"/>
          <w:b/>
          <w:bCs/>
          <w:sz w:val="24"/>
          <w:szCs w:val="24"/>
          <w:rtl/>
        </w:rPr>
        <w:t>:</w:t>
      </w:r>
    </w:p>
    <w:p w14:paraId="74F6C890" w14:textId="77777777" w:rsidR="00383D76" w:rsidRDefault="00383D76" w:rsidP="00383D76">
      <w:pPr>
        <w:pStyle w:val="Ruller4"/>
        <w:numPr>
          <w:ilvl w:val="0"/>
          <w:numId w:val="0"/>
        </w:numPr>
        <w:tabs>
          <w:tab w:val="left" w:pos="720"/>
        </w:tabs>
        <w:ind w:left="1076" w:right="567"/>
        <w:rPr>
          <w:rFonts w:ascii="Arial" w:hAnsi="Arial" w:cs="Arial"/>
          <w:color w:val="1F497D"/>
          <w:spacing w:val="0"/>
          <w:sz w:val="22"/>
          <w:szCs w:val="22"/>
          <w:rtl/>
        </w:rPr>
      </w:pPr>
      <w:r>
        <w:rPr>
          <w:rFonts w:ascii="David" w:hAnsi="David" w:cs="David"/>
          <w:b/>
          <w:bCs/>
          <w:spacing w:val="0"/>
          <w:rtl/>
        </w:rPr>
        <w:t>" על רקע מדיניות נחרצת זו ביחס לעבירות נשק, יש לדחות טענות נוספות שהעלו המערערים לפיהן ראוי היה לנטות חסד ולהקל בעונשיהם, בהתחשב בנסיבות חיים קשות, במצב משפחתי או בגיל צעיר. הפסיקה הנוגעת לעבירות נשק מדגישה את עדיפות האינטרס הציבורי, וממילא, מעניקה משקל מופחת לשיקולים כגון דא... ... ".</w:t>
      </w:r>
    </w:p>
    <w:p w14:paraId="3A7944E8" w14:textId="77777777" w:rsidR="00383D76" w:rsidRDefault="00383D76" w:rsidP="00383D76">
      <w:pPr>
        <w:rPr>
          <w:rFonts w:ascii="Arial" w:hAnsi="Arial" w:cs="Arial"/>
          <w:color w:val="1F497D"/>
          <w:sz w:val="22"/>
          <w:szCs w:val="22"/>
          <w:rtl/>
        </w:rPr>
      </w:pPr>
    </w:p>
    <w:p w14:paraId="59555737" w14:textId="77777777" w:rsidR="00383D76" w:rsidRDefault="00383D76" w:rsidP="00383D76">
      <w:pPr>
        <w:pStyle w:val="Ruller4"/>
        <w:numPr>
          <w:ilvl w:val="0"/>
          <w:numId w:val="0"/>
        </w:numPr>
        <w:tabs>
          <w:tab w:val="left" w:pos="720"/>
        </w:tabs>
        <w:ind w:left="1076" w:right="567"/>
        <w:rPr>
          <w:rFonts w:ascii="David" w:hAnsi="David" w:cs="David"/>
          <w:b/>
          <w:bCs/>
          <w:spacing w:val="0"/>
        </w:rPr>
      </w:pPr>
      <w:r>
        <w:rPr>
          <w:rFonts w:ascii="David" w:hAnsi="David" w:cs="David"/>
          <w:b/>
          <w:bCs/>
          <w:spacing w:val="0"/>
          <w:rtl/>
        </w:rPr>
        <w:t>" ... ... אין בעונשים מקלים אשר נגזרו בעבר הרחוק כדי לסייע למערערים. בשנים האחרונות הדגישה הפסיקה את חומרתן של עבירות הנשק, הכירה בהן כמכת מדינה ועמדה על הצורך במיגורן דרך הטלת ענישה מחמירה ומרתיעה... ... ... צוין כי "מכה זו מצריכה מענה הולם בדמות ענישה מחמירה של הטלת עונשי מאסר משמעותיים. מצויים אנו לעת הזאת במצב חירום של ממש בעניין עבירות נשק" (</w:t>
      </w:r>
      <w:hyperlink r:id="rId29" w:history="1">
        <w:r w:rsidR="00630959" w:rsidRPr="00630959">
          <w:rPr>
            <w:rFonts w:ascii="David" w:hAnsi="David" w:cs="David"/>
            <w:b/>
            <w:bCs/>
            <w:color w:val="0000FF"/>
            <w:u w:val="single"/>
            <w:rtl/>
          </w:rPr>
          <w:t>ע"פ 2251/21</w:t>
        </w:r>
      </w:hyperlink>
      <w:r>
        <w:rPr>
          <w:rFonts w:ascii="David" w:hAnsi="David" w:cs="David"/>
          <w:b/>
          <w:bCs/>
          <w:spacing w:val="0"/>
          <w:rtl/>
        </w:rPr>
        <w:t xml:space="preserve"> אבו עראר נ' מדינת ישראל, פסקה 25 ...</w:t>
      </w:r>
      <w:r w:rsidR="003A2FA8">
        <w:rPr>
          <w:rFonts w:ascii="David" w:hAnsi="David" w:cs="David" w:hint="cs"/>
          <w:b/>
          <w:bCs/>
          <w:spacing w:val="0"/>
          <w:rtl/>
        </w:rPr>
        <w:t xml:space="preserve"> </w:t>
      </w:r>
      <w:r w:rsidR="003A2FA8">
        <w:rPr>
          <w:rFonts w:ascii="David" w:hAnsi="David" w:cs="David"/>
          <w:b/>
          <w:bCs/>
          <w:spacing w:val="0"/>
          <w:rtl/>
        </w:rPr>
        <w:t>[נבו]</w:t>
      </w:r>
      <w:r>
        <w:rPr>
          <w:rFonts w:ascii="David" w:hAnsi="David" w:cs="David"/>
          <w:b/>
          <w:bCs/>
          <w:spacing w:val="0"/>
          <w:rtl/>
        </w:rPr>
        <w:t xml:space="preserve">). בשים לב למגמת החמרה זו, אין זה מפתיע שישרור פער בין עונשים שנגזרו בעבר הרחוק, לעונשים שנגזרו בשנים האחרונות". </w:t>
      </w:r>
    </w:p>
    <w:p w14:paraId="39FFB824" w14:textId="77777777" w:rsidR="00383D76" w:rsidRDefault="00383D76" w:rsidP="00383D76">
      <w:pPr>
        <w:pStyle w:val="ListParagraph"/>
        <w:spacing w:line="360" w:lineRule="auto"/>
        <w:jc w:val="both"/>
        <w:rPr>
          <w:rFonts w:ascii="David" w:hAnsi="David" w:cs="David"/>
          <w:sz w:val="24"/>
          <w:szCs w:val="24"/>
          <w:rtl/>
        </w:rPr>
      </w:pPr>
    </w:p>
    <w:p w14:paraId="22480AC8"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הצדדים חלוקים במידה מסוימת לעניין מידת הפגיעה בערכים המוגנים במקרה זה. </w:t>
      </w:r>
    </w:p>
    <w:p w14:paraId="40D25BFE"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 xml:space="preserve">לא אוכל לקבל את טיעון ההגנה לגבי המידה הפחותה של פוטנציאל הנזק הטמון בהחזקת רימון אימונים לעומת רימון הלם. </w:t>
      </w:r>
    </w:p>
    <w:p w14:paraId="61200819"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ראשית, הנאשם הורשע בעובדות כתב האישום שם נכתב כי החזיק ברימון יד מס' 26 אימונים</w:t>
      </w:r>
      <w:r>
        <w:rPr>
          <w:rFonts w:ascii="David" w:hAnsi="David" w:cs="David"/>
          <w:b/>
          <w:bCs/>
          <w:sz w:val="24"/>
          <w:szCs w:val="24"/>
          <w:rtl/>
        </w:rPr>
        <w:t xml:space="preserve"> שמכיל בין היתר חומרי נפץ כגון מלח ניטראטי וסוכרוז, וניטרוגליצרין אשר מסוגל להזיק לאדם</w:t>
      </w:r>
      <w:r>
        <w:rPr>
          <w:rFonts w:ascii="David" w:hAnsi="David" w:cs="David"/>
          <w:sz w:val="24"/>
          <w:szCs w:val="24"/>
          <w:rtl/>
        </w:rPr>
        <w:t>. מומחה התביעה העיד, בין היתר, על שינוי זה שנעשה ברימון המקורי. טענת הנאשם בנוגע ליסוד הנפשי ביחס למהות הנשק אותו החזיק צריכה הייתה להישמע במפגיע ובמפורש במסגרת פרשת ההגנה, שאז היו נקבעים בעניין זה ממצאי עובדה. כאמור, הנאשם הכחיש את עצם החזקת הנשק, ומשהורשע בהחזקה מודעת שלו, המודעות חלה על כלל רכיביו אשר הוכחו במשפט.</w:t>
      </w:r>
    </w:p>
    <w:p w14:paraId="24E38558" w14:textId="77777777" w:rsidR="00383D76" w:rsidRDefault="00383D76" w:rsidP="00383D76">
      <w:pPr>
        <w:pStyle w:val="ListParagraph"/>
        <w:spacing w:line="360" w:lineRule="auto"/>
        <w:jc w:val="both"/>
        <w:rPr>
          <w:rFonts w:ascii="David" w:hAnsi="David" w:cs="David"/>
          <w:sz w:val="24"/>
          <w:szCs w:val="24"/>
        </w:rPr>
      </w:pPr>
    </w:p>
    <w:p w14:paraId="477F47C7"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 xml:space="preserve">שנית, טענת ההגנה כי מבחינה מהותית יכולת הנזק של הרימון שהנאשם הורשע בהחזקתו פחותה מזו של "רימון הלם" טעונה הוכחה. הנאשם הורשע בהחזקת נשק שיש "בכוחו להזיק", כאמור </w:t>
      </w:r>
      <w:hyperlink r:id="rId30" w:history="1">
        <w:r w:rsidR="007F6983" w:rsidRPr="007F6983">
          <w:rPr>
            <w:rStyle w:val="Hyperlink"/>
            <w:rFonts w:ascii="David" w:hAnsi="David" w:cs="David"/>
            <w:sz w:val="24"/>
            <w:szCs w:val="24"/>
            <w:rtl/>
          </w:rPr>
          <w:t>בסעיף 144(ג)(3).</w:t>
        </w:r>
      </w:hyperlink>
      <w:r>
        <w:rPr>
          <w:rFonts w:ascii="David" w:hAnsi="David" w:cs="David"/>
          <w:sz w:val="24"/>
          <w:szCs w:val="24"/>
          <w:rtl/>
        </w:rPr>
        <w:t xml:space="preserve"> העונש החל על חלופה זו אינו שונה מן העונש החל על כל החזקת נשק לפי </w:t>
      </w:r>
      <w:hyperlink r:id="rId31" w:history="1">
        <w:r w:rsidR="007F6983" w:rsidRPr="007F6983">
          <w:rPr>
            <w:rStyle w:val="Hyperlink"/>
            <w:rFonts w:ascii="David" w:hAnsi="David" w:cs="David"/>
            <w:sz w:val="24"/>
            <w:szCs w:val="24"/>
            <w:rtl/>
          </w:rPr>
          <w:t>סעיף 144(א)</w:t>
        </w:r>
      </w:hyperlink>
      <w:r>
        <w:rPr>
          <w:rFonts w:ascii="David" w:hAnsi="David" w:cs="David"/>
          <w:sz w:val="24"/>
          <w:szCs w:val="24"/>
          <w:rtl/>
        </w:rPr>
        <w:t xml:space="preserve"> ואולם ברור הוא, כי החלופה לפי </w:t>
      </w:r>
      <w:hyperlink r:id="rId32" w:history="1">
        <w:r w:rsidR="007F6983" w:rsidRPr="007F6983">
          <w:rPr>
            <w:rStyle w:val="Hyperlink"/>
            <w:rFonts w:ascii="David" w:hAnsi="David" w:cs="David"/>
            <w:sz w:val="24"/>
            <w:szCs w:val="24"/>
            <w:rtl/>
          </w:rPr>
          <w:t>סעיף 144(ג)(3)</w:t>
        </w:r>
      </w:hyperlink>
      <w:r>
        <w:rPr>
          <w:rFonts w:ascii="David" w:hAnsi="David" w:cs="David"/>
          <w:sz w:val="24"/>
          <w:szCs w:val="24"/>
          <w:rtl/>
        </w:rPr>
        <w:t xml:space="preserve"> מבטאת מידה פחותה של פגיעה בערכים מוגנים ושל פוטנציאל נזק לעומת נשק שיש ביכולתו להרוג. מעבר לכך, לא מצאתי כי טיעון ההגנה יכול להוביל להקלה נוספת או לאבחנה בין חומרת הנזק בין שני סוגי הרימונים.</w:t>
      </w:r>
    </w:p>
    <w:p w14:paraId="78F169B7" w14:textId="77777777" w:rsidR="00383D76" w:rsidRDefault="00383D76" w:rsidP="00383D76">
      <w:pPr>
        <w:pStyle w:val="ListParagraph"/>
        <w:spacing w:line="360" w:lineRule="auto"/>
        <w:jc w:val="both"/>
        <w:rPr>
          <w:rFonts w:ascii="David" w:hAnsi="David" w:cs="David"/>
          <w:sz w:val="24"/>
          <w:szCs w:val="24"/>
          <w:rtl/>
        </w:rPr>
      </w:pPr>
    </w:p>
    <w:p w14:paraId="60719C2C"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הנאשם החזיק את הרימון בארון שעוני המים בבניין מגוריו, בקרבת בני משפחתו, שכניו ואורחי הבניין וזאת ללא השגחה מתאימה. בכך, הנאשם יצר סיכון ברור ומידי לפגיעה באזרחים ובעוברי אורח, ולו עקב תאונה, תקלה או טיפול רשלני. כזכור, הרימון נמצא על ידי שכן תמים, אשר עירב מיד את המשטרה, לאחר שיצר מגע עם הרימון העטוף. אדם זה נקלע שלא בטובתו לסיכון בפועל כתוצאה מהמגע הלא רצוני עם כלי הנשק. במקרה זה, כאמור, השכן פנה למשטרה אך האירוע שאותו הנאשם הוציא מכלל שליטתו, עלול היה גם להסתיים באופן אחר. בנוסף, לעובדה כי מדובר בהחזקה של נשק שמקורו בצה"ל חומרה נוספת.</w:t>
      </w:r>
    </w:p>
    <w:p w14:paraId="01812638" w14:textId="77777777" w:rsidR="00383D76" w:rsidRDefault="00383D76" w:rsidP="00383D76">
      <w:pPr>
        <w:pStyle w:val="ListParagraph"/>
        <w:spacing w:line="360" w:lineRule="auto"/>
        <w:jc w:val="both"/>
        <w:rPr>
          <w:rFonts w:ascii="David" w:hAnsi="David" w:cs="David"/>
          <w:sz w:val="24"/>
          <w:szCs w:val="24"/>
        </w:rPr>
      </w:pPr>
    </w:p>
    <w:p w14:paraId="52A3EAD7"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בנוסף לפסקי הדין אליהם הפנו הצדדים, ראו להלן גם אסמכתאות נוספות מן הפסיקה: </w:t>
      </w:r>
    </w:p>
    <w:p w14:paraId="7575124B" w14:textId="77777777" w:rsidR="00383D76" w:rsidRDefault="00383D76" w:rsidP="00383D76">
      <w:pPr>
        <w:pStyle w:val="ListParagraph"/>
        <w:spacing w:line="360" w:lineRule="auto"/>
        <w:jc w:val="both"/>
        <w:rPr>
          <w:rFonts w:ascii="David" w:hAnsi="David" w:cs="David"/>
          <w:sz w:val="24"/>
          <w:szCs w:val="24"/>
        </w:rPr>
      </w:pPr>
    </w:p>
    <w:p w14:paraId="274BCAE6" w14:textId="77777777" w:rsidR="00383D76" w:rsidRDefault="00630959" w:rsidP="00383D76">
      <w:pPr>
        <w:pStyle w:val="ListParagraph"/>
        <w:numPr>
          <w:ilvl w:val="0"/>
          <w:numId w:val="4"/>
        </w:numPr>
        <w:spacing w:after="0" w:line="360" w:lineRule="auto"/>
        <w:jc w:val="both"/>
        <w:rPr>
          <w:rFonts w:ascii="David" w:hAnsi="David" w:cs="David"/>
          <w:sz w:val="24"/>
          <w:szCs w:val="24"/>
        </w:rPr>
      </w:pPr>
      <w:hyperlink r:id="rId33" w:history="1">
        <w:r w:rsidRPr="00630959">
          <w:rPr>
            <w:rFonts w:ascii="David" w:hAnsi="David" w:cs="David"/>
            <w:color w:val="0000FF"/>
            <w:sz w:val="24"/>
            <w:szCs w:val="24"/>
            <w:u w:val="single"/>
            <w:rtl/>
          </w:rPr>
          <w:t>ע"פ 1323/13</w:t>
        </w:r>
      </w:hyperlink>
      <w:r w:rsidR="00383D76">
        <w:rPr>
          <w:rFonts w:ascii="David" w:hAnsi="David" w:cs="David"/>
          <w:sz w:val="24"/>
          <w:szCs w:val="24"/>
          <w:rtl/>
        </w:rPr>
        <w:t xml:space="preserve"> </w:t>
      </w:r>
      <w:r w:rsidR="00383D76">
        <w:rPr>
          <w:rFonts w:ascii="David" w:hAnsi="David" w:cs="David"/>
          <w:b/>
          <w:bCs/>
          <w:sz w:val="24"/>
          <w:szCs w:val="24"/>
          <w:rtl/>
        </w:rPr>
        <w:t xml:space="preserve">חסן ואח' נ' מדינת ישראל </w:t>
      </w:r>
      <w:r w:rsidR="003A2FA8">
        <w:rPr>
          <w:rFonts w:ascii="David" w:hAnsi="David" w:cs="David"/>
          <w:b/>
          <w:bCs/>
          <w:sz w:val="24"/>
          <w:szCs w:val="24"/>
          <w:rtl/>
        </w:rPr>
        <w:t>[נבו]</w:t>
      </w:r>
      <w:r w:rsidR="003A2FA8">
        <w:rPr>
          <w:rFonts w:ascii="David" w:hAnsi="David" w:cs="David" w:hint="cs"/>
          <w:b/>
          <w:bCs/>
          <w:sz w:val="24"/>
          <w:szCs w:val="24"/>
          <w:rtl/>
        </w:rPr>
        <w:t xml:space="preserve"> </w:t>
      </w:r>
      <w:r w:rsidR="00383D76">
        <w:rPr>
          <w:rFonts w:ascii="David" w:hAnsi="David" w:cs="David"/>
          <w:sz w:val="24"/>
          <w:szCs w:val="24"/>
          <w:rtl/>
        </w:rPr>
        <w:t xml:space="preserve">– בית המשפט העליון דן במתחם העונש ההולם בגין החזקת ונשיאת רימון הלם אחד ומכירתו לסוכן בתמורה ל 1,300 ₪. נקבע, כי המתחם שנקבע בבית המשפט המחוזי -1-4 שנות מאסר - מחמיר מדי, בשים לב לנסיבות אך העונש שהוטל בסופו של דבר – 24 חודשי מאסר ועונשים נלווים - מידתי בשים לב לעברם הפלילי המכביד של המעורבים, ולכן אין להתערב בו. </w:t>
      </w:r>
    </w:p>
    <w:p w14:paraId="21B39294" w14:textId="77777777" w:rsidR="00383D76" w:rsidRDefault="00630959" w:rsidP="00383D76">
      <w:pPr>
        <w:pStyle w:val="ListParagraph"/>
        <w:numPr>
          <w:ilvl w:val="0"/>
          <w:numId w:val="4"/>
        </w:numPr>
        <w:spacing w:after="0" w:line="360" w:lineRule="auto"/>
        <w:jc w:val="both"/>
        <w:rPr>
          <w:rFonts w:ascii="David" w:hAnsi="David" w:cs="David"/>
          <w:sz w:val="24"/>
          <w:szCs w:val="24"/>
          <w:rtl/>
        </w:rPr>
      </w:pPr>
      <w:hyperlink r:id="rId34" w:history="1">
        <w:r w:rsidRPr="00630959">
          <w:rPr>
            <w:rFonts w:ascii="David" w:hAnsi="David" w:cs="David"/>
            <w:color w:val="0000FF"/>
            <w:sz w:val="24"/>
            <w:szCs w:val="24"/>
            <w:u w:val="single"/>
            <w:rtl/>
          </w:rPr>
          <w:t>ת"פ (מח' חיפה) 5578-08-19</w:t>
        </w:r>
      </w:hyperlink>
      <w:r w:rsidR="00383D76">
        <w:rPr>
          <w:rFonts w:ascii="David" w:hAnsi="David" w:cs="David"/>
          <w:color w:val="000000"/>
          <w:sz w:val="24"/>
          <w:szCs w:val="24"/>
          <w:rtl/>
        </w:rPr>
        <w:t xml:space="preserve"> </w:t>
      </w:r>
      <w:r w:rsidR="00383D76">
        <w:rPr>
          <w:rFonts w:ascii="David" w:hAnsi="David" w:cs="David"/>
          <w:b/>
          <w:bCs/>
          <w:color w:val="000000"/>
          <w:sz w:val="24"/>
          <w:szCs w:val="24"/>
          <w:rtl/>
        </w:rPr>
        <w:t>מדינת ישראל נ' אבראהים</w:t>
      </w:r>
      <w:r w:rsidR="00383D76">
        <w:rPr>
          <w:rFonts w:ascii="David" w:hAnsi="David" w:cs="David"/>
          <w:color w:val="000000"/>
          <w:sz w:val="24"/>
          <w:szCs w:val="24"/>
          <w:rtl/>
        </w:rPr>
        <w:t xml:space="preserve"> </w:t>
      </w:r>
      <w:r w:rsidR="003A2FA8">
        <w:rPr>
          <w:rFonts w:ascii="David" w:hAnsi="David" w:cs="David"/>
          <w:color w:val="000000"/>
          <w:sz w:val="24"/>
          <w:szCs w:val="24"/>
          <w:rtl/>
        </w:rPr>
        <w:t>[נבו]</w:t>
      </w:r>
      <w:r w:rsidR="003A2FA8">
        <w:rPr>
          <w:rFonts w:ascii="David" w:hAnsi="David" w:cs="David" w:hint="cs"/>
          <w:color w:val="000000"/>
          <w:sz w:val="24"/>
          <w:szCs w:val="24"/>
          <w:rtl/>
        </w:rPr>
        <w:t xml:space="preserve"> </w:t>
      </w:r>
      <w:r w:rsidR="00383D76">
        <w:rPr>
          <w:rFonts w:ascii="David" w:hAnsi="David" w:cs="David"/>
          <w:sz w:val="24"/>
          <w:szCs w:val="24"/>
          <w:rtl/>
        </w:rPr>
        <w:t>– הנאשם הורשע על פי הודאתו בנשיאת רימון הלם, עטוף בגרב, בעת שנסע ברכבו עם אחר. נקבע מתחם ענישה של 18-6 חודשי מאסר בפועל. הנאשם, בעל עבר פלילי שאינו מכביד נדון לשישה חודשי מאסר לריצוי בעבודות שירות ולעונשים נלווים.</w:t>
      </w:r>
    </w:p>
    <w:p w14:paraId="010AF403" w14:textId="77777777" w:rsidR="00383D76" w:rsidRDefault="00383D76" w:rsidP="00383D76">
      <w:pPr>
        <w:pStyle w:val="ListParagraph"/>
        <w:numPr>
          <w:ilvl w:val="0"/>
          <w:numId w:val="4"/>
        </w:numPr>
        <w:spacing w:after="0" w:line="360" w:lineRule="auto"/>
        <w:jc w:val="both"/>
        <w:rPr>
          <w:rFonts w:ascii="David" w:hAnsi="David" w:cs="David"/>
          <w:sz w:val="24"/>
          <w:szCs w:val="24"/>
          <w:rtl/>
        </w:rPr>
      </w:pPr>
      <w:r>
        <w:rPr>
          <w:rFonts w:ascii="David" w:hAnsi="David" w:cs="David"/>
          <w:sz w:val="24"/>
          <w:szCs w:val="24"/>
          <w:rtl/>
        </w:rPr>
        <w:t>ת''</w:t>
      </w:r>
      <w:hyperlink r:id="rId35" w:history="1">
        <w:r w:rsidR="00630959" w:rsidRPr="00630959">
          <w:rPr>
            <w:rFonts w:ascii="David" w:hAnsi="David" w:cs="David"/>
            <w:color w:val="0000FF"/>
            <w:sz w:val="24"/>
            <w:szCs w:val="24"/>
            <w:u w:val="single"/>
            <w:rtl/>
          </w:rPr>
          <w:t>פ (מח' חיפה) 22765-09-19</w:t>
        </w:r>
      </w:hyperlink>
      <w:r>
        <w:rPr>
          <w:rFonts w:ascii="David" w:hAnsi="David" w:cs="David"/>
          <w:sz w:val="24"/>
          <w:szCs w:val="24"/>
          <w:rtl/>
        </w:rPr>
        <w:t xml:space="preserve"> </w:t>
      </w:r>
      <w:r>
        <w:rPr>
          <w:rFonts w:ascii="David" w:hAnsi="David" w:cs="David"/>
          <w:b/>
          <w:bCs/>
          <w:sz w:val="24"/>
          <w:szCs w:val="24"/>
          <w:rtl/>
        </w:rPr>
        <w:t>מדינת ישראל נ' מטרי</w:t>
      </w:r>
      <w:r>
        <w:rPr>
          <w:rFonts w:ascii="David" w:hAnsi="David" w:cs="David"/>
          <w:sz w:val="24"/>
          <w:szCs w:val="24"/>
          <w:rtl/>
        </w:rPr>
        <w:t xml:space="preserve"> </w:t>
      </w:r>
      <w:r w:rsidR="003A2FA8">
        <w:rPr>
          <w:rFonts w:ascii="David" w:hAnsi="David" w:cs="David"/>
          <w:sz w:val="24"/>
          <w:szCs w:val="24"/>
          <w:rtl/>
        </w:rPr>
        <w:t>[נבו]</w:t>
      </w:r>
      <w:r w:rsidR="003A2FA8">
        <w:rPr>
          <w:rFonts w:ascii="David" w:hAnsi="David" w:cs="David" w:hint="cs"/>
          <w:sz w:val="24"/>
          <w:szCs w:val="24"/>
          <w:rtl/>
        </w:rPr>
        <w:t xml:space="preserve"> </w:t>
      </w:r>
      <w:r>
        <w:rPr>
          <w:rFonts w:ascii="David" w:hAnsi="David" w:cs="David"/>
          <w:sz w:val="24"/>
          <w:szCs w:val="24"/>
          <w:rtl/>
        </w:rPr>
        <w:t>– הנאשם הורשע על פי הודאתו בעבירת נשק ובאיומים בכך שהשליך רימון הלם לחצר ביתו של אדם והרימון התפוצץ. לא נגרם נזק. נקבע מתחם ענישה של 9-24 חודשי מאסר. על הנאשם, צעיר, שלו הרשעה קודמת אחת, הוטלו 9 חודשי מאסר לריצוי בעבודות שירות לצד מאסר על תנאי וקנס על סך 15,000 ש"ח.</w:t>
      </w:r>
    </w:p>
    <w:p w14:paraId="1C3FCC11" w14:textId="77777777" w:rsidR="00383D76" w:rsidRDefault="00630959" w:rsidP="00383D76">
      <w:pPr>
        <w:pStyle w:val="ListParagraph"/>
        <w:numPr>
          <w:ilvl w:val="0"/>
          <w:numId w:val="4"/>
        </w:numPr>
        <w:spacing w:line="360" w:lineRule="auto"/>
        <w:jc w:val="both"/>
        <w:rPr>
          <w:rFonts w:ascii="David" w:hAnsi="David" w:cs="David"/>
          <w:sz w:val="24"/>
          <w:szCs w:val="24"/>
        </w:rPr>
      </w:pPr>
      <w:hyperlink r:id="rId36" w:history="1">
        <w:r w:rsidRPr="00630959">
          <w:rPr>
            <w:rFonts w:ascii="David" w:hAnsi="David" w:cs="David"/>
            <w:color w:val="0000FF"/>
            <w:sz w:val="24"/>
            <w:szCs w:val="24"/>
            <w:u w:val="single"/>
            <w:rtl/>
          </w:rPr>
          <w:t>ת"פ (מח' חיפה) 16760-09-22</w:t>
        </w:r>
      </w:hyperlink>
      <w:r w:rsidR="00383D76">
        <w:rPr>
          <w:rFonts w:ascii="David" w:hAnsi="David" w:cs="David"/>
          <w:sz w:val="24"/>
          <w:szCs w:val="24"/>
          <w:rtl/>
        </w:rPr>
        <w:t xml:space="preserve"> </w:t>
      </w:r>
      <w:r w:rsidR="00383D76">
        <w:rPr>
          <w:rFonts w:ascii="David" w:hAnsi="David" w:cs="David"/>
          <w:b/>
          <w:bCs/>
          <w:sz w:val="24"/>
          <w:szCs w:val="24"/>
          <w:rtl/>
        </w:rPr>
        <w:t xml:space="preserve">מדינת ישראל נ' גבריאלי </w:t>
      </w:r>
      <w:r w:rsidR="003A2FA8">
        <w:rPr>
          <w:rFonts w:ascii="David" w:hAnsi="David" w:cs="David"/>
          <w:b/>
          <w:bCs/>
          <w:sz w:val="24"/>
          <w:szCs w:val="24"/>
          <w:rtl/>
        </w:rPr>
        <w:t>[נבו]</w:t>
      </w:r>
      <w:r w:rsidR="003A2FA8">
        <w:rPr>
          <w:rFonts w:ascii="David" w:hAnsi="David" w:cs="David" w:hint="cs"/>
          <w:b/>
          <w:bCs/>
          <w:sz w:val="24"/>
          <w:szCs w:val="24"/>
          <w:rtl/>
        </w:rPr>
        <w:t xml:space="preserve"> </w:t>
      </w:r>
      <w:r w:rsidR="00383D76">
        <w:rPr>
          <w:rFonts w:ascii="David" w:hAnsi="David" w:cs="David"/>
          <w:b/>
          <w:bCs/>
          <w:sz w:val="24"/>
          <w:szCs w:val="24"/>
          <w:rtl/>
        </w:rPr>
        <w:t xml:space="preserve">– </w:t>
      </w:r>
      <w:r w:rsidR="00383D76">
        <w:rPr>
          <w:rFonts w:ascii="David" w:hAnsi="David" w:cs="David"/>
          <w:sz w:val="24"/>
          <w:szCs w:val="24"/>
          <w:rtl/>
        </w:rPr>
        <w:t xml:space="preserve">הנאשם הורשע על פי הודאתו בהחזקה, נשיאה והובלה של רימון הלם בצוותא עם אחר, כאשר האחר השליך את הרימון לכיוון בית המתלונן. נקבע מתחם ענישה של 16-36 חודשי מאסר בפועל לצד ענישה נלווית. על הנאשם, בעל עבר פלילי מכביד, אך שהתיישן, הוטלו 18 חודשי מאסר בפועל, ועונשים נלווים לרבות פיצוי למתלונן בסך 7,500 ₪ וקנס בסך 5,000 ש"ח. על גזר דין זה חל תיקון 140. </w:t>
      </w:r>
    </w:p>
    <w:p w14:paraId="56846BC3" w14:textId="77777777" w:rsidR="00383D76" w:rsidRDefault="00630959" w:rsidP="00383D76">
      <w:pPr>
        <w:pStyle w:val="ListParagraph"/>
        <w:numPr>
          <w:ilvl w:val="0"/>
          <w:numId w:val="4"/>
        </w:numPr>
        <w:spacing w:line="360" w:lineRule="auto"/>
        <w:jc w:val="both"/>
        <w:rPr>
          <w:rFonts w:ascii="David" w:hAnsi="David" w:cs="David"/>
          <w:sz w:val="24"/>
          <w:szCs w:val="24"/>
        </w:rPr>
      </w:pPr>
      <w:hyperlink r:id="rId37" w:history="1">
        <w:r w:rsidRPr="00630959">
          <w:rPr>
            <w:rFonts w:ascii="David" w:hAnsi="David" w:cs="David"/>
            <w:color w:val="0000FF"/>
            <w:sz w:val="24"/>
            <w:szCs w:val="24"/>
            <w:u w:val="single"/>
            <w:rtl/>
          </w:rPr>
          <w:t>ת"פ (מח' חיפה) 16779-09-22</w:t>
        </w:r>
      </w:hyperlink>
      <w:r w:rsidR="00383D76">
        <w:rPr>
          <w:rFonts w:ascii="David" w:hAnsi="David" w:cs="David"/>
          <w:sz w:val="24"/>
          <w:szCs w:val="24"/>
          <w:rtl/>
        </w:rPr>
        <w:t xml:space="preserve"> </w:t>
      </w:r>
      <w:r w:rsidR="00383D76">
        <w:rPr>
          <w:rFonts w:ascii="David" w:hAnsi="David" w:cs="David"/>
          <w:b/>
          <w:bCs/>
          <w:sz w:val="24"/>
          <w:szCs w:val="24"/>
          <w:rtl/>
        </w:rPr>
        <w:t>מדינת ישראל נ' אלבז</w:t>
      </w:r>
      <w:r w:rsidR="00383D76">
        <w:rPr>
          <w:rFonts w:ascii="David" w:hAnsi="David" w:cs="David"/>
          <w:sz w:val="24"/>
          <w:szCs w:val="24"/>
          <w:rtl/>
        </w:rPr>
        <w:t xml:space="preserve"> </w:t>
      </w:r>
      <w:r w:rsidR="003A2FA8">
        <w:rPr>
          <w:rFonts w:ascii="David" w:hAnsi="David" w:cs="David"/>
          <w:sz w:val="24"/>
          <w:szCs w:val="24"/>
          <w:rtl/>
        </w:rPr>
        <w:t>[נבו]</w:t>
      </w:r>
      <w:r w:rsidR="003A2FA8">
        <w:rPr>
          <w:rFonts w:ascii="David" w:hAnsi="David" w:cs="David" w:hint="cs"/>
          <w:sz w:val="24"/>
          <w:szCs w:val="24"/>
          <w:rtl/>
        </w:rPr>
        <w:t xml:space="preserve"> </w:t>
      </w:r>
      <w:r w:rsidR="00383D76">
        <w:rPr>
          <w:rFonts w:ascii="David" w:hAnsi="David" w:cs="David"/>
          <w:sz w:val="24"/>
          <w:szCs w:val="24"/>
          <w:rtl/>
        </w:rPr>
        <w:t>– הנאשם הורשע על פי הודאתו בעבירות של החזקה, נשיאה והובלת נשק. הנאשם קיבל מאחר רימון הלם לשם אחזקתו ושמירתו. בהמשך השניים נסעו לבית המתלונן ושם זרק הנאשם את רימון ההלם לעבר ביתו. נקבע מתחם ענישה של 16 - 36 חודשי מאסר. בית המשפט חרג מהמתחם משיקולי שיקומו של הנאשם והטיל עליו 9 חודשי מאסר בעבודות שירות ועונשים נלווים לרבות פיצוי לשני נפגעי העבירה בסך כולל של 10,000 ₪ וקנס בסך 2,000 ש"ח. על גזר דין זה חל תיקון 140.</w:t>
      </w:r>
    </w:p>
    <w:p w14:paraId="3126F70A" w14:textId="77777777" w:rsidR="00383D76" w:rsidRDefault="00630959" w:rsidP="00383D76">
      <w:pPr>
        <w:pStyle w:val="ListParagraph"/>
        <w:numPr>
          <w:ilvl w:val="0"/>
          <w:numId w:val="4"/>
        </w:numPr>
        <w:spacing w:line="360" w:lineRule="auto"/>
        <w:jc w:val="both"/>
        <w:rPr>
          <w:rFonts w:ascii="David" w:hAnsi="David" w:cs="David"/>
          <w:sz w:val="24"/>
          <w:szCs w:val="24"/>
          <w:rtl/>
        </w:rPr>
      </w:pPr>
      <w:hyperlink r:id="rId38" w:history="1">
        <w:r w:rsidRPr="00630959">
          <w:rPr>
            <w:rFonts w:ascii="David" w:hAnsi="David" w:cs="David"/>
            <w:color w:val="0000FF"/>
            <w:sz w:val="24"/>
            <w:szCs w:val="24"/>
            <w:u w:val="single"/>
            <w:rtl/>
          </w:rPr>
          <w:t>ת"פ (חיפה) 31218-10-14</w:t>
        </w:r>
      </w:hyperlink>
      <w:r>
        <w:rPr>
          <w:rFonts w:ascii="David" w:hAnsi="David" w:cs="David"/>
          <w:sz w:val="24"/>
          <w:szCs w:val="24"/>
        </w:rPr>
        <w:t xml:space="preserve"> </w:t>
      </w:r>
      <w:r w:rsidR="00383D76">
        <w:rPr>
          <w:rFonts w:ascii="David" w:hAnsi="David" w:cs="David"/>
          <w:b/>
          <w:bCs/>
          <w:sz w:val="24"/>
          <w:szCs w:val="24"/>
          <w:rtl/>
        </w:rPr>
        <w:t>מדינת ישראל</w:t>
      </w:r>
      <w:r>
        <w:rPr>
          <w:rFonts w:ascii="David" w:hAnsi="David" w:cs="David"/>
          <w:b/>
          <w:bCs/>
          <w:sz w:val="24"/>
          <w:szCs w:val="24"/>
          <w:rtl/>
        </w:rPr>
        <w:t xml:space="preserve"> </w:t>
      </w:r>
      <w:r w:rsidR="00383D76">
        <w:rPr>
          <w:rFonts w:ascii="David" w:hAnsi="David" w:cs="David"/>
          <w:b/>
          <w:bCs/>
          <w:sz w:val="24"/>
          <w:szCs w:val="24"/>
          <w:rtl/>
        </w:rPr>
        <w:t>נ' אסדי</w:t>
      </w:r>
      <w:r w:rsidR="00383D76">
        <w:rPr>
          <w:rFonts w:ascii="David" w:hAnsi="David" w:cs="David"/>
          <w:sz w:val="24"/>
          <w:szCs w:val="24"/>
          <w:rtl/>
        </w:rPr>
        <w:t xml:space="preserve"> </w:t>
      </w:r>
      <w:r w:rsidR="003A2FA8">
        <w:rPr>
          <w:rFonts w:ascii="David" w:hAnsi="David" w:cs="David"/>
          <w:sz w:val="24"/>
          <w:szCs w:val="24"/>
          <w:rtl/>
        </w:rPr>
        <w:t>[נבו]</w:t>
      </w:r>
      <w:r w:rsidR="003A2FA8">
        <w:rPr>
          <w:rFonts w:ascii="David" w:hAnsi="David" w:cs="David" w:hint="cs"/>
          <w:sz w:val="24"/>
          <w:szCs w:val="24"/>
          <w:rtl/>
        </w:rPr>
        <w:t xml:space="preserve"> </w:t>
      </w:r>
      <w:r w:rsidR="00383D76">
        <w:rPr>
          <w:rFonts w:ascii="David" w:hAnsi="David" w:cs="David"/>
          <w:sz w:val="24"/>
          <w:szCs w:val="24"/>
          <w:rtl/>
        </w:rPr>
        <w:t>– הנאשם הורשע הנאשם על פי הודאתו בהחזקת</w:t>
      </w:r>
      <w:r>
        <w:rPr>
          <w:rFonts w:ascii="David" w:hAnsi="David" w:cs="David"/>
          <w:sz w:val="24"/>
          <w:szCs w:val="24"/>
          <w:rtl/>
        </w:rPr>
        <w:t xml:space="preserve"> </w:t>
      </w:r>
      <w:r w:rsidR="00383D76">
        <w:rPr>
          <w:rFonts w:ascii="David" w:hAnsi="David" w:cs="David"/>
          <w:sz w:val="24"/>
          <w:szCs w:val="24"/>
          <w:rtl/>
        </w:rPr>
        <w:t>רימון הלם, אשר הושלך לעבר מרפסת בית, התפוצץ והשמיע קול נפץ עז (הנאשם לא הורשע בהשלכה). נקבע מתחם עונש של</w:t>
      </w:r>
      <w:r>
        <w:rPr>
          <w:rFonts w:ascii="David" w:hAnsi="David" w:cs="David"/>
          <w:sz w:val="24"/>
          <w:szCs w:val="24"/>
          <w:rtl/>
        </w:rPr>
        <w:t xml:space="preserve"> </w:t>
      </w:r>
      <w:r w:rsidR="00383D76">
        <w:rPr>
          <w:rFonts w:ascii="David" w:hAnsi="David" w:cs="David"/>
          <w:sz w:val="24"/>
          <w:szCs w:val="24"/>
          <w:rtl/>
        </w:rPr>
        <w:t xml:space="preserve"> 8 - 20 חודשי מאסר בפועל</w:t>
      </w:r>
      <w:r w:rsidR="00383D76">
        <w:rPr>
          <w:rFonts w:ascii="David" w:hAnsi="David" w:cs="David"/>
          <w:sz w:val="24"/>
          <w:szCs w:val="24"/>
        </w:rPr>
        <w:t>.</w:t>
      </w:r>
      <w:r w:rsidR="00383D76">
        <w:rPr>
          <w:rFonts w:ascii="David" w:hAnsi="David" w:cs="David"/>
          <w:sz w:val="24"/>
          <w:szCs w:val="24"/>
          <w:rtl/>
        </w:rPr>
        <w:t xml:space="preserve"> </w:t>
      </w:r>
      <w:r w:rsidR="00383D76">
        <w:rPr>
          <w:rFonts w:ascii="David" w:hAnsi="David" w:cs="David" w:hint="cs"/>
          <w:sz w:val="24"/>
          <w:szCs w:val="24"/>
          <w:rtl/>
        </w:rPr>
        <w:t>נוכח נסיבותיו האישיות של הנאשם, שלו הרשעה קודמת אחת, הוטלו 9 חודשי מאסר וענישה נלווית.</w:t>
      </w:r>
    </w:p>
    <w:p w14:paraId="3EDFF8AD" w14:textId="77777777" w:rsidR="00383D76" w:rsidRDefault="00630959" w:rsidP="00383D76">
      <w:pPr>
        <w:pStyle w:val="ListParagraph"/>
        <w:numPr>
          <w:ilvl w:val="0"/>
          <w:numId w:val="4"/>
        </w:numPr>
        <w:spacing w:line="360" w:lineRule="auto"/>
        <w:jc w:val="both"/>
        <w:rPr>
          <w:rFonts w:ascii="David" w:hAnsi="David" w:cs="David"/>
          <w:sz w:val="24"/>
          <w:szCs w:val="24"/>
        </w:rPr>
      </w:pPr>
      <w:hyperlink r:id="rId39" w:history="1">
        <w:r w:rsidRPr="00630959">
          <w:rPr>
            <w:rFonts w:ascii="David" w:hAnsi="David" w:cs="David"/>
            <w:color w:val="0000FF"/>
            <w:sz w:val="24"/>
            <w:szCs w:val="24"/>
            <w:u w:val="single"/>
            <w:rtl/>
          </w:rPr>
          <w:t>ת"פ (עכו) 3256-09-21</w:t>
        </w:r>
      </w:hyperlink>
      <w:r w:rsidR="00383D76">
        <w:rPr>
          <w:rFonts w:ascii="David" w:hAnsi="David" w:cs="David"/>
          <w:sz w:val="24"/>
          <w:szCs w:val="24"/>
          <w:rtl/>
        </w:rPr>
        <w:t xml:space="preserve"> </w:t>
      </w:r>
      <w:r w:rsidR="00383D76">
        <w:rPr>
          <w:rFonts w:ascii="David" w:hAnsi="David" w:cs="David"/>
          <w:b/>
          <w:bCs/>
          <w:sz w:val="24"/>
          <w:szCs w:val="24"/>
          <w:rtl/>
        </w:rPr>
        <w:t>מדינת ישראל נ' סואעד</w:t>
      </w:r>
      <w:r w:rsidR="00383D76">
        <w:rPr>
          <w:rFonts w:ascii="David" w:hAnsi="David" w:cs="David"/>
          <w:sz w:val="24"/>
          <w:szCs w:val="24"/>
          <w:rtl/>
        </w:rPr>
        <w:t xml:space="preserve"> </w:t>
      </w:r>
      <w:r w:rsidR="003A2FA8">
        <w:rPr>
          <w:rFonts w:ascii="David" w:hAnsi="David" w:cs="David"/>
          <w:sz w:val="24"/>
          <w:szCs w:val="24"/>
          <w:rtl/>
        </w:rPr>
        <w:t>[נבו]</w:t>
      </w:r>
      <w:r w:rsidR="003A2FA8">
        <w:rPr>
          <w:rFonts w:ascii="David" w:hAnsi="David" w:cs="David" w:hint="cs"/>
          <w:sz w:val="24"/>
          <w:szCs w:val="24"/>
          <w:rtl/>
        </w:rPr>
        <w:t xml:space="preserve"> </w:t>
      </w:r>
      <w:r w:rsidR="00383D76">
        <w:rPr>
          <w:rFonts w:ascii="David" w:hAnsi="David" w:cs="David"/>
          <w:sz w:val="24"/>
          <w:szCs w:val="24"/>
          <w:rtl/>
        </w:rPr>
        <w:t xml:space="preserve">– הנאשם הורשע על פי הודאתו בהחזקת רימון הלם בביתו. נקבע מתחם ענישה של 9-20 חודשי מאסר בפועל לצד ענישה נלווית. על הנאשם, צעיר בן 20 נעדר עבר פלילי הוטל עונש בתחתית המתחם בצד ענישה נלווית, לרבות קנס בסך 3,000 ₪. </w:t>
      </w:r>
    </w:p>
    <w:p w14:paraId="3153C79C" w14:textId="77777777" w:rsidR="00383D76" w:rsidRDefault="00383D76" w:rsidP="00383D76">
      <w:pPr>
        <w:pStyle w:val="ListParagraph"/>
        <w:spacing w:line="360" w:lineRule="auto"/>
        <w:ind w:left="1080"/>
        <w:jc w:val="both"/>
        <w:rPr>
          <w:rFonts w:ascii="David" w:hAnsi="David" w:cs="David"/>
          <w:sz w:val="24"/>
          <w:szCs w:val="24"/>
        </w:rPr>
      </w:pPr>
    </w:p>
    <w:p w14:paraId="761D7F70" w14:textId="77777777" w:rsidR="00383D76" w:rsidRDefault="00383D76" w:rsidP="00383D76">
      <w:pPr>
        <w:pStyle w:val="ListParagraph"/>
        <w:spacing w:line="360" w:lineRule="auto"/>
        <w:ind w:right="709"/>
        <w:jc w:val="both"/>
        <w:rPr>
          <w:rFonts w:ascii="David" w:hAnsi="David" w:cs="David"/>
          <w:sz w:val="24"/>
          <w:szCs w:val="24"/>
          <w:rtl/>
        </w:rPr>
      </w:pPr>
    </w:p>
    <w:p w14:paraId="64AEEEBC" w14:textId="77777777" w:rsidR="00383D76" w:rsidRDefault="00383D76" w:rsidP="00383D76">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כאמור, ההגנה ביקשה להקיש מעניין </w:t>
      </w:r>
      <w:r>
        <w:rPr>
          <w:rFonts w:ascii="David" w:hAnsi="David" w:cs="David"/>
          <w:b/>
          <w:bCs/>
          <w:sz w:val="24"/>
          <w:szCs w:val="24"/>
          <w:rtl/>
        </w:rPr>
        <w:t xml:space="preserve">אלחסוני </w:t>
      </w:r>
      <w:r>
        <w:rPr>
          <w:rFonts w:ascii="David" w:hAnsi="David" w:cs="David"/>
          <w:sz w:val="24"/>
          <w:szCs w:val="24"/>
          <w:rtl/>
        </w:rPr>
        <w:t>שלעיל לק</w:t>
      </w:r>
      <w:r>
        <w:rPr>
          <w:rFonts w:ascii="David" w:hAnsi="David" w:cs="David" w:hint="cs"/>
          <w:sz w:val="24"/>
          <w:szCs w:val="24"/>
          <w:rtl/>
        </w:rPr>
        <w:t>ו</w:t>
      </w:r>
      <w:r>
        <w:rPr>
          <w:rFonts w:ascii="David" w:hAnsi="David" w:cs="David"/>
          <w:sz w:val="24"/>
          <w:szCs w:val="24"/>
          <w:rtl/>
        </w:rPr>
        <w:t xml:space="preserve">לא, טענה שאין בידי לקבל. אף יש לקבוע, כי נסיבות ההחזקה במקרה זה כפי שפורטו לעיל חמורות יותר. מאידך, המאשימה ביקשה לגזור את עונשו של הנאשם כאילו חל עליו תיקון 140 וגם טיעון זה אין בידי לקבל. </w:t>
      </w:r>
    </w:p>
    <w:p w14:paraId="260996AA"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בנסיבות העניין יש לקבוע מתחם ענישה של 8-18 חודשי מאסר בפועל וענישה נלווית.</w:t>
      </w:r>
    </w:p>
    <w:p w14:paraId="58E5AE9B" w14:textId="77777777" w:rsidR="00383D76" w:rsidRPr="00383D76" w:rsidRDefault="00383D76" w:rsidP="00383D76">
      <w:pPr>
        <w:rPr>
          <w:rFonts w:ascii="Calibri" w:hAnsi="Calibri" w:cs="Arial"/>
          <w:sz w:val="22"/>
          <w:szCs w:val="22"/>
        </w:rPr>
      </w:pPr>
    </w:p>
    <w:p w14:paraId="7E6848A5" w14:textId="77777777" w:rsidR="00383D76" w:rsidRDefault="00383D76" w:rsidP="00383D76">
      <w:pPr>
        <w:spacing w:line="360" w:lineRule="auto"/>
        <w:jc w:val="both"/>
        <w:rPr>
          <w:rFonts w:ascii="David" w:hAnsi="David"/>
          <w:rtl/>
        </w:rPr>
      </w:pPr>
      <w:r>
        <w:rPr>
          <w:rFonts w:ascii="David" w:hAnsi="David"/>
          <w:b/>
          <w:bCs/>
          <w:u w:val="single"/>
          <w:rtl/>
        </w:rPr>
        <w:t>קביעת העונש המתאים בגדרי המתחם</w:t>
      </w:r>
      <w:r>
        <w:rPr>
          <w:rFonts w:ascii="David" w:hAnsi="David" w:hint="cs"/>
          <w:rtl/>
        </w:rPr>
        <w:t>:</w:t>
      </w:r>
    </w:p>
    <w:p w14:paraId="01B7E811" w14:textId="77777777" w:rsidR="00383D76" w:rsidRDefault="00383D76" w:rsidP="00383D76">
      <w:pPr>
        <w:spacing w:line="360" w:lineRule="auto"/>
        <w:jc w:val="both"/>
        <w:rPr>
          <w:rFonts w:ascii="David" w:hAnsi="David"/>
          <w:rtl/>
        </w:rPr>
      </w:pPr>
    </w:p>
    <w:p w14:paraId="074E8D0D"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בעת גזירת העונש המתאים לנאשם, בגדרי מתחם העונש ההולם, יתחשב בית המשפט בשיקולים כלליים ובשיקולים פרטניים, שאינם קשורים בנסיבות ביצוע העבירה. </w:t>
      </w:r>
    </w:p>
    <w:p w14:paraId="6B85DA07"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במקרה זה קשה למצוא נימוקים לקולא.</w:t>
      </w:r>
    </w:p>
    <w:p w14:paraId="090A391F"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לנאשם עבר פלילי מכביש הכולל 12 הרשעות קודמות בעבירות מתחומים שונים והוא ריצה עונשי מאסר בעברו. אף הופעלו בעניינו בעבר מאסרים מותנים, דבר המלמד על היעדר מורא מן החוק ומהוראות הרשויות.</w:t>
      </w:r>
    </w:p>
    <w:p w14:paraId="683E04E5"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לא ניתן במקרה זה להקל עם הנאשם ונכח הכרה בטעות, נטילת אחריות או חיסכון בזמן שיפוטי.</w:t>
      </w:r>
    </w:p>
    <w:p w14:paraId="2E4EAC98"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אין בעניינו של הנאשם שיקולי שיקום והנאשם לא עשה מאמץ להראות כי הוא חזר למוטב.</w:t>
      </w:r>
    </w:p>
    <w:p w14:paraId="1B40102C" w14:textId="77777777" w:rsidR="00383D76" w:rsidRDefault="00383D76" w:rsidP="00383D76">
      <w:pPr>
        <w:pStyle w:val="ListParagraph"/>
        <w:spacing w:line="360" w:lineRule="auto"/>
        <w:jc w:val="both"/>
        <w:rPr>
          <w:rFonts w:ascii="David" w:hAnsi="David" w:cs="David"/>
          <w:sz w:val="24"/>
          <w:szCs w:val="24"/>
          <w:rtl/>
        </w:rPr>
      </w:pPr>
    </w:p>
    <w:p w14:paraId="03B9305E"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הרשעתו האחרונה של הנאשם, ב</w:t>
      </w:r>
      <w:hyperlink r:id="rId40" w:history="1">
        <w:r w:rsidR="00630959" w:rsidRPr="00630959">
          <w:rPr>
            <w:rFonts w:ascii="David" w:hAnsi="David" w:cs="David"/>
            <w:color w:val="0000FF"/>
            <w:sz w:val="24"/>
            <w:szCs w:val="24"/>
            <w:u w:val="single"/>
            <w:rtl/>
          </w:rPr>
          <w:t>ת"פ 24237-06-23</w:t>
        </w:r>
      </w:hyperlink>
      <w:r>
        <w:rPr>
          <w:rFonts w:ascii="David" w:hAnsi="David" w:cs="David"/>
          <w:sz w:val="24"/>
          <w:szCs w:val="24"/>
          <w:rtl/>
        </w:rPr>
        <w:t xml:space="preserve"> הנ"ל</w:t>
      </w:r>
      <w:r w:rsidR="003A2FA8">
        <w:rPr>
          <w:rFonts w:ascii="David" w:hAnsi="David" w:cs="David" w:hint="cs"/>
          <w:sz w:val="24"/>
          <w:szCs w:val="24"/>
          <w:rtl/>
        </w:rPr>
        <w:t xml:space="preserve">, </w:t>
      </w:r>
      <w:r w:rsidR="003A2FA8">
        <w:rPr>
          <w:rFonts w:ascii="David" w:hAnsi="David" w:cs="David"/>
          <w:sz w:val="24"/>
          <w:szCs w:val="24"/>
          <w:rtl/>
        </w:rPr>
        <w:t>[נבו]</w:t>
      </w:r>
      <w:r>
        <w:rPr>
          <w:rFonts w:ascii="David" w:hAnsi="David" w:cs="David"/>
          <w:sz w:val="24"/>
          <w:szCs w:val="24"/>
          <w:rtl/>
        </w:rPr>
        <w:t xml:space="preserve">, מלמדת כיום כי עבירת הנשק בה הורשע הנאשם בפניי נטועה היטב באורחות חייו של הנאשם ולמעשה מאפיינת את התנהלותו בתקופת ביצוע העבירה. על פי פסק הדין, בתקופה הרלוונטית לתיק שבפניי, הנאשם הורשע בשבע עבירות סחר בנשק (אקדחים ורובי סער) לפי </w:t>
      </w:r>
      <w:hyperlink r:id="rId41" w:history="1">
        <w:r w:rsidR="007F6983" w:rsidRPr="007F6983">
          <w:rPr>
            <w:rStyle w:val="Hyperlink"/>
            <w:rFonts w:ascii="David" w:hAnsi="David" w:cs="David"/>
            <w:sz w:val="24"/>
            <w:szCs w:val="24"/>
            <w:rtl/>
          </w:rPr>
          <w:t>סעיף 144(ב2)</w:t>
        </w:r>
      </w:hyperlink>
      <w:r>
        <w:rPr>
          <w:rFonts w:ascii="David" w:hAnsi="David" w:cs="David"/>
          <w:sz w:val="24"/>
          <w:szCs w:val="24"/>
          <w:rtl/>
        </w:rPr>
        <w:t xml:space="preserve"> ל</w:t>
      </w:r>
      <w:hyperlink r:id="rId42" w:history="1">
        <w:r w:rsidR="00630959" w:rsidRPr="00630959">
          <w:rPr>
            <w:rFonts w:ascii="David" w:hAnsi="David" w:cs="David"/>
            <w:color w:val="0000FF"/>
            <w:sz w:val="24"/>
            <w:szCs w:val="24"/>
            <w:u w:val="single"/>
            <w:rtl/>
          </w:rPr>
          <w:t>חוק העונשין</w:t>
        </w:r>
      </w:hyperlink>
      <w:r>
        <w:rPr>
          <w:rFonts w:ascii="David" w:hAnsi="David" w:cs="David"/>
          <w:sz w:val="24"/>
          <w:szCs w:val="24"/>
          <w:rtl/>
        </w:rPr>
        <w:t xml:space="preserve"> וכן בשתי עבירות משמעותיות של סחר בקוקאין. יצוין, כי הנאשם הורשע בעבירות שבוצעו בין התאריכים 18.10.21-9.1.23, כאשר בתאריך 20.12.21 נעצר בתיק עבירות רכוש, שהוביל בהמשך גם להגשת כתב האישום בתיק שבפניי (בגינו הוגש כתב אישום בתאריך 12.1.22), כך שעולה מכתב האישום בו הורשע, וכן מגזר הדין שניתן בעניינו, כי המשיך בפעילות הסחר כמתווך כאשר הוא מאחורי סורג ובריח, תוך שהוא יוזם הצעות לרכישה, דורש דמי תיווך ואף מביע תרעומת, כאשר ניסו להדירו מביצוע עסקאות.</w:t>
      </w:r>
    </w:p>
    <w:p w14:paraId="72814B74" w14:textId="77777777" w:rsidR="00383D76" w:rsidRDefault="00383D76" w:rsidP="00383D76">
      <w:pPr>
        <w:pStyle w:val="ListParagraph"/>
        <w:spacing w:line="360" w:lineRule="auto"/>
        <w:jc w:val="both"/>
        <w:rPr>
          <w:rFonts w:ascii="David" w:hAnsi="David" w:cs="David"/>
          <w:sz w:val="24"/>
          <w:szCs w:val="24"/>
          <w:rtl/>
        </w:rPr>
      </w:pPr>
      <w:r>
        <w:rPr>
          <w:rFonts w:ascii="David" w:hAnsi="David" w:cs="David"/>
          <w:sz w:val="24"/>
          <w:szCs w:val="24"/>
          <w:rtl/>
        </w:rPr>
        <w:t>למען הסר כל ספק יש להדגיש, כי הרשעת הנאשם בתיק בבית המשפט המחוזי איננה בבחינת "עבר פלילי" של הנאשם במובנו הרגיל. אך יש בהבנת התנהלותו של הנאשם בתקופה הרלוונטית, לרבות לאחר שהוגש נגדו כתב האישום בתיק שבפניי, כדי להדגיש את העובדה, שלא מדובר במי שעשה מאמץ להשתקם או להיטיב את דרכיו, וכן להבין את הצורך המיוחד הקיים בהרתעת היחיד.</w:t>
      </w:r>
    </w:p>
    <w:p w14:paraId="6538A204" w14:textId="77777777" w:rsidR="00383D76" w:rsidRDefault="00383D76" w:rsidP="00383D76">
      <w:pPr>
        <w:pStyle w:val="ListParagraph"/>
        <w:spacing w:line="360" w:lineRule="auto"/>
        <w:jc w:val="both"/>
        <w:rPr>
          <w:rFonts w:ascii="David" w:hAnsi="David" w:cs="David"/>
          <w:sz w:val="24"/>
          <w:szCs w:val="24"/>
          <w:rtl/>
        </w:rPr>
      </w:pPr>
    </w:p>
    <w:p w14:paraId="48AC5D7A"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בשולי הדברים אציין, כי הבנת המעשה בו הורשע הנאשם בהקשר הכולל של חייו ושל התנהגותו בתקופה הרלוונטית יכולה הייתה בהחלט להיות גם נתון אותו בוחן בית המשפט בקביעת מתחם הענישה ובהערכת מידת אשמו של הנאשם. היות עבירה מסוימת בה הורשע נאשם אחת מיני רבות אותן הנאשם עבר כלפי אותו קורבן (למשל במקרה של עבירות אלימות במשפחה), חלק משגרת חייו או עיסוקו יכולה להיות רלוונטית בהקשר זה. כך, לעומת מצב שבו מדובר בעבירה בודדת וחריגה בנוף חייו של הנאשם, שנעברה על רקע נקודתי וחד פעמי. ההבדל בין המצבים יכול בנסיבות מסוימות ללמד על </w:t>
      </w:r>
      <w:r>
        <w:rPr>
          <w:rFonts w:ascii="David" w:hAnsi="David" w:cs="David"/>
          <w:b/>
          <w:bCs/>
          <w:sz w:val="24"/>
          <w:szCs w:val="24"/>
          <w:rtl/>
        </w:rPr>
        <w:t xml:space="preserve">מידת האשם </w:t>
      </w:r>
      <w:r>
        <w:rPr>
          <w:rFonts w:ascii="David" w:hAnsi="David" w:cs="David"/>
          <w:sz w:val="24"/>
          <w:szCs w:val="24"/>
          <w:rtl/>
        </w:rPr>
        <w:t>וכן להיחשב כ</w:t>
      </w:r>
      <w:r>
        <w:rPr>
          <w:rFonts w:ascii="David" w:hAnsi="David" w:cs="David"/>
          <w:b/>
          <w:bCs/>
          <w:sz w:val="24"/>
          <w:szCs w:val="24"/>
          <w:rtl/>
        </w:rPr>
        <w:t xml:space="preserve">נסיבה הקשורה בביצוע העבירה </w:t>
      </w:r>
      <w:r>
        <w:rPr>
          <w:rFonts w:ascii="David" w:hAnsi="David" w:cs="David"/>
          <w:sz w:val="24"/>
          <w:szCs w:val="24"/>
          <w:rtl/>
        </w:rPr>
        <w:t>או חלק מ</w:t>
      </w:r>
      <w:r>
        <w:rPr>
          <w:rFonts w:ascii="David" w:hAnsi="David" w:cs="David"/>
          <w:b/>
          <w:bCs/>
          <w:sz w:val="24"/>
          <w:szCs w:val="24"/>
          <w:rtl/>
        </w:rPr>
        <w:t xml:space="preserve">הרקע שהוביל לביצוע העבירה </w:t>
      </w:r>
      <w:r>
        <w:rPr>
          <w:rFonts w:ascii="David" w:hAnsi="David" w:cs="David"/>
          <w:sz w:val="24"/>
          <w:szCs w:val="24"/>
          <w:rtl/>
        </w:rPr>
        <w:t>ומבחינה זו להשפיע גם על עצם קביעת מתחם הענישה ולא רק על מיקום בתוך המתחם.</w:t>
      </w:r>
    </w:p>
    <w:p w14:paraId="178AEBFD"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 xml:space="preserve">במקרה שבפניי, המאשימה לא העלתה טיעון זה ונושא זה לא לובן בדיון ועל כן בית המשפט לא יחמיר עם הנאשם מעבר לעתירת המאשימה ולא התחשב בנתון זה בקביעת מתחם העונש. </w:t>
      </w:r>
    </w:p>
    <w:p w14:paraId="478BF425" w14:textId="77777777" w:rsidR="00383D76" w:rsidRDefault="00383D76" w:rsidP="00383D76">
      <w:pPr>
        <w:pStyle w:val="ListParagraph"/>
        <w:spacing w:line="360" w:lineRule="auto"/>
        <w:jc w:val="both"/>
        <w:rPr>
          <w:rFonts w:ascii="David" w:hAnsi="David" w:cs="David"/>
          <w:sz w:val="24"/>
          <w:szCs w:val="24"/>
          <w:rtl/>
        </w:rPr>
      </w:pPr>
    </w:p>
    <w:p w14:paraId="5F2201DC" w14:textId="77777777" w:rsidR="00383D76" w:rsidRPr="00383D76" w:rsidRDefault="00383D76" w:rsidP="00383D76">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בנסיבות המפורטות לעיל, מן הראוי היה לקבוע את עונשו של הנאשם בשליש העליון של מתחם הענישה. עתירת המאשימה פחותה מכך ובית המשפט לא יחמיר מעבר לעתירת המאשימה.</w:t>
      </w:r>
    </w:p>
    <w:p w14:paraId="36AE4DA2" w14:textId="77777777" w:rsidR="00383D76" w:rsidRDefault="00383D76" w:rsidP="00383D76">
      <w:pPr>
        <w:pStyle w:val="ListParagraph"/>
        <w:spacing w:line="360" w:lineRule="auto"/>
        <w:jc w:val="both"/>
        <w:rPr>
          <w:rFonts w:ascii="David" w:hAnsi="David" w:cs="David"/>
          <w:sz w:val="24"/>
          <w:szCs w:val="24"/>
        </w:rPr>
      </w:pPr>
    </w:p>
    <w:p w14:paraId="57E50B3A" w14:textId="77777777" w:rsidR="00383D76" w:rsidRDefault="00383D76" w:rsidP="00383D76">
      <w:pPr>
        <w:pStyle w:val="ListParagraph"/>
        <w:numPr>
          <w:ilvl w:val="0"/>
          <w:numId w:val="2"/>
        </w:numPr>
        <w:spacing w:line="360" w:lineRule="auto"/>
        <w:jc w:val="both"/>
        <w:rPr>
          <w:rFonts w:ascii="David" w:hAnsi="David" w:cs="David"/>
          <w:sz w:val="24"/>
          <w:szCs w:val="24"/>
        </w:rPr>
      </w:pPr>
      <w:r>
        <w:rPr>
          <w:rFonts w:ascii="David" w:hAnsi="David" w:cs="David"/>
          <w:sz w:val="24"/>
          <w:szCs w:val="24"/>
          <w:rtl/>
        </w:rPr>
        <w:t xml:space="preserve">בשאלת הצטברות העונשים, </w:t>
      </w:r>
      <w:hyperlink r:id="rId43" w:history="1">
        <w:r w:rsidR="007F6983" w:rsidRPr="007F6983">
          <w:rPr>
            <w:rStyle w:val="Hyperlink"/>
            <w:rFonts w:ascii="David" w:hAnsi="David" w:cs="David"/>
            <w:sz w:val="24"/>
            <w:szCs w:val="24"/>
            <w:rtl/>
          </w:rPr>
          <w:t>סעיף 45(ב)</w:t>
        </w:r>
      </w:hyperlink>
      <w:r>
        <w:rPr>
          <w:rFonts w:ascii="David" w:hAnsi="David" w:cs="David"/>
          <w:sz w:val="24"/>
          <w:szCs w:val="24"/>
          <w:rtl/>
        </w:rPr>
        <w:t xml:space="preserve"> ל</w:t>
      </w:r>
      <w:hyperlink r:id="rId44" w:history="1">
        <w:r w:rsidR="00630959" w:rsidRPr="00630959">
          <w:rPr>
            <w:rFonts w:ascii="David" w:hAnsi="David" w:cs="David"/>
            <w:color w:val="0000FF"/>
            <w:sz w:val="24"/>
            <w:szCs w:val="24"/>
            <w:u w:val="single"/>
            <w:rtl/>
          </w:rPr>
          <w:t>חוק העונשין</w:t>
        </w:r>
      </w:hyperlink>
      <w:r>
        <w:rPr>
          <w:rFonts w:ascii="David" w:hAnsi="David" w:cs="David"/>
          <w:sz w:val="24"/>
          <w:szCs w:val="24"/>
          <w:rtl/>
        </w:rPr>
        <w:t xml:space="preserve"> קובע:</w:t>
      </w:r>
    </w:p>
    <w:p w14:paraId="08ECA5F0" w14:textId="77777777" w:rsidR="00383D76" w:rsidRDefault="00383D76" w:rsidP="00383D76">
      <w:pPr>
        <w:pStyle w:val="ListParagraph"/>
        <w:tabs>
          <w:tab w:val="left" w:pos="7597"/>
        </w:tabs>
        <w:spacing w:line="360" w:lineRule="auto"/>
        <w:ind w:left="1218" w:right="567"/>
        <w:jc w:val="both"/>
        <w:rPr>
          <w:rFonts w:ascii="David" w:hAnsi="David" w:cs="David"/>
          <w:b/>
          <w:bCs/>
          <w:sz w:val="24"/>
          <w:szCs w:val="24"/>
        </w:rPr>
      </w:pPr>
    </w:p>
    <w:p w14:paraId="79A690F2" w14:textId="77777777" w:rsidR="00383D76" w:rsidRDefault="00383D76" w:rsidP="00383D76">
      <w:pPr>
        <w:pStyle w:val="ListParagraph"/>
        <w:tabs>
          <w:tab w:val="left" w:pos="7597"/>
        </w:tabs>
        <w:spacing w:line="360" w:lineRule="auto"/>
        <w:ind w:left="1218" w:right="567"/>
        <w:jc w:val="both"/>
        <w:rPr>
          <w:rFonts w:ascii="David" w:hAnsi="David" w:cs="David"/>
          <w:b/>
          <w:bCs/>
          <w:sz w:val="24"/>
          <w:szCs w:val="24"/>
          <w:rtl/>
        </w:rPr>
      </w:pPr>
      <w:r>
        <w:rPr>
          <w:rFonts w:ascii="David" w:hAnsi="David" w:cs="David"/>
          <w:b/>
          <w:bCs/>
          <w:sz w:val="24"/>
          <w:szCs w:val="24"/>
          <w:rtl/>
        </w:rPr>
        <w:t>"מי שנידון למאסר ולפני שנשא כל ענשו חזר ונידון למאסר, ובית המשפט שדן אותו באחרונה לא הורה שישא את ענשי המאסר, כולם או מקצתם, בזה אחר זה, לא ישא אלא עונש מאסר אחד והוא של התקופה הארוכה ביותר</w:t>
      </w:r>
      <w:r>
        <w:rPr>
          <w:rFonts w:ascii="David" w:hAnsi="David" w:cs="David"/>
          <w:b/>
          <w:bCs/>
          <w:sz w:val="24"/>
          <w:szCs w:val="24"/>
        </w:rPr>
        <w:t>.</w:t>
      </w:r>
      <w:r>
        <w:rPr>
          <w:rFonts w:ascii="David" w:hAnsi="David" w:cs="David"/>
          <w:b/>
          <w:bCs/>
          <w:sz w:val="24"/>
          <w:szCs w:val="24"/>
          <w:rtl/>
        </w:rPr>
        <w:t>"</w:t>
      </w:r>
    </w:p>
    <w:p w14:paraId="06138CED" w14:textId="77777777" w:rsidR="00383D76" w:rsidRDefault="00383D76" w:rsidP="00383D76">
      <w:pPr>
        <w:pStyle w:val="ListParagraph"/>
        <w:spacing w:line="360" w:lineRule="auto"/>
        <w:ind w:left="1440" w:right="851"/>
        <w:jc w:val="both"/>
        <w:rPr>
          <w:rFonts w:ascii="David" w:hAnsi="David" w:cs="David"/>
          <w:b/>
          <w:bCs/>
          <w:sz w:val="24"/>
          <w:szCs w:val="24"/>
          <w:rtl/>
        </w:rPr>
      </w:pPr>
    </w:p>
    <w:p w14:paraId="37122110"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 xml:space="preserve">על פי לשון החוק, נקודת המוצא בהיעדר קביעה שיפוטית אחרת, היא כי עונשי מאסר ירוצו בחפיפה. לעניין פרשנות </w:t>
      </w:r>
      <w:hyperlink r:id="rId45" w:history="1">
        <w:r w:rsidR="007F6983" w:rsidRPr="007F6983">
          <w:rPr>
            <w:rStyle w:val="Hyperlink"/>
            <w:rFonts w:ascii="David" w:hAnsi="David" w:cs="David"/>
            <w:sz w:val="24"/>
            <w:szCs w:val="24"/>
            <w:rtl/>
          </w:rPr>
          <w:t>סעיף 45(ב)</w:t>
        </w:r>
      </w:hyperlink>
      <w:r>
        <w:rPr>
          <w:rFonts w:ascii="David" w:hAnsi="David" w:cs="David"/>
          <w:sz w:val="24"/>
          <w:szCs w:val="24"/>
          <w:rtl/>
        </w:rPr>
        <w:t xml:space="preserve"> לאחר תיקון 113, ראו ב</w:t>
      </w:r>
      <w:hyperlink r:id="rId46" w:history="1">
        <w:r w:rsidR="00630959" w:rsidRPr="00630959">
          <w:rPr>
            <w:rFonts w:ascii="David" w:hAnsi="David" w:cs="David"/>
            <w:color w:val="0000FF"/>
            <w:sz w:val="24"/>
            <w:szCs w:val="24"/>
            <w:u w:val="single"/>
            <w:rtl/>
          </w:rPr>
          <w:t>ע"פ 7907/14</w:t>
        </w:r>
      </w:hyperlink>
      <w:r>
        <w:rPr>
          <w:rFonts w:ascii="David" w:hAnsi="David" w:cs="David"/>
          <w:sz w:val="24"/>
          <w:szCs w:val="24"/>
          <w:rtl/>
        </w:rPr>
        <w:t xml:space="preserve"> </w:t>
      </w:r>
      <w:r>
        <w:rPr>
          <w:rFonts w:ascii="David" w:hAnsi="David" w:cs="David"/>
          <w:b/>
          <w:bCs/>
          <w:sz w:val="24"/>
          <w:szCs w:val="24"/>
          <w:rtl/>
        </w:rPr>
        <w:t>ואזנה נ' מדינת ישראל</w:t>
      </w:r>
      <w:r w:rsidR="003A2FA8">
        <w:rPr>
          <w:rFonts w:ascii="David" w:hAnsi="David" w:cs="David" w:hint="cs"/>
          <w:b/>
          <w:bCs/>
          <w:sz w:val="24"/>
          <w:szCs w:val="24"/>
          <w:rtl/>
        </w:rPr>
        <w:t xml:space="preserve"> </w:t>
      </w:r>
      <w:r w:rsidR="003A2FA8">
        <w:rPr>
          <w:rFonts w:ascii="David" w:hAnsi="David" w:cs="David"/>
          <w:b/>
          <w:bCs/>
          <w:sz w:val="24"/>
          <w:szCs w:val="24"/>
          <w:rtl/>
        </w:rPr>
        <w:t>[נבו]</w:t>
      </w:r>
      <w:r>
        <w:rPr>
          <w:rFonts w:ascii="David" w:hAnsi="David" w:cs="David"/>
          <w:sz w:val="24"/>
          <w:szCs w:val="24"/>
          <w:rtl/>
        </w:rPr>
        <w:t>:</w:t>
      </w:r>
    </w:p>
    <w:p w14:paraId="4D8B28CC" w14:textId="77777777" w:rsidR="00383D76" w:rsidRDefault="00383D76" w:rsidP="00383D76">
      <w:pPr>
        <w:pStyle w:val="ListParagraph"/>
        <w:tabs>
          <w:tab w:val="left" w:pos="7597"/>
        </w:tabs>
        <w:spacing w:line="360" w:lineRule="auto"/>
        <w:ind w:left="1218" w:right="709"/>
        <w:jc w:val="both"/>
        <w:rPr>
          <w:rFonts w:ascii="David" w:hAnsi="David" w:cs="David"/>
          <w:b/>
          <w:bCs/>
          <w:sz w:val="24"/>
          <w:szCs w:val="24"/>
          <w:rtl/>
        </w:rPr>
      </w:pPr>
      <w:r>
        <w:rPr>
          <w:rFonts w:ascii="David" w:hAnsi="David" w:cs="David"/>
          <w:b/>
          <w:bCs/>
          <w:sz w:val="24"/>
          <w:szCs w:val="24"/>
          <w:rtl/>
        </w:rPr>
        <w:t>"ההסדרים הנורמטיביים בסוגיה זו עברו בשנים האחרונות שינוי מובהק לכיוון של התרחקות מתפיסה - פרשנית או מהותית - של עונשים חופפים כברירת מחדל, והענקת מעמד בכורה לתפיסה הבוחנת אירועים עברייניים נפרדים כל אחד בפני עצמו, תוך הפעלת שיקול דעת פרטני באספקלריה של עקרון ההלימה, אשר נקבע כעקרון המנחה בענישה (סעיף 40ב ל</w:t>
      </w:r>
      <w:hyperlink r:id="rId47" w:history="1">
        <w:r w:rsidR="00630959" w:rsidRPr="00630959">
          <w:rPr>
            <w:rFonts w:ascii="David" w:hAnsi="David" w:cs="David"/>
            <w:b/>
            <w:bCs/>
            <w:color w:val="0000FF"/>
            <w:sz w:val="24"/>
            <w:szCs w:val="24"/>
            <w:u w:val="single"/>
            <w:rtl/>
          </w:rPr>
          <w:t>חוק העונשין</w:t>
        </w:r>
      </w:hyperlink>
      <w:r>
        <w:rPr>
          <w:rFonts w:ascii="David" w:hAnsi="David" w:cs="David"/>
          <w:b/>
          <w:bCs/>
          <w:sz w:val="24"/>
          <w:szCs w:val="24"/>
          <w:rtl/>
        </w:rPr>
        <w:t>)".</w:t>
      </w:r>
    </w:p>
    <w:p w14:paraId="6EA8E69C" w14:textId="77777777" w:rsidR="00383D76" w:rsidRDefault="00383D76" w:rsidP="00383D76">
      <w:pPr>
        <w:spacing w:line="360" w:lineRule="auto"/>
        <w:ind w:right="851" w:firstLine="720"/>
        <w:jc w:val="both"/>
        <w:rPr>
          <w:rFonts w:ascii="David" w:hAnsi="David"/>
          <w:rtl/>
        </w:rPr>
      </w:pPr>
      <w:r>
        <w:rPr>
          <w:rFonts w:ascii="David" w:hAnsi="David"/>
          <w:rtl/>
        </w:rPr>
        <w:t>וכן:</w:t>
      </w:r>
    </w:p>
    <w:p w14:paraId="60A3D9F8" w14:textId="77777777" w:rsidR="00383D76" w:rsidRDefault="00383D76" w:rsidP="00383D76">
      <w:pPr>
        <w:pStyle w:val="ListParagraph"/>
        <w:tabs>
          <w:tab w:val="left" w:pos="7597"/>
        </w:tabs>
        <w:spacing w:line="360" w:lineRule="auto"/>
        <w:ind w:left="1218" w:right="709"/>
        <w:jc w:val="both"/>
        <w:rPr>
          <w:rFonts w:ascii="David" w:hAnsi="David" w:cs="David"/>
          <w:b/>
          <w:bCs/>
          <w:sz w:val="24"/>
          <w:szCs w:val="24"/>
          <w:rtl/>
        </w:rPr>
      </w:pPr>
      <w:r>
        <w:rPr>
          <w:rFonts w:ascii="David" w:hAnsi="David" w:cs="David"/>
          <w:b/>
          <w:bCs/>
          <w:sz w:val="24"/>
          <w:szCs w:val="24"/>
          <w:rtl/>
        </w:rPr>
        <w:t>"ההסדר החדש אינו שולל את שיקול דעת בית המשפט לקבוע חפיפת עונשים, אולם עקרון ההלימה, שנקבע כאמור כעקרון המנחה בענישה, מחייב כי לכל מעשה עבירה בגינו הורשע הנאשם יינתן ביטוי הולם בקביעת עונשו, בעיקר כאשר מדובר באירועים נפרדים. במקרים כאלה, חפיפת עונשים אינה מתיישבת לכאורה עם עקרון ההלימה, ובעיקר ככל שמדובר בחפיפה מלאה של עונשים, ומחייבת הנמקה משכנעת".</w:t>
      </w:r>
    </w:p>
    <w:p w14:paraId="08EDDD22" w14:textId="77777777" w:rsidR="00383D76" w:rsidRDefault="00383D76" w:rsidP="00383D76">
      <w:pPr>
        <w:pStyle w:val="ListParagraph"/>
        <w:tabs>
          <w:tab w:val="left" w:pos="7597"/>
        </w:tabs>
        <w:spacing w:line="360" w:lineRule="auto"/>
        <w:ind w:left="1218" w:right="709"/>
        <w:jc w:val="both"/>
        <w:rPr>
          <w:rFonts w:ascii="David" w:hAnsi="David" w:cs="David"/>
          <w:b/>
          <w:bCs/>
          <w:sz w:val="24"/>
          <w:szCs w:val="24"/>
          <w:rtl/>
        </w:rPr>
      </w:pPr>
    </w:p>
    <w:p w14:paraId="28491341" w14:textId="77777777" w:rsidR="00383D76" w:rsidRDefault="00383D76" w:rsidP="00383D76">
      <w:pPr>
        <w:spacing w:line="360" w:lineRule="auto"/>
        <w:ind w:left="793" w:right="142"/>
        <w:jc w:val="both"/>
        <w:rPr>
          <w:rFonts w:ascii="David" w:hAnsi="David"/>
          <w:rtl/>
        </w:rPr>
      </w:pPr>
      <w:r>
        <w:rPr>
          <w:rFonts w:ascii="David" w:hAnsi="David"/>
          <w:rtl/>
        </w:rPr>
        <w:t xml:space="preserve">בבחינת נסיבות המקרה שבפניי, לא מצאתי כי קיימת הנמקה משכנעת לחפיפת העונשים. כתב האישום בעניינו של הנאשם בבית המשפט המחוזי, בגינו הוא החל לרצות כעת עונש מאסר ארוך, הוגש </w:t>
      </w:r>
      <w:r>
        <w:rPr>
          <w:rFonts w:ascii="David" w:hAnsi="David"/>
          <w:b/>
          <w:bCs/>
          <w:rtl/>
        </w:rPr>
        <w:t xml:space="preserve">לאחר </w:t>
      </w:r>
      <w:r>
        <w:rPr>
          <w:rFonts w:ascii="David" w:hAnsi="David"/>
          <w:rtl/>
        </w:rPr>
        <w:t>מועד הגשת כתב האישום בתיק שבפניי. משכך, טענת ההגנה כי המדינה יכולה הייתה להגיש כתב אישום מאוחד, אינה יכולה להתקבל.</w:t>
      </w:r>
    </w:p>
    <w:p w14:paraId="16747D68" w14:textId="77777777" w:rsidR="00383D76" w:rsidRDefault="00383D76" w:rsidP="00383D76">
      <w:pPr>
        <w:spacing w:line="360" w:lineRule="auto"/>
        <w:ind w:left="793" w:right="142"/>
        <w:jc w:val="both"/>
        <w:rPr>
          <w:rFonts w:ascii="David" w:hAnsi="David"/>
          <w:rtl/>
        </w:rPr>
      </w:pPr>
      <w:r>
        <w:rPr>
          <w:rFonts w:ascii="David" w:hAnsi="David"/>
          <w:rtl/>
        </w:rPr>
        <w:t>לעומת זאת, הנאשם עצמו, אשר הורשע בבית המשפט המחוזי על פי הודאתו בכתב אישום מתוקן יכול היה לבקש ולצרף תיק זה לתיק בו הורשע בבית המשפט המחוזי, לו חפץ בכך. במקרה שכזה, גם ניתן היה לזקוף לזכותו את ההודאה ונטילת האחריות ואת החיסכון בזמן השיפוטי – דבר שכאמור לא ניתן לזקוף לזכותו כעת לאחר שניהל את משפטו עד תום.</w:t>
      </w:r>
    </w:p>
    <w:p w14:paraId="0DFBBBA0" w14:textId="77777777" w:rsidR="00383D76" w:rsidRDefault="00383D76" w:rsidP="00383D76">
      <w:pPr>
        <w:spacing w:line="360" w:lineRule="auto"/>
        <w:ind w:left="793" w:right="142"/>
        <w:jc w:val="both"/>
        <w:rPr>
          <w:rFonts w:ascii="David" w:hAnsi="David"/>
          <w:rtl/>
        </w:rPr>
      </w:pPr>
      <w:r>
        <w:rPr>
          <w:rFonts w:ascii="David" w:hAnsi="David"/>
          <w:rtl/>
        </w:rPr>
        <w:t>הנאשם בחר את דרכו, גם במובן הדיוני של ניהול ההליכים, ולכן איני סבורה כי ניתן כעת לקבל את עתירתו לחפיפת עונשים.</w:t>
      </w:r>
    </w:p>
    <w:p w14:paraId="0D59AF7C" w14:textId="77777777" w:rsidR="00383D76" w:rsidRDefault="00383D76" w:rsidP="00383D76">
      <w:pPr>
        <w:pStyle w:val="ListParagraph"/>
        <w:numPr>
          <w:ilvl w:val="0"/>
          <w:numId w:val="2"/>
        </w:numPr>
        <w:spacing w:line="360" w:lineRule="auto"/>
        <w:jc w:val="both"/>
        <w:rPr>
          <w:rFonts w:ascii="David" w:hAnsi="David" w:cs="David"/>
          <w:sz w:val="24"/>
          <w:szCs w:val="24"/>
          <w:rtl/>
        </w:rPr>
      </w:pPr>
      <w:r>
        <w:rPr>
          <w:rFonts w:ascii="David" w:hAnsi="David" w:cs="David"/>
          <w:sz w:val="24"/>
          <w:szCs w:val="24"/>
          <w:rtl/>
        </w:rPr>
        <w:t xml:space="preserve">אשר לעתירת המאשימה להטיל על הנאשם </w:t>
      </w:r>
      <w:r>
        <w:rPr>
          <w:rFonts w:ascii="David" w:hAnsi="David" w:cs="David"/>
          <w:b/>
          <w:bCs/>
          <w:sz w:val="24"/>
          <w:szCs w:val="24"/>
          <w:rtl/>
        </w:rPr>
        <w:t>קנס</w:t>
      </w:r>
      <w:r>
        <w:rPr>
          <w:rFonts w:ascii="David" w:hAnsi="David" w:cs="David"/>
          <w:sz w:val="24"/>
          <w:szCs w:val="24"/>
          <w:rtl/>
        </w:rPr>
        <w:t xml:space="preserve"> כספי משמעותי, לאחר בחינת הדברים לא מצאתי לנכון לעשות כן. בשונה מיתר רכיבי הענישה, ברכיב הקנס המחוקק הנחה את בית המשפט במפורש להתחשב בעת קביעת מתחם הקנס וכן בעת הטלת קנס בתוך מתחם הקנס, במצבו של הנאשם הקונקרטי.</w:t>
      </w:r>
    </w:p>
    <w:p w14:paraId="44ADF107" w14:textId="77777777" w:rsidR="00383D76" w:rsidRDefault="00383D76" w:rsidP="00383D76">
      <w:pPr>
        <w:pStyle w:val="ListParagraph"/>
        <w:spacing w:line="360" w:lineRule="auto"/>
        <w:jc w:val="both"/>
        <w:rPr>
          <w:rFonts w:ascii="David" w:hAnsi="David" w:cs="David"/>
          <w:sz w:val="24"/>
          <w:szCs w:val="24"/>
        </w:rPr>
      </w:pPr>
      <w:r>
        <w:rPr>
          <w:rFonts w:ascii="David" w:hAnsi="David" w:cs="David"/>
          <w:sz w:val="24"/>
          <w:szCs w:val="24"/>
          <w:rtl/>
        </w:rPr>
        <w:t>על הנאשם שבפניי הוטל לאחרונה קנס בגובה 150,000 ₪, בצד עונש המאסר הארוך. בנסיבות אלה, לא מצאתי לנכון להטיל על הנאשם קנס נוסף.</w:t>
      </w:r>
    </w:p>
    <w:p w14:paraId="6004703C" w14:textId="77777777" w:rsidR="00383D76" w:rsidRDefault="00383D76" w:rsidP="00383D76">
      <w:pPr>
        <w:pStyle w:val="ListParagraph"/>
        <w:spacing w:line="360" w:lineRule="auto"/>
        <w:jc w:val="both"/>
        <w:rPr>
          <w:rFonts w:ascii="David" w:hAnsi="David" w:cs="David"/>
          <w:sz w:val="24"/>
          <w:szCs w:val="24"/>
          <w:rtl/>
        </w:rPr>
      </w:pPr>
    </w:p>
    <w:p w14:paraId="25528DB5" w14:textId="77777777" w:rsidR="00383D76" w:rsidRDefault="00383D76" w:rsidP="00383D76">
      <w:pPr>
        <w:spacing w:line="360" w:lineRule="auto"/>
        <w:jc w:val="both"/>
        <w:rPr>
          <w:rFonts w:ascii="David" w:hAnsi="David"/>
          <w:rtl/>
        </w:rPr>
      </w:pPr>
      <w:r>
        <w:rPr>
          <w:rFonts w:ascii="David" w:hAnsi="David"/>
          <w:b/>
          <w:bCs/>
          <w:u w:val="single"/>
          <w:rtl/>
        </w:rPr>
        <w:t>סוף דבר:</w:t>
      </w:r>
    </w:p>
    <w:p w14:paraId="6B131F69" w14:textId="77777777" w:rsidR="00383D76" w:rsidRDefault="00383D76" w:rsidP="00383D76">
      <w:pPr>
        <w:spacing w:line="360" w:lineRule="auto"/>
        <w:jc w:val="both"/>
        <w:rPr>
          <w:rFonts w:ascii="David" w:hAnsi="David"/>
          <w:rtl/>
        </w:rPr>
      </w:pPr>
    </w:p>
    <w:p w14:paraId="57A8E3FF" w14:textId="77777777" w:rsidR="00383D76" w:rsidRDefault="00383D76" w:rsidP="00383D76">
      <w:pPr>
        <w:pStyle w:val="ListParagraph"/>
        <w:numPr>
          <w:ilvl w:val="0"/>
          <w:numId w:val="2"/>
        </w:numPr>
        <w:jc w:val="both"/>
        <w:rPr>
          <w:rFonts w:ascii="David" w:hAnsi="David" w:cs="David"/>
          <w:sz w:val="24"/>
          <w:szCs w:val="24"/>
          <w:rtl/>
        </w:rPr>
      </w:pPr>
      <w:r>
        <w:rPr>
          <w:rFonts w:ascii="David" w:hAnsi="David" w:cs="David"/>
          <w:sz w:val="24"/>
          <w:szCs w:val="24"/>
          <w:rtl/>
        </w:rPr>
        <w:t xml:space="preserve">לאחר ששקלתי את מכלול השיקולים כמפורט לעיל אני מטילה על הנאשם את העונשים הבאים: </w:t>
      </w:r>
    </w:p>
    <w:p w14:paraId="053F9A5D" w14:textId="77777777" w:rsidR="00383D76" w:rsidRDefault="00383D76" w:rsidP="00383D76">
      <w:pPr>
        <w:pStyle w:val="ListParagraph"/>
        <w:jc w:val="both"/>
        <w:rPr>
          <w:rFonts w:ascii="David" w:hAnsi="David" w:cs="David"/>
          <w:sz w:val="24"/>
          <w:szCs w:val="24"/>
        </w:rPr>
      </w:pPr>
    </w:p>
    <w:p w14:paraId="74118466" w14:textId="77777777" w:rsidR="00383D76" w:rsidRDefault="00383D76" w:rsidP="00383D76">
      <w:pPr>
        <w:pStyle w:val="ListParagraph"/>
        <w:numPr>
          <w:ilvl w:val="0"/>
          <w:numId w:val="5"/>
        </w:numPr>
        <w:spacing w:before="240" w:line="480" w:lineRule="auto"/>
        <w:jc w:val="both"/>
        <w:rPr>
          <w:rFonts w:ascii="David" w:hAnsi="David" w:cs="David"/>
          <w:sz w:val="24"/>
          <w:szCs w:val="24"/>
        </w:rPr>
      </w:pPr>
      <w:r>
        <w:rPr>
          <w:rFonts w:ascii="David" w:hAnsi="David" w:cs="David"/>
          <w:sz w:val="24"/>
          <w:szCs w:val="24"/>
          <w:rtl/>
        </w:rPr>
        <w:t>12 חודשי מאסר בפועל</w:t>
      </w:r>
      <w:r>
        <w:rPr>
          <w:rFonts w:ascii="David" w:hAnsi="David" w:cs="David"/>
          <w:color w:val="000000"/>
          <w:sz w:val="24"/>
          <w:szCs w:val="24"/>
          <w:shd w:val="clear" w:color="auto" w:fill="FFFFFF"/>
          <w:rtl/>
        </w:rPr>
        <w:t xml:space="preserve">, בניכוי ימי מעצרו </w:t>
      </w:r>
      <w:r>
        <w:rPr>
          <w:rFonts w:ascii="David" w:hAnsi="David" w:cs="David"/>
          <w:b/>
          <w:bCs/>
          <w:color w:val="000000"/>
          <w:sz w:val="24"/>
          <w:szCs w:val="24"/>
          <w:shd w:val="clear" w:color="auto" w:fill="FFFFFF"/>
          <w:rtl/>
        </w:rPr>
        <w:t>בתיק זה בלבד</w:t>
      </w:r>
      <w:r>
        <w:rPr>
          <w:rFonts w:ascii="David" w:hAnsi="David" w:cs="David"/>
          <w:color w:val="000000"/>
          <w:sz w:val="24"/>
          <w:szCs w:val="24"/>
          <w:shd w:val="clear" w:color="auto" w:fill="FFFFFF"/>
          <w:rtl/>
        </w:rPr>
        <w:t>, על פי רישומי שב"ס</w:t>
      </w:r>
      <w:r>
        <w:rPr>
          <w:rFonts w:ascii="David" w:hAnsi="David" w:cs="David"/>
          <w:sz w:val="24"/>
          <w:szCs w:val="24"/>
          <w:rtl/>
        </w:rPr>
        <w:t>.</w:t>
      </w:r>
    </w:p>
    <w:p w14:paraId="5F113A1C" w14:textId="77777777" w:rsidR="00383D76" w:rsidRDefault="00383D76" w:rsidP="00383D76">
      <w:pPr>
        <w:pStyle w:val="ListParagraph"/>
        <w:spacing w:before="240" w:line="480" w:lineRule="auto"/>
        <w:ind w:firstLine="360"/>
        <w:jc w:val="both"/>
        <w:rPr>
          <w:rFonts w:ascii="David" w:hAnsi="David" w:cs="David"/>
          <w:sz w:val="24"/>
          <w:szCs w:val="24"/>
        </w:rPr>
      </w:pPr>
      <w:r>
        <w:rPr>
          <w:rFonts w:ascii="David" w:hAnsi="David" w:cs="David"/>
          <w:sz w:val="24"/>
          <w:szCs w:val="24"/>
          <w:rtl/>
        </w:rPr>
        <w:t>עונש זה ירוצה במצטבר לכל עונש אשר מרצה הנאשם היום.</w:t>
      </w:r>
    </w:p>
    <w:p w14:paraId="32EF2428" w14:textId="77777777" w:rsidR="00383D76" w:rsidRDefault="00383D76" w:rsidP="00383D76">
      <w:pPr>
        <w:pStyle w:val="ListParagraph"/>
        <w:numPr>
          <w:ilvl w:val="0"/>
          <w:numId w:val="5"/>
        </w:numPr>
        <w:spacing w:before="240" w:line="480" w:lineRule="auto"/>
        <w:jc w:val="both"/>
        <w:rPr>
          <w:rFonts w:ascii="David" w:hAnsi="David" w:cs="David"/>
          <w:sz w:val="24"/>
          <w:szCs w:val="24"/>
        </w:rPr>
      </w:pPr>
      <w:r>
        <w:rPr>
          <w:rFonts w:ascii="David" w:hAnsi="David" w:cs="David"/>
          <w:sz w:val="24"/>
          <w:szCs w:val="24"/>
          <w:rtl/>
        </w:rPr>
        <w:t xml:space="preserve">מאסר על תנאי לתקופה של 8 חודשים. </w:t>
      </w:r>
    </w:p>
    <w:p w14:paraId="1B4AE029" w14:textId="77777777" w:rsidR="00383D76" w:rsidRDefault="00383D76" w:rsidP="00383D76">
      <w:pPr>
        <w:pStyle w:val="ListParagraph"/>
        <w:spacing w:before="240" w:line="480" w:lineRule="auto"/>
        <w:ind w:left="1080"/>
        <w:jc w:val="both"/>
        <w:rPr>
          <w:rFonts w:ascii="David" w:hAnsi="David" w:cs="David"/>
          <w:sz w:val="24"/>
          <w:szCs w:val="24"/>
        </w:rPr>
      </w:pPr>
      <w:r>
        <w:rPr>
          <w:rFonts w:ascii="David" w:hAnsi="David" w:cs="David"/>
          <w:sz w:val="24"/>
          <w:szCs w:val="24"/>
          <w:rtl/>
        </w:rPr>
        <w:t>המאסר המותנה יופעל אם תוך תקופה של 3 שנים מיום שחרורו, יעבור הנאשם כל עבירת נשק.</w:t>
      </w:r>
    </w:p>
    <w:p w14:paraId="22863F44" w14:textId="77777777" w:rsidR="00383D76" w:rsidRPr="005C4D1B" w:rsidRDefault="00630959" w:rsidP="00383D76">
      <w:pPr>
        <w:shd w:val="clear" w:color="auto" w:fill="FFFFFF"/>
        <w:spacing w:line="360" w:lineRule="atLeast"/>
        <w:jc w:val="both"/>
        <w:rPr>
          <w:rFonts w:cs="Times New Roman"/>
          <w:b/>
          <w:bCs/>
          <w:color w:val="000000"/>
        </w:rPr>
      </w:pPr>
      <w:r w:rsidRPr="00630959">
        <w:rPr>
          <w:rFonts w:ascii="David" w:hAnsi="David"/>
          <w:color w:val="FFFFFF"/>
          <w:sz w:val="2"/>
          <w:szCs w:val="2"/>
          <w:rtl/>
        </w:rPr>
        <w:t>5129371</w:t>
      </w:r>
      <w:r w:rsidR="00383D76">
        <w:rPr>
          <w:rFonts w:ascii="David" w:hAnsi="David"/>
          <w:color w:val="FFFFFF"/>
          <w:sz w:val="2"/>
          <w:szCs w:val="2"/>
          <w:rtl/>
        </w:rPr>
        <w:t>546783</w:t>
      </w:r>
      <w:r w:rsidR="00383D76" w:rsidRPr="005C4D1B">
        <w:rPr>
          <w:rFonts w:ascii="David" w:hAnsi="David"/>
          <w:b/>
          <w:bCs/>
          <w:color w:val="FFFFFF"/>
          <w:rtl/>
        </w:rPr>
        <w:t>1</w:t>
      </w:r>
      <w:r w:rsidR="00383D76" w:rsidRPr="005C4D1B">
        <w:rPr>
          <w:rFonts w:ascii="David" w:hAnsi="David"/>
          <w:b/>
          <w:bCs/>
          <w:color w:val="000000"/>
          <w:rtl/>
        </w:rPr>
        <w:t>זכות ערעור כחוק.</w:t>
      </w:r>
    </w:p>
    <w:p w14:paraId="1335DA4A" w14:textId="77777777" w:rsidR="00383D76" w:rsidRPr="00630959" w:rsidRDefault="00630959" w:rsidP="00383D76">
      <w:pPr>
        <w:rPr>
          <w:rFonts w:ascii="Arial" w:hAnsi="Arial"/>
          <w:b/>
          <w:bCs/>
          <w:color w:val="FFFFFF"/>
          <w:sz w:val="2"/>
          <w:szCs w:val="2"/>
          <w:rtl/>
        </w:rPr>
      </w:pPr>
      <w:r w:rsidRPr="00630959">
        <w:rPr>
          <w:rFonts w:ascii="Arial" w:hAnsi="Arial"/>
          <w:b/>
          <w:bCs/>
          <w:color w:val="FFFFFF"/>
          <w:sz w:val="2"/>
          <w:szCs w:val="2"/>
          <w:rtl/>
        </w:rPr>
        <w:t>54678313</w:t>
      </w:r>
    </w:p>
    <w:p w14:paraId="14040068" w14:textId="77777777" w:rsidR="00383D76" w:rsidRPr="000F2247" w:rsidRDefault="00383D76" w:rsidP="00383D76">
      <w:pPr>
        <w:rPr>
          <w:rFonts w:ascii="Arial" w:hAnsi="Arial"/>
          <w:b/>
          <w:bCs/>
          <w:sz w:val="26"/>
          <w:szCs w:val="26"/>
          <w:rtl/>
        </w:rPr>
      </w:pPr>
    </w:p>
    <w:p w14:paraId="7890601B" w14:textId="77777777" w:rsidR="00383D76" w:rsidRPr="000F2247" w:rsidRDefault="00630959" w:rsidP="00383D7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 אדר תשפ"ה, 10 מרץ 2025, במעמד הצדדים. </w:t>
      </w:r>
      <w:bookmarkEnd w:id="8"/>
      <w:r w:rsidR="00383D76">
        <w:rPr>
          <w:rFonts w:ascii="Arial" w:hAnsi="Arial"/>
          <w:b/>
          <w:bCs/>
          <w:sz w:val="26"/>
          <w:szCs w:val="26"/>
          <w:rtl/>
        </w:rPr>
        <w:tab/>
      </w:r>
      <w:r w:rsidR="00383D76">
        <w:rPr>
          <w:rFonts w:ascii="Arial" w:hAnsi="Arial"/>
          <w:b/>
          <w:bCs/>
          <w:sz w:val="26"/>
          <w:szCs w:val="26"/>
          <w:rtl/>
        </w:rPr>
        <w:tab/>
      </w:r>
      <w:r w:rsidR="00383D76">
        <w:rPr>
          <w:rFonts w:ascii="Arial" w:hAnsi="Arial"/>
          <w:b/>
          <w:bCs/>
          <w:sz w:val="26"/>
          <w:szCs w:val="26"/>
          <w:rtl/>
        </w:rPr>
        <w:tab/>
      </w:r>
      <w:r w:rsidR="00383D76">
        <w:rPr>
          <w:rFonts w:ascii="Arial" w:hAnsi="Arial"/>
          <w:b/>
          <w:bCs/>
          <w:sz w:val="26"/>
          <w:szCs w:val="26"/>
          <w:rtl/>
        </w:rPr>
        <w:tab/>
      </w:r>
      <w:r w:rsidR="00383D76">
        <w:rPr>
          <w:rFonts w:ascii="Arial" w:hAnsi="Arial"/>
          <w:b/>
          <w:bCs/>
          <w:sz w:val="26"/>
          <w:szCs w:val="26"/>
          <w:rtl/>
        </w:rPr>
        <w:tab/>
      </w:r>
      <w:r w:rsidR="00383D76">
        <w:rPr>
          <w:rFonts w:ascii="Arial" w:hAnsi="Arial"/>
          <w:b/>
          <w:bCs/>
          <w:sz w:val="26"/>
          <w:szCs w:val="26"/>
          <w:rtl/>
        </w:rPr>
        <w:tab/>
      </w:r>
      <w:r w:rsidR="00383D76">
        <w:rPr>
          <w:rFonts w:ascii="Arial" w:hAnsi="Arial"/>
          <w:b/>
          <w:bCs/>
          <w:sz w:val="26"/>
          <w:szCs w:val="26"/>
          <w:rtl/>
        </w:rPr>
        <w:tab/>
      </w:r>
      <w:r w:rsidR="00383D76">
        <w:rPr>
          <w:rFonts w:ascii="Arial" w:hAnsi="Arial" w:hint="cs"/>
          <w:b/>
          <w:bCs/>
          <w:sz w:val="26"/>
          <w:szCs w:val="26"/>
          <w:rtl/>
        </w:rPr>
        <w:t xml:space="preserve">         </w:t>
      </w:r>
    </w:p>
    <w:p w14:paraId="55C3F334" w14:textId="77777777" w:rsidR="00383D76" w:rsidRPr="000F2247" w:rsidRDefault="00383D76" w:rsidP="0063095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955F46C" w14:textId="77777777" w:rsidR="00383D76" w:rsidRPr="007F6983" w:rsidRDefault="007F6983" w:rsidP="00383D76">
      <w:pPr>
        <w:jc w:val="center"/>
        <w:rPr>
          <w:rFonts w:ascii="Arial" w:hAnsi="Arial"/>
          <w:b/>
          <w:bCs/>
          <w:color w:val="FFFFFF"/>
          <w:sz w:val="2"/>
          <w:szCs w:val="2"/>
          <w:rtl/>
        </w:rPr>
      </w:pPr>
      <w:r w:rsidRPr="007F6983">
        <w:rPr>
          <w:rFonts w:ascii="Arial" w:hAnsi="Arial"/>
          <w:b/>
          <w:bCs/>
          <w:color w:val="FFFFFF"/>
          <w:sz w:val="2"/>
          <w:szCs w:val="2"/>
          <w:rtl/>
        </w:rPr>
        <w:t>5129371</w:t>
      </w:r>
    </w:p>
    <w:p w14:paraId="518EA79A" w14:textId="77777777" w:rsidR="00630959" w:rsidRDefault="007F6983" w:rsidP="00630959">
      <w:r w:rsidRPr="007F6983">
        <w:rPr>
          <w:rFonts w:ascii="David" w:hAnsi="David"/>
          <w:color w:val="FFFFFF"/>
          <w:sz w:val="2"/>
          <w:szCs w:val="2"/>
          <w:rtl/>
        </w:rPr>
        <w:t>54678313</w:t>
      </w:r>
    </w:p>
    <w:p w14:paraId="68C0AD03" w14:textId="77777777" w:rsidR="00630959" w:rsidRDefault="00630959" w:rsidP="00630959">
      <w:pPr>
        <w:rPr>
          <w:rtl/>
        </w:rPr>
      </w:pPr>
    </w:p>
    <w:p w14:paraId="42BA45C6" w14:textId="77777777" w:rsidR="00630959" w:rsidRDefault="00630959" w:rsidP="00630959">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7F13962A" w14:textId="77777777" w:rsidR="007F6983" w:rsidRPr="007F6983" w:rsidRDefault="007F6983" w:rsidP="007F6983">
      <w:pPr>
        <w:keepNext/>
        <w:rPr>
          <w:rFonts w:ascii="David" w:hAnsi="David"/>
          <w:color w:val="000000"/>
          <w:sz w:val="22"/>
          <w:szCs w:val="22"/>
          <w:rtl/>
        </w:rPr>
      </w:pPr>
    </w:p>
    <w:p w14:paraId="2D74D646" w14:textId="77777777" w:rsidR="007F6983" w:rsidRPr="007F6983" w:rsidRDefault="007F6983" w:rsidP="007F6983">
      <w:pPr>
        <w:keepNext/>
        <w:rPr>
          <w:rFonts w:ascii="David" w:hAnsi="David"/>
          <w:color w:val="000000"/>
          <w:sz w:val="22"/>
          <w:szCs w:val="22"/>
          <w:rtl/>
        </w:rPr>
      </w:pPr>
      <w:r w:rsidRPr="007F6983">
        <w:rPr>
          <w:rFonts w:ascii="David" w:hAnsi="David"/>
          <w:color w:val="000000"/>
          <w:sz w:val="22"/>
          <w:szCs w:val="22"/>
          <w:rtl/>
        </w:rPr>
        <w:t>ענת חולתא 54678313-/</w:t>
      </w:r>
    </w:p>
    <w:p w14:paraId="764D0F92" w14:textId="77777777" w:rsidR="00630959" w:rsidRPr="00630959" w:rsidRDefault="007F6983" w:rsidP="007F6983">
      <w:pPr>
        <w:rPr>
          <w:color w:val="0000FF"/>
          <w:u w:val="single"/>
        </w:rPr>
      </w:pPr>
      <w:r w:rsidRPr="007F6983">
        <w:rPr>
          <w:color w:val="000000"/>
          <w:u w:val="single"/>
          <w:rtl/>
        </w:rPr>
        <w:t>נוסח מסמך זה כפוף לשינויי ניסוח ועריכה</w:t>
      </w:r>
    </w:p>
    <w:sectPr w:rsidR="00630959" w:rsidRPr="00630959" w:rsidSect="007F6983">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3CEFB" w14:textId="77777777" w:rsidR="005E2D6A" w:rsidRDefault="005E2D6A" w:rsidP="009454AF">
      <w:r>
        <w:separator/>
      </w:r>
    </w:p>
  </w:endnote>
  <w:endnote w:type="continuationSeparator" w:id="0">
    <w:p w14:paraId="5909AFF5" w14:textId="77777777" w:rsidR="005E2D6A" w:rsidRDefault="005E2D6A" w:rsidP="00945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42AEB" w14:textId="77777777" w:rsidR="007F6983" w:rsidRDefault="007F6983" w:rsidP="007F69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D2F3D2E" w14:textId="77777777" w:rsidR="009465E5" w:rsidRPr="007F6983" w:rsidRDefault="007F6983" w:rsidP="007F6983">
    <w:pPr>
      <w:pStyle w:val="a5"/>
      <w:pBdr>
        <w:top w:val="single" w:sz="4" w:space="1" w:color="auto"/>
        <w:between w:val="single" w:sz="4" w:space="0" w:color="auto"/>
      </w:pBdr>
      <w:spacing w:after="60"/>
      <w:jc w:val="center"/>
      <w:rPr>
        <w:rFonts w:ascii="FrankRuehl" w:hAnsi="FrankRuehl" w:cs="FrankRuehl"/>
        <w:color w:val="000000"/>
      </w:rPr>
    </w:pPr>
    <w:r w:rsidRPr="007F69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8246A" w14:textId="77777777" w:rsidR="007F6983" w:rsidRDefault="007F6983" w:rsidP="007F69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6736">
      <w:rPr>
        <w:rFonts w:ascii="FrankRuehl" w:hAnsi="FrankRuehl" w:cs="FrankRuehl"/>
        <w:noProof/>
        <w:rtl/>
      </w:rPr>
      <w:t>3</w:t>
    </w:r>
    <w:r>
      <w:rPr>
        <w:rFonts w:ascii="FrankRuehl" w:hAnsi="FrankRuehl" w:cs="FrankRuehl"/>
        <w:rtl/>
      </w:rPr>
      <w:fldChar w:fldCharType="end"/>
    </w:r>
  </w:p>
  <w:p w14:paraId="74F9F01D" w14:textId="77777777" w:rsidR="009465E5" w:rsidRPr="007F6983" w:rsidRDefault="007F6983" w:rsidP="007F6983">
    <w:pPr>
      <w:pStyle w:val="a5"/>
      <w:pBdr>
        <w:top w:val="single" w:sz="4" w:space="1" w:color="auto"/>
        <w:between w:val="single" w:sz="4" w:space="0" w:color="auto"/>
      </w:pBdr>
      <w:spacing w:after="60"/>
      <w:jc w:val="center"/>
      <w:rPr>
        <w:rFonts w:ascii="FrankRuehl" w:hAnsi="FrankRuehl" w:cs="FrankRuehl"/>
        <w:color w:val="000000"/>
      </w:rPr>
    </w:pPr>
    <w:r w:rsidRPr="007F6983">
      <w:rPr>
        <w:rFonts w:ascii="FrankRuehl" w:hAnsi="FrankRuehl" w:cs="FrankRuehl"/>
        <w:color w:val="000000"/>
      </w:rPr>
      <w:pict w14:anchorId="13DCF5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1C183" w14:textId="77777777" w:rsidR="005E2D6A" w:rsidRDefault="005E2D6A" w:rsidP="009454AF">
      <w:r>
        <w:separator/>
      </w:r>
    </w:p>
  </w:footnote>
  <w:footnote w:type="continuationSeparator" w:id="0">
    <w:p w14:paraId="60BE52C4" w14:textId="77777777" w:rsidR="005E2D6A" w:rsidRDefault="005E2D6A" w:rsidP="00945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A2B89" w14:textId="77777777" w:rsidR="00630959" w:rsidRPr="007F6983" w:rsidRDefault="007F6983" w:rsidP="007F69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29566-01-22</w:t>
    </w:r>
    <w:r>
      <w:rPr>
        <w:rFonts w:ascii="David" w:hAnsi="David"/>
        <w:color w:val="000000"/>
        <w:sz w:val="22"/>
        <w:szCs w:val="22"/>
        <w:rtl/>
      </w:rPr>
      <w:tab/>
      <w:t xml:space="preserve"> מדינת ישראל נ' יוליד אבו עגינה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40801" w14:textId="77777777" w:rsidR="00630959" w:rsidRPr="007F6983" w:rsidRDefault="007F6983" w:rsidP="007F69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29566-01-22</w:t>
    </w:r>
    <w:r>
      <w:rPr>
        <w:rFonts w:ascii="David" w:hAnsi="David"/>
        <w:color w:val="000000"/>
        <w:sz w:val="22"/>
        <w:szCs w:val="22"/>
        <w:rtl/>
      </w:rPr>
      <w:tab/>
      <w:t xml:space="preserve"> מדינת ישראל נ' יוליד אבו עגינה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301A22E7"/>
    <w:multiLevelType w:val="hybridMultilevel"/>
    <w:tmpl w:val="ECE83674"/>
    <w:lvl w:ilvl="0" w:tplc="EE34096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FA13211"/>
    <w:multiLevelType w:val="hybridMultilevel"/>
    <w:tmpl w:val="06AC791A"/>
    <w:lvl w:ilvl="0" w:tplc="740C604E">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9D93114"/>
    <w:multiLevelType w:val="hybridMultilevel"/>
    <w:tmpl w:val="5E1CB4C2"/>
    <w:lvl w:ilvl="0" w:tplc="E7D6BB26">
      <w:start w:val="1"/>
      <w:numFmt w:val="decimal"/>
      <w:lvlText w:val="%1."/>
      <w:lvlJc w:val="left"/>
      <w:pPr>
        <w:ind w:left="720" w:hanging="360"/>
      </w:pPr>
      <w:rPr>
        <w:b w:val="0"/>
        <w:bCs w:val="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12C30D7"/>
    <w:multiLevelType w:val="hybridMultilevel"/>
    <w:tmpl w:val="4D1C7874"/>
    <w:lvl w:ilvl="0" w:tplc="6C10172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48031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8999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43817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0725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784556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83D76"/>
    <w:rsid w:val="000B418A"/>
    <w:rsid w:val="00275EAB"/>
    <w:rsid w:val="00383D76"/>
    <w:rsid w:val="003A2FA8"/>
    <w:rsid w:val="003E06E7"/>
    <w:rsid w:val="005B6736"/>
    <w:rsid w:val="005E2D6A"/>
    <w:rsid w:val="005F0CAD"/>
    <w:rsid w:val="00630959"/>
    <w:rsid w:val="007F6983"/>
    <w:rsid w:val="00807283"/>
    <w:rsid w:val="009262CD"/>
    <w:rsid w:val="009454AF"/>
    <w:rsid w:val="009465E5"/>
    <w:rsid w:val="00B52FF6"/>
    <w:rsid w:val="00B92735"/>
    <w:rsid w:val="00C872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72EB0B"/>
  <w15:chartTrackingRefBased/>
  <w15:docId w15:val="{17F8B833-FCC5-43E0-B4EB-40BA1615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3D7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83D76"/>
    <w:pPr>
      <w:tabs>
        <w:tab w:val="center" w:pos="4153"/>
        <w:tab w:val="right" w:pos="8306"/>
      </w:tabs>
    </w:pPr>
  </w:style>
  <w:style w:type="character" w:customStyle="1" w:styleId="a4">
    <w:name w:val="כותרת עליונה תו"/>
    <w:link w:val="a3"/>
    <w:rsid w:val="00383D76"/>
    <w:rPr>
      <w:rFonts w:ascii="Times New Roman" w:eastAsia="Times New Roman" w:hAnsi="Times New Roman" w:cs="David"/>
      <w:sz w:val="24"/>
      <w:szCs w:val="24"/>
    </w:rPr>
  </w:style>
  <w:style w:type="paragraph" w:styleId="a5">
    <w:name w:val="footer"/>
    <w:basedOn w:val="a"/>
    <w:link w:val="a6"/>
    <w:rsid w:val="00383D76"/>
    <w:pPr>
      <w:tabs>
        <w:tab w:val="center" w:pos="4153"/>
        <w:tab w:val="right" w:pos="8306"/>
      </w:tabs>
    </w:pPr>
  </w:style>
  <w:style w:type="character" w:customStyle="1" w:styleId="a6">
    <w:name w:val="כותרת תחתונה תו"/>
    <w:link w:val="a5"/>
    <w:rsid w:val="00383D76"/>
    <w:rPr>
      <w:rFonts w:ascii="Times New Roman" w:eastAsia="Times New Roman" w:hAnsi="Times New Roman" w:cs="David"/>
      <w:sz w:val="24"/>
      <w:szCs w:val="24"/>
    </w:rPr>
  </w:style>
  <w:style w:type="table" w:styleId="a7">
    <w:name w:val="Table Grid"/>
    <w:basedOn w:val="a1"/>
    <w:rsid w:val="00383D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83D76"/>
  </w:style>
  <w:style w:type="character" w:customStyle="1" w:styleId="ListParagraphChar">
    <w:name w:val="List Paragraph Char"/>
    <w:link w:val="ListParagraph"/>
    <w:locked/>
    <w:rsid w:val="00383D76"/>
  </w:style>
  <w:style w:type="paragraph" w:customStyle="1" w:styleId="ListParagraph">
    <w:name w:val="List Paragraph"/>
    <w:basedOn w:val="a"/>
    <w:link w:val="ListParagraphChar"/>
    <w:qFormat/>
    <w:rsid w:val="00383D76"/>
    <w:pPr>
      <w:spacing w:after="160" w:line="256" w:lineRule="auto"/>
      <w:ind w:left="720"/>
      <w:contextualSpacing/>
    </w:pPr>
    <w:rPr>
      <w:rFonts w:ascii="Calibri" w:eastAsia="Calibri" w:hAnsi="Calibri" w:cs="Arial"/>
      <w:sz w:val="22"/>
      <w:szCs w:val="22"/>
    </w:rPr>
  </w:style>
  <w:style w:type="paragraph" w:customStyle="1" w:styleId="Ruller4">
    <w:name w:val="Ruller 4 ממוספר"/>
    <w:basedOn w:val="a"/>
    <w:rsid w:val="00383D76"/>
    <w:pPr>
      <w:numPr>
        <w:numId w:val="1"/>
      </w:numPr>
      <w:overflowPunct w:val="0"/>
      <w:autoSpaceDE w:val="0"/>
      <w:autoSpaceDN w:val="0"/>
      <w:spacing w:line="360" w:lineRule="auto"/>
      <w:jc w:val="both"/>
    </w:pPr>
    <w:rPr>
      <w:rFonts w:ascii="Garamond" w:eastAsia="Calibri" w:hAnsi="Garamond" w:cs="Times New Roman"/>
      <w:spacing w:val="10"/>
    </w:rPr>
  </w:style>
  <w:style w:type="character" w:styleId="Hyperlink">
    <w:name w:val="Hyperlink"/>
    <w:rsid w:val="00383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30630822" TargetMode="External"/><Relationship Id="rId26" Type="http://schemas.openxmlformats.org/officeDocument/2006/relationships/hyperlink" Target="http://www.nevo.co.il/case/5762686" TargetMode="External"/><Relationship Id="rId39" Type="http://schemas.openxmlformats.org/officeDocument/2006/relationships/hyperlink" Target="http://www.nevo.co.il/case/27910054" TargetMode="External"/><Relationship Id="rId21" Type="http://schemas.openxmlformats.org/officeDocument/2006/relationships/hyperlink" Target="http://www.nevo.co.il/case/21662347" TargetMode="External"/><Relationship Id="rId34" Type="http://schemas.openxmlformats.org/officeDocument/2006/relationships/hyperlink" Target="http://www.nevo.co.il/case/25924422"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9738752" TargetMode="External"/><Relationship Id="rId29" Type="http://schemas.openxmlformats.org/officeDocument/2006/relationships/hyperlink" Target="http://www.nevo.co.il/case/27513376" TargetMode="External"/><Relationship Id="rId11" Type="http://schemas.openxmlformats.org/officeDocument/2006/relationships/hyperlink" Target="http://www.nevo.co.il/law/70301/144.c.3" TargetMode="External"/><Relationship Id="rId24" Type="http://schemas.openxmlformats.org/officeDocument/2006/relationships/hyperlink" Target="http://www.nevo.co.il/case/6243500" TargetMode="External"/><Relationship Id="rId32" Type="http://schemas.openxmlformats.org/officeDocument/2006/relationships/hyperlink" Target="http://www.nevo.co.il/law/70301/144.c.3" TargetMode="External"/><Relationship Id="rId37" Type="http://schemas.openxmlformats.org/officeDocument/2006/relationships/hyperlink" Target="http://www.nevo.co.il/case/28926209" TargetMode="External"/><Relationship Id="rId40" Type="http://schemas.openxmlformats.org/officeDocument/2006/relationships/hyperlink" Target="http://www.nevo.co.il/case/29738752" TargetMode="External"/><Relationship Id="rId45" Type="http://schemas.openxmlformats.org/officeDocument/2006/relationships/hyperlink" Target="http://www.nevo.co.il/law/70301/45.b"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144.b2" TargetMode="External"/><Relationship Id="rId19" Type="http://schemas.openxmlformats.org/officeDocument/2006/relationships/hyperlink" Target="http://www.nevo.co.il/case/28010041"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law/70301"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312457" TargetMode="External"/><Relationship Id="rId27" Type="http://schemas.openxmlformats.org/officeDocument/2006/relationships/hyperlink" Target="http://www.nevo.co.il/case/21478852" TargetMode="External"/><Relationship Id="rId30" Type="http://schemas.openxmlformats.org/officeDocument/2006/relationships/hyperlink" Target="http://www.nevo.co.il/law/70301/144.c.3" TargetMode="External"/><Relationship Id="rId35" Type="http://schemas.openxmlformats.org/officeDocument/2006/relationships/hyperlink" Target="http://www.nevo.co.il/case/26025031" TargetMode="External"/><Relationship Id="rId43" Type="http://schemas.openxmlformats.org/officeDocument/2006/relationships/hyperlink" Target="http://www.nevo.co.il/law/70301/45.b"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70301/45.b"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18105668" TargetMode="External"/><Relationship Id="rId46" Type="http://schemas.openxmlformats.org/officeDocument/2006/relationships/hyperlink" Target="http://www.nevo.co.il/case/18654248" TargetMode="External"/><Relationship Id="rId20" Type="http://schemas.openxmlformats.org/officeDocument/2006/relationships/hyperlink" Target="http://www.nevo.co.il/case/21760286" TargetMode="External"/><Relationship Id="rId41" Type="http://schemas.openxmlformats.org/officeDocument/2006/relationships/hyperlink" Target="http://www.nevo.co.il/law/70301/144.b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8010041" TargetMode="External"/><Relationship Id="rId28" Type="http://schemas.openxmlformats.org/officeDocument/2006/relationships/hyperlink" Target="http://www.nevo.co.il/case/33585803" TargetMode="External"/><Relationship Id="rId36" Type="http://schemas.openxmlformats.org/officeDocument/2006/relationships/hyperlink" Target="http://www.nevo.co.il/case/28926193"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4019</Words>
  <Characters>20100</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24071</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3604603</vt:i4>
      </vt:variant>
      <vt:variant>
        <vt:i4>117</vt:i4>
      </vt:variant>
      <vt:variant>
        <vt:i4>0</vt:i4>
      </vt:variant>
      <vt:variant>
        <vt:i4>5</vt:i4>
      </vt:variant>
      <vt:variant>
        <vt:lpwstr>http://www.nevo.co.il/case/18654248</vt:lpwstr>
      </vt:variant>
      <vt:variant>
        <vt:lpwstr/>
      </vt:variant>
      <vt:variant>
        <vt:i4>131151</vt:i4>
      </vt:variant>
      <vt:variant>
        <vt:i4>114</vt:i4>
      </vt:variant>
      <vt:variant>
        <vt:i4>0</vt:i4>
      </vt:variant>
      <vt:variant>
        <vt:i4>5</vt:i4>
      </vt:variant>
      <vt:variant>
        <vt:lpwstr>http://www.nevo.co.il/law/70301/45.b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131151</vt:i4>
      </vt:variant>
      <vt:variant>
        <vt:i4>108</vt:i4>
      </vt:variant>
      <vt:variant>
        <vt:i4>0</vt:i4>
      </vt:variant>
      <vt:variant>
        <vt:i4>5</vt:i4>
      </vt:variant>
      <vt:variant>
        <vt:lpwstr>http://www.nevo.co.il/law/70301/45.b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8192050</vt:i4>
      </vt:variant>
      <vt:variant>
        <vt:i4>102</vt:i4>
      </vt:variant>
      <vt:variant>
        <vt:i4>0</vt:i4>
      </vt:variant>
      <vt:variant>
        <vt:i4>5</vt:i4>
      </vt:variant>
      <vt:variant>
        <vt:lpwstr>http://www.nevo.co.il/law/70301/144.b2</vt:lpwstr>
      </vt:variant>
      <vt:variant>
        <vt:lpwstr/>
      </vt:variant>
      <vt:variant>
        <vt:i4>3670137</vt:i4>
      </vt:variant>
      <vt:variant>
        <vt:i4>99</vt:i4>
      </vt:variant>
      <vt:variant>
        <vt:i4>0</vt:i4>
      </vt:variant>
      <vt:variant>
        <vt:i4>5</vt:i4>
      </vt:variant>
      <vt:variant>
        <vt:lpwstr>http://www.nevo.co.il/case/29738752</vt:lpwstr>
      </vt:variant>
      <vt:variant>
        <vt:lpwstr/>
      </vt:variant>
      <vt:variant>
        <vt:i4>4063346</vt:i4>
      </vt:variant>
      <vt:variant>
        <vt:i4>96</vt:i4>
      </vt:variant>
      <vt:variant>
        <vt:i4>0</vt:i4>
      </vt:variant>
      <vt:variant>
        <vt:i4>5</vt:i4>
      </vt:variant>
      <vt:variant>
        <vt:lpwstr>http://www.nevo.co.il/case/27910054</vt:lpwstr>
      </vt:variant>
      <vt:variant>
        <vt:lpwstr/>
      </vt:variant>
      <vt:variant>
        <vt:i4>3342458</vt:i4>
      </vt:variant>
      <vt:variant>
        <vt:i4>93</vt:i4>
      </vt:variant>
      <vt:variant>
        <vt:i4>0</vt:i4>
      </vt:variant>
      <vt:variant>
        <vt:i4>5</vt:i4>
      </vt:variant>
      <vt:variant>
        <vt:lpwstr>http://www.nevo.co.il/case/18105668</vt:lpwstr>
      </vt:variant>
      <vt:variant>
        <vt:lpwstr/>
      </vt:variant>
      <vt:variant>
        <vt:i4>3997820</vt:i4>
      </vt:variant>
      <vt:variant>
        <vt:i4>90</vt:i4>
      </vt:variant>
      <vt:variant>
        <vt:i4>0</vt:i4>
      </vt:variant>
      <vt:variant>
        <vt:i4>5</vt:i4>
      </vt:variant>
      <vt:variant>
        <vt:lpwstr>http://www.nevo.co.il/case/28926209</vt:lpwstr>
      </vt:variant>
      <vt:variant>
        <vt:lpwstr/>
      </vt:variant>
      <vt:variant>
        <vt:i4>3407999</vt:i4>
      </vt:variant>
      <vt:variant>
        <vt:i4>87</vt:i4>
      </vt:variant>
      <vt:variant>
        <vt:i4>0</vt:i4>
      </vt:variant>
      <vt:variant>
        <vt:i4>5</vt:i4>
      </vt:variant>
      <vt:variant>
        <vt:lpwstr>http://www.nevo.co.il/case/28926193</vt:lpwstr>
      </vt:variant>
      <vt:variant>
        <vt:lpwstr/>
      </vt:variant>
      <vt:variant>
        <vt:i4>3407984</vt:i4>
      </vt:variant>
      <vt:variant>
        <vt:i4>84</vt:i4>
      </vt:variant>
      <vt:variant>
        <vt:i4>0</vt:i4>
      </vt:variant>
      <vt:variant>
        <vt:i4>5</vt:i4>
      </vt:variant>
      <vt:variant>
        <vt:lpwstr>http://www.nevo.co.il/case/26025031</vt:lpwstr>
      </vt:variant>
      <vt:variant>
        <vt:lpwstr/>
      </vt:variant>
      <vt:variant>
        <vt:i4>3997815</vt:i4>
      </vt:variant>
      <vt:variant>
        <vt:i4>81</vt:i4>
      </vt:variant>
      <vt:variant>
        <vt:i4>0</vt:i4>
      </vt:variant>
      <vt:variant>
        <vt:i4>5</vt:i4>
      </vt:variant>
      <vt:variant>
        <vt:lpwstr>http://www.nevo.co.il/case/25924422</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6357043</vt:i4>
      </vt:variant>
      <vt:variant>
        <vt:i4>75</vt:i4>
      </vt:variant>
      <vt:variant>
        <vt:i4>0</vt:i4>
      </vt:variant>
      <vt:variant>
        <vt:i4>5</vt:i4>
      </vt:variant>
      <vt:variant>
        <vt:lpwstr>http://www.nevo.co.il/law/70301/144.c.3</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6357043</vt:i4>
      </vt:variant>
      <vt:variant>
        <vt:i4>69</vt:i4>
      </vt:variant>
      <vt:variant>
        <vt:i4>0</vt:i4>
      </vt:variant>
      <vt:variant>
        <vt:i4>5</vt:i4>
      </vt:variant>
      <vt:variant>
        <vt:lpwstr>http://www.nevo.co.il/law/70301/144.c.3</vt:lpwstr>
      </vt:variant>
      <vt:variant>
        <vt:lpwstr/>
      </vt:variant>
      <vt:variant>
        <vt:i4>3342449</vt:i4>
      </vt:variant>
      <vt:variant>
        <vt:i4>66</vt:i4>
      </vt:variant>
      <vt:variant>
        <vt:i4>0</vt:i4>
      </vt:variant>
      <vt:variant>
        <vt:i4>5</vt:i4>
      </vt:variant>
      <vt:variant>
        <vt:lpwstr>http://www.nevo.co.il/case/27513376</vt:lpwstr>
      </vt:variant>
      <vt:variant>
        <vt:lpwstr/>
      </vt:variant>
      <vt:variant>
        <vt:i4>3342455</vt:i4>
      </vt:variant>
      <vt:variant>
        <vt:i4>63</vt:i4>
      </vt:variant>
      <vt:variant>
        <vt:i4>0</vt:i4>
      </vt:variant>
      <vt:variant>
        <vt:i4>5</vt:i4>
      </vt:variant>
      <vt:variant>
        <vt:lpwstr>http://www.nevo.co.il/case/33585803</vt:lpwstr>
      </vt:variant>
      <vt:variant>
        <vt:lpwstr/>
      </vt:variant>
      <vt:variant>
        <vt:i4>3866746</vt:i4>
      </vt:variant>
      <vt:variant>
        <vt:i4>60</vt:i4>
      </vt:variant>
      <vt:variant>
        <vt:i4>0</vt:i4>
      </vt:variant>
      <vt:variant>
        <vt:i4>5</vt:i4>
      </vt:variant>
      <vt:variant>
        <vt:lpwstr>http://www.nevo.co.il/case/21478852</vt:lpwstr>
      </vt:variant>
      <vt:variant>
        <vt:lpwstr/>
      </vt:variant>
      <vt:variant>
        <vt:i4>3342457</vt:i4>
      </vt:variant>
      <vt:variant>
        <vt:i4>57</vt:i4>
      </vt:variant>
      <vt:variant>
        <vt:i4>0</vt:i4>
      </vt:variant>
      <vt:variant>
        <vt:i4>5</vt:i4>
      </vt:variant>
      <vt:variant>
        <vt:lpwstr>http://www.nevo.co.il/case/5762686</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3604597</vt:i4>
      </vt:variant>
      <vt:variant>
        <vt:i4>51</vt:i4>
      </vt:variant>
      <vt:variant>
        <vt:i4>0</vt:i4>
      </vt:variant>
      <vt:variant>
        <vt:i4>5</vt:i4>
      </vt:variant>
      <vt:variant>
        <vt:lpwstr>http://www.nevo.co.il/case/6243500</vt:lpwstr>
      </vt:variant>
      <vt:variant>
        <vt:lpwstr/>
      </vt:variant>
      <vt:variant>
        <vt:i4>3539069</vt:i4>
      </vt:variant>
      <vt:variant>
        <vt:i4>48</vt:i4>
      </vt:variant>
      <vt:variant>
        <vt:i4>0</vt:i4>
      </vt:variant>
      <vt:variant>
        <vt:i4>5</vt:i4>
      </vt:variant>
      <vt:variant>
        <vt:lpwstr>http://www.nevo.co.il/case/28010041</vt:lpwstr>
      </vt:variant>
      <vt:variant>
        <vt:lpwstr/>
      </vt:variant>
      <vt:variant>
        <vt:i4>3539062</vt:i4>
      </vt:variant>
      <vt:variant>
        <vt:i4>45</vt:i4>
      </vt:variant>
      <vt:variant>
        <vt:i4>0</vt:i4>
      </vt:variant>
      <vt:variant>
        <vt:i4>5</vt:i4>
      </vt:variant>
      <vt:variant>
        <vt:lpwstr>http://www.nevo.co.il/case/27312457</vt:lpwstr>
      </vt:variant>
      <vt:variant>
        <vt:lpwstr/>
      </vt:variant>
      <vt:variant>
        <vt:i4>3276912</vt:i4>
      </vt:variant>
      <vt:variant>
        <vt:i4>42</vt:i4>
      </vt:variant>
      <vt:variant>
        <vt:i4>0</vt:i4>
      </vt:variant>
      <vt:variant>
        <vt:i4>5</vt:i4>
      </vt:variant>
      <vt:variant>
        <vt:lpwstr>http://www.nevo.co.il/case/21662347</vt:lpwstr>
      </vt:variant>
      <vt:variant>
        <vt:lpwstr/>
      </vt:variant>
      <vt:variant>
        <vt:i4>3997809</vt:i4>
      </vt:variant>
      <vt:variant>
        <vt:i4>39</vt:i4>
      </vt:variant>
      <vt:variant>
        <vt:i4>0</vt:i4>
      </vt:variant>
      <vt:variant>
        <vt:i4>5</vt:i4>
      </vt:variant>
      <vt:variant>
        <vt:lpwstr>http://www.nevo.co.il/case/21760286</vt:lpwstr>
      </vt:variant>
      <vt:variant>
        <vt:lpwstr/>
      </vt:variant>
      <vt:variant>
        <vt:i4>3539069</vt:i4>
      </vt:variant>
      <vt:variant>
        <vt:i4>36</vt:i4>
      </vt:variant>
      <vt:variant>
        <vt:i4>0</vt:i4>
      </vt:variant>
      <vt:variant>
        <vt:i4>5</vt:i4>
      </vt:variant>
      <vt:variant>
        <vt:lpwstr>http://www.nevo.co.il/case/28010041</vt:lpwstr>
      </vt:variant>
      <vt:variant>
        <vt:lpwstr/>
      </vt:variant>
      <vt:variant>
        <vt:i4>3604607</vt:i4>
      </vt:variant>
      <vt:variant>
        <vt:i4>33</vt:i4>
      </vt:variant>
      <vt:variant>
        <vt:i4>0</vt:i4>
      </vt:variant>
      <vt:variant>
        <vt:i4>5</vt:i4>
      </vt:variant>
      <vt:variant>
        <vt:lpwstr>http://www.nevo.co.il/case/30630822</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3670137</vt:i4>
      </vt:variant>
      <vt:variant>
        <vt:i4>27</vt:i4>
      </vt:variant>
      <vt:variant>
        <vt:i4>0</vt:i4>
      </vt:variant>
      <vt:variant>
        <vt:i4>5</vt:i4>
      </vt:variant>
      <vt:variant>
        <vt:lpwstr>http://www.nevo.co.il/case/29738752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6357043</vt:i4>
      </vt:variant>
      <vt:variant>
        <vt:i4>12</vt:i4>
      </vt:variant>
      <vt:variant>
        <vt:i4>0</vt:i4>
      </vt:variant>
      <vt:variant>
        <vt:i4>5</vt:i4>
      </vt:variant>
      <vt:variant>
        <vt:lpwstr>http://www.nevo.co.il/law/70301/144.c.3</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131151</vt:i4>
      </vt:variant>
      <vt:variant>
        <vt:i4>3</vt:i4>
      </vt:variant>
      <vt:variant>
        <vt:i4>0</vt:i4>
      </vt:variant>
      <vt:variant>
        <vt:i4>5</vt:i4>
      </vt:variant>
      <vt:variant>
        <vt:lpwstr>http://www.nevo.co.il/law/70301/45.b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29566</vt:lpwstr>
  </property>
  <property fmtid="{D5CDD505-2E9C-101B-9397-08002B2CF9AE}" pid="6" name="NEWPARTB">
    <vt:lpwstr>01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יוליד אבו עגינה </vt:lpwstr>
  </property>
  <property fmtid="{D5CDD505-2E9C-101B-9397-08002B2CF9AE}" pid="10" name="LAWYER">
    <vt:lpwstr>אדר בכר סאסי;מעין ברון;בני גריקו</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20250310</vt:lpwstr>
  </property>
  <property fmtid="{D5CDD505-2E9C-101B-9397-08002B2CF9AE}" pid="14" name="TYPE_N_DATE">
    <vt:lpwstr>38020250310</vt:lpwstr>
  </property>
  <property fmtid="{D5CDD505-2E9C-101B-9397-08002B2CF9AE}" pid="15" name="WORDNUMPAGES">
    <vt:lpwstr>12</vt:lpwstr>
  </property>
  <property fmtid="{D5CDD505-2E9C-101B-9397-08002B2CF9AE}" pid="16" name="TYPE_ABS_DATE">
    <vt:lpwstr>380120250310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29738752:2;30630822;28010041:2;21760286;21662347;27312457;6243500;7791493;5762686;21478852;33585803;27513376;6473037;25924422;26025031;28926193;28926209;18105668;27910054;18654248</vt:lpwstr>
  </property>
  <property fmtid="{D5CDD505-2E9C-101B-9397-08002B2CF9AE}" pid="36" name="LAWLISTTMP1">
    <vt:lpwstr>70301/144.a:2;144.c.3:2;144.b2;045.b:2</vt:lpwstr>
  </property>
  <property fmtid="{D5CDD505-2E9C-101B-9397-08002B2CF9AE}" pid="37" name="NOSE1ID">
    <vt:lpwstr>77</vt:lpwstr>
  </property>
  <property fmtid="{D5CDD505-2E9C-101B-9397-08002B2CF9AE}" pid="38" name="NOSE2ID">
    <vt:lpwstr>1446</vt:lpwstr>
  </property>
  <property fmtid="{D5CDD505-2E9C-101B-9397-08002B2CF9AE}" pid="39" name="NOSE3ID">
    <vt:lpwstr>12553</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החזקת נשק</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20250316</vt:lpwstr>
  </property>
  <property fmtid="{D5CDD505-2E9C-101B-9397-08002B2CF9AE}" pid="71" name="METAKZER">
    <vt:lpwstr>שירי</vt:lpwstr>
  </property>
</Properties>
</file>