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8"/>
        <w:gridCol w:w="3664"/>
        <w:gridCol w:w="99"/>
      </w:tblGrid>
      <w:tr w:rsidR="00D9537E" w:rsidRPr="008B4C03" w14:paraId="416074A1" w14:textId="77777777" w:rsidTr="00A65C80">
        <w:trPr>
          <w:gridAfter w:val="1"/>
          <w:wAfter w:w="99" w:type="dxa"/>
          <w:trHeight w:hRule="exact" w:val="418"/>
          <w:jc w:val="center"/>
        </w:trPr>
        <w:tc>
          <w:tcPr>
            <w:tcW w:w="8721" w:type="dxa"/>
            <w:gridSpan w:val="4"/>
          </w:tcPr>
          <w:p w14:paraId="2BADB0B2" w14:textId="77777777" w:rsidR="00D9537E" w:rsidRPr="008B4C03" w:rsidRDefault="00D9537E" w:rsidP="00A5674A">
            <w:pPr>
              <w:pStyle w:val="a3"/>
              <w:jc w:val="center"/>
              <w:rPr>
                <w:rFonts w:ascii="Tahoma" w:hAnsi="Tahoma" w:cs="Tahoma"/>
                <w:color w:val="000080"/>
                <w:rtl/>
              </w:rPr>
            </w:pPr>
            <w:bookmarkStart w:id="0" w:name="FirstLawyer"/>
            <w:bookmarkStart w:id="1" w:name="LastJudge"/>
            <w:r w:rsidRPr="008B4C03">
              <w:rPr>
                <w:rFonts w:ascii="Tahoma" w:hAnsi="Tahoma" w:cs="Tahoma"/>
                <w:b/>
                <w:bCs/>
                <w:color w:val="000080"/>
                <w:rtl/>
              </w:rPr>
              <w:t>בית משפט השלום בירושלים</w:t>
            </w:r>
          </w:p>
        </w:tc>
      </w:tr>
      <w:tr w:rsidR="00D9537E" w:rsidRPr="008B4C03" w14:paraId="52ADECCA" w14:textId="77777777" w:rsidTr="00A65C80">
        <w:trPr>
          <w:gridAfter w:val="1"/>
          <w:wAfter w:w="99" w:type="dxa"/>
          <w:trHeight w:val="337"/>
          <w:jc w:val="center"/>
        </w:trPr>
        <w:tc>
          <w:tcPr>
            <w:tcW w:w="5057" w:type="dxa"/>
            <w:gridSpan w:val="3"/>
          </w:tcPr>
          <w:p w14:paraId="2C6727C5" w14:textId="77777777" w:rsidR="00D9537E" w:rsidRPr="008B4C03" w:rsidRDefault="00D9537E" w:rsidP="00A5674A">
            <w:pPr>
              <w:rPr>
                <w:rFonts w:cs="FrankRuehl"/>
                <w:sz w:val="28"/>
                <w:szCs w:val="28"/>
                <w:rtl/>
              </w:rPr>
            </w:pPr>
            <w:r w:rsidRPr="008B4C03">
              <w:rPr>
                <w:rFonts w:cs="FrankRuehl"/>
                <w:sz w:val="28"/>
                <w:szCs w:val="28"/>
                <w:rtl/>
              </w:rPr>
              <w:t>ת"פ</w:t>
            </w:r>
            <w:r w:rsidRPr="008B4C03">
              <w:rPr>
                <w:rFonts w:cs="FrankRuehl" w:hint="cs"/>
                <w:sz w:val="28"/>
                <w:szCs w:val="28"/>
                <w:rtl/>
              </w:rPr>
              <w:t xml:space="preserve"> </w:t>
            </w:r>
            <w:r w:rsidRPr="008B4C03">
              <w:rPr>
                <w:rFonts w:cs="FrankRuehl"/>
                <w:sz w:val="28"/>
                <w:szCs w:val="28"/>
                <w:rtl/>
              </w:rPr>
              <w:t>17030-02-22</w:t>
            </w:r>
            <w:r w:rsidRPr="008B4C03">
              <w:rPr>
                <w:rFonts w:cs="FrankRuehl" w:hint="cs"/>
                <w:sz w:val="28"/>
                <w:szCs w:val="28"/>
                <w:rtl/>
              </w:rPr>
              <w:t xml:space="preserve"> </w:t>
            </w:r>
            <w:r w:rsidRPr="008B4C03">
              <w:rPr>
                <w:rFonts w:cs="FrankRuehl"/>
                <w:sz w:val="28"/>
                <w:szCs w:val="28"/>
                <w:rtl/>
              </w:rPr>
              <w:t>מדינת ישראל נ' מקיה(עציר)</w:t>
            </w:r>
          </w:p>
          <w:p w14:paraId="0C6D7DE5" w14:textId="77777777" w:rsidR="00D9537E" w:rsidRPr="008B4C03" w:rsidRDefault="00D9537E" w:rsidP="00A5674A">
            <w:pPr>
              <w:pStyle w:val="a3"/>
              <w:rPr>
                <w:rFonts w:cs="FrankRuehl"/>
                <w:sz w:val="28"/>
                <w:szCs w:val="28"/>
                <w:rtl/>
              </w:rPr>
            </w:pPr>
          </w:p>
        </w:tc>
        <w:tc>
          <w:tcPr>
            <w:tcW w:w="3664" w:type="dxa"/>
          </w:tcPr>
          <w:p w14:paraId="5F837F0D" w14:textId="77777777" w:rsidR="00D9537E" w:rsidRPr="008B4C03" w:rsidRDefault="00D9537E" w:rsidP="00A5674A">
            <w:pPr>
              <w:pStyle w:val="a3"/>
              <w:jc w:val="right"/>
              <w:rPr>
                <w:rFonts w:cs="FrankRuehl"/>
                <w:sz w:val="28"/>
                <w:szCs w:val="28"/>
                <w:rtl/>
              </w:rPr>
            </w:pPr>
          </w:p>
        </w:tc>
      </w:tr>
      <w:tr w:rsidR="00D9537E" w:rsidRPr="008B4C03" w14:paraId="6078B29B" w14:textId="77777777" w:rsidTr="00A65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561DDC4" w14:textId="77777777" w:rsidR="00D9537E" w:rsidRPr="008B4C03" w:rsidRDefault="00D9537E" w:rsidP="00D9537E">
            <w:pPr>
              <w:jc w:val="both"/>
              <w:rPr>
                <w:rFonts w:ascii="Arial" w:hAnsi="Arial" w:cs="FrankRuehl"/>
                <w:sz w:val="28"/>
                <w:szCs w:val="28"/>
              </w:rPr>
            </w:pPr>
            <w:r w:rsidRPr="008B4C03">
              <w:rPr>
                <w:rFonts w:hint="cs"/>
                <w:rtl/>
              </w:rPr>
              <w:t xml:space="preserve"> </w:t>
            </w:r>
            <w:r w:rsidRPr="008B4C03">
              <w:rPr>
                <w:rFonts w:ascii="Arial" w:hAnsi="Arial" w:cs="FrankRuehl" w:hint="cs"/>
                <w:sz w:val="28"/>
                <w:szCs w:val="28"/>
                <w:rtl/>
              </w:rPr>
              <w:t>ב</w:t>
            </w:r>
            <w:r w:rsidRPr="008B4C03">
              <w:rPr>
                <w:rFonts w:ascii="Arial" w:hAnsi="Arial" w:cs="FrankRuehl"/>
                <w:sz w:val="28"/>
                <w:szCs w:val="28"/>
                <w:rtl/>
              </w:rPr>
              <w:t xml:space="preserve">פני </w:t>
            </w:r>
          </w:p>
        </w:tc>
        <w:tc>
          <w:tcPr>
            <w:tcW w:w="7897" w:type="dxa"/>
            <w:gridSpan w:val="4"/>
            <w:tcBorders>
              <w:top w:val="nil"/>
              <w:left w:val="nil"/>
              <w:bottom w:val="nil"/>
              <w:right w:val="nil"/>
            </w:tcBorders>
            <w:shd w:val="clear" w:color="auto" w:fill="auto"/>
          </w:tcPr>
          <w:p w14:paraId="4685A6FB" w14:textId="77777777" w:rsidR="00D9537E" w:rsidRPr="008B4C03" w:rsidRDefault="00D9537E" w:rsidP="00D9537E">
            <w:pPr>
              <w:jc w:val="both"/>
              <w:rPr>
                <w:rFonts w:ascii="Arial" w:hAnsi="Arial" w:cs="FrankRuehl"/>
                <w:sz w:val="28"/>
                <w:szCs w:val="28"/>
                <w:rtl/>
              </w:rPr>
            </w:pPr>
            <w:r w:rsidRPr="008B4C03">
              <w:rPr>
                <w:rFonts w:ascii="Arial" w:hAnsi="Arial" w:cs="FrankRuehl" w:hint="cs"/>
                <w:sz w:val="28"/>
                <w:szCs w:val="28"/>
                <w:rtl/>
              </w:rPr>
              <w:t>כבוד סגן הנשיא ירון מינטקביץ</w:t>
            </w:r>
          </w:p>
          <w:p w14:paraId="1063D1EA" w14:textId="77777777" w:rsidR="00D9537E" w:rsidRPr="008B4C03" w:rsidRDefault="00D9537E" w:rsidP="00D9537E">
            <w:pPr>
              <w:jc w:val="both"/>
              <w:rPr>
                <w:rFonts w:ascii="Arial" w:hAnsi="Arial" w:cs="FrankRuehl"/>
                <w:sz w:val="28"/>
                <w:szCs w:val="28"/>
              </w:rPr>
            </w:pPr>
          </w:p>
        </w:tc>
      </w:tr>
      <w:tr w:rsidR="00D9537E" w:rsidRPr="008B4C03" w14:paraId="6332B78A" w14:textId="77777777" w:rsidTr="00A65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68D1C8" w14:textId="77777777" w:rsidR="00D9537E" w:rsidRPr="008B4C03" w:rsidRDefault="00D9537E" w:rsidP="00D9537E">
            <w:pPr>
              <w:jc w:val="both"/>
              <w:rPr>
                <w:rFonts w:ascii="Arial" w:hAnsi="Arial" w:cs="FrankRuehl"/>
                <w:sz w:val="28"/>
                <w:szCs w:val="28"/>
              </w:rPr>
            </w:pPr>
            <w:bookmarkStart w:id="2" w:name="FirstAppellant"/>
            <w:r w:rsidRPr="008B4C0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D44A797" w14:textId="77777777" w:rsidR="00D9537E" w:rsidRPr="008B4C03" w:rsidRDefault="00D9537E" w:rsidP="00A5674A">
            <w:r w:rsidRPr="008B4C03">
              <w:rPr>
                <w:rFonts w:ascii="Arial" w:hAnsi="Arial" w:cs="FrankRuehl"/>
                <w:sz w:val="28"/>
                <w:szCs w:val="28"/>
                <w:rtl/>
              </w:rPr>
              <w:t>מדינת ישראל</w:t>
            </w:r>
            <w:r w:rsidRPr="008B4C03">
              <w:rPr>
                <w:rFonts w:ascii="Arial" w:hAnsi="Arial" w:cs="FrankRuehl"/>
                <w:sz w:val="28"/>
                <w:szCs w:val="28"/>
                <w:rtl/>
              </w:rPr>
              <w:br/>
            </w:r>
            <w:r w:rsidRPr="008B4C03">
              <w:rPr>
                <w:rFonts w:hint="cs"/>
                <w:rtl/>
              </w:rPr>
              <w:t>ע"י עו"ד עופרי מלצר</w:t>
            </w:r>
          </w:p>
        </w:tc>
        <w:tc>
          <w:tcPr>
            <w:tcW w:w="3771" w:type="dxa"/>
            <w:gridSpan w:val="3"/>
            <w:tcBorders>
              <w:top w:val="nil"/>
              <w:left w:val="nil"/>
              <w:bottom w:val="nil"/>
              <w:right w:val="nil"/>
            </w:tcBorders>
            <w:shd w:val="clear" w:color="auto" w:fill="auto"/>
          </w:tcPr>
          <w:p w14:paraId="4DDE4610" w14:textId="77777777" w:rsidR="00D9537E" w:rsidRPr="008B4C03" w:rsidRDefault="00D9537E" w:rsidP="00D9537E">
            <w:pPr>
              <w:jc w:val="both"/>
              <w:rPr>
                <w:rFonts w:ascii="Arial" w:hAnsi="Arial" w:cs="FrankRuehl"/>
                <w:sz w:val="28"/>
                <w:szCs w:val="28"/>
              </w:rPr>
            </w:pPr>
          </w:p>
        </w:tc>
      </w:tr>
      <w:bookmarkEnd w:id="2"/>
      <w:tr w:rsidR="00D9537E" w:rsidRPr="008B4C03" w14:paraId="1BE151BF" w14:textId="77777777" w:rsidTr="00A65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B82045" w14:textId="77777777" w:rsidR="00D9537E" w:rsidRPr="008B4C03" w:rsidRDefault="00D9537E" w:rsidP="00D9537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1BAC990" w14:textId="77777777" w:rsidR="00D9537E" w:rsidRPr="008B4C03" w:rsidRDefault="00D9537E" w:rsidP="00D9537E">
            <w:pPr>
              <w:jc w:val="both"/>
              <w:rPr>
                <w:rtl/>
              </w:rPr>
            </w:pPr>
          </w:p>
        </w:tc>
        <w:tc>
          <w:tcPr>
            <w:tcW w:w="3771" w:type="dxa"/>
            <w:gridSpan w:val="3"/>
            <w:tcBorders>
              <w:top w:val="nil"/>
              <w:left w:val="nil"/>
              <w:bottom w:val="nil"/>
              <w:right w:val="nil"/>
            </w:tcBorders>
            <w:shd w:val="clear" w:color="auto" w:fill="auto"/>
          </w:tcPr>
          <w:p w14:paraId="05D372A2" w14:textId="77777777" w:rsidR="00D9537E" w:rsidRPr="008B4C03" w:rsidRDefault="00D9537E" w:rsidP="00D9537E">
            <w:pPr>
              <w:jc w:val="right"/>
              <w:rPr>
                <w:rFonts w:ascii="Arial" w:hAnsi="Arial" w:cs="FrankRuehl"/>
                <w:sz w:val="28"/>
                <w:szCs w:val="28"/>
                <w:rtl/>
              </w:rPr>
            </w:pPr>
            <w:r w:rsidRPr="008B4C03">
              <w:rPr>
                <w:rFonts w:ascii="Arial" w:hAnsi="Arial" w:cs="FrankRuehl" w:hint="cs"/>
                <w:sz w:val="28"/>
                <w:szCs w:val="28"/>
                <w:rtl/>
              </w:rPr>
              <w:t>ה</w:t>
            </w:r>
            <w:r w:rsidRPr="008B4C03">
              <w:rPr>
                <w:rFonts w:ascii="Arial" w:hAnsi="Arial" w:cs="FrankRuehl"/>
                <w:sz w:val="28"/>
                <w:szCs w:val="28"/>
                <w:rtl/>
              </w:rPr>
              <w:t>מאשימה</w:t>
            </w:r>
          </w:p>
        </w:tc>
      </w:tr>
      <w:tr w:rsidR="00D9537E" w:rsidRPr="008B4C03" w14:paraId="14BAB5FA" w14:textId="77777777" w:rsidTr="00A65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09DC43" w14:textId="77777777" w:rsidR="00D9537E" w:rsidRPr="008B4C03" w:rsidRDefault="00D9537E" w:rsidP="00D9537E">
            <w:pPr>
              <w:jc w:val="both"/>
              <w:rPr>
                <w:rFonts w:ascii="Arial" w:hAnsi="Arial" w:cs="FrankRuehl"/>
                <w:sz w:val="28"/>
                <w:szCs w:val="28"/>
                <w:rtl/>
              </w:rPr>
            </w:pPr>
          </w:p>
        </w:tc>
        <w:tc>
          <w:tcPr>
            <w:tcW w:w="7897" w:type="dxa"/>
            <w:gridSpan w:val="4"/>
            <w:tcBorders>
              <w:top w:val="nil"/>
              <w:left w:val="nil"/>
              <w:bottom w:val="nil"/>
              <w:right w:val="nil"/>
            </w:tcBorders>
            <w:shd w:val="clear" w:color="auto" w:fill="auto"/>
          </w:tcPr>
          <w:p w14:paraId="4B53C1F1" w14:textId="77777777" w:rsidR="00D9537E" w:rsidRPr="008B4C03" w:rsidRDefault="00D9537E" w:rsidP="00D9537E">
            <w:pPr>
              <w:jc w:val="center"/>
              <w:rPr>
                <w:rFonts w:ascii="Arial" w:hAnsi="Arial" w:cs="FrankRuehl"/>
                <w:b/>
                <w:bCs/>
                <w:sz w:val="28"/>
                <w:szCs w:val="28"/>
                <w:rtl/>
              </w:rPr>
            </w:pPr>
          </w:p>
          <w:p w14:paraId="67441EF4" w14:textId="77777777" w:rsidR="00D9537E" w:rsidRPr="008B4C03" w:rsidRDefault="00D9537E" w:rsidP="00D9537E">
            <w:pPr>
              <w:jc w:val="center"/>
              <w:rPr>
                <w:rFonts w:ascii="Arial" w:hAnsi="Arial" w:cs="FrankRuehl"/>
                <w:b/>
                <w:bCs/>
                <w:sz w:val="28"/>
                <w:szCs w:val="28"/>
                <w:rtl/>
              </w:rPr>
            </w:pPr>
            <w:r w:rsidRPr="008B4C03">
              <w:rPr>
                <w:rFonts w:ascii="Arial" w:hAnsi="Arial" w:cs="FrankRuehl"/>
                <w:b/>
                <w:bCs/>
                <w:sz w:val="28"/>
                <w:szCs w:val="28"/>
                <w:rtl/>
              </w:rPr>
              <w:t>נגד</w:t>
            </w:r>
          </w:p>
          <w:p w14:paraId="3B645FC4" w14:textId="77777777" w:rsidR="00D9537E" w:rsidRPr="008B4C03" w:rsidRDefault="00D9537E" w:rsidP="00D9537E">
            <w:pPr>
              <w:jc w:val="both"/>
              <w:rPr>
                <w:rFonts w:ascii="Arial" w:hAnsi="Arial" w:cs="FrankRuehl"/>
                <w:sz w:val="28"/>
                <w:szCs w:val="28"/>
              </w:rPr>
            </w:pPr>
          </w:p>
        </w:tc>
      </w:tr>
      <w:tr w:rsidR="00D9537E" w:rsidRPr="008B4C03" w14:paraId="246C1BCB" w14:textId="77777777" w:rsidTr="00A65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E3EE24" w14:textId="77777777" w:rsidR="00D9537E" w:rsidRPr="008B4C03" w:rsidRDefault="00D9537E" w:rsidP="00A5674A">
            <w:pPr>
              <w:rPr>
                <w:rFonts w:ascii="Arial" w:hAnsi="Arial" w:cs="FrankRuehl"/>
                <w:sz w:val="28"/>
                <w:szCs w:val="28"/>
                <w:rtl/>
              </w:rPr>
            </w:pPr>
          </w:p>
        </w:tc>
        <w:tc>
          <w:tcPr>
            <w:tcW w:w="4126" w:type="dxa"/>
            <w:tcBorders>
              <w:top w:val="nil"/>
              <w:left w:val="nil"/>
              <w:bottom w:val="nil"/>
              <w:right w:val="nil"/>
            </w:tcBorders>
            <w:shd w:val="clear" w:color="auto" w:fill="auto"/>
          </w:tcPr>
          <w:p w14:paraId="1833CF5F" w14:textId="77777777" w:rsidR="00D9537E" w:rsidRPr="008B4C03" w:rsidRDefault="00D9537E" w:rsidP="00A5674A">
            <w:pPr>
              <w:rPr>
                <w:rtl/>
              </w:rPr>
            </w:pPr>
            <w:r w:rsidRPr="008B4C03">
              <w:rPr>
                <w:rFonts w:ascii="Arial" w:hAnsi="Arial" w:cs="FrankRuehl"/>
                <w:sz w:val="28"/>
                <w:szCs w:val="28"/>
                <w:rtl/>
              </w:rPr>
              <w:t>עלאא מקיה</w:t>
            </w:r>
            <w:r w:rsidRPr="008B4C03">
              <w:rPr>
                <w:rFonts w:ascii="Arial" w:hAnsi="Arial" w:cs="FrankRuehl"/>
                <w:sz w:val="28"/>
                <w:szCs w:val="28"/>
                <w:rtl/>
              </w:rPr>
              <w:br/>
            </w:r>
            <w:r w:rsidRPr="008B4C03">
              <w:rPr>
                <w:rFonts w:hint="cs"/>
                <w:rtl/>
              </w:rPr>
              <w:t>ע"י עוה"ד מוני בן מוחא ואור בן שאנן</w:t>
            </w:r>
          </w:p>
        </w:tc>
        <w:tc>
          <w:tcPr>
            <w:tcW w:w="3771" w:type="dxa"/>
            <w:gridSpan w:val="3"/>
            <w:tcBorders>
              <w:top w:val="nil"/>
              <w:left w:val="nil"/>
              <w:bottom w:val="nil"/>
              <w:right w:val="nil"/>
            </w:tcBorders>
            <w:shd w:val="clear" w:color="auto" w:fill="auto"/>
          </w:tcPr>
          <w:p w14:paraId="16A71F65" w14:textId="77777777" w:rsidR="00D9537E" w:rsidRPr="008B4C03" w:rsidRDefault="00D9537E" w:rsidP="00D9537E">
            <w:pPr>
              <w:jc w:val="right"/>
              <w:rPr>
                <w:rFonts w:ascii="Arial" w:hAnsi="Arial" w:cs="FrankRuehl"/>
                <w:sz w:val="28"/>
                <w:szCs w:val="28"/>
              </w:rPr>
            </w:pPr>
          </w:p>
        </w:tc>
      </w:tr>
      <w:tr w:rsidR="00D9537E" w:rsidRPr="008B4C03" w14:paraId="059299CC" w14:textId="77777777" w:rsidTr="00A65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72F3C4" w14:textId="77777777" w:rsidR="00D9537E" w:rsidRPr="008B4C03" w:rsidRDefault="00D9537E" w:rsidP="00D9537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FE88CE" w14:textId="77777777" w:rsidR="00D9537E" w:rsidRPr="008B4C03" w:rsidRDefault="00D9537E" w:rsidP="00D9537E">
            <w:pPr>
              <w:jc w:val="both"/>
              <w:rPr>
                <w:rtl/>
              </w:rPr>
            </w:pPr>
          </w:p>
        </w:tc>
        <w:tc>
          <w:tcPr>
            <w:tcW w:w="3771" w:type="dxa"/>
            <w:gridSpan w:val="3"/>
            <w:tcBorders>
              <w:top w:val="nil"/>
              <w:left w:val="nil"/>
              <w:bottom w:val="nil"/>
              <w:right w:val="nil"/>
            </w:tcBorders>
            <w:shd w:val="clear" w:color="auto" w:fill="auto"/>
          </w:tcPr>
          <w:p w14:paraId="35D3488A" w14:textId="77777777" w:rsidR="00D9537E" w:rsidRPr="008B4C03" w:rsidRDefault="00D9537E" w:rsidP="00D9537E">
            <w:pPr>
              <w:jc w:val="right"/>
              <w:rPr>
                <w:rFonts w:ascii="Arial" w:hAnsi="Arial" w:cs="FrankRuehl"/>
                <w:sz w:val="28"/>
                <w:szCs w:val="28"/>
              </w:rPr>
            </w:pPr>
            <w:r w:rsidRPr="008B4C03">
              <w:rPr>
                <w:rFonts w:ascii="Arial" w:hAnsi="Arial" w:cs="FrankRuehl" w:hint="cs"/>
                <w:sz w:val="28"/>
                <w:szCs w:val="28"/>
                <w:rtl/>
              </w:rPr>
              <w:t>ה</w:t>
            </w:r>
            <w:r w:rsidRPr="008B4C03">
              <w:rPr>
                <w:rFonts w:ascii="Arial" w:hAnsi="Arial" w:cs="FrankRuehl"/>
                <w:sz w:val="28"/>
                <w:szCs w:val="28"/>
                <w:rtl/>
              </w:rPr>
              <w:t>נאשמים</w:t>
            </w:r>
          </w:p>
        </w:tc>
      </w:tr>
    </w:tbl>
    <w:p w14:paraId="6422DB68" w14:textId="77777777" w:rsidR="00A65C80" w:rsidRDefault="00A65C80" w:rsidP="008B4C03">
      <w:pPr>
        <w:rPr>
          <w:rFonts w:ascii="Arial" w:hAnsi="Arial"/>
          <w:rtl/>
        </w:rPr>
      </w:pPr>
    </w:p>
    <w:p w14:paraId="28481CBE" w14:textId="77777777" w:rsidR="00A65C80" w:rsidRPr="00A65C80" w:rsidRDefault="00A65C80" w:rsidP="00A65C80">
      <w:pPr>
        <w:spacing w:after="120" w:line="240" w:lineRule="exact"/>
        <w:ind w:left="283" w:hanging="283"/>
        <w:jc w:val="both"/>
        <w:rPr>
          <w:rFonts w:ascii="FrankRuehl" w:hAnsi="FrankRuehl" w:cs="FrankRuehl"/>
          <w:rtl/>
        </w:rPr>
      </w:pPr>
    </w:p>
    <w:p w14:paraId="71837771" w14:textId="77777777" w:rsidR="00E155DC" w:rsidRPr="00E155DC" w:rsidRDefault="00E155DC" w:rsidP="00E155DC">
      <w:pPr>
        <w:spacing w:before="120" w:after="120" w:line="240" w:lineRule="exact"/>
        <w:ind w:left="283" w:hanging="283"/>
        <w:jc w:val="both"/>
        <w:rPr>
          <w:rFonts w:ascii="FrankRuehl" w:hAnsi="FrankRuehl" w:cs="FrankRuehl"/>
          <w:rtl/>
        </w:rPr>
      </w:pPr>
    </w:p>
    <w:p w14:paraId="5B8A22C2" w14:textId="77777777" w:rsidR="007A1D70" w:rsidRDefault="007A1D70" w:rsidP="007A1D70">
      <w:pPr>
        <w:rPr>
          <w:rFonts w:ascii="Arial" w:hAnsi="Arial"/>
          <w:rtl/>
        </w:rPr>
      </w:pPr>
      <w:bookmarkStart w:id="3" w:name="LawTable"/>
      <w:bookmarkEnd w:id="3"/>
    </w:p>
    <w:p w14:paraId="5D645E4B" w14:textId="77777777" w:rsidR="007A1D70" w:rsidRPr="007A1D70" w:rsidRDefault="007A1D70" w:rsidP="007A1D70">
      <w:pPr>
        <w:spacing w:before="120" w:after="120" w:line="240" w:lineRule="exact"/>
        <w:ind w:left="283" w:hanging="283"/>
        <w:jc w:val="both"/>
        <w:rPr>
          <w:rFonts w:ascii="FrankRuehl" w:hAnsi="FrankRuehl" w:cs="FrankRuehl"/>
          <w:rtl/>
        </w:rPr>
      </w:pPr>
    </w:p>
    <w:p w14:paraId="6E8239B6" w14:textId="77777777" w:rsidR="007A1D70" w:rsidRPr="007A1D70" w:rsidRDefault="007A1D70" w:rsidP="007A1D70">
      <w:pPr>
        <w:spacing w:before="120" w:after="120" w:line="240" w:lineRule="exact"/>
        <w:ind w:left="283" w:hanging="283"/>
        <w:jc w:val="both"/>
        <w:rPr>
          <w:rFonts w:ascii="FrankRuehl" w:hAnsi="FrankRuehl" w:cs="FrankRuehl"/>
          <w:rtl/>
        </w:rPr>
      </w:pPr>
    </w:p>
    <w:p w14:paraId="14ECEC7D" w14:textId="77777777" w:rsidR="007A1D70" w:rsidRPr="007A1D70" w:rsidRDefault="007A1D70" w:rsidP="007A1D70">
      <w:pPr>
        <w:spacing w:before="120" w:after="120" w:line="240" w:lineRule="exact"/>
        <w:ind w:left="283" w:hanging="283"/>
        <w:jc w:val="both"/>
        <w:rPr>
          <w:rFonts w:ascii="FrankRuehl" w:hAnsi="FrankRuehl" w:cs="FrankRuehl"/>
          <w:rtl/>
        </w:rPr>
      </w:pPr>
      <w:r w:rsidRPr="007A1D70">
        <w:rPr>
          <w:rFonts w:ascii="FrankRuehl" w:hAnsi="FrankRuehl" w:cs="FrankRuehl"/>
          <w:rtl/>
        </w:rPr>
        <w:t xml:space="preserve">חקיקה שאוזכרה: </w:t>
      </w:r>
    </w:p>
    <w:p w14:paraId="60392424" w14:textId="77777777" w:rsidR="007A1D70" w:rsidRPr="007A1D70" w:rsidRDefault="007A1D70" w:rsidP="007A1D70">
      <w:pPr>
        <w:spacing w:before="120" w:after="120" w:line="240" w:lineRule="exact"/>
        <w:ind w:left="283" w:hanging="283"/>
        <w:jc w:val="both"/>
        <w:rPr>
          <w:rFonts w:ascii="FrankRuehl" w:hAnsi="FrankRuehl" w:cs="FrankRuehl"/>
          <w:rtl/>
        </w:rPr>
      </w:pPr>
      <w:hyperlink r:id="rId7" w:history="1">
        <w:r w:rsidRPr="007A1D70">
          <w:rPr>
            <w:rFonts w:ascii="FrankRuehl" w:hAnsi="FrankRuehl" w:cs="FrankRuehl"/>
            <w:color w:val="0000FF"/>
            <w:rtl/>
          </w:rPr>
          <w:t>חוק העונשין, תשל"ז-1977</w:t>
        </w:r>
      </w:hyperlink>
      <w:r w:rsidRPr="007A1D70">
        <w:rPr>
          <w:rFonts w:ascii="FrankRuehl" w:hAnsi="FrankRuehl" w:cs="FrankRuehl"/>
          <w:rtl/>
        </w:rPr>
        <w:t xml:space="preserve">: סע'  </w:t>
      </w:r>
      <w:hyperlink r:id="rId8" w:history="1">
        <w:r w:rsidRPr="007A1D70">
          <w:rPr>
            <w:rFonts w:ascii="FrankRuehl" w:hAnsi="FrankRuehl" w:cs="FrankRuehl"/>
            <w:color w:val="0000FF"/>
            <w:rtl/>
          </w:rPr>
          <w:t>144</w:t>
        </w:r>
      </w:hyperlink>
      <w:r w:rsidRPr="007A1D70">
        <w:rPr>
          <w:rFonts w:ascii="FrankRuehl" w:hAnsi="FrankRuehl" w:cs="FrankRuehl"/>
          <w:rtl/>
        </w:rPr>
        <w:t xml:space="preserve">, </w:t>
      </w:r>
      <w:hyperlink r:id="rId9" w:history="1">
        <w:r w:rsidRPr="007A1D70">
          <w:rPr>
            <w:rFonts w:ascii="FrankRuehl" w:hAnsi="FrankRuehl" w:cs="FrankRuehl"/>
            <w:color w:val="0000FF"/>
            <w:rtl/>
          </w:rPr>
          <w:t>144(ז)</w:t>
        </w:r>
      </w:hyperlink>
      <w:r w:rsidRPr="007A1D70">
        <w:rPr>
          <w:rFonts w:ascii="FrankRuehl" w:hAnsi="FrankRuehl" w:cs="FrankRuehl"/>
          <w:rtl/>
        </w:rPr>
        <w:t xml:space="preserve">, </w:t>
      </w:r>
      <w:hyperlink r:id="rId10" w:history="1">
        <w:r w:rsidRPr="007A1D70">
          <w:rPr>
            <w:rFonts w:ascii="FrankRuehl" w:hAnsi="FrankRuehl" w:cs="FrankRuehl"/>
            <w:color w:val="0000FF"/>
            <w:rtl/>
          </w:rPr>
          <w:t>355</w:t>
        </w:r>
      </w:hyperlink>
      <w:r w:rsidRPr="007A1D70">
        <w:rPr>
          <w:rFonts w:ascii="FrankRuehl" w:hAnsi="FrankRuehl" w:cs="FrankRuehl"/>
          <w:rtl/>
        </w:rPr>
        <w:t xml:space="preserve">, </w:t>
      </w:r>
      <w:hyperlink r:id="rId11" w:history="1">
        <w:r w:rsidRPr="007A1D70">
          <w:rPr>
            <w:rFonts w:ascii="FrankRuehl" w:hAnsi="FrankRuehl" w:cs="FrankRuehl"/>
            <w:color w:val="0000FF"/>
            <w:rtl/>
          </w:rPr>
          <w:t>ח'</w:t>
        </w:r>
      </w:hyperlink>
    </w:p>
    <w:p w14:paraId="0B2C63C8" w14:textId="77777777" w:rsidR="007A1D70" w:rsidRPr="007A1D70" w:rsidRDefault="007A1D70" w:rsidP="007A1D70">
      <w:pPr>
        <w:rPr>
          <w:rFonts w:ascii="Arial" w:hAnsi="Arial"/>
          <w:rtl/>
        </w:rPr>
      </w:pPr>
      <w:bookmarkStart w:id="4" w:name="LawTable_End"/>
      <w:bookmarkEnd w:id="4"/>
    </w:p>
    <w:p w14:paraId="40FC95F2" w14:textId="77777777" w:rsidR="00D9537E" w:rsidRPr="00E155DC" w:rsidRDefault="00D9537E" w:rsidP="00E155D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537E" w14:paraId="431DD794" w14:textId="77777777" w:rsidTr="00D9537E">
        <w:trPr>
          <w:trHeight w:val="355"/>
          <w:jc w:val="center"/>
        </w:trPr>
        <w:tc>
          <w:tcPr>
            <w:tcW w:w="8820" w:type="dxa"/>
            <w:tcBorders>
              <w:top w:val="nil"/>
              <w:left w:val="nil"/>
              <w:bottom w:val="nil"/>
              <w:right w:val="nil"/>
            </w:tcBorders>
            <w:shd w:val="clear" w:color="auto" w:fill="auto"/>
          </w:tcPr>
          <w:p w14:paraId="351137C9" w14:textId="77777777" w:rsidR="008B4C03" w:rsidRPr="008B4C03" w:rsidRDefault="008B4C03" w:rsidP="008B4C03">
            <w:pPr>
              <w:jc w:val="center"/>
              <w:rPr>
                <w:rFonts w:ascii="Arial" w:hAnsi="Arial" w:cs="FrankRuehl"/>
                <w:b/>
                <w:bCs/>
                <w:sz w:val="32"/>
                <w:szCs w:val="32"/>
                <w:u w:val="single"/>
                <w:rtl/>
              </w:rPr>
            </w:pPr>
            <w:bookmarkStart w:id="5" w:name="PsakDin" w:colFirst="0" w:colLast="0"/>
            <w:bookmarkEnd w:id="0"/>
            <w:bookmarkEnd w:id="1"/>
            <w:r w:rsidRPr="008B4C03">
              <w:rPr>
                <w:rFonts w:ascii="Arial" w:hAnsi="Arial" w:cs="FrankRuehl"/>
                <w:b/>
                <w:bCs/>
                <w:sz w:val="32"/>
                <w:szCs w:val="32"/>
                <w:u w:val="single"/>
                <w:rtl/>
              </w:rPr>
              <w:t>גזר דין</w:t>
            </w:r>
          </w:p>
          <w:p w14:paraId="7095EFCF" w14:textId="77777777" w:rsidR="00D9537E" w:rsidRPr="008B4C03" w:rsidRDefault="00D9537E" w:rsidP="008B4C03">
            <w:pPr>
              <w:jc w:val="center"/>
              <w:rPr>
                <w:rFonts w:ascii="Arial" w:hAnsi="Arial" w:cs="FrankRuehl"/>
                <w:bCs/>
                <w:sz w:val="32"/>
                <w:szCs w:val="32"/>
                <w:u w:val="single"/>
                <w:rtl/>
              </w:rPr>
            </w:pPr>
          </w:p>
        </w:tc>
      </w:tr>
      <w:bookmarkEnd w:id="5"/>
    </w:tbl>
    <w:p w14:paraId="6AE41A83" w14:textId="77777777" w:rsidR="00D9537E" w:rsidRPr="00B05847" w:rsidRDefault="00D9537E" w:rsidP="00D9537E">
      <w:pPr>
        <w:rPr>
          <w:rFonts w:ascii="Arial" w:hAnsi="Arial"/>
          <w:rtl/>
        </w:rPr>
      </w:pPr>
    </w:p>
    <w:p w14:paraId="4BD9F3F2" w14:textId="77777777" w:rsidR="00D9537E" w:rsidRPr="005C24DA" w:rsidRDefault="00D9537E" w:rsidP="00D9537E">
      <w:pPr>
        <w:spacing w:after="120" w:line="360" w:lineRule="auto"/>
        <w:jc w:val="both"/>
        <w:rPr>
          <w:rFonts w:ascii="Arial" w:hAnsi="Arial"/>
          <w:b/>
          <w:bCs/>
        </w:rPr>
      </w:pPr>
      <w:r w:rsidRPr="005C24DA">
        <w:rPr>
          <w:rFonts w:ascii="Arial" w:hAnsi="Arial"/>
          <w:b/>
          <w:bCs/>
          <w:rtl/>
        </w:rPr>
        <w:t>רקע</w:t>
      </w:r>
    </w:p>
    <w:p w14:paraId="03707B89" w14:textId="77777777" w:rsidR="00D9537E" w:rsidRPr="005C24DA" w:rsidRDefault="00D9537E" w:rsidP="00D9537E">
      <w:pPr>
        <w:spacing w:after="120" w:line="360" w:lineRule="auto"/>
        <w:jc w:val="both"/>
        <w:rPr>
          <w:rFonts w:ascii="Arial" w:hAnsi="Arial"/>
          <w:rtl/>
        </w:rPr>
      </w:pPr>
      <w:bookmarkStart w:id="6" w:name="ABSTRACT_START"/>
      <w:bookmarkEnd w:id="6"/>
      <w:r w:rsidRPr="005C24DA">
        <w:rPr>
          <w:rFonts w:ascii="Arial" w:hAnsi="Arial"/>
          <w:rtl/>
        </w:rPr>
        <w:t>הנאשם הורשע על פי הודאתו</w:t>
      </w:r>
      <w:r w:rsidRPr="005C24DA">
        <w:rPr>
          <w:rFonts w:ascii="Arial" w:hAnsi="Arial" w:hint="cs"/>
          <w:rtl/>
        </w:rPr>
        <w:t>,</w:t>
      </w:r>
      <w:r>
        <w:rPr>
          <w:rFonts w:ascii="Arial" w:hAnsi="Arial" w:hint="cs"/>
          <w:rtl/>
        </w:rPr>
        <w:t xml:space="preserve"> בהחזקת נשק ותחמושת. על פי עובדות האישום, </w:t>
      </w:r>
      <w:r w:rsidRPr="005C24DA">
        <w:rPr>
          <w:rFonts w:ascii="Arial" w:hAnsi="Arial" w:hint="cs"/>
          <w:rtl/>
        </w:rPr>
        <w:t>בתקופה שקדמה ליום 30.1.22 החזיק בביתו נשק מאולתר דמוי רובה 16</w:t>
      </w:r>
      <w:r w:rsidRPr="005C24DA">
        <w:rPr>
          <w:rFonts w:ascii="Arial" w:hAnsi="Arial" w:hint="cs"/>
          <w:sz w:val="20"/>
          <w:szCs w:val="20"/>
        </w:rPr>
        <w:t>M</w:t>
      </w:r>
      <w:r>
        <w:rPr>
          <w:rFonts w:ascii="Arial" w:hAnsi="Arial" w:hint="cs"/>
          <w:rtl/>
        </w:rPr>
        <w:t>,</w:t>
      </w:r>
      <w:r w:rsidRPr="005C24DA">
        <w:rPr>
          <w:rFonts w:ascii="Arial" w:hAnsi="Arial" w:hint="cs"/>
          <w:rtl/>
        </w:rPr>
        <w:t xml:space="preserve"> אשר הוסב לירי תחמושת חיה</w:t>
      </w:r>
      <w:r>
        <w:rPr>
          <w:rFonts w:ascii="Arial" w:hAnsi="Arial" w:hint="cs"/>
          <w:rtl/>
        </w:rPr>
        <w:t>,</w:t>
      </w:r>
      <w:r w:rsidRPr="005C24DA">
        <w:rPr>
          <w:rFonts w:ascii="Arial" w:hAnsi="Arial" w:hint="cs"/>
          <w:rtl/>
        </w:rPr>
        <w:t xml:space="preserve"> ו</w:t>
      </w:r>
      <w:r>
        <w:rPr>
          <w:rFonts w:ascii="Arial" w:hAnsi="Arial" w:hint="cs"/>
          <w:rtl/>
        </w:rPr>
        <w:t xml:space="preserve">כן </w:t>
      </w:r>
      <w:r w:rsidRPr="005C24DA">
        <w:rPr>
          <w:rFonts w:ascii="Arial" w:hAnsi="Arial" w:hint="cs"/>
          <w:rtl/>
        </w:rPr>
        <w:t>מחסנית טעונה במספר כדורים.</w:t>
      </w:r>
      <w:r>
        <w:rPr>
          <w:rFonts w:ascii="Arial" w:hAnsi="Arial" w:hint="cs"/>
          <w:rtl/>
        </w:rPr>
        <w:t xml:space="preserve"> </w:t>
      </w:r>
    </w:p>
    <w:p w14:paraId="0D3FEA79" w14:textId="77777777" w:rsidR="00D9537E" w:rsidRPr="005C24DA" w:rsidRDefault="00D9537E" w:rsidP="00D9537E">
      <w:pPr>
        <w:spacing w:after="120" w:line="360" w:lineRule="auto"/>
        <w:jc w:val="both"/>
        <w:rPr>
          <w:rFonts w:ascii="Arial" w:hAnsi="Arial"/>
          <w:rtl/>
        </w:rPr>
      </w:pPr>
      <w:bookmarkStart w:id="7" w:name="ABSTRACT_END"/>
      <w:bookmarkEnd w:id="7"/>
      <w:r>
        <w:rPr>
          <w:rFonts w:ascii="Arial" w:hAnsi="Arial" w:hint="cs"/>
          <w:rtl/>
        </w:rPr>
        <w:t xml:space="preserve">כמו כן צוין בכתב האישום, כי </w:t>
      </w:r>
      <w:r w:rsidRPr="005C24DA">
        <w:rPr>
          <w:rFonts w:ascii="Arial" w:hAnsi="Arial" w:hint="cs"/>
          <w:rtl/>
        </w:rPr>
        <w:t>ביום 30.1.22 הגיעו שוטרים לביתו של הנאשם לבצע חיפוש על פי צו, אך הנאשם סירב לפתוח להם את דלת הבית. בעת שניסו השוטרים להכנ</w:t>
      </w:r>
      <w:r>
        <w:rPr>
          <w:rFonts w:ascii="Arial" w:hAnsi="Arial" w:hint="cs"/>
          <w:rtl/>
        </w:rPr>
        <w:t>ס לבית, נזרק הנשק אל מחוץ לחלון, אך לא יוחסה לנאשם עבירה בשל כך.</w:t>
      </w:r>
    </w:p>
    <w:p w14:paraId="6812E42B" w14:textId="77777777" w:rsidR="00D9537E" w:rsidRPr="005C24DA" w:rsidRDefault="00D9537E" w:rsidP="00D9537E">
      <w:pPr>
        <w:spacing w:after="120" w:line="360" w:lineRule="auto"/>
        <w:jc w:val="both"/>
        <w:rPr>
          <w:rFonts w:ascii="Arial" w:hAnsi="Arial"/>
          <w:rtl/>
        </w:rPr>
      </w:pPr>
      <w:r w:rsidRPr="005C24DA">
        <w:rPr>
          <w:rFonts w:ascii="Arial" w:hAnsi="Arial"/>
          <w:b/>
          <w:bCs/>
          <w:rtl/>
        </w:rPr>
        <w:t>טענות הצדדים</w:t>
      </w:r>
    </w:p>
    <w:p w14:paraId="37C83903" w14:textId="77777777" w:rsidR="00D9537E" w:rsidRPr="005C24DA" w:rsidRDefault="00D9537E" w:rsidP="00D9537E">
      <w:pPr>
        <w:spacing w:after="120" w:line="360" w:lineRule="auto"/>
        <w:jc w:val="both"/>
        <w:rPr>
          <w:rFonts w:ascii="Arial" w:hAnsi="Arial"/>
          <w:rtl/>
        </w:rPr>
      </w:pPr>
      <w:r w:rsidRPr="005C24DA">
        <w:rPr>
          <w:rFonts w:ascii="Arial" w:hAnsi="Arial"/>
          <w:rtl/>
        </w:rPr>
        <w:t>ב"כ המאשימה הפנתה לחומ</w:t>
      </w:r>
      <w:r>
        <w:rPr>
          <w:rFonts w:ascii="Arial" w:hAnsi="Arial"/>
          <w:rtl/>
        </w:rPr>
        <w:t>רת המעשים ופגיעתם בערכים מוגנים</w:t>
      </w:r>
      <w:r>
        <w:rPr>
          <w:rFonts w:ascii="Arial" w:hAnsi="Arial" w:hint="cs"/>
          <w:rtl/>
        </w:rPr>
        <w:t xml:space="preserve"> וכן לעונש המזערי שבצד העבירה</w:t>
      </w:r>
      <w:r w:rsidRPr="005C24DA">
        <w:rPr>
          <w:rFonts w:ascii="Arial" w:hAnsi="Arial"/>
          <w:rtl/>
        </w:rPr>
        <w:t xml:space="preserve"> ו</w:t>
      </w:r>
      <w:r>
        <w:rPr>
          <w:rFonts w:ascii="Arial" w:hAnsi="Arial"/>
          <w:rtl/>
        </w:rPr>
        <w:t>ביקשה לקבוע כי מתחם העונש ההולם</w:t>
      </w:r>
      <w:r>
        <w:rPr>
          <w:rFonts w:ascii="Arial" w:hAnsi="Arial" w:hint="cs"/>
          <w:rtl/>
        </w:rPr>
        <w:t xml:space="preserve"> את המקרה</w:t>
      </w:r>
      <w:r w:rsidRPr="005C24DA">
        <w:rPr>
          <w:rFonts w:ascii="Arial" w:hAnsi="Arial"/>
          <w:rtl/>
        </w:rPr>
        <w:t xml:space="preserve"> הוא מאסר לתקופה שבין שנתיים לארבע שנים. לאור נסיבותיו של הנאשם </w:t>
      </w:r>
      <w:r>
        <w:rPr>
          <w:rFonts w:ascii="Arial" w:hAnsi="Arial" w:hint="cs"/>
          <w:rtl/>
        </w:rPr>
        <w:t xml:space="preserve">ובהן עברו הפלילי, </w:t>
      </w:r>
      <w:r w:rsidRPr="005C24DA">
        <w:rPr>
          <w:rFonts w:ascii="Arial" w:hAnsi="Arial"/>
          <w:rtl/>
        </w:rPr>
        <w:t xml:space="preserve">ביקשה להשית עליו עונש </w:t>
      </w:r>
      <w:r>
        <w:rPr>
          <w:rFonts w:ascii="Arial" w:hAnsi="Arial" w:hint="cs"/>
          <w:rtl/>
        </w:rPr>
        <w:t>של 32 חודשי מאסר.</w:t>
      </w:r>
    </w:p>
    <w:p w14:paraId="173FF771" w14:textId="77777777" w:rsidR="00D9537E" w:rsidRPr="00BF2673" w:rsidRDefault="00D9537E" w:rsidP="00D9537E">
      <w:pPr>
        <w:spacing w:after="120" w:line="360" w:lineRule="auto"/>
        <w:jc w:val="both"/>
        <w:rPr>
          <w:rFonts w:ascii="Arial" w:hAnsi="Arial"/>
          <w:rtl/>
        </w:rPr>
      </w:pPr>
      <w:r w:rsidRPr="00BF2673">
        <w:rPr>
          <w:rFonts w:ascii="Arial" w:hAnsi="Arial"/>
          <w:rtl/>
        </w:rPr>
        <w:lastRenderedPageBreak/>
        <w:t xml:space="preserve">ב"כ הנאשם מנגד, </w:t>
      </w:r>
      <w:r w:rsidRPr="00BF2673">
        <w:rPr>
          <w:rFonts w:ascii="Arial" w:hAnsi="Arial" w:hint="cs"/>
          <w:rtl/>
        </w:rPr>
        <w:t>הפנה לכך שמדובר בנשק מאולתר</w:t>
      </w:r>
      <w:r>
        <w:rPr>
          <w:rFonts w:ascii="Arial" w:hAnsi="Arial" w:hint="cs"/>
          <w:rtl/>
        </w:rPr>
        <w:t>,</w:t>
      </w:r>
      <w:r w:rsidRPr="00BF2673">
        <w:rPr>
          <w:rFonts w:ascii="Arial" w:hAnsi="Arial" w:hint="cs"/>
          <w:rtl/>
        </w:rPr>
        <w:t xml:space="preserve"> אשר סכנתו פחותה משל נשק תקני, ולכך שאין אינדיקציה שהנשק היה מוכן לשימוש. עוד טען,  שניתן להטיל חלק מהעונש המזערי כמאסר מותנה ולכך שגם כאשר מעלים רמת ענישה בגין סוג של עבירות, יש לעשות כן באופן הדרגתי. לאור אלה ביקש לקבוע כי מתחם העונש ההולם מתחיל בשנה מאסר ומסתיים בשנתיים או שלוש שנות מאסר.</w:t>
      </w:r>
    </w:p>
    <w:p w14:paraId="0C046B3E" w14:textId="77777777" w:rsidR="00D9537E" w:rsidRPr="00BF2673" w:rsidRDefault="00D9537E" w:rsidP="00D9537E">
      <w:pPr>
        <w:spacing w:after="120" w:line="360" w:lineRule="auto"/>
        <w:jc w:val="both"/>
        <w:rPr>
          <w:rFonts w:ascii="Arial" w:hAnsi="Arial"/>
          <w:rtl/>
        </w:rPr>
      </w:pPr>
      <w:r w:rsidRPr="00BF2673">
        <w:rPr>
          <w:rFonts w:ascii="Arial" w:hAnsi="Arial" w:hint="cs"/>
          <w:rtl/>
        </w:rPr>
        <w:t>לעניין נסיבותיו האישיות של הנאשם הפנה לחלוף הזמן מאז מאסר קודם בו נשא, ולכך שהנאשם נשוי ואב לילדים, ולכך שזו הרשעתו הראשונה בעבירות דומות.</w:t>
      </w:r>
    </w:p>
    <w:p w14:paraId="2092DE0D" w14:textId="77777777" w:rsidR="00D9537E" w:rsidRPr="00BF2673" w:rsidRDefault="00D9537E" w:rsidP="00D9537E">
      <w:pPr>
        <w:spacing w:after="120" w:line="360" w:lineRule="auto"/>
        <w:jc w:val="both"/>
        <w:rPr>
          <w:rFonts w:ascii="Arial" w:hAnsi="Arial"/>
          <w:rtl/>
        </w:rPr>
      </w:pPr>
      <w:r w:rsidRPr="00BF2673">
        <w:rPr>
          <w:rFonts w:ascii="Arial" w:hAnsi="Arial" w:hint="cs"/>
          <w:rtl/>
        </w:rPr>
        <w:t>לאור אלה ביקש להטיל על הנאשם עונש בצידו התחתון של המתחם, או לפחות קרוב לכך.</w:t>
      </w:r>
    </w:p>
    <w:p w14:paraId="3D5D58DD" w14:textId="77777777" w:rsidR="00D9537E" w:rsidRDefault="00D9537E" w:rsidP="00D9537E">
      <w:pPr>
        <w:spacing w:after="120" w:line="360" w:lineRule="auto"/>
        <w:jc w:val="both"/>
        <w:rPr>
          <w:rFonts w:ascii="Arial" w:hAnsi="Arial"/>
          <w:rtl/>
        </w:rPr>
      </w:pPr>
      <w:r w:rsidRPr="00BF2673">
        <w:rPr>
          <w:rFonts w:ascii="Arial" w:hAnsi="Arial" w:hint="cs"/>
          <w:rtl/>
        </w:rPr>
        <w:t>ב"כ שני הצדדים הגישו פסיקה לתמיכה בטענותיהם.</w:t>
      </w:r>
    </w:p>
    <w:p w14:paraId="4126DC58" w14:textId="77777777" w:rsidR="00D9537E" w:rsidRPr="00BF2673" w:rsidRDefault="00D9537E" w:rsidP="00D9537E">
      <w:pPr>
        <w:spacing w:after="120" w:line="360" w:lineRule="auto"/>
        <w:jc w:val="both"/>
        <w:rPr>
          <w:rFonts w:ascii="Arial" w:hAnsi="Arial"/>
          <w:b/>
          <w:bCs/>
          <w:rtl/>
        </w:rPr>
      </w:pPr>
      <w:r w:rsidRPr="00BF2673">
        <w:rPr>
          <w:rFonts w:ascii="Arial" w:hAnsi="Arial" w:hint="cs"/>
          <w:b/>
          <w:bCs/>
          <w:rtl/>
        </w:rPr>
        <w:t>ראיות לעונש</w:t>
      </w:r>
    </w:p>
    <w:p w14:paraId="0ADFEF71" w14:textId="77777777" w:rsidR="00D9537E" w:rsidRDefault="00D9537E" w:rsidP="00D9537E">
      <w:pPr>
        <w:spacing w:after="120" w:line="360" w:lineRule="auto"/>
        <w:jc w:val="both"/>
        <w:rPr>
          <w:rFonts w:ascii="Arial" w:hAnsi="Arial"/>
          <w:rtl/>
        </w:rPr>
      </w:pPr>
      <w:r>
        <w:rPr>
          <w:rFonts w:ascii="Arial" w:hAnsi="Arial" w:hint="cs"/>
          <w:rtl/>
        </w:rPr>
        <w:t>ב"כ המאשימה הגישה את גליון הרשעותיו הקודמות של הנאשם.</w:t>
      </w:r>
    </w:p>
    <w:p w14:paraId="4BF182DD" w14:textId="77777777" w:rsidR="00D9537E" w:rsidRPr="00BF2673" w:rsidRDefault="00D9537E" w:rsidP="00D9537E">
      <w:pPr>
        <w:spacing w:after="120" w:line="360" w:lineRule="auto"/>
        <w:jc w:val="both"/>
        <w:rPr>
          <w:rFonts w:ascii="Arial" w:hAnsi="Arial"/>
          <w:rtl/>
        </w:rPr>
      </w:pPr>
      <w:r>
        <w:rPr>
          <w:rFonts w:ascii="Arial" w:hAnsi="Arial" w:hint="cs"/>
          <w:rtl/>
        </w:rPr>
        <w:t>ב"כ הנאשם העיד את אשת הנאשם, אשר סיפרה כי הוא אב לשני ילדים קטנים: פעוטה בת שנתיים וחצי ותינוק בן עשרה חודשים, אשר זקוקים לו ומתגעגעים אליו, וכי הוא מפרנס את המשפחה ודואג לצרכיה. עוד אמרה, כי היא מתנגדת למעשיו של הנאשם וביקשה להקל בענשו ככל שניתן.</w:t>
      </w:r>
    </w:p>
    <w:p w14:paraId="0B3636B3" w14:textId="77777777" w:rsidR="00D9537E" w:rsidRPr="00AA2ACE" w:rsidRDefault="00D9537E" w:rsidP="00D9537E">
      <w:pPr>
        <w:spacing w:after="120" w:line="360" w:lineRule="auto"/>
        <w:jc w:val="both"/>
        <w:rPr>
          <w:rFonts w:ascii="Arial" w:hAnsi="Arial"/>
          <w:rtl/>
        </w:rPr>
      </w:pPr>
      <w:r w:rsidRPr="00AA2ACE">
        <w:rPr>
          <w:rFonts w:ascii="Arial" w:hAnsi="Arial"/>
          <w:rtl/>
        </w:rPr>
        <w:t>הנאשם אמר כי מתחרט על מעשיו</w:t>
      </w:r>
      <w:r w:rsidRPr="00AA2ACE">
        <w:rPr>
          <w:rFonts w:ascii="Arial" w:hAnsi="Arial" w:hint="cs"/>
          <w:rtl/>
        </w:rPr>
        <w:t xml:space="preserve"> וביקש את סליחת בית המשפט</w:t>
      </w:r>
      <w:r w:rsidRPr="00AA2ACE">
        <w:rPr>
          <w:rFonts w:ascii="Arial" w:hAnsi="Arial"/>
          <w:rtl/>
        </w:rPr>
        <w:t>.</w:t>
      </w:r>
    </w:p>
    <w:p w14:paraId="39DD1F69" w14:textId="77777777" w:rsidR="00D9537E" w:rsidRPr="00AA2ACE" w:rsidRDefault="00D9537E" w:rsidP="00D9537E">
      <w:pPr>
        <w:spacing w:after="120" w:line="360" w:lineRule="auto"/>
        <w:jc w:val="both"/>
        <w:rPr>
          <w:rFonts w:ascii="Arial" w:hAnsi="Arial"/>
          <w:b/>
          <w:bCs/>
          <w:rtl/>
        </w:rPr>
      </w:pPr>
      <w:r w:rsidRPr="00AA2ACE">
        <w:rPr>
          <w:rFonts w:ascii="Arial" w:hAnsi="Arial"/>
          <w:b/>
          <w:bCs/>
          <w:rtl/>
        </w:rPr>
        <w:t>מתחם העונש ההולם</w:t>
      </w:r>
    </w:p>
    <w:p w14:paraId="730AC354" w14:textId="77777777" w:rsidR="00D9537E" w:rsidRPr="00AA2ACE" w:rsidRDefault="00D9537E" w:rsidP="00D9537E">
      <w:pPr>
        <w:spacing w:after="120" w:line="360" w:lineRule="auto"/>
        <w:jc w:val="both"/>
        <w:rPr>
          <w:rFonts w:ascii="Arial" w:hAnsi="Arial"/>
          <w:rtl/>
        </w:rPr>
      </w:pPr>
      <w:r w:rsidRPr="00AA2ACE">
        <w:rPr>
          <w:rtl/>
        </w:rPr>
        <w:t xml:space="preserve">הנאשם החזיק בביתו </w:t>
      </w:r>
      <w:r w:rsidRPr="00AA2ACE">
        <w:rPr>
          <w:rFonts w:hint="cs"/>
          <w:rtl/>
        </w:rPr>
        <w:t xml:space="preserve">נשק מאולתר דמוי רובה </w:t>
      </w:r>
      <w:r w:rsidRPr="00AA2ACE">
        <w:rPr>
          <w:rFonts w:ascii="Arial" w:hAnsi="Arial"/>
          <w:sz w:val="20"/>
          <w:szCs w:val="20"/>
        </w:rPr>
        <w:t>M16</w:t>
      </w:r>
      <w:r w:rsidRPr="00AA2ACE">
        <w:rPr>
          <w:rFonts w:hint="cs"/>
          <w:rtl/>
        </w:rPr>
        <w:t xml:space="preserve">, </w:t>
      </w:r>
      <w:r>
        <w:rPr>
          <w:rFonts w:hint="cs"/>
          <w:rtl/>
        </w:rPr>
        <w:t>ומחסנית טעונה ב</w:t>
      </w:r>
      <w:r w:rsidRPr="00AA2ACE">
        <w:rPr>
          <w:rFonts w:hint="cs"/>
          <w:rtl/>
        </w:rPr>
        <w:t xml:space="preserve">מספר כדורים. מעשים אלו </w:t>
      </w:r>
      <w:r>
        <w:rPr>
          <w:rFonts w:hint="cs"/>
          <w:rtl/>
        </w:rPr>
        <w:t>פוגעים ב</w:t>
      </w:r>
      <w:r w:rsidRPr="00AA2ACE">
        <w:rPr>
          <w:rFonts w:ascii="Arial" w:hAnsi="Arial" w:hint="cs"/>
          <w:rtl/>
        </w:rPr>
        <w:t>ע</w:t>
      </w:r>
      <w:r w:rsidRPr="00AA2ACE">
        <w:rPr>
          <w:rFonts w:ascii="Arial" w:hAnsi="Arial"/>
          <w:rtl/>
        </w:rPr>
        <w:t>רך המוגן החשוב מכל, שמירה על חיי אדם</w:t>
      </w:r>
      <w:r w:rsidRPr="00AA2ACE">
        <w:rPr>
          <w:rFonts w:ascii="Arial" w:hAnsi="Arial" w:hint="cs"/>
          <w:rtl/>
        </w:rPr>
        <w:t xml:space="preserve">, שהרי </w:t>
      </w:r>
      <w:r w:rsidRPr="00AA2ACE">
        <w:rPr>
          <w:rFonts w:ascii="Arial" w:hAnsi="Arial"/>
          <w:rtl/>
        </w:rPr>
        <w:t xml:space="preserve">החזקת נשק מקפלת בתוכה סיכון ממשי כי </w:t>
      </w:r>
      <w:r w:rsidRPr="00AA2ACE">
        <w:rPr>
          <w:rFonts w:ascii="Arial" w:hAnsi="Arial" w:hint="cs"/>
          <w:rtl/>
        </w:rPr>
        <w:t>יעשה בו שימוש</w:t>
      </w:r>
      <w:r w:rsidRPr="00AA2ACE">
        <w:rPr>
          <w:rFonts w:ascii="Arial" w:hAnsi="Arial"/>
          <w:rtl/>
        </w:rPr>
        <w:t xml:space="preserve"> לביצוע עבירות פליליות או מעשי טרור, ובכך יביא לקיפוח נפש.</w:t>
      </w:r>
    </w:p>
    <w:p w14:paraId="7EF45297" w14:textId="77777777" w:rsidR="00D9537E" w:rsidRPr="00AA2ACE" w:rsidRDefault="00D9537E" w:rsidP="00D9537E">
      <w:pPr>
        <w:spacing w:after="120" w:line="360" w:lineRule="auto"/>
        <w:jc w:val="both"/>
        <w:rPr>
          <w:rtl/>
        </w:rPr>
      </w:pPr>
      <w:r w:rsidRPr="00AA2ACE">
        <w:rPr>
          <w:rFonts w:ascii="Arial" w:hAnsi="Arial"/>
          <w:rtl/>
        </w:rPr>
        <w:t xml:space="preserve">באופן עקיף עבירה זו גם מהווה קריאת תיגר על שלטון החוק, שהרי המדינה היא הריבון והיא שרשאית לקבוע מי ישא נשק ולאיזו מטרה - כעולה ממיקום העבירה בפרק </w:t>
      </w:r>
      <w:hyperlink r:id="rId12" w:history="1">
        <w:r w:rsidR="00A65C80" w:rsidRPr="00A65C80">
          <w:rPr>
            <w:rStyle w:val="Hyperlink"/>
            <w:rFonts w:ascii="Arial" w:hAnsi="Arial"/>
            <w:rtl/>
          </w:rPr>
          <w:t>ח'</w:t>
        </w:r>
      </w:hyperlink>
      <w:r w:rsidRPr="00AA2ACE">
        <w:rPr>
          <w:rFonts w:ascii="Arial" w:hAnsi="Arial"/>
          <w:rtl/>
        </w:rPr>
        <w:t xml:space="preserve"> ל</w:t>
      </w:r>
      <w:hyperlink r:id="rId13" w:history="1">
        <w:r w:rsidR="008B4C03" w:rsidRPr="008B4C03">
          <w:rPr>
            <w:rFonts w:ascii="Arial" w:hAnsi="Arial"/>
            <w:color w:val="0000FF"/>
            <w:u w:val="single"/>
            <w:rtl/>
          </w:rPr>
          <w:t>חוק העונשין</w:t>
        </w:r>
      </w:hyperlink>
      <w:r w:rsidRPr="00AA2ACE">
        <w:rPr>
          <w:rFonts w:ascii="Arial" w:hAnsi="Arial"/>
          <w:rtl/>
        </w:rPr>
        <w:t xml:space="preserve">, הדן בעבירות שעניינן  "פגיעה בסדרי </w:t>
      </w:r>
      <w:r w:rsidRPr="00AA2ACE">
        <w:rPr>
          <w:rtl/>
        </w:rPr>
        <w:t>המשטר והחברה".</w:t>
      </w:r>
    </w:p>
    <w:p w14:paraId="7E116C67" w14:textId="77777777" w:rsidR="00D9537E" w:rsidRPr="00AA2ACE" w:rsidRDefault="00D9537E" w:rsidP="00D9537E">
      <w:pPr>
        <w:spacing w:after="120" w:line="360" w:lineRule="auto"/>
        <w:jc w:val="both"/>
        <w:rPr>
          <w:rtl/>
        </w:rPr>
      </w:pPr>
      <w:r w:rsidRPr="00AA2ACE">
        <w:rPr>
          <w:rtl/>
        </w:rPr>
        <w:t>בית המשפט העליון עמד בשורה ארוכה של פסקי דין על חומרתן הרבה של עבירות הנשק והסכנה לשלום הציבור וביטחונו הטמונה בהן והצורך להחמיר עם מבצעיהן.</w:t>
      </w:r>
      <w:r>
        <w:rPr>
          <w:rFonts w:hint="cs"/>
          <w:rtl/>
        </w:rPr>
        <w:t xml:space="preserve"> כמו כן בשנים האחרונות ישנה מגמת החמרה בעבירות אלו, לאור ריבוי מקרים בהם שימוש בנשק לא חוקי הביא לאבדן חיי אדם.</w:t>
      </w:r>
    </w:p>
    <w:p w14:paraId="7D78ADDD" w14:textId="77777777" w:rsidR="00D9537E" w:rsidRDefault="00D9537E" w:rsidP="00D9537E">
      <w:pPr>
        <w:pStyle w:val="Ruller4"/>
        <w:numPr>
          <w:ilvl w:val="0"/>
          <w:numId w:val="0"/>
        </w:numPr>
        <w:spacing w:after="120"/>
        <w:rPr>
          <w:rFonts w:ascii="David" w:hAnsi="David" w:cs="David"/>
          <w:szCs w:val="24"/>
        </w:rPr>
      </w:pPr>
      <w:r>
        <w:rPr>
          <w:rFonts w:ascii="David" w:hAnsi="David" w:cs="David"/>
          <w:szCs w:val="24"/>
          <w:rtl/>
        </w:rPr>
        <w:t xml:space="preserve">ר' למשל </w:t>
      </w:r>
      <w:hyperlink r:id="rId14" w:history="1">
        <w:r w:rsidR="008B4C03" w:rsidRPr="008B4C03">
          <w:rPr>
            <w:rFonts w:ascii="David" w:hAnsi="David" w:cs="David"/>
            <w:color w:val="0000FF"/>
            <w:szCs w:val="24"/>
            <w:u w:val="single"/>
            <w:rtl/>
          </w:rPr>
          <w:t>ע"פ 309/22</w:t>
        </w:r>
      </w:hyperlink>
      <w:r>
        <w:rPr>
          <w:rFonts w:ascii="David" w:hAnsi="David" w:cs="David"/>
          <w:szCs w:val="24"/>
          <w:rtl/>
        </w:rPr>
        <w:t>, ביאדסה (10.5.22)</w:t>
      </w:r>
      <w:r>
        <w:rPr>
          <w:rFonts w:ascii="David" w:hAnsi="David" w:cs="David" w:hint="cs"/>
          <w:szCs w:val="24"/>
          <w:rtl/>
        </w:rPr>
        <w:t>, אשר ניתן לפני ימים ספורים, וענשו של מי שנשא שני כלי נשק הוחמר מ- 19 חודשי מאסר ל- 30 חודשים</w:t>
      </w:r>
      <w:r>
        <w:rPr>
          <w:rFonts w:ascii="David" w:hAnsi="David" w:cs="David"/>
          <w:szCs w:val="24"/>
          <w:rtl/>
        </w:rPr>
        <w:t xml:space="preserve"> </w:t>
      </w:r>
      <w:r>
        <w:rPr>
          <w:rFonts w:ascii="David" w:hAnsi="David" w:cs="David" w:hint="cs"/>
          <w:szCs w:val="24"/>
          <w:rtl/>
        </w:rPr>
        <w:t>(</w:t>
      </w:r>
      <w:r>
        <w:rPr>
          <w:rFonts w:ascii="David" w:hAnsi="David" w:cs="David"/>
          <w:szCs w:val="24"/>
          <w:rtl/>
        </w:rPr>
        <w:t>פסקאות 6-7 לפסק הדין</w:t>
      </w:r>
      <w:r>
        <w:rPr>
          <w:rFonts w:ascii="David" w:hAnsi="David" w:cs="David" w:hint="cs"/>
          <w:szCs w:val="24"/>
          <w:rtl/>
        </w:rPr>
        <w:t>)</w:t>
      </w:r>
      <w:r>
        <w:rPr>
          <w:rFonts w:ascii="David" w:hAnsi="David" w:cs="David"/>
          <w:szCs w:val="24"/>
          <w:rtl/>
        </w:rPr>
        <w:t>:</w:t>
      </w:r>
    </w:p>
    <w:p w14:paraId="19B300A2" w14:textId="77777777" w:rsidR="00D9537E" w:rsidRDefault="00D9537E" w:rsidP="00D9537E">
      <w:pPr>
        <w:pStyle w:val="Ruller4"/>
        <w:numPr>
          <w:ilvl w:val="0"/>
          <w:numId w:val="0"/>
        </w:numPr>
        <w:spacing w:after="120"/>
        <w:ind w:left="567" w:right="567"/>
        <w:rPr>
          <w:rFonts w:ascii="David" w:hAnsi="David" w:cs="David"/>
          <w:b/>
          <w:bCs/>
          <w:szCs w:val="24"/>
        </w:rPr>
      </w:pPr>
      <w:r>
        <w:rPr>
          <w:rFonts w:ascii="David" w:hAnsi="David" w:cs="David"/>
          <w:b/>
          <w:bCs/>
          <w:szCs w:val="24"/>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15" w:history="1">
        <w:r w:rsidR="008B4C03" w:rsidRPr="008B4C03">
          <w:rPr>
            <w:rFonts w:ascii="David" w:hAnsi="David" w:cs="David"/>
            <w:b/>
            <w:bCs/>
            <w:color w:val="0000FF"/>
            <w:szCs w:val="24"/>
            <w:u w:val="single"/>
            <w:rtl/>
          </w:rPr>
          <w:t>ע"פ 1695/22</w:t>
        </w:r>
      </w:hyperlink>
      <w:r>
        <w:rPr>
          <w:rFonts w:ascii="David" w:hAnsi="David" w:cs="David"/>
          <w:b/>
          <w:bCs/>
          <w:szCs w:val="24"/>
          <w:rtl/>
        </w:rPr>
        <w:t xml:space="preserve"> </w:t>
      </w:r>
      <w:r>
        <w:rPr>
          <w:rFonts w:ascii="David" w:hAnsi="David" w:cs="David"/>
          <w:b/>
          <w:bCs/>
          <w:spacing w:val="0"/>
          <w:szCs w:val="24"/>
          <w:rtl/>
        </w:rPr>
        <w:t>מדינת ישראל נ' גנאים</w:t>
      </w:r>
      <w:r>
        <w:rPr>
          <w:rFonts w:ascii="David" w:hAnsi="David" w:cs="David"/>
          <w:b/>
          <w:bCs/>
          <w:szCs w:val="24"/>
          <w:rtl/>
        </w:rPr>
        <w:t xml:space="preserve">, פסקה 11 </w:t>
      </w:r>
      <w:r>
        <w:rPr>
          <w:rFonts w:ascii="David" w:hAnsi="David" w:cs="David"/>
          <w:b/>
          <w:bCs/>
          <w:spacing w:val="0"/>
          <w:szCs w:val="24"/>
          <w:rtl/>
        </w:rPr>
        <w:t xml:space="preserve">[פורסם בנבו] </w:t>
      </w:r>
      <w:r>
        <w:rPr>
          <w:rFonts w:ascii="David" w:hAnsi="David" w:cs="David"/>
          <w:b/>
          <w:bCs/>
          <w:szCs w:val="24"/>
          <w:rtl/>
        </w:rPr>
        <w:t xml:space="preserve">(29.3.2022) (להלן: עניין </w:t>
      </w:r>
      <w:r>
        <w:rPr>
          <w:rFonts w:ascii="David" w:hAnsi="David" w:cs="David"/>
          <w:b/>
          <w:bCs/>
          <w:spacing w:val="0"/>
          <w:szCs w:val="24"/>
          <w:rtl/>
        </w:rPr>
        <w:t>גנאים</w:t>
      </w:r>
      <w:r>
        <w:rPr>
          <w:rFonts w:ascii="David" w:hAnsi="David" w:cs="David"/>
          <w:b/>
          <w:bCs/>
          <w:szCs w:val="24"/>
          <w:rtl/>
        </w:rPr>
        <w:t xml:space="preserve">); </w:t>
      </w:r>
      <w:hyperlink r:id="rId16" w:history="1">
        <w:r w:rsidR="008B4C03" w:rsidRPr="008B4C03">
          <w:rPr>
            <w:rFonts w:ascii="David" w:hAnsi="David" w:cs="David"/>
            <w:b/>
            <w:bCs/>
            <w:color w:val="0000FF"/>
            <w:szCs w:val="24"/>
            <w:u w:val="single"/>
            <w:rtl/>
          </w:rPr>
          <w:t xml:space="preserve">ע"פ </w:t>
        </w:r>
        <w:r w:rsidR="008B4C03" w:rsidRPr="008B4C03">
          <w:rPr>
            <w:rFonts w:ascii="David" w:hAnsi="David" w:cs="David"/>
            <w:b/>
            <w:bCs/>
            <w:color w:val="0000FF"/>
            <w:szCs w:val="24"/>
            <w:u w:val="single"/>
            <w:rtl/>
          </w:rPr>
          <w:lastRenderedPageBreak/>
          <w:t>5522/20</w:t>
        </w:r>
      </w:hyperlink>
      <w:r>
        <w:rPr>
          <w:rFonts w:ascii="David" w:hAnsi="David" w:cs="David"/>
          <w:b/>
          <w:bCs/>
          <w:szCs w:val="24"/>
          <w:rtl/>
        </w:rPr>
        <w:t xml:space="preserve"> </w:t>
      </w:r>
      <w:r>
        <w:rPr>
          <w:rFonts w:ascii="David" w:hAnsi="David" w:cs="David"/>
          <w:b/>
          <w:bCs/>
          <w:spacing w:val="0"/>
          <w:szCs w:val="24"/>
          <w:rtl/>
        </w:rPr>
        <w:t>חלייחל נ' מדינת ישראל</w:t>
      </w:r>
      <w:r>
        <w:rPr>
          <w:rFonts w:ascii="David" w:hAnsi="David" w:cs="David"/>
          <w:b/>
          <w:bCs/>
          <w:szCs w:val="24"/>
          <w:rtl/>
        </w:rPr>
        <w:t xml:space="preserve">, פסקה 7 </w:t>
      </w:r>
      <w:r>
        <w:rPr>
          <w:rFonts w:ascii="David" w:hAnsi="David" w:cs="David"/>
          <w:b/>
          <w:bCs/>
          <w:spacing w:val="0"/>
          <w:szCs w:val="24"/>
          <w:rtl/>
        </w:rPr>
        <w:t xml:space="preserve">[פורסם בנבו] </w:t>
      </w:r>
      <w:r>
        <w:rPr>
          <w:rFonts w:ascii="David" w:hAnsi="David" w:cs="David"/>
          <w:b/>
          <w:bCs/>
          <w:szCs w:val="24"/>
          <w:rtl/>
        </w:rPr>
        <w:t xml:space="preserve">(24.2.2021) (להלן: עניין </w:t>
      </w:r>
      <w:r>
        <w:rPr>
          <w:rFonts w:ascii="David" w:hAnsi="David" w:cs="David"/>
          <w:b/>
          <w:bCs/>
          <w:spacing w:val="0"/>
          <w:szCs w:val="24"/>
          <w:rtl/>
        </w:rPr>
        <w:t>חלייחל</w:t>
      </w:r>
      <w:r>
        <w:rPr>
          <w:rFonts w:ascii="David" w:hAnsi="David" w:cs="David"/>
          <w:b/>
          <w:bCs/>
          <w:szCs w:val="24"/>
          <w:rtl/>
        </w:rPr>
        <w:t xml:space="preserve">); </w:t>
      </w:r>
      <w:hyperlink r:id="rId17" w:history="1">
        <w:r w:rsidR="008B4C03" w:rsidRPr="008B4C03">
          <w:rPr>
            <w:rFonts w:ascii="David" w:hAnsi="David" w:cs="David"/>
            <w:b/>
            <w:bCs/>
            <w:color w:val="0000FF"/>
            <w:szCs w:val="24"/>
            <w:u w:val="single"/>
            <w:rtl/>
          </w:rPr>
          <w:t>ע"פ 4406/19</w:t>
        </w:r>
      </w:hyperlink>
      <w:r>
        <w:rPr>
          <w:rFonts w:ascii="David" w:hAnsi="David" w:cs="David"/>
          <w:b/>
          <w:bCs/>
          <w:szCs w:val="24"/>
          <w:rtl/>
        </w:rPr>
        <w:t xml:space="preserve"> </w:t>
      </w:r>
      <w:r>
        <w:rPr>
          <w:rFonts w:ascii="David" w:hAnsi="David" w:cs="David"/>
          <w:b/>
          <w:bCs/>
          <w:spacing w:val="0"/>
          <w:szCs w:val="24"/>
          <w:rtl/>
        </w:rPr>
        <w:t>סובח נ' מדינת ישראל</w:t>
      </w:r>
      <w:r>
        <w:rPr>
          <w:rFonts w:ascii="David" w:hAnsi="David" w:cs="David"/>
          <w:b/>
          <w:bCs/>
          <w:szCs w:val="24"/>
          <w:rtl/>
        </w:rPr>
        <w:t xml:space="preserve">, פסקה 17 </w:t>
      </w:r>
      <w:r>
        <w:rPr>
          <w:rFonts w:ascii="David" w:hAnsi="David" w:cs="David"/>
          <w:b/>
          <w:bCs/>
          <w:spacing w:val="0"/>
          <w:szCs w:val="24"/>
          <w:rtl/>
        </w:rPr>
        <w:t xml:space="preserve">[פורסם בנבו] </w:t>
      </w:r>
      <w:r>
        <w:rPr>
          <w:rFonts w:ascii="David" w:hAnsi="David" w:cs="David"/>
          <w:b/>
          <w:bCs/>
          <w:szCs w:val="24"/>
          <w:rtl/>
        </w:rPr>
        <w:t xml:space="preserve">(5.11.2019) (להלן: עניין </w:t>
      </w:r>
      <w:r>
        <w:rPr>
          <w:rFonts w:ascii="David" w:hAnsi="David" w:cs="David"/>
          <w:b/>
          <w:bCs/>
          <w:spacing w:val="0"/>
          <w:szCs w:val="24"/>
          <w:rtl/>
        </w:rPr>
        <w:t>סובח</w:t>
      </w:r>
      <w:r>
        <w:rPr>
          <w:rFonts w:ascii="David" w:hAnsi="David" w:cs="David"/>
          <w:b/>
          <w:bCs/>
          <w:szCs w:val="24"/>
          <w:rtl/>
        </w:rPr>
        <w:t>)). עבירות אלו חמורות במיוחד, בין היתר משום שהן עשויות לשמש בסיס לביצוע פעילות עבריינית או פעילות טרור (</w:t>
      </w:r>
      <w:hyperlink r:id="rId18" w:history="1">
        <w:r w:rsidR="008B4C03" w:rsidRPr="008B4C03">
          <w:rPr>
            <w:rFonts w:ascii="David" w:hAnsi="David" w:cs="David"/>
            <w:b/>
            <w:bCs/>
            <w:color w:val="0000FF"/>
            <w:szCs w:val="24"/>
            <w:u w:val="single"/>
            <w:rtl/>
          </w:rPr>
          <w:t>ע"פ 8017/20</w:t>
        </w:r>
      </w:hyperlink>
      <w:r>
        <w:rPr>
          <w:rFonts w:ascii="David" w:hAnsi="David" w:cs="David"/>
          <w:b/>
          <w:bCs/>
          <w:szCs w:val="24"/>
          <w:rtl/>
        </w:rPr>
        <w:t xml:space="preserve"> </w:t>
      </w:r>
      <w:r>
        <w:rPr>
          <w:rFonts w:ascii="David" w:hAnsi="David" w:cs="David"/>
          <w:b/>
          <w:bCs/>
          <w:spacing w:val="0"/>
          <w:szCs w:val="24"/>
          <w:rtl/>
        </w:rPr>
        <w:t>מדינת ישראל נ' גריפאת</w:t>
      </w:r>
      <w:r>
        <w:rPr>
          <w:rFonts w:ascii="David" w:hAnsi="David" w:cs="David"/>
          <w:b/>
          <w:bCs/>
          <w:szCs w:val="24"/>
          <w:rtl/>
        </w:rPr>
        <w:t xml:space="preserve">, פסקה 6 </w:t>
      </w:r>
      <w:r>
        <w:rPr>
          <w:rFonts w:ascii="David" w:hAnsi="David" w:cs="David"/>
          <w:b/>
          <w:bCs/>
          <w:spacing w:val="0"/>
          <w:szCs w:val="24"/>
          <w:rtl/>
        </w:rPr>
        <w:t xml:space="preserve">[פורסם בנבו] </w:t>
      </w:r>
      <w:r>
        <w:rPr>
          <w:rFonts w:ascii="David" w:hAnsi="David" w:cs="David"/>
          <w:b/>
          <w:bCs/>
          <w:szCs w:val="24"/>
          <w:rtl/>
        </w:rPr>
        <w:t xml:space="preserve">(22.12.2020); </w:t>
      </w:r>
      <w:hyperlink r:id="rId19" w:history="1">
        <w:r w:rsidR="008B4C03" w:rsidRPr="008B4C03">
          <w:rPr>
            <w:rFonts w:ascii="David" w:hAnsi="David" w:cs="David"/>
            <w:b/>
            <w:bCs/>
            <w:color w:val="0000FF"/>
            <w:szCs w:val="24"/>
            <w:u w:val="single"/>
            <w:rtl/>
          </w:rPr>
          <w:t>ע"פ 135/17</w:t>
        </w:r>
      </w:hyperlink>
      <w:r>
        <w:rPr>
          <w:rFonts w:ascii="David" w:hAnsi="David" w:cs="David"/>
          <w:b/>
          <w:bCs/>
          <w:szCs w:val="24"/>
          <w:rtl/>
        </w:rPr>
        <w:t xml:space="preserve"> </w:t>
      </w:r>
      <w:r>
        <w:rPr>
          <w:rFonts w:ascii="David" w:hAnsi="David" w:cs="David"/>
          <w:b/>
          <w:bCs/>
          <w:spacing w:val="0"/>
          <w:szCs w:val="24"/>
          <w:rtl/>
        </w:rPr>
        <w:t>מדינת ישראל נ' בסל</w:t>
      </w:r>
      <w:r>
        <w:rPr>
          <w:rFonts w:ascii="David" w:hAnsi="David" w:cs="David"/>
          <w:b/>
          <w:bCs/>
          <w:szCs w:val="24"/>
          <w:rtl/>
        </w:rPr>
        <w:t xml:space="preserve">, פסקה 10 </w:t>
      </w:r>
      <w:r>
        <w:rPr>
          <w:rFonts w:ascii="David" w:hAnsi="David" w:cs="David"/>
          <w:b/>
          <w:bCs/>
          <w:spacing w:val="0"/>
          <w:szCs w:val="24"/>
          <w:rtl/>
        </w:rPr>
        <w:t xml:space="preserve">[פורסם בנבו] </w:t>
      </w:r>
      <w:r>
        <w:rPr>
          <w:rFonts w:ascii="David" w:hAnsi="David" w:cs="David"/>
          <w:b/>
          <w:bCs/>
          <w:szCs w:val="24"/>
          <w:rtl/>
        </w:rPr>
        <w:t>(8.3.2017)). אך באחרונה עמד בית משפט זה על כך שעבירות אלו הן בבחינת "מכת מדינה" ועל הצורך בהחמרת הענישה בעניינן:</w:t>
      </w:r>
    </w:p>
    <w:p w14:paraId="032BF862" w14:textId="77777777" w:rsidR="00D9537E" w:rsidRDefault="00D9537E" w:rsidP="00D9537E">
      <w:pPr>
        <w:pStyle w:val="Ruller50"/>
        <w:spacing w:after="120" w:line="360" w:lineRule="auto"/>
        <w:ind w:left="1134" w:right="1134"/>
        <w:rPr>
          <w:rFonts w:ascii="David" w:hAnsi="David" w:cs="David"/>
          <w:b/>
          <w:bCs/>
          <w:sz w:val="24"/>
          <w:szCs w:val="24"/>
        </w:rPr>
      </w:pPr>
      <w:r>
        <w:rPr>
          <w:rFonts w:ascii="David" w:hAnsi="David" w:cs="David"/>
          <w:b/>
          <w:bCs/>
          <w:sz w:val="24"/>
          <w:szCs w:val="24"/>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w:t>
      </w:r>
      <w:r>
        <w:rPr>
          <w:rFonts w:ascii="David" w:hAnsi="David" w:cs="David"/>
          <w:b/>
          <w:bCs/>
          <w:spacing w:val="0"/>
          <w:sz w:val="24"/>
          <w:szCs w:val="24"/>
          <w:rtl/>
        </w:rPr>
        <w:t>קדורה</w:t>
      </w:r>
      <w:r>
        <w:rPr>
          <w:rFonts w:ascii="David" w:hAnsi="David" w:cs="David"/>
          <w:b/>
          <w:bCs/>
          <w:sz w:val="24"/>
          <w:szCs w:val="24"/>
          <w:rtl/>
        </w:rPr>
        <w:t>, פסקה 6).</w:t>
      </w:r>
    </w:p>
    <w:p w14:paraId="48E47D8D" w14:textId="77777777" w:rsidR="00D9537E" w:rsidRDefault="00D9537E" w:rsidP="00D9537E">
      <w:pPr>
        <w:pStyle w:val="Ruller4"/>
        <w:numPr>
          <w:ilvl w:val="0"/>
          <w:numId w:val="0"/>
        </w:numPr>
        <w:spacing w:after="120"/>
        <w:ind w:left="567" w:right="567"/>
        <w:rPr>
          <w:rFonts w:ascii="David" w:hAnsi="David" w:cs="David"/>
          <w:b/>
          <w:bCs/>
          <w:szCs w:val="24"/>
          <w:rtl/>
        </w:rPr>
      </w:pPr>
      <w:r>
        <w:rPr>
          <w:rFonts w:ascii="David" w:hAnsi="David" w:cs="David"/>
          <w:b/>
          <w:bCs/>
          <w:szCs w:val="24"/>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r w:rsidRPr="008B4C03">
        <w:rPr>
          <w:rFonts w:ascii="David" w:hAnsi="David" w:cs="David"/>
          <w:b/>
          <w:bCs/>
          <w:color w:val="000000"/>
          <w:szCs w:val="24"/>
          <w:rtl/>
        </w:rPr>
        <w:t>סעיף 144(ז)</w:t>
      </w:r>
      <w:r>
        <w:rPr>
          <w:rFonts w:ascii="David" w:hAnsi="David" w:cs="David"/>
          <w:b/>
          <w:bCs/>
          <w:szCs w:val="24"/>
          <w:rtl/>
        </w:rPr>
        <w:t xml:space="preserve"> ל</w:t>
      </w:r>
      <w:hyperlink r:id="rId20" w:history="1">
        <w:r w:rsidR="008B4C03" w:rsidRPr="008B4C03">
          <w:rPr>
            <w:rFonts w:ascii="David" w:hAnsi="David" w:cs="David"/>
            <w:b/>
            <w:bCs/>
            <w:color w:val="0000FF"/>
            <w:szCs w:val="24"/>
            <w:u w:val="single"/>
            <w:rtl/>
          </w:rPr>
          <w:t>חוק העונשין</w:t>
        </w:r>
      </w:hyperlink>
      <w:r>
        <w:rPr>
          <w:rFonts w:ascii="David" w:hAnsi="David" w:cs="David"/>
          <w:b/>
          <w:bCs/>
          <w:szCs w:val="24"/>
          <w:rtl/>
        </w:rPr>
        <w:t xml:space="preserve">; חוק העונשין (תיקון מס' 140 – הוראת שעה), התשפ"ב-2021; עניין </w:t>
      </w:r>
      <w:r>
        <w:rPr>
          <w:rFonts w:ascii="David" w:hAnsi="David" w:cs="David"/>
          <w:b/>
          <w:bCs/>
          <w:spacing w:val="0"/>
          <w:szCs w:val="24"/>
          <w:rtl/>
        </w:rPr>
        <w:t>קדורה</w:t>
      </w:r>
      <w:r>
        <w:rPr>
          <w:rFonts w:ascii="David" w:hAnsi="David" w:cs="David"/>
          <w:b/>
          <w:bCs/>
          <w:szCs w:val="24"/>
          <w:rtl/>
        </w:rPr>
        <w:t xml:space="preserve">, פסקה 6; </w:t>
      </w:r>
      <w:hyperlink r:id="rId21" w:history="1">
        <w:r w:rsidR="008B4C03" w:rsidRPr="008B4C03">
          <w:rPr>
            <w:rFonts w:ascii="David" w:hAnsi="David" w:cs="David"/>
            <w:b/>
            <w:bCs/>
            <w:color w:val="0000FF"/>
            <w:szCs w:val="24"/>
            <w:u w:val="single"/>
            <w:rtl/>
          </w:rPr>
          <w:t>ע"פ 4456/21</w:t>
        </w:r>
      </w:hyperlink>
      <w:r>
        <w:rPr>
          <w:rFonts w:ascii="David" w:hAnsi="David" w:cs="David"/>
          <w:b/>
          <w:bCs/>
          <w:szCs w:val="24"/>
          <w:rtl/>
        </w:rPr>
        <w:t xml:space="preserve"> </w:t>
      </w:r>
      <w:r>
        <w:rPr>
          <w:rFonts w:ascii="David" w:hAnsi="David" w:cs="David"/>
          <w:b/>
          <w:bCs/>
          <w:spacing w:val="0"/>
          <w:szCs w:val="24"/>
          <w:rtl/>
        </w:rPr>
        <w:t>מדינת ישראל נ' אבו עבסה</w:t>
      </w:r>
      <w:r>
        <w:rPr>
          <w:rFonts w:ascii="David" w:hAnsi="David" w:cs="David"/>
          <w:b/>
          <w:bCs/>
          <w:szCs w:val="24"/>
          <w:rtl/>
        </w:rPr>
        <w:t xml:space="preserve">, פסקה 15 </w:t>
      </w:r>
      <w:r>
        <w:rPr>
          <w:rFonts w:ascii="David" w:hAnsi="David" w:cs="David"/>
          <w:b/>
          <w:bCs/>
          <w:spacing w:val="0"/>
          <w:szCs w:val="24"/>
          <w:rtl/>
        </w:rPr>
        <w:t xml:space="preserve">[פורסם בנבו] </w:t>
      </w:r>
      <w:r>
        <w:rPr>
          <w:rFonts w:ascii="David" w:hAnsi="David" w:cs="David"/>
          <w:b/>
          <w:bCs/>
          <w:szCs w:val="24"/>
          <w:rtl/>
        </w:rPr>
        <w:t xml:space="preserve">(23.1.2022)). הגם שתיקון זה אינו חל בעניינו של המשיב – שהמעשים שבהם הורשע בוצעו עובר לחקיקתו – הוא משקף את רצון המחוקק בהחמרת הענישה בעבירות נשק. </w:t>
      </w:r>
    </w:p>
    <w:p w14:paraId="00B15BAD" w14:textId="77777777" w:rsidR="00D9537E" w:rsidRPr="00AA2ACE" w:rsidRDefault="00D9537E" w:rsidP="00D9537E">
      <w:pPr>
        <w:spacing w:after="120" w:line="360" w:lineRule="auto"/>
        <w:jc w:val="both"/>
        <w:rPr>
          <w:rtl/>
        </w:rPr>
      </w:pPr>
      <w:r>
        <w:rPr>
          <w:rFonts w:hint="cs"/>
          <w:rtl/>
        </w:rPr>
        <w:t>ר' גם</w:t>
      </w:r>
      <w:r w:rsidRPr="00AA2ACE">
        <w:rPr>
          <w:rtl/>
        </w:rPr>
        <w:t xml:space="preserve"> </w:t>
      </w:r>
      <w:hyperlink r:id="rId22" w:history="1">
        <w:r w:rsidR="008B4C03" w:rsidRPr="008B4C03">
          <w:rPr>
            <w:color w:val="0000FF"/>
            <w:u w:val="single"/>
            <w:rtl/>
          </w:rPr>
          <w:t>ע"פ 147/21</w:t>
        </w:r>
      </w:hyperlink>
      <w:r w:rsidRPr="00AA2ACE">
        <w:rPr>
          <w:rtl/>
        </w:rPr>
        <w:t xml:space="preserve">, מדינת ישראל נ' ירין ביטון, שם </w:t>
      </w:r>
      <w:r w:rsidRPr="00AA2ACE">
        <w:rPr>
          <w:u w:val="single"/>
          <w:rtl/>
        </w:rPr>
        <w:t>הוכפל</w:t>
      </w:r>
      <w:r w:rsidRPr="00AA2ACE">
        <w:rPr>
          <w:rtl/>
        </w:rPr>
        <w:t xml:space="preserve"> </w:t>
      </w:r>
      <w:r w:rsidRPr="00AA2ACE">
        <w:rPr>
          <w:rFonts w:hint="cs"/>
          <w:rtl/>
        </w:rPr>
        <w:t xml:space="preserve">לאחרונה </w:t>
      </w:r>
      <w:r w:rsidRPr="00AA2ACE">
        <w:rPr>
          <w:rtl/>
        </w:rPr>
        <w:t>ענשו של נאשם שרכש אקדח ולבנת חבלה, משנה וחצי לשלוש שנים, ונפסק:</w:t>
      </w:r>
    </w:p>
    <w:p w14:paraId="2F16B0F9" w14:textId="77777777" w:rsidR="00D9537E" w:rsidRPr="00AA2ACE" w:rsidRDefault="00D9537E" w:rsidP="00D9537E">
      <w:pPr>
        <w:spacing w:after="120" w:line="360" w:lineRule="auto"/>
        <w:ind w:left="567" w:right="567"/>
        <w:jc w:val="both"/>
        <w:rPr>
          <w:b/>
          <w:bCs/>
          <w:rtl/>
        </w:rPr>
      </w:pPr>
      <w:r w:rsidRPr="00AA2ACE">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w:t>
      </w:r>
      <w:hyperlink w:history="1">
        <w:r w:rsidRPr="008B4C03">
          <w:rPr>
            <w:b/>
            <w:bCs/>
            <w:color w:val="000000"/>
            <w:rtl/>
          </w:rPr>
          <w:t>פלר יסודות בדיני עונשין</w:t>
        </w:r>
      </w:hyperlink>
      <w:r w:rsidRPr="00AA2ACE">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w:history="1">
        <w:r w:rsidRPr="008B4C03">
          <w:rPr>
            <w:b/>
            <w:bCs/>
            <w:color w:val="000000"/>
            <w:rtl/>
          </w:rPr>
          <w:t>בסעיף 144(א)</w:t>
        </w:r>
      </w:hyperlink>
      <w:r w:rsidRPr="00AA2ACE">
        <w:rPr>
          <w:b/>
          <w:bCs/>
          <w:rtl/>
        </w:rPr>
        <w:t xml:space="preserve"> ל</w:t>
      </w:r>
      <w:hyperlink w:history="1">
        <w:r w:rsidRPr="008B4C03">
          <w:rPr>
            <w:b/>
            <w:bCs/>
            <w:color w:val="000000"/>
            <w:rtl/>
          </w:rPr>
          <w:t>חוק העונשין</w:t>
        </w:r>
      </w:hyperlink>
      <w:r w:rsidRPr="00AA2ACE">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w:history="1">
        <w:r w:rsidRPr="008B4C03">
          <w:rPr>
            <w:b/>
            <w:bCs/>
            <w:color w:val="000000"/>
            <w:rtl/>
          </w:rPr>
          <w:t>ע"פ 4406/19</w:t>
        </w:r>
      </w:hyperlink>
      <w:r w:rsidRPr="00AA2ACE">
        <w:rPr>
          <w:b/>
          <w:bCs/>
          <w:rtl/>
        </w:rPr>
        <w:t xml:space="preserve"> מדינת ישראל נ' סובח [פורסם בנבו] (5.11.2019) (להלן: עניין סובח)). </w:t>
      </w:r>
    </w:p>
    <w:p w14:paraId="149011FC" w14:textId="77777777" w:rsidR="00D9537E" w:rsidRPr="00AA2ACE" w:rsidRDefault="00D9537E" w:rsidP="00D9537E">
      <w:pPr>
        <w:spacing w:after="120" w:line="360" w:lineRule="auto"/>
        <w:ind w:left="567" w:right="567"/>
        <w:jc w:val="both"/>
        <w:rPr>
          <w:b/>
          <w:bCs/>
        </w:rPr>
      </w:pPr>
      <w:r w:rsidRPr="00AA2ACE">
        <w:rPr>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w:history="1">
        <w:r w:rsidRPr="008B4C03">
          <w:rPr>
            <w:b/>
            <w:bCs/>
            <w:color w:val="000000"/>
            <w:rtl/>
          </w:rPr>
          <w:t>ע"פ 3124/18</w:t>
        </w:r>
      </w:hyperlink>
      <w:r w:rsidRPr="00AA2ACE">
        <w:rPr>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w:history="1">
        <w:r w:rsidRPr="008B4C03">
          <w:rPr>
            <w:b/>
            <w:bCs/>
            <w:color w:val="000000"/>
            <w:rtl/>
          </w:rPr>
          <w:t>חוק העונשין</w:t>
        </w:r>
      </w:hyperlink>
      <w:r w:rsidRPr="00AA2ACE">
        <w:rPr>
          <w:b/>
          <w:bCs/>
          <w:rtl/>
        </w:rPr>
        <w:t xml:space="preserve"> (ראו: </w:t>
      </w:r>
      <w:hyperlink w:history="1">
        <w:r w:rsidRPr="008B4C03">
          <w:rPr>
            <w:b/>
            <w:bCs/>
            <w:color w:val="000000"/>
            <w:rtl/>
          </w:rPr>
          <w:t>ע"פ 8641/12 סעד נ' מדינת ישראל, פ"ד סו</w:t>
        </w:r>
      </w:hyperlink>
      <w:r w:rsidRPr="00AA2ACE">
        <w:rPr>
          <w:b/>
          <w:bCs/>
          <w:rtl/>
        </w:rPr>
        <w:t xml:space="preserve">(2) 772 (2013)). </w:t>
      </w:r>
    </w:p>
    <w:p w14:paraId="760EA123" w14:textId="77777777" w:rsidR="00D9537E" w:rsidRPr="00AA2ACE" w:rsidRDefault="00D9537E" w:rsidP="00D9537E">
      <w:pPr>
        <w:spacing w:after="120" w:line="360" w:lineRule="auto"/>
        <w:jc w:val="both"/>
      </w:pPr>
      <w:r>
        <w:rPr>
          <w:rFonts w:hint="cs"/>
          <w:rtl/>
        </w:rPr>
        <w:t>ור'</w:t>
      </w:r>
      <w:r w:rsidRPr="00AA2ACE">
        <w:rPr>
          <w:rtl/>
        </w:rPr>
        <w:t xml:space="preserve"> </w:t>
      </w:r>
      <w:r>
        <w:rPr>
          <w:rFonts w:hint="cs"/>
          <w:rtl/>
        </w:rPr>
        <w:t>גם את</w:t>
      </w:r>
      <w:r w:rsidRPr="00AA2ACE">
        <w:rPr>
          <w:rtl/>
        </w:rPr>
        <w:t xml:space="preserve"> פסק דינו של בית המשפט המחוזי בחיפה, ב</w:t>
      </w:r>
      <w:hyperlink r:id="rId23" w:history="1">
        <w:r w:rsidR="008B4C03" w:rsidRPr="008B4C03">
          <w:rPr>
            <w:color w:val="0000FF"/>
            <w:u w:val="single"/>
            <w:rtl/>
          </w:rPr>
          <w:t>עפ"ג 50840-03-22</w:t>
        </w:r>
      </w:hyperlink>
      <w:r w:rsidRPr="00AA2ACE">
        <w:rPr>
          <w:rtl/>
        </w:rPr>
        <w:t xml:space="preserve"> מדינת ישראל נ' סלאמה, שם אך לפני כחודש נדון עניינו של נאשם שהורשע בהחזקת שני תתי מקלע (לא תקניים) ותקיפת שוטר (במהלך החיפוש בו נמצא הנשק), וענשו הוחמר מ- 15 חודשי מאסר</w:t>
      </w:r>
      <w:r>
        <w:rPr>
          <w:rFonts w:hint="cs"/>
          <w:rtl/>
        </w:rPr>
        <w:t xml:space="preserve"> בפועל </w:t>
      </w:r>
      <w:r w:rsidRPr="00AA2ACE">
        <w:rPr>
          <w:rtl/>
        </w:rPr>
        <w:t>ל- 28 חודשים:</w:t>
      </w:r>
    </w:p>
    <w:p w14:paraId="2A48A0D5"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w:t>
      </w:r>
    </w:p>
    <w:p w14:paraId="3F4ED6D5" w14:textId="77777777" w:rsidR="00D9537E" w:rsidRPr="00AA2ACE" w:rsidRDefault="00D9537E" w:rsidP="00D9537E">
      <w:pPr>
        <w:spacing w:after="120" w:line="360" w:lineRule="auto"/>
        <w:ind w:left="567" w:right="567"/>
        <w:jc w:val="both"/>
        <w:rPr>
          <w:rFonts w:ascii="David" w:hAnsi="David"/>
          <w:b/>
          <w:bCs/>
        </w:rPr>
      </w:pPr>
      <w:r w:rsidRPr="00AA2ACE">
        <w:rPr>
          <w:rFonts w:ascii="David" w:hAnsi="David"/>
          <w:b/>
          <w:bCs/>
          <w:rtl/>
        </w:rPr>
        <w:t>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4E947FD8"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ועדת המנכ"לים להתמודדות עם הפשיעה והאלימות בחברה הערבית, ציינה, במסגרת הדו"ח המפורט שאותו פרסמה, שאחד המאפיינים של תופעת הפשיעה בחברה הערבית והגורמים לה הוא הימצאותם וזמינותם של כלי-נשק מסוגים שונים בקרב החברה הערבית בהיקפים גדולים מאוד. ההערכות מדברות על החזקה של עשרות ומאות אלפי כלי-נשק לא חוקיים; השימוש בכלים הללו פוגע קשות בביטחון האישי של האזרחים ובאמון בכוחות אכיפת החוק. עצם החזקת הנשק מגבירה את החשש לשימוש בו ומפגיעה בחיי-אדם, וכך גדל הביקוש הגובר בהתחמשות ובמספר מקרי הירי והרצח. הוועדה המליצה על העלאת רמת הענישה ובכך חיזוק אמון הציבור הערבי במדינה בכלל וברשויות האכיפה בפרט. דו"ח הוועדה אומץ במסגרת הצעת </w:t>
      </w:r>
      <w:hyperlink r:id="rId24" w:history="1">
        <w:r w:rsidR="008B4C03" w:rsidRPr="008B4C03">
          <w:rPr>
            <w:rFonts w:ascii="David" w:hAnsi="David"/>
            <w:b/>
            <w:bCs/>
            <w:color w:val="0000FF"/>
            <w:u w:val="single"/>
            <w:rtl/>
          </w:rPr>
          <w:t>חוק העונשין</w:t>
        </w:r>
      </w:hyperlink>
      <w:r w:rsidRPr="00AA2ACE">
        <w:rPr>
          <w:rFonts w:ascii="David" w:hAnsi="David"/>
          <w:b/>
          <w:bCs/>
          <w:rtl/>
        </w:rPr>
        <w:t xml:space="preserve"> (תיקון מס' 143) (עבירות בנשק), התשפ"ב-2021 (הצ"ח הממשלה 1466, יח' כסלו התשפ"ב, 22.11.2021). במסגרת תיקון 140 ל</w:t>
      </w:r>
      <w:hyperlink r:id="rId25" w:history="1">
        <w:r w:rsidR="008B4C03" w:rsidRPr="008B4C03">
          <w:rPr>
            <w:rFonts w:ascii="David" w:hAnsi="David"/>
            <w:b/>
            <w:bCs/>
            <w:color w:val="0000FF"/>
            <w:u w:val="single"/>
            <w:rtl/>
          </w:rPr>
          <w:t>חוק העונשין</w:t>
        </w:r>
      </w:hyperlink>
      <w:r w:rsidRPr="00AA2ACE">
        <w:rPr>
          <w:rFonts w:ascii="David" w:hAnsi="David"/>
          <w:b/>
          <w:bCs/>
          <w:rtl/>
        </w:rPr>
        <w:t xml:space="preserve"> (שנכנס בתוקף בהוראת שעה למשך שלוש שנים ביום 8.12.2021) אף אימצה כנסת ישראל את ההמלצות הללו.</w:t>
      </w:r>
    </w:p>
    <w:p w14:paraId="31F972D6"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הדברים ידועים וברורים. אין ביכולתן של רשויות האכיפה להגיע אל כל אחד ואחד ממחזיקי הנשק הבלתי חוקי מפאת כמותם והתנהלותם החשאית ומפאת מגבלותיהם הידועות והברורות. </w:t>
      </w:r>
    </w:p>
    <w:p w14:paraId="49B74EC3"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לפיכך, רק ענישה חמורה וכואבת, שתוטל על מתי המעט מן המעט, אשר נתפסים כשהם רוכשים, מחזיקים, נושאים ומובילים נשק, עשויה לשנות במשהו את מאזן-הכדאיות של מי ששוקל לעבור עבירות שכאלו. </w:t>
      </w:r>
    </w:p>
    <w:p w14:paraId="18557292"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הפיתוי לעבור את העבירות הללו הוא רב. למכירת נשק לא חוקי עשוי להילוות רווח נאה בשים לב למחיריו המאמירים כל העת; מחזיקי נשק נהנים מ"מעמד" ומיכולת לאיים ולהרתיע את הזולת. גורמי הפשע והטרור עושים בו שימוש תדיר להוצאה לפועל של פעולותיהם, תוך קיפוד חיי-אדם שוב ושוב (לעיתים גם כאלו שאינם קשורים כלל לסכסוך ואך נקלעו לקו האש שלא בטובתם).</w:t>
      </w:r>
    </w:p>
    <w:p w14:paraId="21191BD0"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הוראת השעה, אשר נחקקה זה מקרוב (הקובעת עונש מזערי לעבירות דוגמת זו שבעשייתה הורשע המשיב) איננה חלה בעניינו. עם זאת, רוחה שורה עלינו זה מכבר. אין היא אלא אמירה חקיקתית, המצהירה את המובן מאליו. הצהרות דוגמתה בוטאו פעם ועוד פעם בפסיקת בתי המשפט. </w:t>
      </w:r>
    </w:p>
    <w:p w14:paraId="5B4CCD0F"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לכל ברור, כי מיגור תופעת ההחזקה של אמל"ח בלתי-חוקי יוכל לצאת מגדר המילה הנאמרת או הנכתבת אל הפועל בעולם המציאות רק אם העבירות המרכיבות אותה יזכו להכרה כעבירות חמורות ומסוכנות, כאלו הראויות לעונש חמור ומכביד. </w:t>
      </w:r>
    </w:p>
    <w:p w14:paraId="2C6391C4"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העונש המרבי הקבוע לצד עבירה שעניינה החזקת נשק הוא 7 שנות מאסר. העונש המרבי איננו אות מתה בשיטתנו המשפטית. הוא מהווה סמן, אשר נשתל בידי המחוקק על גבי דפי ספר החוקים על-מנת לאותת לבית-המשפט מה עשוי להיות העונש הראוי להיות מוטל על העבריין במקרים החמורים. מובן, כי לא בכל מקרה הבא בפניו, על בית-המשפט להטיל את העונש המרבי. מתאימים לעניין זה דבריו של כב' השופט שטיין, שנכתבו במסגרתו של </w:t>
      </w:r>
      <w:hyperlink r:id="rId26" w:history="1">
        <w:r w:rsidR="008B4C03" w:rsidRPr="008B4C03">
          <w:rPr>
            <w:rFonts w:ascii="David" w:hAnsi="David"/>
            <w:b/>
            <w:bCs/>
            <w:color w:val="0000FF"/>
            <w:u w:val="single"/>
            <w:rtl/>
          </w:rPr>
          <w:t>ע"פ 2352/19</w:t>
        </w:r>
      </w:hyperlink>
      <w:r w:rsidRPr="00AA2ACE">
        <w:rPr>
          <w:rFonts w:ascii="David" w:hAnsi="David"/>
          <w:b/>
          <w:bCs/>
          <w:rtl/>
        </w:rPr>
        <w:t xml:space="preserve"> דנילוב נ' מדינת ישראל </w:t>
      </w:r>
      <w:r w:rsidRPr="00AA2ACE">
        <w:rPr>
          <w:rFonts w:ascii="David" w:hAnsi="David"/>
          <w:b/>
          <w:bCs/>
          <w:sz w:val="22"/>
          <w:rtl/>
        </w:rPr>
        <w:t xml:space="preserve">[פורסם בנבו] </w:t>
      </w:r>
      <w:r w:rsidRPr="00AA2ACE">
        <w:rPr>
          <w:rFonts w:ascii="David" w:hAnsi="David"/>
          <w:b/>
          <w:bCs/>
          <w:rtl/>
        </w:rPr>
        <w:t xml:space="preserve">(ניתן ביום 15.10.19) בציינו כדלהלן - </w:t>
      </w:r>
    </w:p>
    <w:p w14:paraId="02DBD377" w14:textId="77777777" w:rsidR="00D9537E" w:rsidRPr="00AA2ACE" w:rsidRDefault="00D9537E" w:rsidP="00D9537E">
      <w:pPr>
        <w:spacing w:after="120" w:line="360" w:lineRule="auto"/>
        <w:ind w:left="851" w:right="851"/>
        <w:jc w:val="both"/>
        <w:rPr>
          <w:rFonts w:ascii="David" w:hAnsi="David"/>
          <w:b/>
          <w:bCs/>
          <w:rtl/>
        </w:rPr>
      </w:pPr>
      <w:r w:rsidRPr="00AA2ACE">
        <w:rPr>
          <w:rFonts w:ascii="David" w:hAnsi="David"/>
          <w:b/>
          <w:bCs/>
          <w:rtl/>
        </w:rPr>
        <w:t>"...עונשי המקסימום הקבועים בצד עבירות אינם רק מגדירים את גבולה העליון של סמכות הענישה שבידי בתי המשפט, אלא גם מבטאים את עמדת המחוקק ביחס לחומרת העבירות. כפי שציינתי שם, בקבעו את עונשי מקסימום אלו המחוקק לא דיבר לריק – שומה עלינו להתאים את הענישה הנוהגת לעמדתו זו..".</w:t>
      </w:r>
    </w:p>
    <w:p w14:paraId="464C25BE"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הדברים בוודאי נכונים עת בתי-המשפט חוזרים ועומדים על מסוכנות תופעת עבירות הנשק;  על נזקן הרב; על היותן מכת מדינה; על הצורך למגרן ועל הקושי לעשות כן.</w:t>
      </w:r>
    </w:p>
    <w:p w14:paraId="7250B5A0"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במקרה שלפנינו, המשיב הורשע בהחזקת שני כלי-נשק, לא אחד. בשום שלב לא נשמעה מפיו או בשמו הצהרה, המסבירה מדוע החזיק בנשק? כיצד הגיע הנשק לרשותו? מה התכוון לעשות בנשק? כאשר עניין לנו בעבירה מסוג זה, אשר כורכת בחובה סכנה מוחשית לציבור, פועל יוצא של עשיית שימוש בנשק או בהפצתו, אזי אין להניח הנחות מקלות לזכות הנאשם. ואכן, בין אם התכוון המשיב לסחור בנשק, בין אם בחר להחזיקו לצורך שימוש פלילי או אחר, אין בכך כדי להוות טעם להקל עמו. </w:t>
      </w:r>
    </w:p>
    <w:p w14:paraId="1D54B689"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יותר מכך, עניין לנו כאן בכלי-נשק מסוג התקפי - תת-מקלע (ולא רק אחד אלא שניים). מקום בו עסקינן בכלי-נשק מסוג זה, נטל-ההסבר המוטל לפתחו של העבריין כבד יותר.</w:t>
      </w:r>
    </w:p>
    <w:p w14:paraId="55EB5F8A"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מזדהים אנו, אפוא עם טענות ב"כ המאשימה, שלפיהן, הגיעה השעה לעלות שלב נוסף במעלה המדורג בסולם הענישה המוטל על עבריינות הנשק. </w:t>
      </w:r>
    </w:p>
    <w:p w14:paraId="41BD0CB2"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יש לזכור, מדיניות הענישה הנוהגת היא אך אחד מהשיקולים המשמשים בידי בית המשפט בקביעת מתחם העונש, </w:t>
      </w:r>
      <w:r w:rsidRPr="00AA2ACE">
        <w:rPr>
          <w:rFonts w:ascii="David" w:hAnsi="David"/>
          <w:b/>
          <w:bCs/>
          <w:u w:val="single"/>
          <w:rtl/>
        </w:rPr>
        <w:t>לצד שיקולים נוספים</w:t>
      </w:r>
      <w:r w:rsidRPr="00AA2ACE">
        <w:rPr>
          <w:rFonts w:ascii="David" w:hAnsi="David"/>
          <w:b/>
          <w:bCs/>
          <w:rtl/>
        </w:rPr>
        <w:t xml:space="preserve"> הכוללים בין היתר, את </w:t>
      </w:r>
      <w:r w:rsidRPr="00AA2ACE">
        <w:rPr>
          <w:rFonts w:ascii="David" w:hAnsi="David"/>
          <w:b/>
          <w:bCs/>
          <w:u w:val="single"/>
          <w:rtl/>
        </w:rPr>
        <w:t>רמת הפגיעה בערכים המוגנים</w:t>
      </w:r>
      <w:r w:rsidRPr="00AA2ACE">
        <w:rPr>
          <w:rFonts w:ascii="David" w:hAnsi="David"/>
          <w:b/>
          <w:bCs/>
          <w:rtl/>
        </w:rPr>
        <w:t xml:space="preserve"> ונסיבות הקשורות בביצוע העבירה (ראו למשל: </w:t>
      </w:r>
      <w:hyperlink r:id="rId27" w:history="1">
        <w:r w:rsidR="008B4C03" w:rsidRPr="008B4C03">
          <w:rPr>
            <w:rFonts w:ascii="David" w:hAnsi="David"/>
            <w:b/>
            <w:bCs/>
            <w:color w:val="0000FF"/>
            <w:u w:val="single"/>
            <w:rtl/>
          </w:rPr>
          <w:t>ע"פ 9954/17</w:t>
        </w:r>
      </w:hyperlink>
      <w:r w:rsidRPr="00AA2ACE">
        <w:rPr>
          <w:rFonts w:ascii="David" w:hAnsi="David"/>
          <w:b/>
          <w:bCs/>
          <w:rtl/>
        </w:rPr>
        <w:t xml:space="preserve"> זילברשטיין נ' מדינת ישראל, פסקה 9 </w:t>
      </w:r>
      <w:r w:rsidRPr="00AA2ACE">
        <w:rPr>
          <w:rFonts w:ascii="David" w:hAnsi="David"/>
          <w:b/>
          <w:bCs/>
          <w:sz w:val="22"/>
          <w:rtl/>
        </w:rPr>
        <w:t xml:space="preserve">[פורסם בנבו] </w:t>
      </w:r>
      <w:r w:rsidRPr="00AA2ACE">
        <w:rPr>
          <w:rFonts w:ascii="David" w:hAnsi="David"/>
          <w:b/>
          <w:bCs/>
          <w:rtl/>
        </w:rPr>
        <w:t xml:space="preserve">(ניתן ביום 22.4.18). </w:t>
      </w:r>
    </w:p>
    <w:p w14:paraId="0C9CE128"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 xml:space="preserve">לצד זאת אעיר, כי </w:t>
      </w:r>
      <w:r w:rsidRPr="00AA2ACE">
        <w:rPr>
          <w:rFonts w:ascii="David" w:hAnsi="David"/>
          <w:b/>
          <w:bCs/>
          <w:u w:val="single"/>
          <w:rtl/>
        </w:rPr>
        <w:t>אך לפני מספר ימים</w:t>
      </w:r>
      <w:r w:rsidRPr="00AA2ACE">
        <w:rPr>
          <w:rFonts w:ascii="David" w:hAnsi="David"/>
          <w:b/>
          <w:bCs/>
          <w:rtl/>
        </w:rPr>
        <w:t xml:space="preserve">, במסגרתו </w:t>
      </w:r>
      <w:hyperlink r:id="rId28" w:history="1">
        <w:r w:rsidR="008B4C03" w:rsidRPr="008B4C03">
          <w:rPr>
            <w:rFonts w:ascii="David" w:hAnsi="David"/>
            <w:b/>
            <w:bCs/>
            <w:color w:val="0000FF"/>
            <w:u w:val="single"/>
            <w:rtl/>
          </w:rPr>
          <w:t>ע"פ 1695/22</w:t>
        </w:r>
      </w:hyperlink>
      <w:r w:rsidRPr="00AA2ACE">
        <w:rPr>
          <w:rFonts w:ascii="David" w:hAnsi="David"/>
          <w:b/>
          <w:bCs/>
          <w:rtl/>
        </w:rPr>
        <w:t xml:space="preserve"> </w:t>
      </w:r>
      <w:r w:rsidRPr="00AA2ACE">
        <w:rPr>
          <w:rFonts w:ascii="David" w:hAnsi="David" w:hint="cs"/>
          <w:b/>
          <w:bCs/>
          <w:u w:val="single"/>
          <w:rtl/>
        </w:rPr>
        <w:t xml:space="preserve">מדינת ישראל נ' גנאים ואח' </w:t>
      </w:r>
      <w:r w:rsidRPr="00AA2ACE">
        <w:rPr>
          <w:rFonts w:ascii="David" w:hAnsi="David"/>
          <w:b/>
          <w:bCs/>
          <w:sz w:val="22"/>
          <w:rtl/>
        </w:rPr>
        <w:t xml:space="preserve">[פורסם בנבו] </w:t>
      </w:r>
      <w:r w:rsidRPr="00AA2ACE">
        <w:rPr>
          <w:rFonts w:ascii="David" w:hAnsi="David"/>
          <w:b/>
          <w:bCs/>
          <w:rtl/>
        </w:rPr>
        <w:t>(ניתן ביום 29.3.22) שהוזכר לעיל, שב ועמד בית – המשפט העליון על "החומרה היתרה שיש לעבירות נשק, אשר הפכו זה מכבר למכת מדינה, ושמאיימות באופן ממשי על שלום הציבור ועל ביטחונו". בית –המשפט העליון הצהיר במסגרת הפרשה הנ"ל , כי "ניכרת בפסיקה מגמה עקבית של החמרה בענישה הנוהגת כלפי מבצעי עבירות נשק במטרה לשדר מסר מרתיע מפני ביצוען". אמנם במסגרת פרשה זו, תיקון 140 ל</w:t>
      </w:r>
      <w:hyperlink r:id="rId29" w:history="1">
        <w:r w:rsidR="008B4C03" w:rsidRPr="008B4C03">
          <w:rPr>
            <w:rFonts w:ascii="David" w:hAnsi="David"/>
            <w:b/>
            <w:bCs/>
            <w:color w:val="0000FF"/>
            <w:u w:val="single"/>
            <w:rtl/>
          </w:rPr>
          <w:t>חוק העונשין</w:t>
        </w:r>
      </w:hyperlink>
      <w:r w:rsidRPr="00AA2ACE">
        <w:rPr>
          <w:rFonts w:ascii="David" w:hAnsi="David"/>
          <w:b/>
          <w:bCs/>
          <w:rtl/>
        </w:rPr>
        <w:t xml:space="preserve"> לא חל על עניינם של המשיבים. חרף האמור, באותו מקרה מצא לנכון בית – המשפט להחמיר בענישה תוך שימת דגש על כך שערכאת הערעור אינה ממצה את חומרת הדין) וכאשר מובאים בחשבון את השיקולים הבאים – "מדיניות ההחמרה בענישה, היות הנשק ארוך, אוטומטי ובעל פוטנציאל קטלני גבוה וכן את נסיבות ביצוע העבירה". </w:t>
      </w:r>
    </w:p>
    <w:p w14:paraId="797682DC" w14:textId="77777777" w:rsidR="00D9537E" w:rsidRPr="00AA2ACE" w:rsidRDefault="00D9537E" w:rsidP="00D9537E">
      <w:pPr>
        <w:spacing w:after="120" w:line="360" w:lineRule="auto"/>
        <w:ind w:left="567" w:right="567"/>
        <w:jc w:val="both"/>
        <w:rPr>
          <w:rFonts w:ascii="David" w:hAnsi="David"/>
          <w:b/>
          <w:bCs/>
          <w:u w:val="single"/>
          <w:rtl/>
        </w:rPr>
      </w:pPr>
      <w:r w:rsidRPr="00AA2ACE">
        <w:rPr>
          <w:rFonts w:ascii="David" w:hAnsi="David"/>
          <w:b/>
          <w:bCs/>
          <w:rtl/>
        </w:rPr>
        <w:t>דומה "</w:t>
      </w:r>
      <w:r w:rsidRPr="00AA2ACE">
        <w:rPr>
          <w:rFonts w:ascii="David" w:hAnsi="David"/>
          <w:b/>
          <w:bCs/>
          <w:u w:val="single"/>
          <w:rtl/>
        </w:rPr>
        <w:t>שרוחה"</w:t>
      </w:r>
      <w:r w:rsidRPr="00AA2ACE">
        <w:rPr>
          <w:rFonts w:ascii="David" w:hAnsi="David"/>
          <w:b/>
          <w:bCs/>
          <w:rtl/>
        </w:rPr>
        <w:t xml:space="preserve"> של הפסיקה של בית – המשפט העליון חייבת לשרות גם על העניין המונח לפנינו.  </w:t>
      </w:r>
    </w:p>
    <w:p w14:paraId="52872F20" w14:textId="77777777" w:rsidR="00D9537E" w:rsidRPr="00AA2ACE" w:rsidRDefault="00D9537E" w:rsidP="00D9537E">
      <w:pPr>
        <w:spacing w:after="120" w:line="360" w:lineRule="auto"/>
        <w:ind w:left="567" w:right="567"/>
        <w:jc w:val="both"/>
        <w:rPr>
          <w:rFonts w:ascii="David" w:hAnsi="David"/>
          <w:b/>
          <w:bCs/>
          <w:rtl/>
        </w:rPr>
      </w:pPr>
      <w:r>
        <w:rPr>
          <w:rFonts w:ascii="David" w:hAnsi="David" w:hint="cs"/>
          <w:b/>
          <w:bCs/>
          <w:rtl/>
        </w:rPr>
        <w:t>...</w:t>
      </w:r>
    </w:p>
    <w:p w14:paraId="2727CC8C" w14:textId="77777777" w:rsidR="00D9537E" w:rsidRPr="00AA2ACE" w:rsidRDefault="00D9537E" w:rsidP="00D9537E">
      <w:pPr>
        <w:spacing w:after="120" w:line="360" w:lineRule="auto"/>
        <w:ind w:left="567" w:right="567"/>
        <w:jc w:val="both"/>
        <w:rPr>
          <w:rFonts w:ascii="David" w:hAnsi="David"/>
          <w:b/>
          <w:bCs/>
          <w:rtl/>
        </w:rPr>
      </w:pPr>
      <w:r w:rsidRPr="00AA2ACE">
        <w:rPr>
          <w:rFonts w:ascii="David" w:hAnsi="David"/>
          <w:b/>
          <w:bCs/>
          <w:rtl/>
        </w:rPr>
        <w:t>ראוי להמשיך במגמת ההחמרה בענישה וליישמה גם במקרה שלפנינו כך שייאמר בקול חד וברור, כי כל המעורב בעבירות נשק שלא כחוק: מי שרוכשם, מי שסוחר בהם, מובילם, נושאם או משתמש בהם יישא בגין כך במלוא חומרת הדין. אולי כך יופר מאזן הכדאיות של העבריינים והחזקת נשק בלתי – חוקי (בשים לב לסיכוי להיתפס בגינה) תה</w:t>
      </w:r>
      <w:r>
        <w:rPr>
          <w:rFonts w:ascii="David" w:hAnsi="David"/>
          <w:b/>
          <w:bCs/>
          <w:rtl/>
        </w:rPr>
        <w:t>פוך להיות מסוכנת ובלתי – כדאית.</w:t>
      </w:r>
      <w:r w:rsidRPr="00AA2ACE">
        <w:rPr>
          <w:rFonts w:ascii="David" w:hAnsi="David"/>
          <w:b/>
          <w:bCs/>
          <w:rtl/>
        </w:rPr>
        <w:t xml:space="preserve"> </w:t>
      </w:r>
    </w:p>
    <w:p w14:paraId="3CDEDC3E" w14:textId="77777777" w:rsidR="00D9537E" w:rsidRDefault="00D9537E" w:rsidP="00D9537E">
      <w:pPr>
        <w:spacing w:after="120" w:line="360" w:lineRule="auto"/>
        <w:jc w:val="both"/>
        <w:rPr>
          <w:rtl/>
        </w:rPr>
      </w:pPr>
      <w:r>
        <w:rPr>
          <w:rFonts w:hint="cs"/>
          <w:rtl/>
        </w:rPr>
        <w:t>ר'</w:t>
      </w:r>
      <w:r w:rsidRPr="002C5029">
        <w:rPr>
          <w:rtl/>
        </w:rPr>
        <w:t xml:space="preserve"> גם פסק דינו של בית המשפט המחוזי בנצרת ב</w:t>
      </w:r>
      <w:hyperlink r:id="rId30" w:history="1">
        <w:r w:rsidR="008B4C03" w:rsidRPr="008B4C03">
          <w:rPr>
            <w:color w:val="0000FF"/>
            <w:u w:val="single"/>
            <w:rtl/>
          </w:rPr>
          <w:t>עפ"ג 2024-04-21</w:t>
        </w:r>
      </w:hyperlink>
      <w:r w:rsidRPr="002C5029">
        <w:rPr>
          <w:rtl/>
        </w:rPr>
        <w:t xml:space="preserve"> מדינת ישראל נ' מנדורי, שם נקבע </w:t>
      </w:r>
      <w:r w:rsidRPr="001C650B">
        <w:rPr>
          <w:rFonts w:hint="cs"/>
          <w:u w:val="single"/>
          <w:rtl/>
        </w:rPr>
        <w:t>בנסיבות דומות מאוד</w:t>
      </w:r>
      <w:r w:rsidRPr="002C5029">
        <w:rPr>
          <w:rFonts w:hint="cs"/>
          <w:rtl/>
        </w:rPr>
        <w:t xml:space="preserve">, </w:t>
      </w:r>
      <w:r w:rsidRPr="002C5029">
        <w:rPr>
          <w:rtl/>
        </w:rPr>
        <w:t>כי מתחם העונש ההולם בגין החזקה של רובה "אייר סופט" דמוי</w:t>
      </w:r>
      <w:r w:rsidRPr="002C5029">
        <w:rPr>
          <w:rFonts w:hint="cs"/>
          <w:rtl/>
        </w:rPr>
        <w:t xml:space="preserve"> 16</w:t>
      </w:r>
      <w:r w:rsidRPr="002C5029">
        <w:t>M</w:t>
      </w:r>
      <w:r w:rsidRPr="002C5029">
        <w:rPr>
          <w:rtl/>
        </w:rPr>
        <w:t xml:space="preserve"> שהוסב לירי תחמושת חיה הוא מאסר לתקופה שבין 18 ל- </w:t>
      </w:r>
      <w:r w:rsidRPr="002C5029">
        <w:rPr>
          <w:rFonts w:hint="cs"/>
          <w:rtl/>
        </w:rPr>
        <w:t>3</w:t>
      </w:r>
      <w:r w:rsidRPr="002C5029">
        <w:rPr>
          <w:rtl/>
        </w:rPr>
        <w:t>6 חודשים</w:t>
      </w:r>
      <w:r>
        <w:rPr>
          <w:rFonts w:hint="cs"/>
          <w:rtl/>
        </w:rPr>
        <w:t>,</w:t>
      </w:r>
      <w:r w:rsidRPr="002C5029">
        <w:rPr>
          <w:rtl/>
        </w:rPr>
        <w:t xml:space="preserve"> ו</w:t>
      </w:r>
      <w:r>
        <w:rPr>
          <w:rFonts w:hint="cs"/>
          <w:rtl/>
        </w:rPr>
        <w:t xml:space="preserve">כן ראו </w:t>
      </w:r>
      <w:r w:rsidRPr="002C5029">
        <w:rPr>
          <w:rtl/>
        </w:rPr>
        <w:t>את הפסיקה הרבה אשר נסקרה שם.</w:t>
      </w:r>
    </w:p>
    <w:p w14:paraId="4CB41801" w14:textId="77777777" w:rsidR="00D9537E" w:rsidRDefault="00D9537E" w:rsidP="00D9537E">
      <w:pPr>
        <w:spacing w:after="120" w:line="360" w:lineRule="auto"/>
        <w:jc w:val="both"/>
        <w:rPr>
          <w:rtl/>
        </w:rPr>
      </w:pPr>
      <w:r>
        <w:rPr>
          <w:rFonts w:hint="cs"/>
          <w:rtl/>
        </w:rPr>
        <w:t>נתון נוסף אותו אביא בחשבון הוא תיקון 140 ל</w:t>
      </w:r>
      <w:hyperlink r:id="rId31" w:history="1">
        <w:r w:rsidR="008B4C03" w:rsidRPr="008B4C03">
          <w:rPr>
            <w:color w:val="0000FF"/>
            <w:u w:val="single"/>
            <w:rtl/>
          </w:rPr>
          <w:t>חוק העונשין</w:t>
        </w:r>
      </w:hyperlink>
      <w:r>
        <w:rPr>
          <w:rFonts w:hint="cs"/>
          <w:rtl/>
        </w:rPr>
        <w:t xml:space="preserve">, הקובע עונש מזערי של 21 חודשי מאסר בצד העבירה בה הורשע הנאשם. אכן, כפי שציין ב"כ הנאשם, ניתן להטיל חלק מהעונש המזערי גם בדרך של מאסר מותנה, אך הוראת המחוקק היא להחמיר עם מבצעיהן של עבירות נשק, והדרך ליישם הוראה זו איננה בהטלת עונש שעיקרו מותנה. ר' בהקשר זה </w:t>
      </w:r>
      <w:r>
        <w:rPr>
          <w:rtl/>
        </w:rPr>
        <w:t>ע"פ 207/14, פלוני נ' מדינת ישראל, 1.2.15, הש' ג'בראן</w:t>
      </w:r>
      <w:r>
        <w:rPr>
          <w:rFonts w:hint="cs"/>
          <w:rtl/>
        </w:rPr>
        <w:t xml:space="preserve">, שם נפסק (ביחס </w:t>
      </w:r>
      <w:hyperlink r:id="rId32" w:history="1">
        <w:r w:rsidR="00A65C80" w:rsidRPr="00A65C80">
          <w:rPr>
            <w:rStyle w:val="Hyperlink"/>
            <w:rFonts w:hint="eastAsia"/>
            <w:rtl/>
          </w:rPr>
          <w:t>לסע</w:t>
        </w:r>
        <w:r w:rsidR="00A65C80" w:rsidRPr="00A65C80">
          <w:rPr>
            <w:rStyle w:val="Hyperlink"/>
            <w:rtl/>
          </w:rPr>
          <w:t>' 355</w:t>
        </w:r>
      </w:hyperlink>
      <w:r>
        <w:rPr>
          <w:rFonts w:hint="cs"/>
          <w:rtl/>
        </w:rPr>
        <w:t xml:space="preserve"> ל</w:t>
      </w:r>
      <w:hyperlink r:id="rId33" w:history="1">
        <w:r w:rsidR="008B4C03" w:rsidRPr="008B4C03">
          <w:rPr>
            <w:color w:val="0000FF"/>
            <w:u w:val="single"/>
            <w:rtl/>
          </w:rPr>
          <w:t>חוק העונשין</w:t>
        </w:r>
      </w:hyperlink>
      <w:r>
        <w:rPr>
          <w:rFonts w:hint="cs"/>
          <w:rtl/>
        </w:rPr>
        <w:t xml:space="preserve">, הקובע עונש מזערי ביחס לעבירות מין, וניסוחו דומה לזה של </w:t>
      </w:r>
      <w:hyperlink r:id="rId34" w:history="1">
        <w:r w:rsidR="00A65C80" w:rsidRPr="00A65C80">
          <w:rPr>
            <w:rStyle w:val="Hyperlink"/>
            <w:rFonts w:hint="eastAsia"/>
            <w:rtl/>
          </w:rPr>
          <w:t>סע</w:t>
        </w:r>
        <w:r w:rsidR="00A65C80" w:rsidRPr="00A65C80">
          <w:rPr>
            <w:rStyle w:val="Hyperlink"/>
            <w:rtl/>
          </w:rPr>
          <w:t>' 144(ז)</w:t>
        </w:r>
      </w:hyperlink>
      <w:r>
        <w:rPr>
          <w:rFonts w:hint="cs"/>
          <w:rtl/>
        </w:rPr>
        <w:t xml:space="preserve"> לחוק העונשין:</w:t>
      </w:r>
    </w:p>
    <w:p w14:paraId="3409C444" w14:textId="77777777" w:rsidR="00D9537E" w:rsidRDefault="00D9537E" w:rsidP="00D9537E">
      <w:pPr>
        <w:spacing w:after="120" w:line="360" w:lineRule="auto"/>
        <w:ind w:left="567" w:right="567"/>
        <w:jc w:val="both"/>
        <w:rPr>
          <w:rFonts w:ascii="Arial" w:hAnsi="Arial"/>
          <w:b/>
          <w:bCs/>
          <w:rtl/>
        </w:rPr>
      </w:pPr>
      <w:r>
        <w:rPr>
          <w:rFonts w:ascii="Arial" w:hAnsi="Arial"/>
          <w:b/>
          <w:bCs/>
          <w:rtl/>
        </w:rPr>
        <w:t>14.</w:t>
      </w:r>
      <w:r>
        <w:rPr>
          <w:rFonts w:ascii="Arial" w:hAnsi="Arial"/>
          <w:b/>
          <w:bCs/>
          <w:rtl/>
        </w:rPr>
        <w:tab/>
        <w:t xml:space="preserve">אשר לטענת המערער בדבר היחס שבין תיקון 113 לחוק ובין העונשים המזעריים בחוק, הרי שאף ללא העונש המזערי הקבוע בחוק לעבירת מעשה מגונה, בנסיבות המקרה ראוי היה לקבוע מתחם ענישה חמור, כפי שקבע בית המשפט המחוזי. שני הצדדים הפנו לפסיקות בהן נקבעו מתחמים נמוכים וגבוהים כאחד, ובסופו של יום, קביעת המתחם תלויה בנסיבות המקרה הספציפי. על אף שאני סבור כי די בנסיבות המקרה כדי לקבוע את המתחם אשר נקבע, אדרש לשאלת היחס הראוי שבין תיקון 113 לחוק ובין העונשים המזעריים הקבועים בו. </w:t>
      </w:r>
      <w:r w:rsidRPr="008B4C03">
        <w:rPr>
          <w:rFonts w:ascii="Arial" w:hAnsi="Arial"/>
          <w:b/>
          <w:bCs/>
          <w:color w:val="000000"/>
          <w:rtl/>
        </w:rPr>
        <w:t>סעיף 355(א)</w:t>
      </w:r>
      <w:r>
        <w:rPr>
          <w:rFonts w:ascii="Arial" w:hAnsi="Arial"/>
          <w:b/>
          <w:bCs/>
          <w:rtl/>
        </w:rPr>
        <w:t xml:space="preserve"> </w:t>
      </w:r>
      <w:r>
        <w:rPr>
          <w:rFonts w:ascii="Arial" w:hAnsi="Arial" w:hint="cs"/>
          <w:b/>
          <w:bCs/>
          <w:rtl/>
        </w:rPr>
        <w:t xml:space="preserve">לחוק קובע עונש מרבי לעבירת המעשה המגונה של עשר שנות מאסר. לצד זאת, נקבע עונש מזערי של רבע מהעונש המרבי, אשר לא יפחת למעט בשל טעמים מיוחדים שיירשמו. תיקון 113 לחוק מנחה את בית המשפט לקבוע מתחם עונש הולם ובתוכו למקם את הנאשם בהתאם לנסיבותיו. חברי השופט נ' הנדל התייחס לא מזמן להתנגשות האפשרית בין קביעת המתחם לפי תיקון 113 לחוק לבין קיומי של עונש מזערי לפי </w:t>
      </w:r>
      <w:r w:rsidRPr="008B4C03">
        <w:rPr>
          <w:rFonts w:ascii="Arial" w:hAnsi="Arial"/>
          <w:b/>
          <w:bCs/>
          <w:color w:val="000000"/>
          <w:rtl/>
        </w:rPr>
        <w:t>סעיף 355(א)</w:t>
      </w:r>
      <w:r>
        <w:rPr>
          <w:rFonts w:ascii="Arial" w:hAnsi="Arial"/>
          <w:b/>
          <w:bCs/>
          <w:rtl/>
        </w:rPr>
        <w:t xml:space="preserve"> </w:t>
      </w:r>
      <w:r>
        <w:rPr>
          <w:rFonts w:ascii="Arial" w:hAnsi="Arial" w:hint="cs"/>
          <w:b/>
          <w:bCs/>
          <w:rtl/>
        </w:rPr>
        <w:t>לחוק (</w:t>
      </w:r>
      <w:r w:rsidRPr="008B4C03">
        <w:rPr>
          <w:rFonts w:ascii="Arial" w:hAnsi="Arial"/>
          <w:b/>
          <w:bCs/>
          <w:color w:val="000000"/>
          <w:rtl/>
        </w:rPr>
        <w:t xml:space="preserve">ע"פ </w:t>
      </w:r>
      <w:hyperlink r:id="rId35" w:history="1">
        <w:r w:rsidR="00E155DC" w:rsidRPr="00E155DC">
          <w:rPr>
            <w:rFonts w:ascii="Arial" w:hAnsi="Arial"/>
            <w:b/>
            <w:bCs/>
            <w:color w:val="0000FF"/>
            <w:u w:val="single"/>
            <w:rtl/>
          </w:rPr>
          <w:t xml:space="preserve">337/13 </w:t>
        </w:r>
      </w:hyperlink>
      <w:r>
        <w:rPr>
          <w:rFonts w:ascii="Arial" w:hAnsi="Arial"/>
          <w:b/>
          <w:bCs/>
          <w:rtl/>
        </w:rPr>
        <w:t xml:space="preserve"> </w:t>
      </w:r>
      <w:r>
        <w:rPr>
          <w:rFonts w:ascii="Arial" w:hAnsi="Arial" w:hint="cs"/>
          <w:b/>
          <w:bCs/>
          <w:rtl/>
        </w:rPr>
        <w:t>פלוני נ' מדינת ישראל, [פורסם בנבו] פסקה 13 (9.9.2013) (להלן: עניין פלוני)). השופט נ' הנדל קבע כי ברובד הכללי, ידו של העונש המזערי על העליונה. עם זאת צוין, כי גם ברובד הכללי קיים ריכוך בקביעה זו, שכן, על-פי החוק, במקרה הפרטני ניתן לחרוג לקולה הן מהמתחם והן מהעונש המזערי, ככל שישנן נסיבות מיוחדות.</w:t>
      </w:r>
    </w:p>
    <w:p w14:paraId="75BB3FBD" w14:textId="77777777" w:rsidR="00D9537E" w:rsidRDefault="00D9537E" w:rsidP="00D9537E">
      <w:pPr>
        <w:spacing w:after="120" w:line="360" w:lineRule="auto"/>
        <w:ind w:left="567" w:right="567"/>
        <w:jc w:val="both"/>
        <w:rPr>
          <w:rFonts w:ascii="Arial" w:hAnsi="Arial"/>
          <w:b/>
          <w:bCs/>
          <w:rtl/>
        </w:rPr>
      </w:pPr>
      <w:r>
        <w:rPr>
          <w:rFonts w:ascii="Arial" w:hAnsi="Arial"/>
          <w:b/>
          <w:bCs/>
          <w:rtl/>
        </w:rPr>
        <w:t>15.</w:t>
      </w:r>
      <w:r>
        <w:rPr>
          <w:rFonts w:ascii="Arial" w:hAnsi="Arial"/>
          <w:b/>
          <w:bCs/>
          <w:rtl/>
        </w:rPr>
        <w:tab/>
        <w:t xml:space="preserve">אכן, אני סבור כי העונשים המזעריים מהווים מדד לחשיבותו של הערך הנפגע ולמידת הפגיעה בו, ועל כן יש לתת להם משקל בכורה בקביעת מתחם העונש ההולם. רק במקרים חריגים, בהם מתעוררים טעמים מיוחדים להקל עם הרף התחתון של המתחם, יהיה ראוי לסטות מהעונש המזערי. כאמור, איני סבור כי במקרה שלפנינו מתעוררים טעמים מיוחדים, ואדרבא, לנוכח תסקירי שירות המבחן ניכר כי מצבו של המערער אינו מצדיק הקלה בקביעת המתחם, או בעונשו. </w:t>
      </w:r>
    </w:p>
    <w:p w14:paraId="2B892A1A" w14:textId="77777777" w:rsidR="00D9537E" w:rsidRDefault="00D9537E" w:rsidP="00D9537E">
      <w:pPr>
        <w:spacing w:after="120" w:line="360" w:lineRule="auto"/>
        <w:jc w:val="both"/>
        <w:rPr>
          <w:rtl/>
        </w:rPr>
      </w:pPr>
      <w:r w:rsidRPr="002C5029">
        <w:rPr>
          <w:rtl/>
        </w:rPr>
        <w:t xml:space="preserve">בקביעת מתחם העונש אביא בחשבון את חומרת מעשיו של הנאשם, המתבטאת </w:t>
      </w:r>
      <w:r w:rsidRPr="002C5029">
        <w:rPr>
          <w:rFonts w:hint="cs"/>
          <w:rtl/>
        </w:rPr>
        <w:t>ב</w:t>
      </w:r>
      <w:r w:rsidRPr="002C5029">
        <w:rPr>
          <w:rtl/>
        </w:rPr>
        <w:t xml:space="preserve">אופן ההחזקה (בבית מגורים), הצורך </w:t>
      </w:r>
      <w:r>
        <w:rPr>
          <w:rtl/>
        </w:rPr>
        <w:t>להרתיע מפני ביצוע עבירות דומות</w:t>
      </w:r>
      <w:r>
        <w:rPr>
          <w:rFonts w:hint="cs"/>
          <w:rtl/>
        </w:rPr>
        <w:t xml:space="preserve">, </w:t>
      </w:r>
      <w:r w:rsidRPr="002C5029">
        <w:rPr>
          <w:rtl/>
        </w:rPr>
        <w:t>רמת הענישה הנוהגת, כפי שצוטטה למעלה</w:t>
      </w:r>
      <w:r w:rsidRPr="002C5029">
        <w:rPr>
          <w:rFonts w:hint="cs"/>
          <w:rtl/>
        </w:rPr>
        <w:t xml:space="preserve"> וכפי שנסקרה </w:t>
      </w:r>
      <w:hyperlink r:id="rId36" w:history="1">
        <w:r w:rsidR="008B4C03" w:rsidRPr="008B4C03">
          <w:rPr>
            <w:color w:val="0000FF"/>
            <w:u w:val="single"/>
            <w:rtl/>
          </w:rPr>
          <w:t>עפ"ג 2024-04-21</w:t>
        </w:r>
      </w:hyperlink>
      <w:r w:rsidRPr="002C5029">
        <w:rPr>
          <w:rFonts w:hint="cs"/>
          <w:rtl/>
        </w:rPr>
        <w:t xml:space="preserve"> הנ"ל</w:t>
      </w:r>
      <w:r>
        <w:rPr>
          <w:rFonts w:hint="cs"/>
          <w:rtl/>
        </w:rPr>
        <w:t xml:space="preserve"> </w:t>
      </w:r>
      <w:r>
        <w:rPr>
          <w:rtl/>
        </w:rPr>
        <w:t>–</w:t>
      </w:r>
      <w:r>
        <w:rPr>
          <w:rFonts w:hint="cs"/>
          <w:rtl/>
        </w:rPr>
        <w:t xml:space="preserve"> וכן אביא בחשבון כי לאחר שניתן פסק הדין האמור נקבע בצידה של העבירה עונש מזערי</w:t>
      </w:r>
      <w:r w:rsidRPr="002C5029">
        <w:rPr>
          <w:rtl/>
        </w:rPr>
        <w:t xml:space="preserve">. </w:t>
      </w:r>
      <w:r>
        <w:rPr>
          <w:rFonts w:hint="cs"/>
          <w:rtl/>
        </w:rPr>
        <w:t>עם זאת, אביא בחשבון כי מדובר בנשק מאולתר, שאין לפני נתונים ביחס אליו.</w:t>
      </w:r>
    </w:p>
    <w:p w14:paraId="4820E569" w14:textId="77777777" w:rsidR="00D9537E" w:rsidRDefault="00D9537E" w:rsidP="00D9537E">
      <w:pPr>
        <w:spacing w:after="120" w:line="360" w:lineRule="auto"/>
        <w:jc w:val="both"/>
        <w:rPr>
          <w:rtl/>
        </w:rPr>
      </w:pPr>
      <w:r>
        <w:rPr>
          <w:rFonts w:hint="cs"/>
          <w:rtl/>
        </w:rPr>
        <w:t xml:space="preserve">יש טעם בטיעונו של ב"כ הנאשם, כי כאשר מחמירים את רמת הענישה יש לעשות כן באופן הדרגתי, אך מגמת ההחמרה בעבירות הנשק עולה מפסיקת בית המשפט העליון מזה מספר שנים, וחקיקת </w:t>
      </w:r>
      <w:hyperlink r:id="rId37" w:history="1">
        <w:r w:rsidR="00A65C80" w:rsidRPr="00A65C80">
          <w:rPr>
            <w:rStyle w:val="Hyperlink"/>
            <w:rFonts w:hint="eastAsia"/>
            <w:rtl/>
          </w:rPr>
          <w:t>סע</w:t>
        </w:r>
        <w:r w:rsidR="00A65C80" w:rsidRPr="00A65C80">
          <w:rPr>
            <w:rStyle w:val="Hyperlink"/>
            <w:rtl/>
          </w:rPr>
          <w:t>' 144(ז)</w:t>
        </w:r>
      </w:hyperlink>
      <w:r>
        <w:rPr>
          <w:rFonts w:hint="cs"/>
          <w:rtl/>
        </w:rPr>
        <w:t xml:space="preserve"> ל</w:t>
      </w:r>
      <w:hyperlink r:id="rId38" w:history="1">
        <w:r w:rsidR="008B4C03" w:rsidRPr="008B4C03">
          <w:rPr>
            <w:color w:val="0000FF"/>
            <w:u w:val="single"/>
            <w:rtl/>
          </w:rPr>
          <w:t>חוק העונשין</w:t>
        </w:r>
      </w:hyperlink>
      <w:r>
        <w:rPr>
          <w:rFonts w:hint="cs"/>
          <w:rtl/>
        </w:rPr>
        <w:t xml:space="preserve"> (במסגרת תיקון 140 לחוק), באה - בין היתר - על רקע מגמה זו.</w:t>
      </w:r>
    </w:p>
    <w:p w14:paraId="310DCF4D" w14:textId="77777777" w:rsidR="00D9537E" w:rsidRPr="002C5029" w:rsidRDefault="00D9537E" w:rsidP="00D9537E">
      <w:pPr>
        <w:spacing w:after="120" w:line="360" w:lineRule="auto"/>
        <w:jc w:val="both"/>
        <w:rPr>
          <w:rtl/>
        </w:rPr>
      </w:pPr>
      <w:r w:rsidRPr="002C5029">
        <w:rPr>
          <w:rtl/>
        </w:rPr>
        <w:t xml:space="preserve">בשים לב לכל אלה, מתחם העונש ההולם את המעשים הוא מאסר, לתקופה שבין </w:t>
      </w:r>
      <w:r>
        <w:rPr>
          <w:rFonts w:hint="cs"/>
          <w:rtl/>
        </w:rPr>
        <w:t>עשרים חודשי מאסר</w:t>
      </w:r>
      <w:r w:rsidRPr="002C5029">
        <w:rPr>
          <w:rFonts w:hint="cs"/>
          <w:rtl/>
        </w:rPr>
        <w:t xml:space="preserve"> ועד </w:t>
      </w:r>
      <w:r>
        <w:rPr>
          <w:rFonts w:hint="cs"/>
          <w:rtl/>
        </w:rPr>
        <w:t>ארבעים ושניים חודשים</w:t>
      </w:r>
      <w:r w:rsidRPr="002C5029">
        <w:rPr>
          <w:rFonts w:hint="cs"/>
          <w:rtl/>
        </w:rPr>
        <w:t xml:space="preserve"> </w:t>
      </w:r>
      <w:r w:rsidRPr="002C5029">
        <w:rPr>
          <w:rtl/>
        </w:rPr>
        <w:t>ועונשים נלווים.</w:t>
      </w:r>
    </w:p>
    <w:p w14:paraId="79D694DC" w14:textId="77777777" w:rsidR="00D9537E" w:rsidRPr="0089285E" w:rsidRDefault="00D9537E" w:rsidP="00D9537E">
      <w:pPr>
        <w:spacing w:after="120" w:line="360" w:lineRule="auto"/>
        <w:jc w:val="both"/>
        <w:rPr>
          <w:b/>
          <w:bCs/>
          <w:rtl/>
        </w:rPr>
      </w:pPr>
      <w:r w:rsidRPr="0089285E">
        <w:rPr>
          <w:b/>
          <w:bCs/>
          <w:rtl/>
        </w:rPr>
        <w:t>נסיבות שאינן קשורות לעבירה</w:t>
      </w:r>
    </w:p>
    <w:p w14:paraId="3819BE99" w14:textId="77777777" w:rsidR="00D9537E" w:rsidRPr="003E7635" w:rsidRDefault="00D9537E" w:rsidP="00D9537E">
      <w:pPr>
        <w:spacing w:after="120" w:line="360" w:lineRule="auto"/>
        <w:jc w:val="both"/>
        <w:rPr>
          <w:rtl/>
        </w:rPr>
      </w:pPr>
      <w:r w:rsidRPr="003E7635">
        <w:rPr>
          <w:rtl/>
        </w:rPr>
        <w:t>הנאשם יליד 199</w:t>
      </w:r>
      <w:r w:rsidRPr="003E7635">
        <w:rPr>
          <w:rFonts w:hint="cs"/>
          <w:rtl/>
        </w:rPr>
        <w:t>4</w:t>
      </w:r>
      <w:r w:rsidRPr="003E7635">
        <w:rPr>
          <w:rtl/>
        </w:rPr>
        <w:t xml:space="preserve">, נשוי ואב </w:t>
      </w:r>
      <w:r w:rsidRPr="003E7635">
        <w:rPr>
          <w:rFonts w:hint="cs"/>
          <w:rtl/>
        </w:rPr>
        <w:t>לשני</w:t>
      </w:r>
      <w:r w:rsidRPr="003E7635">
        <w:rPr>
          <w:rtl/>
        </w:rPr>
        <w:t xml:space="preserve"> ילדים</w:t>
      </w:r>
      <w:r w:rsidRPr="003E7635">
        <w:rPr>
          <w:rFonts w:hint="cs"/>
          <w:rtl/>
        </w:rPr>
        <w:t xml:space="preserve"> קטנים. לחובתו שלוש הרשעות קודמות:</w:t>
      </w:r>
    </w:p>
    <w:p w14:paraId="4EB1C507" w14:textId="77777777" w:rsidR="00D9537E" w:rsidRPr="003E7635" w:rsidRDefault="00D9537E" w:rsidP="00D9537E">
      <w:pPr>
        <w:spacing w:after="120" w:line="360" w:lineRule="auto"/>
        <w:jc w:val="both"/>
        <w:rPr>
          <w:rFonts w:ascii="Arial" w:hAnsi="Arial"/>
          <w:rtl/>
        </w:rPr>
      </w:pPr>
      <w:r w:rsidRPr="003E7635">
        <w:rPr>
          <w:rFonts w:ascii="Arial" w:hAnsi="Arial" w:hint="cs"/>
          <w:rtl/>
        </w:rPr>
        <w:t>בשנת 2004 הורשע הנאשם באונס וקשר לפשע ונדון לארבע שנות מאסר.</w:t>
      </w:r>
    </w:p>
    <w:p w14:paraId="14E08865" w14:textId="77777777" w:rsidR="00D9537E" w:rsidRPr="003E7635" w:rsidRDefault="00D9537E" w:rsidP="00D9537E">
      <w:pPr>
        <w:spacing w:after="120" w:line="360" w:lineRule="auto"/>
        <w:jc w:val="both"/>
        <w:rPr>
          <w:rFonts w:ascii="Arial" w:hAnsi="Arial"/>
          <w:rtl/>
        </w:rPr>
      </w:pPr>
      <w:r w:rsidRPr="003E7635">
        <w:rPr>
          <w:rFonts w:ascii="Arial" w:hAnsi="Arial" w:hint="cs"/>
          <w:rtl/>
        </w:rPr>
        <w:t>בשנת 2004 הורשע בעבירת רכוש ונדון לשלושה חודשי מאסר.</w:t>
      </w:r>
    </w:p>
    <w:p w14:paraId="04DD3EEC" w14:textId="77777777" w:rsidR="00D9537E" w:rsidRPr="003E7635" w:rsidRDefault="00D9537E" w:rsidP="00D9537E">
      <w:pPr>
        <w:spacing w:after="120" w:line="360" w:lineRule="auto"/>
        <w:jc w:val="both"/>
        <w:rPr>
          <w:rFonts w:ascii="Arial" w:hAnsi="Arial"/>
          <w:rtl/>
        </w:rPr>
      </w:pPr>
      <w:r w:rsidRPr="003E7635">
        <w:rPr>
          <w:rFonts w:ascii="Arial" w:hAnsi="Arial" w:hint="cs"/>
          <w:rtl/>
        </w:rPr>
        <w:t>בשנת 2021 הורשע בנהיגה בשכרות ונדון ל- 20 ימי מאסר.</w:t>
      </w:r>
    </w:p>
    <w:p w14:paraId="36C38800" w14:textId="77777777" w:rsidR="00D9537E" w:rsidRPr="003E7635" w:rsidRDefault="00D9537E" w:rsidP="00D9537E">
      <w:pPr>
        <w:spacing w:after="120" w:line="360" w:lineRule="auto"/>
        <w:jc w:val="both"/>
        <w:rPr>
          <w:b/>
          <w:bCs/>
          <w:rtl/>
        </w:rPr>
      </w:pPr>
      <w:r w:rsidRPr="003E7635">
        <w:rPr>
          <w:b/>
          <w:bCs/>
          <w:rtl/>
        </w:rPr>
        <w:t>דיון והכרעה</w:t>
      </w:r>
    </w:p>
    <w:p w14:paraId="06453E8C" w14:textId="77777777" w:rsidR="00D9537E" w:rsidRDefault="00D9537E" w:rsidP="00D9537E">
      <w:pPr>
        <w:spacing w:after="120" w:line="360" w:lineRule="auto"/>
        <w:jc w:val="both"/>
        <w:rPr>
          <w:rtl/>
        </w:rPr>
      </w:pPr>
      <w:r>
        <w:rPr>
          <w:rFonts w:hint="cs"/>
          <w:rtl/>
        </w:rPr>
        <w:t>לזכות הנאשם זקפתי את הודאתו במיוחס לו ואת היותו אב לילדים, אשר מאסרו פוגע בהם וביתר בני משפחתו.</w:t>
      </w:r>
    </w:p>
    <w:p w14:paraId="297D2C78" w14:textId="77777777" w:rsidR="00D9537E" w:rsidRPr="003E7635" w:rsidRDefault="00D9537E" w:rsidP="00D9537E">
      <w:pPr>
        <w:spacing w:after="120" w:line="360" w:lineRule="auto"/>
        <w:jc w:val="both"/>
        <w:rPr>
          <w:rtl/>
        </w:rPr>
      </w:pPr>
      <w:r>
        <w:rPr>
          <w:rFonts w:hint="cs"/>
          <w:rtl/>
        </w:rPr>
        <w:t>לחובת הנאשם זקפתי את הרשעותיו הקודמות, בעיקר את העובדה שנדון לארבע שנות מאסר בשל עבירות של אונס וקשר לפשע, וגם אם חלפה מאז תקופה משמעותית, יש לנתון זה משקל ממשי.</w:t>
      </w:r>
    </w:p>
    <w:p w14:paraId="421FC67E" w14:textId="77777777" w:rsidR="00D9537E" w:rsidRPr="003E7635" w:rsidRDefault="00D9537E" w:rsidP="00D9537E">
      <w:pPr>
        <w:spacing w:after="120" w:line="360" w:lineRule="auto"/>
        <w:jc w:val="both"/>
        <w:rPr>
          <w:b/>
          <w:bCs/>
          <w:rtl/>
        </w:rPr>
      </w:pPr>
      <w:r w:rsidRPr="003E7635">
        <w:rPr>
          <w:b/>
          <w:bCs/>
          <w:rtl/>
        </w:rPr>
        <w:t>לפיכך גוזר על הנאשם את העונשים הבאים:</w:t>
      </w:r>
    </w:p>
    <w:p w14:paraId="580EB3E0" w14:textId="77777777" w:rsidR="00D9537E" w:rsidRPr="0089285E" w:rsidRDefault="00D9537E" w:rsidP="00D9537E">
      <w:pPr>
        <w:numPr>
          <w:ilvl w:val="0"/>
          <w:numId w:val="1"/>
        </w:numPr>
        <w:spacing w:after="120" w:line="360" w:lineRule="auto"/>
        <w:jc w:val="both"/>
      </w:pPr>
      <w:r>
        <w:rPr>
          <w:rFonts w:hint="cs"/>
          <w:rtl/>
        </w:rPr>
        <w:t>25 חודשי</w:t>
      </w:r>
      <w:r w:rsidRPr="0089285E">
        <w:rPr>
          <w:rtl/>
        </w:rPr>
        <w:t xml:space="preserve"> מאסר בפועל </w:t>
      </w:r>
      <w:r w:rsidRPr="00453268">
        <w:rPr>
          <w:rtl/>
        </w:rPr>
        <w:t xml:space="preserve">שימנו מיום מעצרו של הנאשם, </w:t>
      </w:r>
      <w:r w:rsidRPr="00453268">
        <w:rPr>
          <w:rFonts w:hint="cs"/>
          <w:rtl/>
        </w:rPr>
        <w:t>30.1.22</w:t>
      </w:r>
      <w:r>
        <w:rPr>
          <w:rFonts w:hint="cs"/>
          <w:rtl/>
        </w:rPr>
        <w:t>, גם אם רישומי שב"ס יראו אחרת.</w:t>
      </w:r>
    </w:p>
    <w:p w14:paraId="47178BFD" w14:textId="77777777" w:rsidR="00D9537E" w:rsidRPr="003E7635" w:rsidRDefault="00D9537E" w:rsidP="00D9537E">
      <w:pPr>
        <w:numPr>
          <w:ilvl w:val="0"/>
          <w:numId w:val="1"/>
        </w:numPr>
        <w:spacing w:after="120" w:line="360" w:lineRule="auto"/>
        <w:jc w:val="both"/>
      </w:pPr>
      <w:r w:rsidRPr="003E7635">
        <w:rPr>
          <w:rtl/>
        </w:rPr>
        <w:t xml:space="preserve">ששה חודשי מאסר בו לא יישא, אלא אם יעבור תוך שלוש שנים מיום שחרורו מהמאסר כל עבירה על </w:t>
      </w:r>
      <w:hyperlink r:id="rId39" w:history="1">
        <w:r w:rsidR="00A65C80" w:rsidRPr="00A65C80">
          <w:rPr>
            <w:rStyle w:val="Hyperlink"/>
            <w:rtl/>
          </w:rPr>
          <w:t>סע' 144</w:t>
        </w:r>
      </w:hyperlink>
      <w:r w:rsidRPr="003E7635">
        <w:rPr>
          <w:rtl/>
        </w:rPr>
        <w:t xml:space="preserve"> ל</w:t>
      </w:r>
      <w:hyperlink r:id="rId40" w:history="1">
        <w:r w:rsidR="008B4C03" w:rsidRPr="008B4C03">
          <w:rPr>
            <w:color w:val="0000FF"/>
            <w:u w:val="single"/>
            <w:rtl/>
          </w:rPr>
          <w:t>חוק העונשין</w:t>
        </w:r>
      </w:hyperlink>
      <w:r w:rsidRPr="003E7635">
        <w:rPr>
          <w:rtl/>
        </w:rPr>
        <w:t xml:space="preserve"> או כל עבירה אחרת הכרוכה בשימוש בנשק.</w:t>
      </w:r>
    </w:p>
    <w:p w14:paraId="6D624D29" w14:textId="77777777" w:rsidR="00D9537E" w:rsidRPr="003E7635" w:rsidRDefault="00D9537E" w:rsidP="00D9537E">
      <w:pPr>
        <w:numPr>
          <w:ilvl w:val="0"/>
          <w:numId w:val="1"/>
        </w:numPr>
        <w:spacing w:after="120" w:line="360" w:lineRule="auto"/>
        <w:jc w:val="both"/>
      </w:pPr>
      <w:r w:rsidRPr="003E7635">
        <w:rPr>
          <w:rtl/>
        </w:rPr>
        <w:t>המוצגים יחולטו והמאשימה רשאית להשמידם</w:t>
      </w:r>
      <w:r>
        <w:rPr>
          <w:rFonts w:hint="cs"/>
          <w:rtl/>
        </w:rPr>
        <w:t>, על פי החלטת פרקליט המחוז או מי שיוסמך על ידו לעניין זה</w:t>
      </w:r>
      <w:r w:rsidRPr="003E7635">
        <w:rPr>
          <w:rtl/>
        </w:rPr>
        <w:t>.</w:t>
      </w:r>
    </w:p>
    <w:p w14:paraId="6F371F71" w14:textId="77777777" w:rsidR="00D9537E" w:rsidRDefault="00D9537E" w:rsidP="00D9537E">
      <w:pPr>
        <w:spacing w:after="120" w:line="360" w:lineRule="auto"/>
        <w:jc w:val="both"/>
        <w:rPr>
          <w:rtl/>
        </w:rPr>
      </w:pPr>
    </w:p>
    <w:p w14:paraId="30BE3481" w14:textId="77777777" w:rsidR="00D9537E" w:rsidRDefault="00D9537E" w:rsidP="00D9537E">
      <w:pPr>
        <w:spacing w:after="120" w:line="360" w:lineRule="auto"/>
        <w:ind w:left="720" w:hanging="720"/>
        <w:jc w:val="both"/>
        <w:rPr>
          <w:b/>
          <w:bCs/>
          <w:rtl/>
        </w:rPr>
      </w:pPr>
      <w:r>
        <w:rPr>
          <w:b/>
          <w:bCs/>
          <w:rtl/>
        </w:rPr>
        <w:t>זכות ערעור לבית המשפט המחוזי בירושלים תוך 45 יום.</w:t>
      </w:r>
    </w:p>
    <w:p w14:paraId="0BF0F57C" w14:textId="77777777" w:rsidR="00D9537E" w:rsidRPr="00B05847" w:rsidRDefault="00D9537E" w:rsidP="00D9537E">
      <w:pPr>
        <w:rPr>
          <w:rFonts w:ascii="Arial" w:hAnsi="Arial"/>
          <w:rtl/>
        </w:rPr>
      </w:pPr>
    </w:p>
    <w:p w14:paraId="36064780" w14:textId="77777777" w:rsidR="00D9537E" w:rsidRPr="00B05847" w:rsidRDefault="00D9537E" w:rsidP="00D9537E">
      <w:pPr>
        <w:rPr>
          <w:rtl/>
        </w:rPr>
      </w:pPr>
    </w:p>
    <w:p w14:paraId="29F1CED8" w14:textId="77777777" w:rsidR="00D9537E" w:rsidRPr="00B05847" w:rsidRDefault="00D9537E" w:rsidP="00D9537E">
      <w:pPr>
        <w:rPr>
          <w:rtl/>
        </w:rPr>
      </w:pPr>
    </w:p>
    <w:p w14:paraId="3C990A0A" w14:textId="77777777" w:rsidR="00D9537E" w:rsidRPr="00B05847" w:rsidRDefault="00D9537E" w:rsidP="00D9537E">
      <w:pPr>
        <w:rPr>
          <w:rtl/>
        </w:rPr>
      </w:pPr>
    </w:p>
    <w:p w14:paraId="5622E5BE" w14:textId="77777777" w:rsidR="00D9537E" w:rsidRPr="008B4C03" w:rsidRDefault="008B4C03" w:rsidP="00D9537E">
      <w:pPr>
        <w:rPr>
          <w:color w:val="FFFFFF"/>
          <w:sz w:val="2"/>
          <w:szCs w:val="2"/>
          <w:rtl/>
        </w:rPr>
      </w:pPr>
      <w:r w:rsidRPr="008B4C03">
        <w:rPr>
          <w:color w:val="FFFFFF"/>
          <w:sz w:val="2"/>
          <w:szCs w:val="2"/>
          <w:rtl/>
        </w:rPr>
        <w:t>5129371</w:t>
      </w:r>
    </w:p>
    <w:p w14:paraId="13D48823" w14:textId="77777777" w:rsidR="00D9537E" w:rsidRDefault="008B4C03" w:rsidP="00D9537E">
      <w:pPr>
        <w:rPr>
          <w:rFonts w:cs="FrankRuehl"/>
          <w:sz w:val="28"/>
          <w:szCs w:val="28"/>
          <w:rtl/>
        </w:rPr>
      </w:pPr>
      <w:bookmarkStart w:id="8" w:name="Nitan"/>
      <w:r w:rsidRPr="008B4C03">
        <w:rPr>
          <w:rFonts w:ascii="Arial" w:hAnsi="Arial"/>
          <w:color w:val="FFFFFF"/>
          <w:sz w:val="2"/>
          <w:szCs w:val="2"/>
          <w:rtl/>
        </w:rPr>
        <w:t>54678313</w:t>
      </w:r>
      <w:r>
        <w:rPr>
          <w:rFonts w:ascii="Arial" w:hAnsi="Arial"/>
          <w:rtl/>
        </w:rPr>
        <w:t xml:space="preserve">ניתן היום, כ"ב אייר תשפ"ב, 23 מאי 2022, בנוכחות הצדדים. </w:t>
      </w:r>
      <w:bookmarkEnd w:id="8"/>
    </w:p>
    <w:p w14:paraId="5B775F96" w14:textId="77777777" w:rsidR="00D9537E" w:rsidRDefault="00D9537E" w:rsidP="008B4C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D9AD22A" w14:textId="77777777" w:rsidR="00D9537E" w:rsidRDefault="00D9537E" w:rsidP="00D9537E">
      <w:pPr>
        <w:jc w:val="center"/>
        <w:rPr>
          <w:rFonts w:ascii="Arial" w:hAnsi="Arial" w:cs="FrankRuehl"/>
          <w:sz w:val="28"/>
          <w:szCs w:val="28"/>
          <w:rtl/>
        </w:rPr>
      </w:pPr>
    </w:p>
    <w:p w14:paraId="077D527A" w14:textId="77777777" w:rsidR="008B4C03" w:rsidRDefault="008B4C03" w:rsidP="008B4C03">
      <w:pPr>
        <w:rPr>
          <w:rtl/>
        </w:rPr>
      </w:pPr>
    </w:p>
    <w:p w14:paraId="6DD1D527" w14:textId="77777777" w:rsidR="008B4C03" w:rsidRDefault="008B4C03" w:rsidP="008B4C03">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5EB3A45" w14:textId="77777777" w:rsidR="00A65C80" w:rsidRPr="00A65C80" w:rsidRDefault="00A65C80" w:rsidP="00A65C80">
      <w:pPr>
        <w:keepNext/>
        <w:rPr>
          <w:rFonts w:ascii="David" w:hAnsi="David"/>
          <w:color w:val="000000"/>
          <w:sz w:val="22"/>
          <w:szCs w:val="22"/>
          <w:rtl/>
        </w:rPr>
      </w:pPr>
    </w:p>
    <w:p w14:paraId="4C2741B5" w14:textId="77777777" w:rsidR="00A65C80" w:rsidRPr="00A65C80" w:rsidRDefault="00A65C80" w:rsidP="00A65C80">
      <w:pPr>
        <w:keepNext/>
        <w:rPr>
          <w:rFonts w:ascii="David" w:hAnsi="David"/>
          <w:color w:val="000000"/>
          <w:sz w:val="22"/>
          <w:szCs w:val="22"/>
          <w:rtl/>
        </w:rPr>
      </w:pPr>
      <w:r w:rsidRPr="00A65C80">
        <w:rPr>
          <w:rFonts w:ascii="David" w:hAnsi="David"/>
          <w:color w:val="000000"/>
          <w:sz w:val="22"/>
          <w:szCs w:val="22"/>
          <w:rtl/>
        </w:rPr>
        <w:t>ירון מינטקביץ 54678313-/</w:t>
      </w:r>
    </w:p>
    <w:p w14:paraId="19109206" w14:textId="77777777" w:rsidR="008B4C03" w:rsidRPr="008B4C03" w:rsidRDefault="00A65C80" w:rsidP="00A65C80">
      <w:pPr>
        <w:rPr>
          <w:color w:val="0000FF"/>
          <w:u w:val="single"/>
        </w:rPr>
      </w:pPr>
      <w:r w:rsidRPr="00A65C80">
        <w:rPr>
          <w:color w:val="000000"/>
          <w:u w:val="single"/>
          <w:rtl/>
        </w:rPr>
        <w:t>נוסח מסמך זה כפוף לשינויי ניסוח ועריכה</w:t>
      </w:r>
    </w:p>
    <w:sectPr w:rsidR="008B4C03" w:rsidRPr="008B4C03" w:rsidSect="00A65C8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373AB" w14:textId="77777777" w:rsidR="00232FCD" w:rsidRDefault="00232FCD" w:rsidP="00026326">
      <w:r>
        <w:separator/>
      </w:r>
    </w:p>
  </w:endnote>
  <w:endnote w:type="continuationSeparator" w:id="0">
    <w:p w14:paraId="253EF85A" w14:textId="77777777" w:rsidR="00232FCD" w:rsidRDefault="00232FCD" w:rsidP="0002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B88DD" w14:textId="77777777" w:rsidR="00A65C80" w:rsidRDefault="00A65C80" w:rsidP="00A65C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9E6178" w14:textId="77777777" w:rsidR="00A5674A" w:rsidRPr="00A65C80" w:rsidRDefault="00A65C80" w:rsidP="00A65C80">
    <w:pPr>
      <w:pStyle w:val="a5"/>
      <w:pBdr>
        <w:top w:val="single" w:sz="4" w:space="1" w:color="auto"/>
        <w:between w:val="single" w:sz="4" w:space="0" w:color="auto"/>
      </w:pBdr>
      <w:spacing w:after="60"/>
      <w:jc w:val="center"/>
      <w:rPr>
        <w:rFonts w:ascii="FrankRuehl" w:hAnsi="FrankRuehl" w:cs="FrankRuehl"/>
        <w:color w:val="000000"/>
      </w:rPr>
    </w:pPr>
    <w:r w:rsidRPr="00A65C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1808" w14:textId="77777777" w:rsidR="00A65C80" w:rsidRDefault="00A65C80" w:rsidP="00A65C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3866">
      <w:rPr>
        <w:rFonts w:ascii="FrankRuehl" w:hAnsi="FrankRuehl" w:cs="FrankRuehl"/>
        <w:noProof/>
        <w:rtl/>
      </w:rPr>
      <w:t>1</w:t>
    </w:r>
    <w:r>
      <w:rPr>
        <w:rFonts w:ascii="FrankRuehl" w:hAnsi="FrankRuehl" w:cs="FrankRuehl"/>
        <w:rtl/>
      </w:rPr>
      <w:fldChar w:fldCharType="end"/>
    </w:r>
  </w:p>
  <w:p w14:paraId="261BBFE0" w14:textId="77777777" w:rsidR="00A5674A" w:rsidRPr="00A65C80" w:rsidRDefault="00A65C80" w:rsidP="00A65C80">
    <w:pPr>
      <w:pStyle w:val="a5"/>
      <w:pBdr>
        <w:top w:val="single" w:sz="4" w:space="1" w:color="auto"/>
        <w:between w:val="single" w:sz="4" w:space="0" w:color="auto"/>
      </w:pBdr>
      <w:spacing w:after="60"/>
      <w:jc w:val="center"/>
      <w:rPr>
        <w:rFonts w:ascii="FrankRuehl" w:hAnsi="FrankRuehl" w:cs="FrankRuehl"/>
        <w:color w:val="000000"/>
      </w:rPr>
    </w:pPr>
    <w:r w:rsidRPr="00A65C80">
      <w:rPr>
        <w:rFonts w:ascii="FrankRuehl" w:hAnsi="FrankRuehl" w:cs="FrankRuehl"/>
        <w:color w:val="000000"/>
      </w:rPr>
      <w:pict w14:anchorId="0D79E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9C6E3" w14:textId="77777777" w:rsidR="00232FCD" w:rsidRDefault="00232FCD" w:rsidP="00026326">
      <w:r>
        <w:separator/>
      </w:r>
    </w:p>
  </w:footnote>
  <w:footnote w:type="continuationSeparator" w:id="0">
    <w:p w14:paraId="0E231749" w14:textId="77777777" w:rsidR="00232FCD" w:rsidRDefault="00232FCD" w:rsidP="0002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721CF" w14:textId="77777777" w:rsidR="008B4C03" w:rsidRPr="00A65C80" w:rsidRDefault="00A65C80" w:rsidP="00A65C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17030-02-22</w:t>
    </w:r>
    <w:r>
      <w:rPr>
        <w:rFonts w:ascii="David" w:hAnsi="David"/>
        <w:color w:val="000000"/>
        <w:sz w:val="22"/>
        <w:szCs w:val="22"/>
        <w:rtl/>
      </w:rPr>
      <w:tab/>
      <w:t xml:space="preserve"> מדינת ישראל נ' עלאא מקיה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2EF7C" w14:textId="77777777" w:rsidR="008B4C03" w:rsidRPr="00A65C80" w:rsidRDefault="00A65C80" w:rsidP="00A65C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17030-02-22</w:t>
    </w:r>
    <w:r>
      <w:rPr>
        <w:rFonts w:ascii="David" w:hAnsi="David"/>
        <w:color w:val="000000"/>
        <w:sz w:val="22"/>
        <w:szCs w:val="22"/>
        <w:rtl/>
      </w:rPr>
      <w:tab/>
      <w:t xml:space="preserve"> מדינת ישראל נ' עלאא מקיה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0DCEFDA6"/>
    <w:lvl w:ilvl="0" w:tplc="5674FCB0">
      <w:start w:val="1"/>
      <w:numFmt w:val="decimal"/>
      <w:pStyle w:val="Ruller4"/>
      <w:lvlText w:val="%1."/>
      <w:lvlJc w:val="left"/>
      <w:pPr>
        <w:tabs>
          <w:tab w:val="num" w:pos="907"/>
        </w:tabs>
        <w:ind w:left="0" w:firstLine="0"/>
      </w:pPr>
      <w:rPr>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2D821E0"/>
    <w:multiLevelType w:val="hybridMultilevel"/>
    <w:tmpl w:val="7B40DBD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1689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6039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537E"/>
    <w:rsid w:val="00026326"/>
    <w:rsid w:val="000B0D82"/>
    <w:rsid w:val="001B5A3B"/>
    <w:rsid w:val="00232FCD"/>
    <w:rsid w:val="00270908"/>
    <w:rsid w:val="002A3866"/>
    <w:rsid w:val="003A0489"/>
    <w:rsid w:val="004D38DA"/>
    <w:rsid w:val="007A1D70"/>
    <w:rsid w:val="008B4C03"/>
    <w:rsid w:val="00A5674A"/>
    <w:rsid w:val="00A65C80"/>
    <w:rsid w:val="00AD3D49"/>
    <w:rsid w:val="00D604FF"/>
    <w:rsid w:val="00D9537E"/>
    <w:rsid w:val="00E155DC"/>
    <w:rsid w:val="00EB1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6860E9"/>
  <w15:chartTrackingRefBased/>
  <w15:docId w15:val="{220EF162-E638-4045-A386-B5FB5258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53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537E"/>
    <w:pPr>
      <w:tabs>
        <w:tab w:val="center" w:pos="4153"/>
        <w:tab w:val="right" w:pos="8306"/>
      </w:tabs>
    </w:pPr>
  </w:style>
  <w:style w:type="character" w:customStyle="1" w:styleId="a4">
    <w:name w:val="כותרת עליונה תו"/>
    <w:link w:val="a3"/>
    <w:rsid w:val="00D9537E"/>
    <w:rPr>
      <w:rFonts w:ascii="Times New Roman" w:eastAsia="Times New Roman" w:hAnsi="Times New Roman" w:cs="David"/>
      <w:sz w:val="24"/>
      <w:szCs w:val="24"/>
    </w:rPr>
  </w:style>
  <w:style w:type="paragraph" w:styleId="a5">
    <w:name w:val="footer"/>
    <w:basedOn w:val="a"/>
    <w:link w:val="a6"/>
    <w:rsid w:val="00D9537E"/>
    <w:pPr>
      <w:tabs>
        <w:tab w:val="center" w:pos="4153"/>
        <w:tab w:val="right" w:pos="8306"/>
      </w:tabs>
    </w:pPr>
  </w:style>
  <w:style w:type="character" w:customStyle="1" w:styleId="a6">
    <w:name w:val="כותרת תחתונה תו"/>
    <w:link w:val="a5"/>
    <w:rsid w:val="00D9537E"/>
    <w:rPr>
      <w:rFonts w:ascii="Times New Roman" w:eastAsia="Times New Roman" w:hAnsi="Times New Roman" w:cs="David"/>
      <w:sz w:val="24"/>
      <w:szCs w:val="24"/>
    </w:rPr>
  </w:style>
  <w:style w:type="table" w:styleId="a7">
    <w:name w:val="Table Grid"/>
    <w:basedOn w:val="a1"/>
    <w:rsid w:val="00D953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537E"/>
  </w:style>
  <w:style w:type="character" w:styleId="Hyperlink">
    <w:name w:val="Hyperlink"/>
    <w:rsid w:val="00D9537E"/>
    <w:rPr>
      <w:color w:val="0000FF"/>
      <w:u w:val="single"/>
    </w:rPr>
  </w:style>
  <w:style w:type="character" w:customStyle="1" w:styleId="Ruller5">
    <w:name w:val="Ruller5 תו"/>
    <w:link w:val="Ruller50"/>
    <w:locked/>
    <w:rsid w:val="00D9537E"/>
    <w:rPr>
      <w:rFonts w:ascii="Arial TUR" w:hAnsi="Arial TUR" w:cs="FrankRuehl"/>
      <w:spacing w:val="10"/>
      <w:szCs w:val="28"/>
    </w:rPr>
  </w:style>
  <w:style w:type="paragraph" w:customStyle="1" w:styleId="Ruller50">
    <w:name w:val="Ruller5"/>
    <w:basedOn w:val="a"/>
    <w:link w:val="Ruller5"/>
    <w:rsid w:val="00D9537E"/>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Ruller40">
    <w:name w:val="Ruller 4 ממוספר תו"/>
    <w:link w:val="Ruller4"/>
    <w:locked/>
    <w:rsid w:val="00D9537E"/>
    <w:rPr>
      <w:rFonts w:ascii="Garamond" w:hAnsi="Garamond" w:cs="FrankRuehl"/>
      <w:spacing w:val="10"/>
      <w:sz w:val="24"/>
      <w:szCs w:val="28"/>
    </w:rPr>
  </w:style>
  <w:style w:type="paragraph" w:customStyle="1" w:styleId="Ruller4">
    <w:name w:val="Ruller 4 ממוספר"/>
    <w:basedOn w:val="a"/>
    <w:next w:val="a"/>
    <w:link w:val="Ruller40"/>
    <w:rsid w:val="00D9537E"/>
    <w:pPr>
      <w:numPr>
        <w:numId w:val="2"/>
      </w:num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171364" TargetMode="External"/><Relationship Id="rId26" Type="http://schemas.openxmlformats.org/officeDocument/2006/relationships/hyperlink" Target="http://www.nevo.co.il/case/25585562" TargetMode="External"/><Relationship Id="rId39" Type="http://schemas.openxmlformats.org/officeDocument/2006/relationships/hyperlink" Target="http://www.nevo.co.il/law/70301/144" TargetMode="External"/><Relationship Id="rId21" Type="http://schemas.openxmlformats.org/officeDocument/2006/relationships/hyperlink" Target="http://www.nevo.co.il/case/27734980" TargetMode="External"/><Relationship Id="rId34" Type="http://schemas.openxmlformats.org/officeDocument/2006/relationships/hyperlink" Target="http://www.nevo.co.il/law/70301/144.g"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905927"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hC"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55" TargetMode="External"/><Relationship Id="rId37" Type="http://schemas.openxmlformats.org/officeDocument/2006/relationships/hyperlink" Target="http://www.nevo.co.il/law/70301/144.g"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384637" TargetMode="External"/><Relationship Id="rId23" Type="http://schemas.openxmlformats.org/officeDocument/2006/relationships/hyperlink" Target="http://www.nevo.co.il/case/28424228" TargetMode="External"/><Relationship Id="rId28" Type="http://schemas.openxmlformats.org/officeDocument/2006/relationships/hyperlink" Target="http://www.nevo.co.il/case/28384637" TargetMode="External"/><Relationship Id="rId36" Type="http://schemas.openxmlformats.org/officeDocument/2006/relationships/hyperlink" Target="http://www.nevo.co.il/case/27510949" TargetMode="External"/><Relationship Id="rId10" Type="http://schemas.openxmlformats.org/officeDocument/2006/relationships/hyperlink" Target="http://www.nevo.co.il/law/70301/355" TargetMode="External"/><Relationship Id="rId19" Type="http://schemas.openxmlformats.org/officeDocument/2006/relationships/hyperlink" Target="http://www.nevo.co.il/case/22006503" TargetMode="External"/><Relationship Id="rId31" Type="http://schemas.openxmlformats.org/officeDocument/2006/relationships/hyperlink" Target="http://www.nevo.co.il/law/7030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case/28243273" TargetMode="External"/><Relationship Id="rId22" Type="http://schemas.openxmlformats.org/officeDocument/2006/relationships/hyperlink" Target="http://www.nevo.co.il/case/27309272" TargetMode="External"/><Relationship Id="rId27" Type="http://schemas.openxmlformats.org/officeDocument/2006/relationships/hyperlink" Target="http://www.nevo.co.il/case/23509110" TargetMode="External"/><Relationship Id="rId30" Type="http://schemas.openxmlformats.org/officeDocument/2006/relationships/hyperlink" Target="http://www.nevo.co.il/case/27510949" TargetMode="External"/><Relationship Id="rId35" Type="http://schemas.openxmlformats.org/officeDocument/2006/relationships/hyperlink" Target="http://www.nevo.co.il/case/6244892"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hC"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3099</Words>
  <Characters>15495</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18557</CharactersWithSpaces>
  <SharedDoc>false</SharedDoc>
  <HLinks>
    <vt:vector size="210"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http://www.nevo.co.il/law/70301/144.g</vt:lpwstr>
      </vt:variant>
      <vt:variant>
        <vt:lpwstr/>
      </vt:variant>
      <vt:variant>
        <vt:i4>3342459</vt:i4>
      </vt:variant>
      <vt:variant>
        <vt:i4>108</vt:i4>
      </vt:variant>
      <vt:variant>
        <vt:i4>0</vt:i4>
      </vt:variant>
      <vt:variant>
        <vt:i4>5</vt:i4>
      </vt:variant>
      <vt:variant>
        <vt:lpwstr>http://www.nevo.co.il/case/27510949</vt:lpwstr>
      </vt:variant>
      <vt:variant>
        <vt:lpwstr/>
      </vt:variant>
      <vt:variant>
        <vt:i4>3670139</vt:i4>
      </vt:variant>
      <vt:variant>
        <vt:i4>105</vt:i4>
      </vt:variant>
      <vt:variant>
        <vt:i4>0</vt:i4>
      </vt:variant>
      <vt:variant>
        <vt:i4>5</vt:i4>
      </vt:variant>
      <vt:variant>
        <vt:lpwstr>http://www.nevo.co.il/case/6244892</vt:lpwstr>
      </vt:variant>
      <vt:variant>
        <vt:lpwstr/>
      </vt:variant>
      <vt:variant>
        <vt:i4>5177424</vt:i4>
      </vt:variant>
      <vt:variant>
        <vt:i4>102</vt:i4>
      </vt:variant>
      <vt:variant>
        <vt:i4>0</vt:i4>
      </vt:variant>
      <vt:variant>
        <vt:i4>5</vt:i4>
      </vt:variant>
      <vt:variant>
        <vt:lpwstr>http://www.nevo.co.il/law/70301/144.g</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6291558</vt:i4>
      </vt:variant>
      <vt:variant>
        <vt:i4>96</vt:i4>
      </vt:variant>
      <vt:variant>
        <vt:i4>0</vt:i4>
      </vt:variant>
      <vt:variant>
        <vt:i4>5</vt:i4>
      </vt:variant>
      <vt:variant>
        <vt:lpwstr>http://www.nevo.co.il/law/70301/355</vt:lpwstr>
      </vt:variant>
      <vt:variant>
        <vt:lpwstr/>
      </vt:variant>
      <vt:variant>
        <vt:i4>7995492</vt:i4>
      </vt:variant>
      <vt:variant>
        <vt:i4>93</vt:i4>
      </vt:variant>
      <vt:variant>
        <vt:i4>0</vt:i4>
      </vt:variant>
      <vt:variant>
        <vt:i4>5</vt:i4>
      </vt:variant>
      <vt:variant>
        <vt:lpwstr>http://www.nevo.co.il/law/70301</vt:lpwstr>
      </vt:variant>
      <vt:variant>
        <vt:lpwstr/>
      </vt:variant>
      <vt:variant>
        <vt:i4>3342459</vt:i4>
      </vt:variant>
      <vt:variant>
        <vt:i4>90</vt:i4>
      </vt:variant>
      <vt:variant>
        <vt:i4>0</vt:i4>
      </vt:variant>
      <vt:variant>
        <vt:i4>5</vt:i4>
      </vt:variant>
      <vt:variant>
        <vt:lpwstr>http://www.nevo.co.il/case/27510949</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3539058</vt:i4>
      </vt:variant>
      <vt:variant>
        <vt:i4>84</vt:i4>
      </vt:variant>
      <vt:variant>
        <vt:i4>0</vt:i4>
      </vt:variant>
      <vt:variant>
        <vt:i4>5</vt:i4>
      </vt:variant>
      <vt:variant>
        <vt:lpwstr>http://www.nevo.co.il/case/28384637</vt:lpwstr>
      </vt:variant>
      <vt:variant>
        <vt:lpwstr/>
      </vt:variant>
      <vt:variant>
        <vt:i4>4128886</vt:i4>
      </vt:variant>
      <vt:variant>
        <vt:i4>81</vt:i4>
      </vt:variant>
      <vt:variant>
        <vt:i4>0</vt:i4>
      </vt:variant>
      <vt:variant>
        <vt:i4>5</vt:i4>
      </vt:variant>
      <vt:variant>
        <vt:lpwstr>http://www.nevo.co.il/case/23509110</vt:lpwstr>
      </vt:variant>
      <vt:variant>
        <vt:lpwstr/>
      </vt:variant>
      <vt:variant>
        <vt:i4>3407996</vt:i4>
      </vt:variant>
      <vt:variant>
        <vt:i4>78</vt:i4>
      </vt:variant>
      <vt:variant>
        <vt:i4>0</vt:i4>
      </vt:variant>
      <vt:variant>
        <vt:i4>5</vt:i4>
      </vt:variant>
      <vt:variant>
        <vt:lpwstr>http://www.nevo.co.il/case/25585562</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3145852</vt:i4>
      </vt:variant>
      <vt:variant>
        <vt:i4>69</vt:i4>
      </vt:variant>
      <vt:variant>
        <vt:i4>0</vt:i4>
      </vt:variant>
      <vt:variant>
        <vt:i4>5</vt:i4>
      </vt:variant>
      <vt:variant>
        <vt:lpwstr>http://www.nevo.co.il/case/28424228</vt:lpwstr>
      </vt:variant>
      <vt:variant>
        <vt:lpwstr/>
      </vt:variant>
      <vt:variant>
        <vt:i4>4128881</vt:i4>
      </vt:variant>
      <vt:variant>
        <vt:i4>45</vt:i4>
      </vt:variant>
      <vt:variant>
        <vt:i4>0</vt:i4>
      </vt:variant>
      <vt:variant>
        <vt:i4>5</vt:i4>
      </vt:variant>
      <vt:variant>
        <vt:lpwstr>http://www.nevo.co.il/case/27309272</vt:lpwstr>
      </vt:variant>
      <vt:variant>
        <vt:lpwstr/>
      </vt:variant>
      <vt:variant>
        <vt:i4>3735673</vt:i4>
      </vt:variant>
      <vt:variant>
        <vt:i4>42</vt:i4>
      </vt:variant>
      <vt:variant>
        <vt:i4>0</vt:i4>
      </vt:variant>
      <vt:variant>
        <vt:i4>5</vt:i4>
      </vt:variant>
      <vt:variant>
        <vt:lpwstr>http://www.nevo.co.il/case/27734980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3407991</vt:i4>
      </vt:variant>
      <vt:variant>
        <vt:i4>33</vt:i4>
      </vt:variant>
      <vt:variant>
        <vt:i4>0</vt:i4>
      </vt:variant>
      <vt:variant>
        <vt:i4>5</vt:i4>
      </vt:variant>
      <vt:variant>
        <vt:lpwstr>http://www.nevo.co.il/case/27171364</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3932283</vt:i4>
      </vt:variant>
      <vt:variant>
        <vt:i4>27</vt:i4>
      </vt:variant>
      <vt:variant>
        <vt:i4>0</vt:i4>
      </vt:variant>
      <vt:variant>
        <vt:i4>5</vt:i4>
      </vt:variant>
      <vt:variant>
        <vt:lpwstr>http://www.nevo.co.il/case/26905927</vt:lpwstr>
      </vt:variant>
      <vt:variant>
        <vt:lpwstr/>
      </vt:variant>
      <vt:variant>
        <vt:i4>3539058</vt:i4>
      </vt:variant>
      <vt:variant>
        <vt:i4>24</vt:i4>
      </vt:variant>
      <vt:variant>
        <vt:i4>0</vt:i4>
      </vt:variant>
      <vt:variant>
        <vt:i4>5</vt:i4>
      </vt:variant>
      <vt:variant>
        <vt:lpwstr>http://www.nevo.co.il/case/28384637</vt:lpwstr>
      </vt:variant>
      <vt:variant>
        <vt:lpwstr/>
      </vt:variant>
      <vt:variant>
        <vt:i4>3407994</vt:i4>
      </vt:variant>
      <vt:variant>
        <vt:i4>21</vt:i4>
      </vt:variant>
      <vt:variant>
        <vt:i4>0</vt:i4>
      </vt:variant>
      <vt:variant>
        <vt:i4>5</vt:i4>
      </vt:variant>
      <vt:variant>
        <vt:lpwstr>http://www.nevo.co.il/case/28243273</vt:lpwstr>
      </vt:variant>
      <vt:variant>
        <vt:lpwstr/>
      </vt:variant>
      <vt:variant>
        <vt:i4>7995492</vt:i4>
      </vt:variant>
      <vt:variant>
        <vt:i4>18</vt:i4>
      </vt:variant>
      <vt:variant>
        <vt:i4>0</vt:i4>
      </vt:variant>
      <vt:variant>
        <vt:i4>5</vt:i4>
      </vt:variant>
      <vt:variant>
        <vt:lpwstr>http://www.nevo.co.il/law/70301</vt:lpwstr>
      </vt:variant>
      <vt:variant>
        <vt:lpwstr/>
      </vt:variant>
      <vt:variant>
        <vt:i4>3539005</vt:i4>
      </vt:variant>
      <vt:variant>
        <vt:i4>15</vt:i4>
      </vt:variant>
      <vt:variant>
        <vt:i4>0</vt:i4>
      </vt:variant>
      <vt:variant>
        <vt:i4>5</vt:i4>
      </vt:variant>
      <vt:variant>
        <vt:lpwstr>http://www.nevo.co.il/law/70301/hC</vt:lpwstr>
      </vt:variant>
      <vt:variant>
        <vt:lpwstr/>
      </vt:variant>
      <vt:variant>
        <vt:i4>3539005</vt:i4>
      </vt:variant>
      <vt:variant>
        <vt:i4>12</vt:i4>
      </vt:variant>
      <vt:variant>
        <vt:i4>0</vt:i4>
      </vt:variant>
      <vt:variant>
        <vt:i4>5</vt:i4>
      </vt:variant>
      <vt:variant>
        <vt:lpwstr>http://www.nevo.co.il/law/70301/hC</vt:lpwstr>
      </vt:variant>
      <vt:variant>
        <vt:lpwstr/>
      </vt:variant>
      <vt:variant>
        <vt:i4>6291558</vt:i4>
      </vt:variant>
      <vt:variant>
        <vt:i4>9</vt:i4>
      </vt:variant>
      <vt:variant>
        <vt:i4>0</vt:i4>
      </vt:variant>
      <vt:variant>
        <vt:i4>5</vt:i4>
      </vt:variant>
      <vt:variant>
        <vt:lpwstr>http://www.nevo.co.il/law/70301/355</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17030</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עלאא מקיה</vt:lpwstr>
  </property>
  <property fmtid="{D5CDD505-2E9C-101B-9397-08002B2CF9AE}" pid="10" name="LAWYER">
    <vt:lpwstr>מוני בן מוחא;אור בן שאנן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20220523</vt:lpwstr>
  </property>
  <property fmtid="{D5CDD505-2E9C-101B-9397-08002B2CF9AE}" pid="14" name="TYPE_N_DATE">
    <vt:lpwstr>38020220523</vt:lpwstr>
  </property>
  <property fmtid="{D5CDD505-2E9C-101B-9397-08002B2CF9AE}" pid="15" name="WORDNUMPAGES">
    <vt:lpwstr>9</vt:lpwstr>
  </property>
  <property fmtid="{D5CDD505-2E9C-101B-9397-08002B2CF9AE}" pid="16" name="TYPE_ABS_DATE">
    <vt:lpwstr>380020220523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28243273;28384637:2;26905927;25824863;27171364;22006503;27734980;27309272;28424228;25585562;23509110;27510949:2;6244892</vt:lpwstr>
  </property>
  <property fmtid="{D5CDD505-2E9C-101B-9397-08002B2CF9AE}" pid="36" name="LAWLISTTMP1">
    <vt:lpwstr>70301/hC;355;144.g:2;144</vt:lpwstr>
  </property>
</Properties>
</file>