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11649A" w:rsidRPr="00C95F5B" w14:paraId="5DDE2848" w14:textId="77777777" w:rsidTr="0002664C">
        <w:trPr>
          <w:trHeight w:hRule="exact" w:val="418"/>
          <w:jc w:val="center"/>
        </w:trPr>
        <w:tc>
          <w:tcPr>
            <w:tcW w:w="8721" w:type="dxa"/>
            <w:gridSpan w:val="2"/>
          </w:tcPr>
          <w:p w14:paraId="13D14203" w14:textId="77777777" w:rsidR="0011649A" w:rsidRPr="00C95F5B" w:rsidRDefault="0011649A" w:rsidP="00816145">
            <w:pPr>
              <w:pStyle w:val="a3"/>
              <w:jc w:val="center"/>
              <w:rPr>
                <w:rFonts w:ascii="Tahoma" w:hAnsi="Tahoma" w:cs="Tahoma"/>
                <w:color w:val="000080"/>
                <w:rtl/>
              </w:rPr>
            </w:pPr>
            <w:bookmarkStart w:id="0" w:name="FirstLawyer"/>
            <w:bookmarkStart w:id="1" w:name="LastJudge"/>
            <w:r w:rsidRPr="00C95F5B">
              <w:rPr>
                <w:rFonts w:ascii="Tahoma" w:hAnsi="Tahoma" w:cs="Tahoma"/>
                <w:b/>
                <w:bCs/>
                <w:color w:val="000080"/>
                <w:rtl/>
              </w:rPr>
              <w:t>בית משפט השלום בירושלים</w:t>
            </w:r>
          </w:p>
        </w:tc>
      </w:tr>
      <w:tr w:rsidR="0011649A" w:rsidRPr="00C95F5B" w14:paraId="3F1DE315" w14:textId="77777777" w:rsidTr="0002664C">
        <w:trPr>
          <w:trHeight w:val="337"/>
          <w:jc w:val="center"/>
        </w:trPr>
        <w:tc>
          <w:tcPr>
            <w:tcW w:w="5054" w:type="dxa"/>
          </w:tcPr>
          <w:p w14:paraId="2EBC3F07" w14:textId="77777777" w:rsidR="0011649A" w:rsidRPr="00C95F5B" w:rsidRDefault="0011649A" w:rsidP="00816145">
            <w:pPr>
              <w:rPr>
                <w:rFonts w:cs="FrankRuehl"/>
                <w:sz w:val="28"/>
                <w:szCs w:val="28"/>
                <w:rtl/>
              </w:rPr>
            </w:pPr>
            <w:r w:rsidRPr="00C95F5B">
              <w:rPr>
                <w:rFonts w:cs="FrankRuehl"/>
                <w:sz w:val="28"/>
                <w:szCs w:val="28"/>
                <w:rtl/>
              </w:rPr>
              <w:t>ת"פ</w:t>
            </w:r>
            <w:r w:rsidRPr="00C95F5B">
              <w:rPr>
                <w:rFonts w:cs="FrankRuehl" w:hint="cs"/>
                <w:sz w:val="28"/>
                <w:szCs w:val="28"/>
                <w:rtl/>
              </w:rPr>
              <w:t xml:space="preserve"> </w:t>
            </w:r>
            <w:r w:rsidRPr="00C95F5B">
              <w:rPr>
                <w:rFonts w:cs="FrankRuehl"/>
                <w:sz w:val="28"/>
                <w:szCs w:val="28"/>
                <w:rtl/>
              </w:rPr>
              <w:t>20216-02-22</w:t>
            </w:r>
            <w:r w:rsidRPr="00C95F5B">
              <w:rPr>
                <w:rFonts w:cs="FrankRuehl" w:hint="cs"/>
                <w:sz w:val="28"/>
                <w:szCs w:val="28"/>
                <w:rtl/>
              </w:rPr>
              <w:t xml:space="preserve"> </w:t>
            </w:r>
            <w:r w:rsidRPr="00C95F5B">
              <w:rPr>
                <w:rFonts w:cs="FrankRuehl"/>
                <w:sz w:val="28"/>
                <w:szCs w:val="28"/>
                <w:rtl/>
              </w:rPr>
              <w:t>מדינת ישראל נ' גול</w:t>
            </w:r>
          </w:p>
          <w:p w14:paraId="06CAC677" w14:textId="77777777" w:rsidR="0011649A" w:rsidRPr="00C95F5B" w:rsidRDefault="0011649A" w:rsidP="00816145">
            <w:pPr>
              <w:pStyle w:val="a3"/>
              <w:rPr>
                <w:rFonts w:cs="FrankRuehl"/>
                <w:sz w:val="28"/>
                <w:szCs w:val="28"/>
                <w:rtl/>
              </w:rPr>
            </w:pPr>
          </w:p>
        </w:tc>
        <w:tc>
          <w:tcPr>
            <w:tcW w:w="3667" w:type="dxa"/>
          </w:tcPr>
          <w:p w14:paraId="2C2C6B52" w14:textId="77777777" w:rsidR="0011649A" w:rsidRPr="00C95F5B" w:rsidRDefault="0011649A" w:rsidP="00816145">
            <w:pPr>
              <w:pStyle w:val="a3"/>
              <w:jc w:val="right"/>
              <w:rPr>
                <w:rFonts w:cs="FrankRuehl"/>
                <w:sz w:val="28"/>
                <w:szCs w:val="28"/>
                <w:rtl/>
              </w:rPr>
            </w:pPr>
          </w:p>
        </w:tc>
      </w:tr>
    </w:tbl>
    <w:p w14:paraId="789D829A" w14:textId="77777777" w:rsidR="0011649A" w:rsidRPr="00C95F5B" w:rsidRDefault="0011649A" w:rsidP="0011649A">
      <w:pPr>
        <w:pStyle w:val="a3"/>
        <w:rPr>
          <w:rtl/>
        </w:rPr>
      </w:pPr>
      <w:r w:rsidRPr="00C95F5B">
        <w:rPr>
          <w:rFonts w:hint="cs"/>
          <w:rtl/>
        </w:rPr>
        <w:t xml:space="preserve"> </w:t>
      </w:r>
    </w:p>
    <w:p w14:paraId="4DA85650" w14:textId="77777777" w:rsidR="0011649A" w:rsidRPr="00C95F5B" w:rsidRDefault="0011649A" w:rsidP="0011649A">
      <w:pPr>
        <w:rPr>
          <w:rtl/>
        </w:rPr>
      </w:pPr>
    </w:p>
    <w:p w14:paraId="4E042B61" w14:textId="77777777" w:rsidR="0011649A" w:rsidRPr="00C95F5B" w:rsidRDefault="0011649A" w:rsidP="0011649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11649A" w:rsidRPr="00C95F5B" w14:paraId="4A555ADE" w14:textId="77777777" w:rsidTr="0011649A">
        <w:trPr>
          <w:trHeight w:val="295"/>
          <w:jc w:val="center"/>
        </w:trPr>
        <w:tc>
          <w:tcPr>
            <w:tcW w:w="923" w:type="dxa"/>
            <w:tcBorders>
              <w:top w:val="nil"/>
              <w:left w:val="nil"/>
              <w:bottom w:val="nil"/>
              <w:right w:val="nil"/>
            </w:tcBorders>
            <w:shd w:val="clear" w:color="auto" w:fill="auto"/>
          </w:tcPr>
          <w:p w14:paraId="11010CCC" w14:textId="77777777" w:rsidR="0011649A" w:rsidRPr="00C95F5B" w:rsidRDefault="0011649A" w:rsidP="0011649A">
            <w:pPr>
              <w:jc w:val="both"/>
              <w:rPr>
                <w:rFonts w:ascii="David" w:hAnsi="David"/>
                <w:sz w:val="26"/>
                <w:szCs w:val="26"/>
              </w:rPr>
            </w:pPr>
            <w:r w:rsidRPr="00C95F5B">
              <w:rPr>
                <w:rFonts w:ascii="David" w:hAnsi="David" w:hint="cs"/>
                <w:sz w:val="26"/>
                <w:szCs w:val="26"/>
                <w:rtl/>
              </w:rPr>
              <w:t>ל</w:t>
            </w:r>
            <w:r w:rsidRPr="00C95F5B">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70549871" w14:textId="77777777" w:rsidR="0011649A" w:rsidRPr="00C95F5B" w:rsidRDefault="0011649A" w:rsidP="00816145">
            <w:pPr>
              <w:rPr>
                <w:rFonts w:ascii="David" w:hAnsi="David"/>
                <w:b/>
                <w:bCs/>
                <w:sz w:val="26"/>
                <w:szCs w:val="26"/>
                <w:rtl/>
              </w:rPr>
            </w:pPr>
            <w:r w:rsidRPr="00C95F5B">
              <w:rPr>
                <w:rFonts w:ascii="David" w:hAnsi="David"/>
                <w:b/>
                <w:bCs/>
                <w:sz w:val="26"/>
                <w:szCs w:val="26"/>
                <w:rtl/>
              </w:rPr>
              <w:t>כבוד השופטת בכירה  שרון לארי-בבלי</w:t>
            </w:r>
          </w:p>
          <w:p w14:paraId="786918F0" w14:textId="77777777" w:rsidR="0011649A" w:rsidRPr="00C95F5B" w:rsidRDefault="0011649A" w:rsidP="00816145">
            <w:pPr>
              <w:rPr>
                <w:rFonts w:ascii="David" w:hAnsi="David"/>
                <w:sz w:val="26"/>
                <w:szCs w:val="26"/>
                <w:rtl/>
              </w:rPr>
            </w:pPr>
          </w:p>
          <w:p w14:paraId="72EEB2FC" w14:textId="77777777" w:rsidR="0011649A" w:rsidRPr="00C95F5B" w:rsidRDefault="0011649A" w:rsidP="0011649A">
            <w:pPr>
              <w:jc w:val="both"/>
              <w:rPr>
                <w:rFonts w:ascii="David" w:hAnsi="David"/>
                <w:sz w:val="26"/>
                <w:szCs w:val="26"/>
              </w:rPr>
            </w:pPr>
          </w:p>
        </w:tc>
      </w:tr>
      <w:tr w:rsidR="0011649A" w:rsidRPr="00C95F5B" w14:paraId="0776F5B1" w14:textId="77777777" w:rsidTr="0011649A">
        <w:trPr>
          <w:trHeight w:val="355"/>
          <w:jc w:val="center"/>
        </w:trPr>
        <w:tc>
          <w:tcPr>
            <w:tcW w:w="923" w:type="dxa"/>
            <w:tcBorders>
              <w:top w:val="nil"/>
              <w:left w:val="nil"/>
              <w:bottom w:val="nil"/>
              <w:right w:val="nil"/>
            </w:tcBorders>
            <w:shd w:val="clear" w:color="auto" w:fill="auto"/>
          </w:tcPr>
          <w:p w14:paraId="478BD116" w14:textId="77777777" w:rsidR="0011649A" w:rsidRPr="00C95F5B" w:rsidRDefault="0011649A" w:rsidP="0011649A">
            <w:pPr>
              <w:jc w:val="both"/>
              <w:rPr>
                <w:rFonts w:ascii="David" w:hAnsi="David"/>
                <w:sz w:val="26"/>
                <w:szCs w:val="26"/>
              </w:rPr>
            </w:pPr>
            <w:bookmarkStart w:id="2" w:name="FirstAppellant"/>
            <w:r w:rsidRPr="00C95F5B">
              <w:rPr>
                <w:rFonts w:ascii="David" w:hAnsi="David"/>
                <w:sz w:val="26"/>
                <w:szCs w:val="26"/>
                <w:rtl/>
              </w:rPr>
              <w:t>בעניין:</w:t>
            </w:r>
          </w:p>
        </w:tc>
        <w:tc>
          <w:tcPr>
            <w:tcW w:w="3219" w:type="dxa"/>
            <w:tcBorders>
              <w:top w:val="nil"/>
              <w:left w:val="nil"/>
              <w:bottom w:val="nil"/>
              <w:right w:val="nil"/>
            </w:tcBorders>
            <w:shd w:val="clear" w:color="auto" w:fill="auto"/>
          </w:tcPr>
          <w:p w14:paraId="59E11C0C" w14:textId="77777777" w:rsidR="0011649A" w:rsidRPr="00C95F5B" w:rsidRDefault="0011649A" w:rsidP="0011649A">
            <w:pPr>
              <w:suppressLineNumbers/>
            </w:pPr>
            <w:r w:rsidRPr="00C95F5B">
              <w:rPr>
                <w:rFonts w:ascii="Arial" w:hAnsi="Arial" w:hint="cs"/>
                <w:b/>
                <w:bCs/>
                <w:sz w:val="26"/>
                <w:szCs w:val="26"/>
                <w:rtl/>
              </w:rPr>
              <w:t>ה</w:t>
            </w:r>
            <w:r w:rsidRPr="00C95F5B">
              <w:rPr>
                <w:rFonts w:ascii="Arial" w:hAnsi="Arial"/>
                <w:b/>
                <w:bCs/>
                <w:sz w:val="26"/>
                <w:szCs w:val="26"/>
                <w:rtl/>
              </w:rPr>
              <w:t>מאשימה</w:t>
            </w:r>
          </w:p>
          <w:p w14:paraId="2BFDD725" w14:textId="77777777" w:rsidR="0011649A" w:rsidRPr="00C95F5B" w:rsidRDefault="0011649A" w:rsidP="00816145">
            <w:pPr>
              <w:rPr>
                <w:rFonts w:ascii="David" w:hAnsi="David"/>
                <w:sz w:val="26"/>
                <w:szCs w:val="26"/>
              </w:rPr>
            </w:pPr>
          </w:p>
        </w:tc>
        <w:tc>
          <w:tcPr>
            <w:tcW w:w="4678" w:type="dxa"/>
            <w:tcBorders>
              <w:top w:val="nil"/>
              <w:left w:val="nil"/>
              <w:bottom w:val="nil"/>
              <w:right w:val="nil"/>
            </w:tcBorders>
            <w:shd w:val="clear" w:color="auto" w:fill="auto"/>
            <w:vAlign w:val="center"/>
          </w:tcPr>
          <w:p w14:paraId="443377AA" w14:textId="77777777" w:rsidR="0011649A" w:rsidRPr="00C95F5B" w:rsidRDefault="0011649A" w:rsidP="0011649A">
            <w:pPr>
              <w:suppressLineNumbers/>
              <w:rPr>
                <w:rFonts w:ascii="Arial" w:hAnsi="Arial"/>
                <w:b/>
                <w:bCs/>
                <w:sz w:val="26"/>
                <w:szCs w:val="26"/>
                <w:rtl/>
              </w:rPr>
            </w:pPr>
            <w:r w:rsidRPr="00C95F5B">
              <w:rPr>
                <w:rFonts w:ascii="Arial" w:hAnsi="Arial"/>
                <w:b/>
                <w:bCs/>
                <w:sz w:val="26"/>
                <w:szCs w:val="26"/>
                <w:rtl/>
              </w:rPr>
              <w:t>מדינת ישראל</w:t>
            </w:r>
          </w:p>
          <w:p w14:paraId="05828AB4" w14:textId="77777777" w:rsidR="0011649A" w:rsidRPr="00C95F5B" w:rsidRDefault="0011649A" w:rsidP="0011649A">
            <w:pPr>
              <w:suppressLineNumbers/>
            </w:pPr>
            <w:r w:rsidRPr="00C95F5B">
              <w:rPr>
                <w:rFonts w:ascii="Arial" w:hAnsi="Arial"/>
                <w:sz w:val="26"/>
                <w:szCs w:val="26"/>
                <w:rtl/>
              </w:rPr>
              <w:t xml:space="preserve">ע"י </w:t>
            </w:r>
            <w:r w:rsidRPr="00C95F5B">
              <w:rPr>
                <w:rFonts w:ascii="Arial" w:hAnsi="Arial" w:hint="cs"/>
                <w:sz w:val="26"/>
                <w:szCs w:val="26"/>
                <w:rtl/>
              </w:rPr>
              <w:t>פרקליטות מחוז ירושלים- פלילי</w:t>
            </w:r>
          </w:p>
          <w:p w14:paraId="7C0FDBFA" w14:textId="77777777" w:rsidR="0011649A" w:rsidRPr="00C95F5B" w:rsidRDefault="0011649A" w:rsidP="00816145">
            <w:pPr>
              <w:rPr>
                <w:rFonts w:ascii="David" w:hAnsi="David"/>
                <w:sz w:val="26"/>
                <w:szCs w:val="26"/>
              </w:rPr>
            </w:pPr>
          </w:p>
        </w:tc>
      </w:tr>
      <w:bookmarkEnd w:id="2"/>
      <w:tr w:rsidR="0011649A" w:rsidRPr="00C95F5B" w14:paraId="2C98CE53" w14:textId="77777777" w:rsidTr="0011649A">
        <w:trPr>
          <w:trHeight w:val="355"/>
          <w:jc w:val="center"/>
        </w:trPr>
        <w:tc>
          <w:tcPr>
            <w:tcW w:w="923" w:type="dxa"/>
            <w:tcBorders>
              <w:top w:val="nil"/>
              <w:left w:val="nil"/>
              <w:bottom w:val="nil"/>
              <w:right w:val="nil"/>
            </w:tcBorders>
            <w:shd w:val="clear" w:color="auto" w:fill="auto"/>
          </w:tcPr>
          <w:p w14:paraId="79BC421E" w14:textId="77777777" w:rsidR="0011649A" w:rsidRPr="00C95F5B" w:rsidRDefault="0011649A" w:rsidP="0011649A">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4641694A" w14:textId="77777777" w:rsidR="0011649A" w:rsidRPr="00C95F5B" w:rsidRDefault="0011649A" w:rsidP="0011649A">
            <w:pPr>
              <w:jc w:val="center"/>
              <w:rPr>
                <w:rFonts w:ascii="David" w:hAnsi="David"/>
                <w:b/>
                <w:bCs/>
                <w:sz w:val="26"/>
                <w:szCs w:val="26"/>
                <w:rtl/>
              </w:rPr>
            </w:pPr>
          </w:p>
          <w:p w14:paraId="56712767" w14:textId="77777777" w:rsidR="0011649A" w:rsidRPr="00C95F5B" w:rsidRDefault="0011649A" w:rsidP="0011649A">
            <w:pPr>
              <w:jc w:val="center"/>
              <w:rPr>
                <w:rFonts w:ascii="David" w:hAnsi="David"/>
                <w:b/>
                <w:bCs/>
                <w:sz w:val="26"/>
                <w:szCs w:val="26"/>
                <w:rtl/>
              </w:rPr>
            </w:pPr>
            <w:r w:rsidRPr="00C95F5B">
              <w:rPr>
                <w:rFonts w:ascii="David" w:hAnsi="David"/>
                <w:b/>
                <w:bCs/>
                <w:sz w:val="26"/>
                <w:szCs w:val="26"/>
                <w:rtl/>
              </w:rPr>
              <w:t>נגד</w:t>
            </w:r>
          </w:p>
          <w:p w14:paraId="4E018D5C" w14:textId="77777777" w:rsidR="0011649A" w:rsidRPr="00C95F5B" w:rsidRDefault="0011649A" w:rsidP="0011649A">
            <w:pPr>
              <w:jc w:val="both"/>
              <w:rPr>
                <w:rFonts w:ascii="David" w:hAnsi="David"/>
                <w:sz w:val="26"/>
                <w:szCs w:val="26"/>
              </w:rPr>
            </w:pPr>
          </w:p>
        </w:tc>
      </w:tr>
      <w:tr w:rsidR="0011649A" w:rsidRPr="00C95F5B" w14:paraId="7524E079" w14:textId="77777777" w:rsidTr="0011649A">
        <w:trPr>
          <w:trHeight w:val="355"/>
          <w:jc w:val="center"/>
        </w:trPr>
        <w:tc>
          <w:tcPr>
            <w:tcW w:w="923" w:type="dxa"/>
            <w:tcBorders>
              <w:top w:val="nil"/>
              <w:left w:val="nil"/>
              <w:bottom w:val="nil"/>
              <w:right w:val="nil"/>
            </w:tcBorders>
            <w:shd w:val="clear" w:color="auto" w:fill="auto"/>
          </w:tcPr>
          <w:p w14:paraId="7D302010" w14:textId="77777777" w:rsidR="0011649A" w:rsidRPr="00C95F5B" w:rsidRDefault="0011649A" w:rsidP="00816145">
            <w:pPr>
              <w:rPr>
                <w:rFonts w:ascii="David" w:hAnsi="David"/>
                <w:sz w:val="26"/>
                <w:szCs w:val="26"/>
                <w:rtl/>
              </w:rPr>
            </w:pPr>
          </w:p>
        </w:tc>
        <w:tc>
          <w:tcPr>
            <w:tcW w:w="3219" w:type="dxa"/>
            <w:tcBorders>
              <w:top w:val="nil"/>
              <w:left w:val="nil"/>
              <w:bottom w:val="nil"/>
              <w:right w:val="nil"/>
            </w:tcBorders>
            <w:shd w:val="clear" w:color="auto" w:fill="auto"/>
          </w:tcPr>
          <w:p w14:paraId="3A4B04D1" w14:textId="77777777" w:rsidR="0011649A" w:rsidRPr="00C95F5B" w:rsidRDefault="0011649A" w:rsidP="00816145">
            <w:pPr>
              <w:rPr>
                <w:rFonts w:ascii="Arial" w:hAnsi="Arial"/>
                <w:b/>
                <w:bCs/>
                <w:sz w:val="26"/>
                <w:szCs w:val="26"/>
                <w:rtl/>
              </w:rPr>
            </w:pPr>
            <w:r w:rsidRPr="00C95F5B">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6B049B44" w14:textId="77777777" w:rsidR="0011649A" w:rsidRPr="00C95F5B" w:rsidRDefault="0011649A" w:rsidP="0011649A">
            <w:pPr>
              <w:suppressLineNumbers/>
            </w:pPr>
            <w:r w:rsidRPr="00C95F5B">
              <w:rPr>
                <w:rFonts w:ascii="Arial" w:hAnsi="Arial"/>
                <w:b/>
                <w:bCs/>
                <w:sz w:val="26"/>
                <w:szCs w:val="26"/>
                <w:rtl/>
              </w:rPr>
              <w:t>מחמד גול</w:t>
            </w:r>
            <w:r w:rsidRPr="00C95F5B">
              <w:rPr>
                <w:rFonts w:ascii="Arial" w:hAnsi="Arial"/>
                <w:b/>
                <w:bCs/>
                <w:sz w:val="26"/>
                <w:szCs w:val="26"/>
                <w:rtl/>
              </w:rPr>
              <w:br/>
            </w:r>
            <w:r w:rsidRPr="00C95F5B">
              <w:rPr>
                <w:rFonts w:ascii="Arial" w:hAnsi="Arial"/>
                <w:sz w:val="26"/>
                <w:szCs w:val="26"/>
                <w:rtl/>
              </w:rPr>
              <w:t xml:space="preserve">ע"י ב"כ </w:t>
            </w:r>
            <w:r w:rsidRPr="00C95F5B">
              <w:rPr>
                <w:rFonts w:ascii="Arial" w:hAnsi="Arial" w:hint="cs"/>
                <w:sz w:val="26"/>
                <w:szCs w:val="26"/>
                <w:rtl/>
              </w:rPr>
              <w:t>עו"ד הילה נאוי</w:t>
            </w:r>
          </w:p>
          <w:p w14:paraId="2AC57BA3" w14:textId="77777777" w:rsidR="0011649A" w:rsidRPr="00C95F5B" w:rsidRDefault="0011649A" w:rsidP="00816145">
            <w:pPr>
              <w:rPr>
                <w:rFonts w:ascii="David" w:hAnsi="David"/>
                <w:sz w:val="26"/>
                <w:szCs w:val="26"/>
              </w:rPr>
            </w:pPr>
          </w:p>
        </w:tc>
      </w:tr>
    </w:tbl>
    <w:p w14:paraId="22C46E01" w14:textId="77777777" w:rsidR="00C95F5B" w:rsidRPr="00C95F5B" w:rsidRDefault="00C95F5B" w:rsidP="00C95F5B">
      <w:pPr>
        <w:spacing w:before="120" w:after="120" w:line="240" w:lineRule="exact"/>
        <w:ind w:left="283" w:hanging="283"/>
        <w:jc w:val="both"/>
        <w:rPr>
          <w:rFonts w:ascii="FrankRuehl" w:hAnsi="FrankRuehl" w:cs="FrankRuehl"/>
          <w:rtl/>
        </w:rPr>
      </w:pPr>
    </w:p>
    <w:p w14:paraId="64BCF381" w14:textId="77777777" w:rsidR="0002664C" w:rsidRPr="0002664C" w:rsidRDefault="0002664C" w:rsidP="0002664C">
      <w:pPr>
        <w:spacing w:before="120" w:after="120" w:line="240" w:lineRule="exact"/>
        <w:ind w:left="283" w:hanging="283"/>
        <w:jc w:val="both"/>
        <w:rPr>
          <w:rFonts w:ascii="FrankRuehl" w:hAnsi="FrankRuehl" w:cs="FrankRuehl"/>
          <w:rtl/>
        </w:rPr>
      </w:pPr>
      <w:bookmarkStart w:id="3" w:name="LawTable"/>
      <w:bookmarkEnd w:id="3"/>
      <w:r w:rsidRPr="0002664C">
        <w:rPr>
          <w:rFonts w:ascii="FrankRuehl" w:hAnsi="FrankRuehl" w:cs="FrankRuehl"/>
          <w:rtl/>
        </w:rPr>
        <w:t xml:space="preserve">חקיקה שאוזכרה: </w:t>
      </w:r>
    </w:p>
    <w:p w14:paraId="3FD67F38" w14:textId="77777777" w:rsidR="0002664C" w:rsidRPr="0002664C" w:rsidRDefault="0002664C" w:rsidP="0002664C">
      <w:pPr>
        <w:spacing w:before="120" w:after="120" w:line="240" w:lineRule="exact"/>
        <w:ind w:left="283" w:hanging="283"/>
        <w:jc w:val="both"/>
        <w:rPr>
          <w:rFonts w:ascii="FrankRuehl" w:hAnsi="FrankRuehl" w:cs="FrankRuehl"/>
          <w:color w:val="0000FF"/>
          <w:rtl/>
        </w:rPr>
      </w:pPr>
      <w:hyperlink r:id="rId7" w:history="1">
        <w:r w:rsidRPr="0002664C">
          <w:rPr>
            <w:rStyle w:val="Hyperlink"/>
            <w:rFonts w:ascii="FrankRuehl" w:hAnsi="FrankRuehl" w:cs="FrankRuehl"/>
            <w:u w:val="none"/>
            <w:rtl/>
          </w:rPr>
          <w:t>חוק העונשין, תשל"ז-1977</w:t>
        </w:r>
      </w:hyperlink>
      <w:r w:rsidRPr="0002664C">
        <w:rPr>
          <w:rFonts w:ascii="FrankRuehl" w:hAnsi="FrankRuehl" w:cs="FrankRuehl"/>
          <w:color w:val="0000FF"/>
          <w:rtl/>
        </w:rPr>
        <w:t xml:space="preserve">: סע'  </w:t>
      </w:r>
      <w:hyperlink r:id="rId8" w:history="1">
        <w:r w:rsidRPr="0002664C">
          <w:rPr>
            <w:rStyle w:val="Hyperlink"/>
            <w:rFonts w:ascii="FrankRuehl" w:hAnsi="FrankRuehl" w:cs="FrankRuehl"/>
            <w:u w:val="none"/>
          </w:rPr>
          <w:t>144</w:t>
        </w:r>
      </w:hyperlink>
      <w:r w:rsidRPr="0002664C">
        <w:rPr>
          <w:rFonts w:ascii="FrankRuehl" w:hAnsi="FrankRuehl" w:cs="FrankRuehl"/>
          <w:color w:val="0000FF"/>
          <w:rtl/>
        </w:rPr>
        <w:t>(א)</w:t>
      </w:r>
    </w:p>
    <w:p w14:paraId="22DB5BA4" w14:textId="77777777" w:rsidR="0011649A" w:rsidRPr="0002664C" w:rsidRDefault="0011649A" w:rsidP="0002664C">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1649A" w14:paraId="4210AA83" w14:textId="77777777" w:rsidTr="0011649A">
        <w:trPr>
          <w:trHeight w:val="355"/>
          <w:jc w:val="center"/>
        </w:trPr>
        <w:tc>
          <w:tcPr>
            <w:tcW w:w="8820" w:type="dxa"/>
            <w:tcBorders>
              <w:top w:val="nil"/>
              <w:left w:val="nil"/>
              <w:bottom w:val="nil"/>
              <w:right w:val="nil"/>
            </w:tcBorders>
            <w:shd w:val="clear" w:color="auto" w:fill="auto"/>
          </w:tcPr>
          <w:p w14:paraId="54576351" w14:textId="77777777" w:rsidR="00C95F5B" w:rsidRPr="00C95F5B" w:rsidRDefault="00C95F5B" w:rsidP="00C95F5B">
            <w:pPr>
              <w:jc w:val="center"/>
              <w:rPr>
                <w:rFonts w:ascii="David" w:hAnsi="David"/>
                <w:b/>
                <w:bCs/>
                <w:sz w:val="32"/>
                <w:szCs w:val="32"/>
                <w:u w:val="single"/>
                <w:rtl/>
              </w:rPr>
            </w:pPr>
            <w:bookmarkStart w:id="5" w:name="PsakDin" w:colFirst="0" w:colLast="0"/>
            <w:bookmarkEnd w:id="0"/>
            <w:bookmarkEnd w:id="1"/>
            <w:r w:rsidRPr="00C95F5B">
              <w:rPr>
                <w:rFonts w:ascii="David" w:hAnsi="David"/>
                <w:b/>
                <w:bCs/>
                <w:sz w:val="32"/>
                <w:szCs w:val="32"/>
                <w:u w:val="single"/>
                <w:rtl/>
              </w:rPr>
              <w:t>גזר דין</w:t>
            </w:r>
          </w:p>
          <w:p w14:paraId="3789F1DE" w14:textId="77777777" w:rsidR="0011649A" w:rsidRPr="00C95F5B" w:rsidRDefault="0011649A" w:rsidP="00C95F5B">
            <w:pPr>
              <w:jc w:val="center"/>
              <w:rPr>
                <w:rFonts w:ascii="David" w:hAnsi="David"/>
                <w:bCs/>
                <w:sz w:val="32"/>
                <w:szCs w:val="32"/>
                <w:u w:val="single"/>
                <w:rtl/>
              </w:rPr>
            </w:pPr>
          </w:p>
        </w:tc>
      </w:tr>
      <w:bookmarkEnd w:id="5"/>
    </w:tbl>
    <w:p w14:paraId="146A4DC4" w14:textId="77777777" w:rsidR="0011649A" w:rsidRPr="000F2247" w:rsidRDefault="0011649A" w:rsidP="0011649A">
      <w:pPr>
        <w:rPr>
          <w:rFonts w:ascii="Arial" w:hAnsi="Arial"/>
          <w:b/>
          <w:bCs/>
          <w:sz w:val="26"/>
          <w:szCs w:val="26"/>
          <w:rtl/>
        </w:rPr>
      </w:pPr>
    </w:p>
    <w:p w14:paraId="4D361A70" w14:textId="77777777" w:rsidR="0011649A" w:rsidRPr="007A2A36" w:rsidRDefault="0011649A" w:rsidP="0011649A">
      <w:pPr>
        <w:spacing w:line="360" w:lineRule="auto"/>
        <w:jc w:val="both"/>
        <w:rPr>
          <w:sz w:val="26"/>
          <w:szCs w:val="26"/>
          <w:u w:val="single"/>
          <w:rtl/>
        </w:rPr>
      </w:pPr>
      <w:r w:rsidRPr="007A2A36">
        <w:rPr>
          <w:sz w:val="26"/>
          <w:szCs w:val="26"/>
          <w:u w:val="single"/>
          <w:rtl/>
        </w:rPr>
        <w:t>רקע</w:t>
      </w:r>
    </w:p>
    <w:p w14:paraId="2FA12A68" w14:textId="77777777" w:rsidR="0011649A" w:rsidRPr="007A2A36" w:rsidRDefault="0011649A" w:rsidP="0011649A">
      <w:pPr>
        <w:spacing w:line="360" w:lineRule="auto"/>
        <w:jc w:val="both"/>
        <w:rPr>
          <w:sz w:val="26"/>
          <w:szCs w:val="26"/>
          <w:u w:val="single"/>
        </w:rPr>
      </w:pPr>
    </w:p>
    <w:p w14:paraId="54E4AAF3" w14:textId="77777777" w:rsidR="0011649A" w:rsidRPr="0011649A" w:rsidRDefault="0011649A" w:rsidP="0011649A">
      <w:pPr>
        <w:numPr>
          <w:ilvl w:val="0"/>
          <w:numId w:val="1"/>
        </w:numPr>
        <w:spacing w:line="360" w:lineRule="auto"/>
        <w:jc w:val="both"/>
        <w:rPr>
          <w:rFonts w:cs="Arial"/>
          <w:sz w:val="26"/>
          <w:szCs w:val="26"/>
          <w:rtl/>
        </w:rPr>
      </w:pPr>
      <w:bookmarkStart w:id="6" w:name="ABSTRACT_START"/>
      <w:bookmarkEnd w:id="6"/>
      <w:r w:rsidRPr="007A2A36">
        <w:rPr>
          <w:rFonts w:ascii="David" w:hAnsi="David"/>
          <w:sz w:val="26"/>
          <w:szCs w:val="26"/>
          <w:rtl/>
        </w:rPr>
        <w:t>הנאשם הורשע ע"פ הודאתו (שנמסרה בתום שלושה ימי הוכחות, ולאחר שנשמעו כל עדי התביעה, הנאשם ועדי ההגנה)  בעבירה של החזקת נשק</w:t>
      </w:r>
      <w:r w:rsidRPr="007A2A36">
        <w:rPr>
          <w:rFonts w:ascii="Arial" w:hAnsi="Arial"/>
          <w:sz w:val="26"/>
          <w:szCs w:val="26"/>
          <w:rtl/>
        </w:rPr>
        <w:t xml:space="preserve">, לפי </w:t>
      </w:r>
      <w:hyperlink r:id="rId9" w:history="1">
        <w:r w:rsidR="0002664C" w:rsidRPr="0002664C">
          <w:rPr>
            <w:rStyle w:val="Hyperlink"/>
            <w:rFonts w:ascii="Arial" w:hAnsi="Arial"/>
            <w:color w:val="0000FF"/>
            <w:sz w:val="26"/>
            <w:szCs w:val="26"/>
            <w:rtl/>
          </w:rPr>
          <w:t>סעיף 144(א)</w:t>
        </w:r>
      </w:hyperlink>
      <w:r w:rsidRPr="007A2A36">
        <w:rPr>
          <w:rFonts w:ascii="Arial" w:hAnsi="Arial"/>
          <w:sz w:val="26"/>
          <w:szCs w:val="26"/>
          <w:rtl/>
        </w:rPr>
        <w:t xml:space="preserve"> רישא ל</w:t>
      </w:r>
      <w:hyperlink r:id="rId10" w:history="1">
        <w:r w:rsidR="00C95F5B" w:rsidRPr="00C95F5B">
          <w:rPr>
            <w:rFonts w:ascii="Arial" w:hAnsi="Arial"/>
            <w:color w:val="0000FF"/>
            <w:sz w:val="26"/>
            <w:szCs w:val="26"/>
            <w:u w:val="single"/>
            <w:rtl/>
          </w:rPr>
          <w:t>חוק העונשין</w:t>
        </w:r>
      </w:hyperlink>
      <w:r w:rsidRPr="007A2A36">
        <w:rPr>
          <w:rFonts w:ascii="Arial" w:hAnsi="Arial"/>
          <w:sz w:val="26"/>
          <w:szCs w:val="26"/>
          <w:rtl/>
        </w:rPr>
        <w:t xml:space="preserve">, התשל"ז-1977 </w:t>
      </w:r>
      <w:bookmarkStart w:id="7" w:name="ABSTRACT_END"/>
      <w:bookmarkEnd w:id="7"/>
      <w:r w:rsidRPr="007A2A36">
        <w:rPr>
          <w:rFonts w:ascii="Arial" w:hAnsi="Arial"/>
          <w:sz w:val="26"/>
          <w:szCs w:val="26"/>
          <w:rtl/>
        </w:rPr>
        <w:t xml:space="preserve">(להלן- </w:t>
      </w:r>
      <w:r w:rsidRPr="007A2A36">
        <w:rPr>
          <w:rFonts w:ascii="Arial" w:hAnsi="Arial"/>
          <w:b/>
          <w:bCs/>
          <w:sz w:val="26"/>
          <w:szCs w:val="26"/>
          <w:rtl/>
        </w:rPr>
        <w:t>חוק העונשין</w:t>
      </w:r>
      <w:r w:rsidRPr="007A2A36">
        <w:rPr>
          <w:rFonts w:ascii="Arial" w:hAnsi="Arial"/>
          <w:sz w:val="26"/>
          <w:szCs w:val="26"/>
          <w:rtl/>
        </w:rPr>
        <w:t xml:space="preserve">). </w:t>
      </w:r>
    </w:p>
    <w:p w14:paraId="637F1DF1" w14:textId="77777777" w:rsidR="0011649A" w:rsidRPr="007A2A36" w:rsidRDefault="0011649A" w:rsidP="0011649A">
      <w:pPr>
        <w:spacing w:line="360" w:lineRule="auto"/>
        <w:ind w:left="720"/>
        <w:jc w:val="both"/>
        <w:rPr>
          <w:rFonts w:ascii="David" w:hAnsi="David"/>
          <w:sz w:val="26"/>
          <w:szCs w:val="26"/>
        </w:rPr>
      </w:pPr>
    </w:p>
    <w:p w14:paraId="1EAC9572" w14:textId="77777777" w:rsidR="0011649A" w:rsidRPr="007A2A36" w:rsidRDefault="0011649A" w:rsidP="0011649A">
      <w:pPr>
        <w:numPr>
          <w:ilvl w:val="0"/>
          <w:numId w:val="1"/>
        </w:numPr>
        <w:spacing w:line="360" w:lineRule="auto"/>
        <w:jc w:val="both"/>
        <w:rPr>
          <w:rFonts w:ascii="David" w:hAnsi="David"/>
          <w:sz w:val="26"/>
          <w:szCs w:val="26"/>
        </w:rPr>
      </w:pPr>
      <w:r w:rsidRPr="007A2A36">
        <w:rPr>
          <w:rFonts w:ascii="David" w:hAnsi="David"/>
          <w:sz w:val="26"/>
          <w:szCs w:val="26"/>
          <w:rtl/>
        </w:rPr>
        <w:t xml:space="preserve">ההודאה נמסרה במסגרת הסדר טיעון, שלא כלל הסכמות עונשיות. </w:t>
      </w:r>
    </w:p>
    <w:p w14:paraId="5DEE09A8" w14:textId="77777777" w:rsidR="0011649A" w:rsidRPr="007A2A36" w:rsidRDefault="0011649A" w:rsidP="0011649A">
      <w:pPr>
        <w:pStyle w:val="a9"/>
        <w:rPr>
          <w:rFonts w:ascii="David" w:hAnsi="David" w:cs="David"/>
          <w:sz w:val="26"/>
          <w:szCs w:val="26"/>
        </w:rPr>
      </w:pPr>
    </w:p>
    <w:p w14:paraId="0FF56AAB" w14:textId="77777777" w:rsidR="0011649A" w:rsidRPr="007A2A36" w:rsidRDefault="0011649A" w:rsidP="0011649A">
      <w:pPr>
        <w:pStyle w:val="a9"/>
        <w:numPr>
          <w:ilvl w:val="0"/>
          <w:numId w:val="1"/>
        </w:numPr>
        <w:tabs>
          <w:tab w:val="left" w:pos="4946"/>
        </w:tabs>
        <w:spacing w:line="360" w:lineRule="auto"/>
        <w:jc w:val="both"/>
        <w:rPr>
          <w:rFonts w:ascii="David" w:hAnsi="David" w:cs="David"/>
          <w:sz w:val="26"/>
          <w:szCs w:val="26"/>
          <w:rtl/>
        </w:rPr>
      </w:pPr>
      <w:r w:rsidRPr="007A2A36">
        <w:rPr>
          <w:rFonts w:ascii="David" w:hAnsi="David" w:cs="David"/>
          <w:sz w:val="26"/>
          <w:szCs w:val="26"/>
          <w:rtl/>
        </w:rPr>
        <w:t xml:space="preserve">ביום 29.9.24 טענו הצדדים לעונש. </w:t>
      </w:r>
    </w:p>
    <w:p w14:paraId="5509E688" w14:textId="77777777" w:rsidR="0011649A" w:rsidRPr="007A2A36" w:rsidRDefault="0011649A" w:rsidP="0011649A">
      <w:pPr>
        <w:pStyle w:val="a9"/>
        <w:rPr>
          <w:rFonts w:ascii="David" w:hAnsi="David" w:cs="David"/>
          <w:sz w:val="26"/>
          <w:szCs w:val="26"/>
        </w:rPr>
      </w:pPr>
    </w:p>
    <w:p w14:paraId="77DDC306" w14:textId="77777777" w:rsidR="0011649A" w:rsidRPr="007A2A36" w:rsidRDefault="0011649A" w:rsidP="0011649A">
      <w:pPr>
        <w:tabs>
          <w:tab w:val="left" w:pos="4946"/>
        </w:tabs>
        <w:spacing w:line="360" w:lineRule="auto"/>
        <w:jc w:val="both"/>
        <w:rPr>
          <w:rFonts w:ascii="David" w:hAnsi="David"/>
          <w:sz w:val="26"/>
          <w:szCs w:val="26"/>
          <w:u w:val="single"/>
          <w:rtl/>
        </w:rPr>
      </w:pPr>
      <w:r w:rsidRPr="007A2A36">
        <w:rPr>
          <w:rFonts w:ascii="David" w:hAnsi="David"/>
          <w:sz w:val="26"/>
          <w:szCs w:val="26"/>
          <w:u w:val="single"/>
          <w:rtl/>
        </w:rPr>
        <w:t xml:space="preserve">תסקיר שירות המבחן </w:t>
      </w:r>
    </w:p>
    <w:p w14:paraId="118FB24C" w14:textId="77777777" w:rsidR="0011649A" w:rsidRPr="007A2A36" w:rsidRDefault="0011649A" w:rsidP="0011649A">
      <w:pPr>
        <w:tabs>
          <w:tab w:val="left" w:pos="4946"/>
        </w:tabs>
        <w:spacing w:line="360" w:lineRule="auto"/>
        <w:jc w:val="both"/>
        <w:rPr>
          <w:rFonts w:ascii="David" w:hAnsi="David"/>
          <w:sz w:val="26"/>
          <w:szCs w:val="26"/>
          <w:u w:val="single"/>
          <w:rtl/>
        </w:rPr>
      </w:pPr>
    </w:p>
    <w:p w14:paraId="50B7BD7D" w14:textId="77777777" w:rsidR="0011649A" w:rsidRPr="007A2A36" w:rsidRDefault="0011649A" w:rsidP="0011649A">
      <w:pPr>
        <w:pStyle w:val="a9"/>
        <w:numPr>
          <w:ilvl w:val="0"/>
          <w:numId w:val="1"/>
        </w:numPr>
        <w:tabs>
          <w:tab w:val="left" w:pos="4946"/>
        </w:tabs>
        <w:spacing w:line="360" w:lineRule="auto"/>
        <w:jc w:val="both"/>
        <w:rPr>
          <w:rFonts w:ascii="David" w:hAnsi="David" w:cs="David"/>
          <w:sz w:val="26"/>
          <w:szCs w:val="26"/>
        </w:rPr>
      </w:pPr>
      <w:r w:rsidRPr="007A2A36">
        <w:rPr>
          <w:rFonts w:ascii="David" w:hAnsi="David" w:cs="David"/>
          <w:sz w:val="26"/>
          <w:szCs w:val="26"/>
          <w:rtl/>
        </w:rPr>
        <w:lastRenderedPageBreak/>
        <w:t xml:space="preserve">תסקיר שירות המבחן מיום 4.9.2024 מפרט את נסיבות חייו של הנאשם, את סכסוכו עם משפחת האב ואת הנסיבות שהביאו אותו להחזיק בנשק נשוא כתב האישום. </w:t>
      </w:r>
    </w:p>
    <w:p w14:paraId="33ED40DF" w14:textId="77777777" w:rsidR="0011649A" w:rsidRPr="007A2A36" w:rsidRDefault="0011649A" w:rsidP="0011649A">
      <w:pPr>
        <w:pStyle w:val="a9"/>
        <w:tabs>
          <w:tab w:val="left" w:pos="4946"/>
        </w:tabs>
        <w:spacing w:line="360" w:lineRule="auto"/>
        <w:jc w:val="both"/>
        <w:rPr>
          <w:rFonts w:ascii="David" w:hAnsi="David" w:cs="David"/>
          <w:sz w:val="26"/>
          <w:szCs w:val="26"/>
        </w:rPr>
      </w:pPr>
    </w:p>
    <w:p w14:paraId="2FDE8A66" w14:textId="77777777" w:rsidR="0011649A" w:rsidRPr="007A2A36" w:rsidRDefault="0011649A" w:rsidP="0011649A">
      <w:pPr>
        <w:pStyle w:val="a9"/>
        <w:numPr>
          <w:ilvl w:val="0"/>
          <w:numId w:val="1"/>
        </w:numPr>
        <w:tabs>
          <w:tab w:val="left" w:pos="4946"/>
        </w:tabs>
        <w:spacing w:line="360" w:lineRule="auto"/>
        <w:jc w:val="both"/>
        <w:rPr>
          <w:rFonts w:ascii="David" w:hAnsi="David" w:cs="David"/>
          <w:sz w:val="26"/>
          <w:szCs w:val="26"/>
          <w:rtl/>
        </w:rPr>
      </w:pPr>
      <w:r w:rsidRPr="007A2A36">
        <w:rPr>
          <w:rFonts w:ascii="David" w:hAnsi="David" w:cs="David"/>
          <w:sz w:val="26"/>
          <w:szCs w:val="26"/>
          <w:rtl/>
        </w:rPr>
        <w:t xml:space="preserve">הנאשם שלל שימוש בחומרים פסיכו-אקטיביים, לרבות צריכת אלכוהול. </w:t>
      </w:r>
    </w:p>
    <w:p w14:paraId="0770274D" w14:textId="77777777" w:rsidR="0011649A" w:rsidRPr="007A2A36" w:rsidRDefault="0011649A" w:rsidP="0011649A">
      <w:pPr>
        <w:pStyle w:val="a9"/>
        <w:rPr>
          <w:rFonts w:ascii="David" w:hAnsi="David" w:cs="David"/>
          <w:sz w:val="26"/>
          <w:szCs w:val="26"/>
        </w:rPr>
      </w:pPr>
    </w:p>
    <w:p w14:paraId="74A069F2" w14:textId="77777777" w:rsidR="0011649A" w:rsidRPr="007A2A36" w:rsidRDefault="0011649A" w:rsidP="0011649A">
      <w:pPr>
        <w:pStyle w:val="a9"/>
        <w:numPr>
          <w:ilvl w:val="0"/>
          <w:numId w:val="1"/>
        </w:numPr>
        <w:tabs>
          <w:tab w:val="left" w:pos="4946"/>
        </w:tabs>
        <w:spacing w:line="360" w:lineRule="auto"/>
        <w:jc w:val="both"/>
        <w:rPr>
          <w:rFonts w:ascii="David" w:hAnsi="David" w:cs="David"/>
          <w:sz w:val="26"/>
          <w:szCs w:val="26"/>
          <w:rtl/>
        </w:rPr>
      </w:pPr>
      <w:r w:rsidRPr="007A2A36">
        <w:rPr>
          <w:rFonts w:ascii="David" w:hAnsi="David" w:cs="David"/>
          <w:sz w:val="26"/>
          <w:szCs w:val="26"/>
          <w:rtl/>
        </w:rPr>
        <w:t xml:space="preserve">בהתייחס לעבירות מושא הדיון, התרשם השירות שהנאשם התקשה לעמוד לעומק על חומרת מעשיו ולהפנים את המסוכנות הטמונה בהם. </w:t>
      </w:r>
    </w:p>
    <w:p w14:paraId="490D52DD" w14:textId="77777777" w:rsidR="0011649A" w:rsidRPr="007A2A36" w:rsidRDefault="0011649A" w:rsidP="0011649A">
      <w:pPr>
        <w:pStyle w:val="a9"/>
        <w:numPr>
          <w:ilvl w:val="0"/>
          <w:numId w:val="1"/>
        </w:numPr>
        <w:tabs>
          <w:tab w:val="left" w:pos="4946"/>
        </w:tabs>
        <w:spacing w:line="360" w:lineRule="auto"/>
        <w:jc w:val="both"/>
        <w:rPr>
          <w:rFonts w:ascii="David" w:hAnsi="David" w:cs="David"/>
          <w:sz w:val="26"/>
          <w:szCs w:val="26"/>
          <w:rtl/>
        </w:rPr>
      </w:pPr>
      <w:r w:rsidRPr="007A2A36">
        <w:rPr>
          <w:rFonts w:ascii="David" w:hAnsi="David" w:cs="David"/>
          <w:sz w:val="26"/>
          <w:szCs w:val="26"/>
          <w:rtl/>
        </w:rPr>
        <w:t xml:space="preserve">שירות המבחן התרשם שהנאשם מעוניין להשתלב בהליך טיפולי ובקש לשלבו בקבוצה טיפולית ייעודית ולהעמידו בצו מבחן. </w:t>
      </w:r>
    </w:p>
    <w:p w14:paraId="1F30BC22" w14:textId="77777777" w:rsidR="0011649A" w:rsidRPr="007A2A36" w:rsidRDefault="0011649A" w:rsidP="0011649A">
      <w:pPr>
        <w:tabs>
          <w:tab w:val="left" w:pos="4946"/>
        </w:tabs>
        <w:spacing w:line="360" w:lineRule="auto"/>
        <w:jc w:val="both"/>
        <w:rPr>
          <w:rFonts w:ascii="David" w:hAnsi="David"/>
          <w:sz w:val="26"/>
          <w:szCs w:val="26"/>
          <w:u w:val="single"/>
          <w:rtl/>
        </w:rPr>
      </w:pPr>
      <w:r w:rsidRPr="007A2A36">
        <w:rPr>
          <w:rFonts w:ascii="David" w:hAnsi="David"/>
          <w:sz w:val="26"/>
          <w:szCs w:val="26"/>
          <w:u w:val="single"/>
          <w:rtl/>
        </w:rPr>
        <w:t>טיעוני הצדדים וראיות לעונש</w:t>
      </w:r>
    </w:p>
    <w:p w14:paraId="2BAE21A5" w14:textId="77777777" w:rsidR="0011649A" w:rsidRPr="007A2A36" w:rsidRDefault="0011649A" w:rsidP="0011649A">
      <w:pPr>
        <w:tabs>
          <w:tab w:val="left" w:pos="4946"/>
        </w:tabs>
        <w:spacing w:line="360" w:lineRule="auto"/>
        <w:jc w:val="both"/>
        <w:rPr>
          <w:rFonts w:ascii="David" w:hAnsi="David"/>
          <w:sz w:val="26"/>
          <w:szCs w:val="26"/>
          <w:u w:val="single"/>
          <w:rtl/>
        </w:rPr>
      </w:pPr>
    </w:p>
    <w:p w14:paraId="524D80BF" w14:textId="77777777" w:rsidR="0011649A" w:rsidRPr="007A2A36" w:rsidRDefault="0011649A" w:rsidP="0011649A">
      <w:pPr>
        <w:pStyle w:val="a9"/>
        <w:numPr>
          <w:ilvl w:val="0"/>
          <w:numId w:val="1"/>
        </w:numPr>
        <w:tabs>
          <w:tab w:val="left" w:pos="4946"/>
        </w:tabs>
        <w:spacing w:line="360" w:lineRule="auto"/>
        <w:jc w:val="both"/>
        <w:rPr>
          <w:rFonts w:ascii="David" w:hAnsi="David" w:cs="David"/>
          <w:sz w:val="26"/>
          <w:szCs w:val="26"/>
          <w:rtl/>
        </w:rPr>
      </w:pPr>
      <w:r w:rsidRPr="007A2A36">
        <w:rPr>
          <w:rFonts w:ascii="David" w:hAnsi="David" w:cs="David"/>
          <w:sz w:val="26"/>
          <w:szCs w:val="26"/>
          <w:rtl/>
        </w:rPr>
        <w:t xml:space="preserve">ב"כ המאשימה הגיש את גליון הרישום הפלילי של הנאשם ממנו עולה שלחובתו עבירה אחת קודמת שאינה ממין העניין. התובע עתר לקבוע מתחם ענישה הנע בין 18 ל – 26 חודשי מאסר. לעניין הערכים המוגנים, הדגיש את ההחמרה במגמת הענישה בעבירות הנשק וההחזקה והפנה לאסופת פסיקה. עוד טען שעבירות נשק ובעיקר במגזר הערבי הפכו למכת מדינה, ושהאקדח נרכש על ידי הנאשם על רקע סכסוך משפחתי. לעניין העונש המתאים בנסיבות החריגות של מקרה זה, עתר להשית על הנאשם 13 חודשי מאסר, מאסר על תנאי וקנס משמעותי שיהווה הרתעה מפני הישנות המעשה.  </w:t>
      </w:r>
    </w:p>
    <w:p w14:paraId="0250F602" w14:textId="77777777" w:rsidR="0011649A" w:rsidRPr="007A2A36" w:rsidRDefault="0011649A" w:rsidP="0011649A">
      <w:pPr>
        <w:pStyle w:val="a9"/>
        <w:tabs>
          <w:tab w:val="left" w:pos="4946"/>
        </w:tabs>
        <w:spacing w:line="360" w:lineRule="auto"/>
        <w:jc w:val="both"/>
        <w:rPr>
          <w:rFonts w:ascii="David" w:hAnsi="David" w:cs="David"/>
          <w:sz w:val="26"/>
          <w:szCs w:val="26"/>
        </w:rPr>
      </w:pPr>
    </w:p>
    <w:p w14:paraId="76FA5D4D" w14:textId="77777777" w:rsidR="0011649A" w:rsidRPr="007A2A36" w:rsidRDefault="0011649A" w:rsidP="0011649A">
      <w:pPr>
        <w:pStyle w:val="a9"/>
        <w:numPr>
          <w:ilvl w:val="0"/>
          <w:numId w:val="1"/>
        </w:numPr>
        <w:tabs>
          <w:tab w:val="left" w:pos="4946"/>
        </w:tabs>
        <w:spacing w:line="360" w:lineRule="auto"/>
        <w:jc w:val="both"/>
        <w:rPr>
          <w:rFonts w:ascii="David" w:hAnsi="David" w:cs="David"/>
          <w:sz w:val="26"/>
          <w:szCs w:val="26"/>
          <w:rtl/>
        </w:rPr>
      </w:pPr>
      <w:r w:rsidRPr="007A2A36">
        <w:rPr>
          <w:rFonts w:ascii="David" w:hAnsi="David" w:cs="David"/>
          <w:sz w:val="26"/>
          <w:szCs w:val="26"/>
          <w:rtl/>
        </w:rPr>
        <w:t xml:space="preserve">ב"כ הנאשם עתרה להקל עם הנאשם בשל נסיבותיו האישיות, רדיפתו על ידי משפחתו ותחושת הפחד שחש. לדבריה, עקב סכסוך משפחתי סבל הנאשם מהתנכלויות של בני משפחתו. לעניין זה הציגה סרטונים. בנסיבות אלה נאלץ לרכוש אקדח ישן ("מנדטורי או אף ישן מכך") אולם מדובר באקדח שבור שלכל היותר – ע"פ חוות הדעת של מעבדת הנשק – "עלול להזיק לאדם". עוד טענה שהנאשם שכח מקיומו של האקדח ולכן ביום הוצאתו מן הבית – הוצאה שתואמה עמו – כלל לא הוציא את הנשק ממקום מחבואו. </w:t>
      </w:r>
    </w:p>
    <w:p w14:paraId="7DDA441D" w14:textId="77777777" w:rsidR="0011649A" w:rsidRPr="007A2A36" w:rsidRDefault="0011649A" w:rsidP="0011649A">
      <w:pPr>
        <w:pStyle w:val="a9"/>
        <w:rPr>
          <w:rFonts w:ascii="David" w:hAnsi="David" w:cs="David"/>
          <w:sz w:val="26"/>
          <w:szCs w:val="26"/>
        </w:rPr>
      </w:pPr>
    </w:p>
    <w:p w14:paraId="39740818" w14:textId="77777777" w:rsidR="0011649A" w:rsidRPr="007A2A36" w:rsidRDefault="0011649A" w:rsidP="0011649A">
      <w:pPr>
        <w:pStyle w:val="a9"/>
        <w:numPr>
          <w:ilvl w:val="0"/>
          <w:numId w:val="1"/>
        </w:numPr>
        <w:tabs>
          <w:tab w:val="left" w:pos="4946"/>
        </w:tabs>
        <w:spacing w:line="360" w:lineRule="auto"/>
        <w:jc w:val="both"/>
        <w:rPr>
          <w:rFonts w:ascii="David" w:hAnsi="David" w:cs="David"/>
          <w:sz w:val="26"/>
          <w:szCs w:val="26"/>
          <w:rtl/>
        </w:rPr>
      </w:pPr>
      <w:r w:rsidRPr="007A2A36">
        <w:rPr>
          <w:rFonts w:ascii="David" w:hAnsi="David" w:cs="David"/>
          <w:sz w:val="26"/>
          <w:szCs w:val="26"/>
          <w:rtl/>
        </w:rPr>
        <w:lastRenderedPageBreak/>
        <w:t>לדברי הסניגורית, הנאשם ניסה להמנע מחיכוך עם משפחתו ואף עזב את הארץ לטורקיה לפרק זמן של מספר חודשים. לאחר מכן חתם על חוזה שכירות על מנת שלא לגור בקרבת אביו ואחיו. הוצגו תלונות שהנאשם הגיש במשטרה כנגד בני משפחתו. כמו כן הוגשו אישורים על רצף תעסוקתי.</w:t>
      </w:r>
    </w:p>
    <w:p w14:paraId="3367486D" w14:textId="77777777" w:rsidR="0011649A" w:rsidRPr="007A2A36" w:rsidRDefault="0011649A" w:rsidP="0011649A">
      <w:pPr>
        <w:pStyle w:val="a9"/>
        <w:rPr>
          <w:rFonts w:ascii="David" w:hAnsi="David" w:cs="David"/>
          <w:sz w:val="26"/>
          <w:szCs w:val="26"/>
        </w:rPr>
      </w:pPr>
    </w:p>
    <w:p w14:paraId="1C5250EC" w14:textId="77777777" w:rsidR="0011649A" w:rsidRPr="007A2A36" w:rsidRDefault="0011649A" w:rsidP="0011649A">
      <w:pPr>
        <w:pStyle w:val="a9"/>
        <w:numPr>
          <w:ilvl w:val="0"/>
          <w:numId w:val="1"/>
        </w:numPr>
        <w:tabs>
          <w:tab w:val="left" w:pos="4946"/>
        </w:tabs>
        <w:spacing w:line="360" w:lineRule="auto"/>
        <w:jc w:val="both"/>
        <w:rPr>
          <w:rFonts w:ascii="David" w:hAnsi="David" w:cs="David"/>
          <w:sz w:val="26"/>
          <w:szCs w:val="26"/>
          <w:rtl/>
        </w:rPr>
      </w:pPr>
      <w:r w:rsidRPr="007A2A36">
        <w:rPr>
          <w:rFonts w:ascii="David" w:hAnsi="David" w:cs="David"/>
          <w:sz w:val="26"/>
          <w:szCs w:val="26"/>
          <w:rtl/>
        </w:rPr>
        <w:t xml:space="preserve">נוכח כל האמור, ומאחר שהנאשם לא עשה שימוש באקדח, ובפרט נוכח העובדה שהנאשם ומשפחתו ערכו סולחה (הוצג אישור) – עתרה להשית על הנאשם מאסר קצר של מספר חודשים בודדים, ובקשה לשלוח את הנאשם אל הממונה על עבודות שירות על מנת שתבחן האפשרות שירצה את המאסר בדרך זו.  </w:t>
      </w:r>
    </w:p>
    <w:p w14:paraId="1CF7209D" w14:textId="77777777" w:rsidR="0011649A" w:rsidRPr="007A2A36" w:rsidRDefault="0011649A" w:rsidP="0011649A">
      <w:pPr>
        <w:pStyle w:val="a9"/>
        <w:rPr>
          <w:rFonts w:ascii="David" w:hAnsi="David" w:cs="David"/>
          <w:sz w:val="26"/>
          <w:szCs w:val="26"/>
        </w:rPr>
      </w:pPr>
    </w:p>
    <w:p w14:paraId="4FAAE753" w14:textId="77777777" w:rsidR="0011649A" w:rsidRPr="007A2A36" w:rsidRDefault="0011649A" w:rsidP="0011649A">
      <w:pPr>
        <w:pStyle w:val="a9"/>
        <w:numPr>
          <w:ilvl w:val="0"/>
          <w:numId w:val="1"/>
        </w:numPr>
        <w:tabs>
          <w:tab w:val="left" w:pos="4946"/>
        </w:tabs>
        <w:spacing w:line="360" w:lineRule="auto"/>
        <w:jc w:val="both"/>
        <w:rPr>
          <w:rFonts w:ascii="David" w:hAnsi="David" w:cs="David"/>
          <w:sz w:val="26"/>
          <w:szCs w:val="26"/>
          <w:rtl/>
        </w:rPr>
      </w:pPr>
      <w:r w:rsidRPr="007A2A36">
        <w:rPr>
          <w:rFonts w:ascii="David" w:hAnsi="David" w:cs="David"/>
          <w:sz w:val="26"/>
          <w:szCs w:val="26"/>
          <w:rtl/>
        </w:rPr>
        <w:t xml:space="preserve">הנאשם, בדברו האחרון, הביע חרטה על מעשיו. </w:t>
      </w:r>
    </w:p>
    <w:p w14:paraId="6A792F25" w14:textId="77777777" w:rsidR="0011649A" w:rsidRPr="007A2A36" w:rsidRDefault="0011649A" w:rsidP="0011649A">
      <w:pPr>
        <w:pStyle w:val="a9"/>
        <w:rPr>
          <w:rFonts w:ascii="David" w:hAnsi="David" w:cs="David"/>
          <w:sz w:val="26"/>
          <w:szCs w:val="26"/>
        </w:rPr>
      </w:pPr>
    </w:p>
    <w:p w14:paraId="46129008" w14:textId="77777777" w:rsidR="0011649A" w:rsidRPr="007A2A36" w:rsidRDefault="0011649A" w:rsidP="0011649A">
      <w:pPr>
        <w:pStyle w:val="a9"/>
        <w:numPr>
          <w:ilvl w:val="0"/>
          <w:numId w:val="1"/>
        </w:numPr>
        <w:tabs>
          <w:tab w:val="left" w:pos="4946"/>
        </w:tabs>
        <w:spacing w:line="360" w:lineRule="auto"/>
        <w:jc w:val="both"/>
        <w:rPr>
          <w:rFonts w:ascii="David" w:hAnsi="David" w:cs="David"/>
          <w:sz w:val="26"/>
          <w:szCs w:val="26"/>
          <w:rtl/>
        </w:rPr>
      </w:pPr>
      <w:r w:rsidRPr="007A2A36">
        <w:rPr>
          <w:rFonts w:ascii="David" w:hAnsi="David" w:cs="David"/>
          <w:sz w:val="26"/>
          <w:szCs w:val="26"/>
          <w:rtl/>
        </w:rPr>
        <w:t xml:space="preserve">ביום 9.10.24 הגישה ב"כ הנאשם בקשה לצרף פסיקה. ב"כ המאשימה לא הביעה התנגדות והשאירה את ההחלטה לשיקול דעת ביהמ"ש, וניתנה החלטה כמבוקש. בו ביום הגישה ב"כ הנאשם אסופת פסיקה הכוללת חמישה פסקי דין בהם נדונו נאשמים בעבירות דומות לעונשים של עבודות שירות ועונשים מופחתים. </w:t>
      </w:r>
    </w:p>
    <w:p w14:paraId="512C6AD5" w14:textId="77777777" w:rsidR="0011649A" w:rsidRPr="007A2A36" w:rsidRDefault="0011649A" w:rsidP="0011649A">
      <w:pPr>
        <w:spacing w:line="360" w:lineRule="auto"/>
        <w:jc w:val="both"/>
        <w:rPr>
          <w:sz w:val="26"/>
          <w:szCs w:val="26"/>
          <w:u w:val="single"/>
          <w:rtl/>
        </w:rPr>
      </w:pPr>
      <w:r w:rsidRPr="007A2A36">
        <w:rPr>
          <w:sz w:val="26"/>
          <w:szCs w:val="26"/>
          <w:u w:val="single"/>
          <w:rtl/>
        </w:rPr>
        <w:t xml:space="preserve">דיון והכרעה </w:t>
      </w:r>
    </w:p>
    <w:p w14:paraId="300B44BF" w14:textId="77777777" w:rsidR="0011649A" w:rsidRPr="007A2A36" w:rsidRDefault="0011649A" w:rsidP="0011649A">
      <w:pPr>
        <w:spacing w:line="360" w:lineRule="auto"/>
        <w:jc w:val="both"/>
        <w:rPr>
          <w:sz w:val="26"/>
          <w:szCs w:val="26"/>
          <w:u w:val="single"/>
          <w:rtl/>
        </w:rPr>
      </w:pPr>
    </w:p>
    <w:p w14:paraId="3B592549" w14:textId="77777777" w:rsidR="0011649A" w:rsidRPr="007A2A36" w:rsidRDefault="0011649A" w:rsidP="0011649A">
      <w:pPr>
        <w:pStyle w:val="a9"/>
        <w:numPr>
          <w:ilvl w:val="0"/>
          <w:numId w:val="1"/>
        </w:numPr>
        <w:spacing w:line="360" w:lineRule="auto"/>
        <w:jc w:val="both"/>
        <w:rPr>
          <w:rFonts w:ascii="Arial" w:eastAsia="Times New Roman" w:hAnsi="Arial" w:cs="David"/>
          <w:sz w:val="26"/>
          <w:szCs w:val="26"/>
          <w:rtl/>
        </w:rPr>
      </w:pPr>
      <w:r w:rsidRPr="007A2A36">
        <w:rPr>
          <w:rFonts w:ascii="Arial" w:eastAsia="Times New Roman" w:hAnsi="Arial" w:cs="David"/>
          <w:sz w:val="26"/>
          <w:szCs w:val="26"/>
          <w:rtl/>
        </w:rPr>
        <w:t xml:space="preserve">העיקרון המנחה בענישה הוא עקרון ההלימה, היינו קיומו של יחס הולם בין חומרת מעשה העבירה בנסיבותיו ומידת אשמתו של הנאשם ובין סוג ומידת העונש המוטל עליו. לשם קביעת מתחם העונש ההולם, בהתאם לעקרון ההלימה, יש להתחשב </w:t>
      </w:r>
      <w:r w:rsidRPr="007A2A36">
        <w:rPr>
          <w:rFonts w:ascii="Arial" w:eastAsia="Times New Roman" w:hAnsi="Arial" w:cs="David"/>
          <w:b/>
          <w:bCs/>
          <w:sz w:val="26"/>
          <w:szCs w:val="26"/>
          <w:rtl/>
        </w:rPr>
        <w:t>בערך החברתי שנפגע, במידת הפגיעה בו, במדיניות הענישה הנוהגת ובנסיבות הקשורות בביצוע העבירה.</w:t>
      </w:r>
    </w:p>
    <w:p w14:paraId="65F82973" w14:textId="77777777" w:rsidR="0011649A" w:rsidRPr="007A2A36" w:rsidRDefault="0011649A" w:rsidP="0011649A">
      <w:pPr>
        <w:pStyle w:val="a9"/>
        <w:rPr>
          <w:rFonts w:ascii="Arial" w:eastAsia="Times New Roman" w:hAnsi="Arial" w:cs="David"/>
          <w:sz w:val="26"/>
          <w:szCs w:val="26"/>
        </w:rPr>
      </w:pPr>
    </w:p>
    <w:p w14:paraId="7C5B0900" w14:textId="77777777" w:rsidR="0011649A" w:rsidRPr="007A2A36" w:rsidRDefault="0011649A" w:rsidP="0011649A">
      <w:pPr>
        <w:pStyle w:val="a9"/>
        <w:numPr>
          <w:ilvl w:val="0"/>
          <w:numId w:val="1"/>
        </w:numPr>
        <w:spacing w:line="360" w:lineRule="auto"/>
        <w:ind w:right="-142"/>
        <w:jc w:val="both"/>
        <w:rPr>
          <w:rFonts w:ascii="David" w:hAnsi="David" w:cs="David"/>
          <w:color w:val="000000"/>
          <w:sz w:val="26"/>
          <w:szCs w:val="26"/>
          <w:shd w:val="clear" w:color="auto" w:fill="FFFFFF"/>
          <w:rtl/>
        </w:rPr>
      </w:pPr>
      <w:r w:rsidRPr="007A2A36">
        <w:rPr>
          <w:rFonts w:ascii="Arial" w:eastAsia="Times New Roman" w:hAnsi="Arial" w:cs="David"/>
          <w:sz w:val="26"/>
          <w:szCs w:val="26"/>
          <w:rtl/>
        </w:rPr>
        <w:t xml:space="preserve">בעבירת החזקת נשק שלא כדין פגע הנאשם בערך של שמירה על שלום הציבור וביטחונו, ובתוך כך גם בסדר הציבורי, שמירה על שלמות גופו ורכושו של אדם ומניעת פגיעה משמעותית בו כתוצאה משימוש בנשק חם על ידי מי שאינו מורשה לכך. בית המשפט העליון חזר פעם אחר פעם על החומרה הגלומה בעבירות נשק ועל פוטנציאל הפגיעה בנפש וברכוש שעלולים להיגרם כתוצאה מהשימוש בו. </w:t>
      </w:r>
    </w:p>
    <w:p w14:paraId="4B75383D" w14:textId="77777777" w:rsidR="0011649A" w:rsidRPr="007A2A36" w:rsidRDefault="0011649A" w:rsidP="0011649A">
      <w:pPr>
        <w:pStyle w:val="a9"/>
        <w:spacing w:line="360" w:lineRule="auto"/>
        <w:ind w:right="-142"/>
        <w:jc w:val="both"/>
        <w:rPr>
          <w:rFonts w:ascii="David" w:hAnsi="David" w:cs="David"/>
          <w:color w:val="000000"/>
          <w:sz w:val="26"/>
          <w:szCs w:val="26"/>
          <w:shd w:val="clear" w:color="auto" w:fill="FFFFFF"/>
        </w:rPr>
      </w:pPr>
    </w:p>
    <w:p w14:paraId="6AFB6415" w14:textId="77777777" w:rsidR="0011649A" w:rsidRPr="007A2A36" w:rsidRDefault="0011649A" w:rsidP="0011649A">
      <w:pPr>
        <w:pStyle w:val="a9"/>
        <w:numPr>
          <w:ilvl w:val="0"/>
          <w:numId w:val="1"/>
        </w:numPr>
        <w:spacing w:line="360" w:lineRule="auto"/>
        <w:ind w:right="-142"/>
        <w:jc w:val="both"/>
        <w:rPr>
          <w:rFonts w:ascii="David" w:hAnsi="David" w:cs="David"/>
          <w:color w:val="000000"/>
          <w:sz w:val="26"/>
          <w:szCs w:val="26"/>
          <w:shd w:val="clear" w:color="auto" w:fill="FFFFFF"/>
        </w:rPr>
      </w:pPr>
      <w:r w:rsidRPr="007A2A36">
        <w:rPr>
          <w:rFonts w:ascii="David" w:hAnsi="David" w:cs="David"/>
          <w:color w:val="000000"/>
          <w:sz w:val="26"/>
          <w:szCs w:val="26"/>
          <w:shd w:val="clear" w:color="auto" w:fill="FFFFFF"/>
          <w:rtl/>
        </w:rPr>
        <w:t xml:space="preserve">ההחזקה והשימוש בכלי נשק שלא כדין עלולה לגרום לפגיעה פיזית בחייהם ובשלמות גופם של הסובבים. בנוסף לנזק הפיזי המיידי, שכיחות התופעה והימצאותם של כלי נשק רבים בידי גורמים בלתי מורשים גורמת לשינוי המרקם החברתי ולפגיעה חמורה בביטחונם של אזרחים תמימים. למרבה הצער בשנים האחרונות אנו עדים כמעט מידי יום לאירועים של ירי ושימוש בנשק המביאים לקיפוח חייהם של רבים. </w:t>
      </w:r>
    </w:p>
    <w:p w14:paraId="493B775C" w14:textId="77777777" w:rsidR="0011649A" w:rsidRPr="007A2A36" w:rsidRDefault="0011649A" w:rsidP="0011649A">
      <w:pPr>
        <w:pStyle w:val="a9"/>
        <w:rPr>
          <w:rFonts w:ascii="David" w:hAnsi="David" w:cs="David"/>
          <w:color w:val="000000"/>
          <w:sz w:val="26"/>
          <w:szCs w:val="26"/>
          <w:shd w:val="clear" w:color="auto" w:fill="FFFFFF"/>
        </w:rPr>
      </w:pPr>
    </w:p>
    <w:p w14:paraId="095ED679" w14:textId="77777777" w:rsidR="0011649A" w:rsidRPr="007A2A36" w:rsidRDefault="0011649A" w:rsidP="0011649A">
      <w:pPr>
        <w:pStyle w:val="a9"/>
        <w:numPr>
          <w:ilvl w:val="0"/>
          <w:numId w:val="1"/>
        </w:numPr>
        <w:spacing w:line="360" w:lineRule="auto"/>
        <w:ind w:right="-142"/>
        <w:jc w:val="both"/>
        <w:rPr>
          <w:rFonts w:ascii="Arial" w:eastAsia="Times New Roman" w:hAnsi="Arial" w:cs="David"/>
          <w:sz w:val="26"/>
          <w:szCs w:val="26"/>
          <w:rtl/>
        </w:rPr>
      </w:pPr>
      <w:r w:rsidRPr="007A2A36">
        <w:rPr>
          <w:rFonts w:ascii="Arial" w:eastAsia="Times New Roman" w:hAnsi="Arial" w:cs="David"/>
          <w:sz w:val="26"/>
          <w:szCs w:val="26"/>
          <w:rtl/>
        </w:rPr>
        <w:t>לא זו אף זו, גם המחוקק סבר שהגיעה העת להחמיר בענישה בכל הנוגע לאלה המורשעים בעבירות נשק. לפיכך, במסגרתו של תיקון מס' 140 ל</w:t>
      </w:r>
      <w:hyperlink r:id="rId11" w:history="1">
        <w:r w:rsidR="00C95F5B" w:rsidRPr="00C95F5B">
          <w:rPr>
            <w:rFonts w:ascii="Arial" w:eastAsia="Times New Roman" w:hAnsi="Arial" w:cs="David"/>
            <w:color w:val="0000FF"/>
            <w:sz w:val="26"/>
            <w:szCs w:val="26"/>
            <w:u w:val="single"/>
            <w:rtl/>
          </w:rPr>
          <w:t>חוק העונשין</w:t>
        </w:r>
      </w:hyperlink>
      <w:r w:rsidR="00C95F5B">
        <w:rPr>
          <w:rFonts w:ascii="Arial" w:eastAsia="Times New Roman" w:hAnsi="Arial" w:cs="David"/>
          <w:sz w:val="26"/>
          <w:szCs w:val="26"/>
        </w:rPr>
        <w:t xml:space="preserve"> </w:t>
      </w:r>
      <w:r w:rsidRPr="007A2A36">
        <w:rPr>
          <w:rFonts w:ascii="Arial" w:eastAsia="Times New Roman" w:hAnsi="Arial" w:cs="David"/>
          <w:sz w:val="26"/>
          <w:szCs w:val="26"/>
          <w:rtl/>
        </w:rPr>
        <w:t>(תיקון מס' 140 - הוראת שעה), התשפ"ב-2021, ס"ח 2938) עוגנו</w:t>
      </w:r>
      <w:r w:rsidR="00C95F5B">
        <w:rPr>
          <w:rFonts w:ascii="Arial" w:eastAsia="Times New Roman" w:hAnsi="Arial" w:cs="David"/>
          <w:sz w:val="26"/>
          <w:szCs w:val="26"/>
          <w:rtl/>
        </w:rPr>
        <w:t xml:space="preserve"> </w:t>
      </w:r>
      <w:r w:rsidRPr="007A2A36">
        <w:rPr>
          <w:rFonts w:ascii="Arial" w:eastAsia="Times New Roman" w:hAnsi="Arial" w:cs="David"/>
          <w:b/>
          <w:bCs/>
          <w:sz w:val="26"/>
          <w:szCs w:val="26"/>
          <w:rtl/>
        </w:rPr>
        <w:t>עונשי מינימום</w:t>
      </w:r>
      <w:r w:rsidR="00C95F5B">
        <w:rPr>
          <w:rFonts w:ascii="Arial" w:eastAsia="Times New Roman" w:hAnsi="Arial" w:cs="David"/>
          <w:b/>
          <w:bCs/>
          <w:sz w:val="26"/>
          <w:szCs w:val="26"/>
          <w:rtl/>
        </w:rPr>
        <w:t xml:space="preserve"> </w:t>
      </w:r>
      <w:r w:rsidRPr="007A2A36">
        <w:rPr>
          <w:rFonts w:ascii="Arial" w:eastAsia="Times New Roman" w:hAnsi="Arial" w:cs="David"/>
          <w:sz w:val="26"/>
          <w:szCs w:val="26"/>
          <w:rtl/>
        </w:rPr>
        <w:t>בכל הנוגע לעבירות שעניינן החזקה, הובלה או סחר בנשק שלא כדין. בתיקון נקבע, שהעונש שיוטל על העבריין במקרים אלה "לא יפחת עונשו מרבע העונש המרבי שנקבע לאותה עבירה, אלא אם כן החליט בית המשפט, מטעמים מיוחדים שיירשמו, להקל בעונשו; ...".</w:t>
      </w:r>
      <w:r w:rsidR="00C95F5B">
        <w:rPr>
          <w:rFonts w:ascii="Arial" w:eastAsia="Times New Roman" w:hAnsi="Arial" w:cs="David"/>
          <w:sz w:val="26"/>
          <w:szCs w:val="26"/>
          <w:rtl/>
        </w:rPr>
        <w:t xml:space="preserve"> </w:t>
      </w:r>
      <w:r w:rsidRPr="007A2A36">
        <w:rPr>
          <w:rFonts w:ascii="Arial" w:eastAsia="Times New Roman" w:hAnsi="Arial" w:cs="David"/>
          <w:sz w:val="26"/>
          <w:szCs w:val="26"/>
          <w:rtl/>
        </w:rPr>
        <w:t xml:space="preserve">מדובר בנדבך נוסף ומשמעותי במערכה למיגור תופעת ההחזקה המפושטת של נשק בלתי חוקי והשימוש בו. </w:t>
      </w:r>
    </w:p>
    <w:p w14:paraId="16568F77" w14:textId="77777777" w:rsidR="0011649A" w:rsidRPr="007A2A36" w:rsidRDefault="0011649A" w:rsidP="0011649A">
      <w:pPr>
        <w:pStyle w:val="a9"/>
        <w:rPr>
          <w:rFonts w:ascii="Arial" w:eastAsia="Times New Roman" w:hAnsi="Arial" w:cs="David"/>
          <w:sz w:val="26"/>
          <w:szCs w:val="26"/>
        </w:rPr>
      </w:pPr>
    </w:p>
    <w:p w14:paraId="11CA81DA" w14:textId="77777777" w:rsidR="0011649A" w:rsidRDefault="0011649A" w:rsidP="0011649A">
      <w:pPr>
        <w:pStyle w:val="a9"/>
        <w:numPr>
          <w:ilvl w:val="0"/>
          <w:numId w:val="1"/>
        </w:numPr>
        <w:spacing w:line="360" w:lineRule="auto"/>
        <w:ind w:right="-142"/>
        <w:jc w:val="both"/>
        <w:rPr>
          <w:rFonts w:ascii="Arial" w:eastAsia="Times New Roman" w:hAnsi="Arial" w:cs="David"/>
          <w:sz w:val="26"/>
          <w:szCs w:val="26"/>
        </w:rPr>
      </w:pPr>
      <w:r w:rsidRPr="007A2A36">
        <w:rPr>
          <w:rFonts w:ascii="Arial" w:eastAsia="Times New Roman" w:hAnsi="Arial" w:cs="David"/>
          <w:sz w:val="26"/>
          <w:szCs w:val="26"/>
          <w:rtl/>
        </w:rPr>
        <w:t xml:space="preserve">הנשק שנתפס בביתו של הנאשם הוא אקדח תופי. טענת ב"כ הנאשם לפיה הנשק יכול רק "להזיק לאדם" דינה להדחות. הסניגורית הפנתה לחוות הדעת של מעבדת הנשק. למעשה, הסניגורית התעלמה מחלק נוסף וחשוב בחוות הדעת, שם צויין שהגם שמדובר באקדח גז/הזנקה/זיקוקים, הרי שייעודו המקורי של האקדח שונה והוסרו חסימות בבית הבליעה ובקנה (ר' ס' 3 לחוות הדעת). עוד יש להזכיר שהנאשם הודה שרכש את האקדח חלף אקדח אחר שהיה ברשותו </w:t>
      </w:r>
      <w:r w:rsidRPr="007A2A36">
        <w:rPr>
          <w:rFonts w:ascii="Arial" w:eastAsia="Times New Roman" w:hAnsi="Arial" w:cs="David"/>
          <w:b/>
          <w:bCs/>
          <w:sz w:val="26"/>
          <w:szCs w:val="26"/>
          <w:rtl/>
        </w:rPr>
        <w:t>שלא יכול היה לירות</w:t>
      </w:r>
      <w:r w:rsidRPr="007A2A36">
        <w:rPr>
          <w:rFonts w:ascii="Arial" w:eastAsia="Times New Roman" w:hAnsi="Arial" w:cs="David"/>
          <w:sz w:val="26"/>
          <w:szCs w:val="26"/>
          <w:rtl/>
        </w:rPr>
        <w:t>, וזאת על מנת לחוש תחושת בטחון אל מול הסכנות והאיומים של בני משפחתו.</w:t>
      </w:r>
    </w:p>
    <w:p w14:paraId="20E455D3" w14:textId="77777777" w:rsidR="0011649A" w:rsidRPr="00007769" w:rsidRDefault="0011649A" w:rsidP="0011649A">
      <w:pPr>
        <w:pStyle w:val="a9"/>
        <w:rPr>
          <w:rFonts w:ascii="Arial" w:eastAsia="Times New Roman" w:hAnsi="Arial" w:cs="David"/>
          <w:sz w:val="26"/>
          <w:szCs w:val="26"/>
          <w:rtl/>
        </w:rPr>
      </w:pPr>
    </w:p>
    <w:p w14:paraId="72BD3A05" w14:textId="77777777" w:rsidR="0011649A" w:rsidRPr="007A2A36" w:rsidRDefault="0011649A" w:rsidP="0011649A">
      <w:pPr>
        <w:pStyle w:val="a9"/>
        <w:numPr>
          <w:ilvl w:val="0"/>
          <w:numId w:val="1"/>
        </w:numPr>
        <w:spacing w:line="360" w:lineRule="auto"/>
        <w:ind w:right="-142"/>
        <w:jc w:val="both"/>
        <w:rPr>
          <w:rFonts w:ascii="Arial" w:eastAsia="Times New Roman" w:hAnsi="Arial" w:cs="David"/>
          <w:sz w:val="26"/>
          <w:szCs w:val="26"/>
          <w:rtl/>
        </w:rPr>
      </w:pPr>
      <w:r w:rsidRPr="007A2A36">
        <w:rPr>
          <w:rFonts w:ascii="Arial" w:eastAsia="Times New Roman" w:hAnsi="Arial" w:cs="David"/>
          <w:sz w:val="26"/>
          <w:szCs w:val="26"/>
          <w:rtl/>
        </w:rPr>
        <w:t xml:space="preserve">העבדה לכשעצמה שהנשק נרכש כתוצאה מסכסוך משפחתי ותחושת הפחד של הנאשם מהווה לדידי עילה לחומרא ולא לקולא, שכן המדובר בדיוק בסיטואציה מפניה בא החוק להגן. </w:t>
      </w:r>
    </w:p>
    <w:p w14:paraId="6067BEC3" w14:textId="77777777" w:rsidR="0011649A" w:rsidRPr="007A2A36" w:rsidRDefault="0011649A" w:rsidP="0011649A">
      <w:pPr>
        <w:pStyle w:val="a9"/>
        <w:rPr>
          <w:rFonts w:ascii="Arial" w:eastAsia="Times New Roman" w:hAnsi="Arial" w:cs="David"/>
          <w:sz w:val="26"/>
          <w:szCs w:val="26"/>
        </w:rPr>
      </w:pPr>
    </w:p>
    <w:p w14:paraId="070E1CE1" w14:textId="77777777" w:rsidR="0011649A" w:rsidRPr="007A2A36" w:rsidRDefault="0011649A" w:rsidP="0011649A">
      <w:pPr>
        <w:pStyle w:val="a9"/>
        <w:numPr>
          <w:ilvl w:val="0"/>
          <w:numId w:val="1"/>
        </w:numPr>
        <w:spacing w:line="360" w:lineRule="auto"/>
        <w:ind w:right="-142"/>
        <w:jc w:val="both"/>
        <w:rPr>
          <w:rFonts w:ascii="Arial" w:eastAsia="Times New Roman" w:hAnsi="Arial" w:cs="David"/>
          <w:sz w:val="26"/>
          <w:szCs w:val="26"/>
          <w:rtl/>
        </w:rPr>
      </w:pPr>
      <w:r w:rsidRPr="007A2A36">
        <w:rPr>
          <w:rFonts w:ascii="Arial" w:eastAsia="Times New Roman" w:hAnsi="Arial" w:cs="David"/>
          <w:sz w:val="26"/>
          <w:szCs w:val="26"/>
          <w:rtl/>
        </w:rPr>
        <w:t>בהתאם לאסופת הפסיקה שהגישו הצדדים, לרבות פסקי הדין אותם צרפה ב"כ הנאשם, ובפרט בהתאם לאמור ב</w:t>
      </w:r>
      <w:hyperlink r:id="rId12" w:history="1">
        <w:r w:rsidR="00C95F5B" w:rsidRPr="00C95F5B">
          <w:rPr>
            <w:rFonts w:ascii="Arial" w:eastAsia="Times New Roman" w:hAnsi="Arial" w:cs="David"/>
            <w:color w:val="0000FF"/>
            <w:sz w:val="26"/>
            <w:szCs w:val="26"/>
            <w:u w:val="single"/>
            <w:rtl/>
          </w:rPr>
          <w:t>ע"פ 4456/21</w:t>
        </w:r>
      </w:hyperlink>
      <w:r w:rsidRPr="007A2A36">
        <w:rPr>
          <w:rFonts w:ascii="Arial" w:eastAsia="Times New Roman" w:hAnsi="Arial" w:cs="David"/>
          <w:sz w:val="26"/>
          <w:szCs w:val="26"/>
          <w:rtl/>
        </w:rPr>
        <w:t xml:space="preserve"> </w:t>
      </w:r>
      <w:r w:rsidRPr="007A2A36">
        <w:rPr>
          <w:rFonts w:ascii="Arial" w:eastAsia="Times New Roman" w:hAnsi="Arial" w:cs="David"/>
          <w:b/>
          <w:bCs/>
          <w:sz w:val="26"/>
          <w:szCs w:val="26"/>
          <w:rtl/>
        </w:rPr>
        <w:t>מדינת ישראל נ' אבו עבסה</w:t>
      </w:r>
      <w:r w:rsidRPr="007A2A36">
        <w:rPr>
          <w:rFonts w:ascii="Arial" w:eastAsia="Times New Roman" w:hAnsi="Arial" w:cs="David"/>
          <w:sz w:val="26"/>
          <w:szCs w:val="26"/>
          <w:rtl/>
        </w:rPr>
        <w:t xml:space="preserve"> ובעפ"ג 9683-09-22 </w:t>
      </w:r>
      <w:r w:rsidRPr="007A2A36">
        <w:rPr>
          <w:rFonts w:ascii="Arial" w:eastAsia="Times New Roman" w:hAnsi="Arial" w:cs="David"/>
          <w:b/>
          <w:bCs/>
          <w:sz w:val="26"/>
          <w:szCs w:val="26"/>
          <w:rtl/>
        </w:rPr>
        <w:t>מוחמד אדיב נ' מדינת ישראל</w:t>
      </w:r>
      <w:r w:rsidRPr="007A2A36">
        <w:rPr>
          <w:rFonts w:ascii="Arial" w:eastAsia="Times New Roman" w:hAnsi="Arial" w:cs="David"/>
          <w:sz w:val="26"/>
          <w:szCs w:val="26"/>
          <w:rtl/>
        </w:rPr>
        <w:t xml:space="preserve">, אני קובעת שמתחם העונש ההולם נע בין 18 ועד 36 חודשי מאסר בפועל. אציין שעיינתי בפסיקה אליה הפנתה ב"כ הנאשם ואין לי אלא להסב את תשומת לבה שגם על פי פסיקה זו העונש ההולם הוא מאסר בפועל </w:t>
      </w:r>
      <w:r w:rsidRPr="007A2A36">
        <w:rPr>
          <w:rFonts w:ascii="Arial" w:eastAsia="Times New Roman" w:hAnsi="Arial" w:cs="David"/>
          <w:b/>
          <w:bCs/>
          <w:sz w:val="26"/>
          <w:szCs w:val="26"/>
          <w:rtl/>
        </w:rPr>
        <w:t>ורק במקרים חריגים ביותר</w:t>
      </w:r>
      <w:r w:rsidRPr="007A2A36">
        <w:rPr>
          <w:rFonts w:ascii="Arial" w:eastAsia="Times New Roman" w:hAnsi="Arial" w:cs="David"/>
          <w:sz w:val="26"/>
          <w:szCs w:val="26"/>
          <w:rtl/>
        </w:rPr>
        <w:t xml:space="preserve"> יושת מאסר שירוצה בעבודות שירות (ר' </w:t>
      </w:r>
      <w:hyperlink r:id="rId13" w:history="1">
        <w:r w:rsidR="00C95F5B" w:rsidRPr="00C95F5B">
          <w:rPr>
            <w:rFonts w:ascii="Arial" w:eastAsia="Times New Roman" w:hAnsi="Arial" w:cs="David"/>
            <w:color w:val="0000FF"/>
            <w:sz w:val="26"/>
            <w:szCs w:val="26"/>
            <w:u w:val="single"/>
            <w:rtl/>
          </w:rPr>
          <w:t>עפ"ג 45331-04-23</w:t>
        </w:r>
      </w:hyperlink>
      <w:r w:rsidRPr="007A2A36">
        <w:rPr>
          <w:rFonts w:ascii="Arial" w:eastAsia="Times New Roman" w:hAnsi="Arial" w:cs="David"/>
          <w:sz w:val="26"/>
          <w:szCs w:val="26"/>
          <w:rtl/>
        </w:rPr>
        <w:t xml:space="preserve">, </w:t>
      </w:r>
      <w:r w:rsidRPr="007A2A36">
        <w:rPr>
          <w:rFonts w:ascii="Arial" w:eastAsia="Times New Roman" w:hAnsi="Arial" w:cs="David"/>
          <w:b/>
          <w:bCs/>
          <w:sz w:val="26"/>
          <w:szCs w:val="26"/>
          <w:rtl/>
        </w:rPr>
        <w:t>ביטון נ' מדינת ישראל</w:t>
      </w:r>
      <w:r w:rsidRPr="007A2A36">
        <w:rPr>
          <w:rFonts w:ascii="Arial" w:eastAsia="Times New Roman" w:hAnsi="Arial" w:cs="David"/>
          <w:sz w:val="26"/>
          <w:szCs w:val="26"/>
          <w:rtl/>
        </w:rPr>
        <w:t xml:space="preserve">, פיסקה 19 לפסק הדין). </w:t>
      </w:r>
    </w:p>
    <w:p w14:paraId="437695A4" w14:textId="77777777" w:rsidR="0011649A" w:rsidRPr="007A2A36" w:rsidRDefault="0011649A" w:rsidP="0011649A">
      <w:pPr>
        <w:pStyle w:val="a9"/>
        <w:rPr>
          <w:rFonts w:ascii="Arial" w:eastAsia="Times New Roman" w:hAnsi="Arial" w:cs="David"/>
          <w:sz w:val="26"/>
          <w:szCs w:val="26"/>
        </w:rPr>
      </w:pPr>
    </w:p>
    <w:p w14:paraId="37578D5E" w14:textId="77777777" w:rsidR="0011649A" w:rsidRPr="007A2A36" w:rsidRDefault="0011649A" w:rsidP="0011649A">
      <w:pPr>
        <w:pStyle w:val="a9"/>
        <w:numPr>
          <w:ilvl w:val="0"/>
          <w:numId w:val="1"/>
        </w:numPr>
        <w:spacing w:line="360" w:lineRule="auto"/>
        <w:jc w:val="both"/>
        <w:rPr>
          <w:rFonts w:cs="David"/>
          <w:sz w:val="26"/>
          <w:szCs w:val="26"/>
          <w:rtl/>
        </w:rPr>
      </w:pPr>
      <w:r w:rsidRPr="007A2A36">
        <w:rPr>
          <w:rFonts w:cs="David"/>
          <w:sz w:val="26"/>
          <w:szCs w:val="26"/>
          <w:rtl/>
        </w:rPr>
        <w:t xml:space="preserve">טענת ההגנה לפיה מתחם העונש ההולם צריך להתחיל ממאסר קצר שיכול וירוצה בעבודות שירות איננה סבירה בנסיבות העניין, ואינה עולה בקנה אחד עם מדיניות הענישה המרתיעה כמפורט לעיל. לפיכך לא נעתרתי לבקשתה של ב"כ הנאשם לשלוח אותו אל הממונה על עבודות שירות. </w:t>
      </w:r>
    </w:p>
    <w:p w14:paraId="34D7325B" w14:textId="77777777" w:rsidR="0011649A" w:rsidRPr="007A2A36" w:rsidRDefault="0011649A" w:rsidP="0011649A">
      <w:pPr>
        <w:pStyle w:val="a9"/>
        <w:spacing w:line="360" w:lineRule="auto"/>
        <w:ind w:left="360"/>
        <w:jc w:val="both"/>
        <w:rPr>
          <w:rFonts w:cs="David"/>
          <w:sz w:val="26"/>
          <w:szCs w:val="26"/>
          <w:rtl/>
        </w:rPr>
      </w:pPr>
    </w:p>
    <w:p w14:paraId="3EB3936B" w14:textId="77777777" w:rsidR="0011649A" w:rsidRPr="007A2A36" w:rsidRDefault="0011649A" w:rsidP="0011649A">
      <w:pPr>
        <w:pStyle w:val="a9"/>
        <w:numPr>
          <w:ilvl w:val="0"/>
          <w:numId w:val="1"/>
        </w:numPr>
        <w:spacing w:line="360" w:lineRule="auto"/>
        <w:ind w:right="-142"/>
        <w:jc w:val="both"/>
        <w:rPr>
          <w:rFonts w:ascii="Arial" w:eastAsia="Times New Roman" w:hAnsi="Arial" w:cs="David"/>
          <w:sz w:val="26"/>
          <w:szCs w:val="26"/>
          <w:rtl/>
        </w:rPr>
      </w:pPr>
      <w:r w:rsidRPr="007A2A36">
        <w:rPr>
          <w:rFonts w:ascii="Arial" w:eastAsia="Times New Roman" w:hAnsi="Arial" w:cs="David"/>
          <w:sz w:val="26"/>
          <w:szCs w:val="26"/>
          <w:rtl/>
        </w:rPr>
        <w:t xml:space="preserve">באשר </w:t>
      </w:r>
      <w:r w:rsidRPr="007A2A36">
        <w:rPr>
          <w:rFonts w:ascii="Arial" w:eastAsia="Times New Roman" w:hAnsi="Arial" w:cs="David"/>
          <w:sz w:val="26"/>
          <w:szCs w:val="26"/>
          <w:u w:val="single"/>
          <w:rtl/>
        </w:rPr>
        <w:t>לנסיבות ביצוע העבירה</w:t>
      </w:r>
      <w:r w:rsidRPr="007A2A36">
        <w:rPr>
          <w:rFonts w:ascii="Arial" w:eastAsia="Times New Roman" w:hAnsi="Arial" w:cs="David"/>
          <w:sz w:val="26"/>
          <w:szCs w:val="26"/>
          <w:rtl/>
        </w:rPr>
        <w:t xml:space="preserve">, הנאשם רכש את הנשק על מנת להגן על בני משפחתו. המדובר בנשק שנערכו שינויים בייעודו, כאמור לעיל. </w:t>
      </w:r>
    </w:p>
    <w:p w14:paraId="0A2B38DB" w14:textId="77777777" w:rsidR="0011649A" w:rsidRPr="007A2A36" w:rsidRDefault="0011649A" w:rsidP="0011649A">
      <w:pPr>
        <w:spacing w:line="360" w:lineRule="auto"/>
        <w:ind w:left="720" w:right="-142"/>
        <w:jc w:val="both"/>
        <w:rPr>
          <w:rFonts w:ascii="Arial" w:hAnsi="Arial"/>
          <w:sz w:val="26"/>
          <w:szCs w:val="26"/>
          <w:rtl/>
        </w:rPr>
      </w:pPr>
      <w:r w:rsidRPr="007A2A36">
        <w:rPr>
          <w:rFonts w:ascii="Arial" w:hAnsi="Arial"/>
          <w:sz w:val="26"/>
          <w:szCs w:val="26"/>
          <w:rtl/>
        </w:rPr>
        <w:t xml:space="preserve">מידת הפגיעה בערכים המוגנים היא </w:t>
      </w:r>
      <w:r w:rsidRPr="007A2A36">
        <w:rPr>
          <w:rFonts w:ascii="Arial" w:hAnsi="Arial"/>
          <w:sz w:val="26"/>
          <w:szCs w:val="26"/>
          <w:u w:val="single"/>
          <w:rtl/>
        </w:rPr>
        <w:t>בינונית- נמוכה</w:t>
      </w:r>
      <w:r w:rsidRPr="007A2A36">
        <w:rPr>
          <w:rFonts w:ascii="Arial" w:hAnsi="Arial"/>
          <w:sz w:val="26"/>
          <w:szCs w:val="26"/>
          <w:rtl/>
        </w:rPr>
        <w:t>.</w:t>
      </w:r>
    </w:p>
    <w:p w14:paraId="3730D9E3" w14:textId="77777777" w:rsidR="0011649A" w:rsidRPr="007A2A36" w:rsidRDefault="0011649A" w:rsidP="0011649A">
      <w:pPr>
        <w:spacing w:line="360" w:lineRule="auto"/>
        <w:ind w:left="720" w:right="-142"/>
        <w:jc w:val="both"/>
        <w:rPr>
          <w:rFonts w:ascii="Arial" w:hAnsi="Arial"/>
          <w:sz w:val="26"/>
          <w:szCs w:val="26"/>
          <w:rtl/>
        </w:rPr>
      </w:pPr>
    </w:p>
    <w:p w14:paraId="6823B95F" w14:textId="77777777" w:rsidR="0011649A" w:rsidRPr="007A2A36" w:rsidRDefault="0011649A" w:rsidP="0011649A">
      <w:pPr>
        <w:spacing w:line="360" w:lineRule="auto"/>
        <w:ind w:right="-142"/>
        <w:jc w:val="both"/>
        <w:rPr>
          <w:rFonts w:ascii="Arial" w:hAnsi="Arial"/>
          <w:sz w:val="26"/>
          <w:szCs w:val="26"/>
          <w:u w:val="single"/>
          <w:rtl/>
        </w:rPr>
      </w:pPr>
      <w:r w:rsidRPr="007A2A36">
        <w:rPr>
          <w:rFonts w:ascii="Arial" w:hAnsi="Arial"/>
          <w:sz w:val="26"/>
          <w:szCs w:val="26"/>
          <w:u w:val="single"/>
          <w:rtl/>
        </w:rPr>
        <w:t>העונש המתאים לנאשם</w:t>
      </w:r>
    </w:p>
    <w:p w14:paraId="3D8B5E88" w14:textId="77777777" w:rsidR="0011649A" w:rsidRPr="007A2A36" w:rsidRDefault="0011649A" w:rsidP="0011649A">
      <w:pPr>
        <w:spacing w:line="360" w:lineRule="auto"/>
        <w:ind w:right="-142"/>
        <w:jc w:val="both"/>
        <w:rPr>
          <w:rFonts w:ascii="Arial" w:hAnsi="Arial"/>
          <w:sz w:val="26"/>
          <w:szCs w:val="26"/>
          <w:u w:val="single"/>
          <w:rtl/>
        </w:rPr>
      </w:pPr>
    </w:p>
    <w:p w14:paraId="26B66C43" w14:textId="77777777" w:rsidR="0011649A" w:rsidRPr="007A2A36" w:rsidRDefault="0011649A" w:rsidP="0011649A">
      <w:pPr>
        <w:pStyle w:val="a9"/>
        <w:numPr>
          <w:ilvl w:val="0"/>
          <w:numId w:val="1"/>
        </w:numPr>
        <w:spacing w:line="360" w:lineRule="auto"/>
        <w:ind w:right="-142"/>
        <w:jc w:val="both"/>
        <w:rPr>
          <w:rFonts w:ascii="Arial" w:eastAsia="Times New Roman" w:hAnsi="Arial" w:cs="David"/>
          <w:sz w:val="26"/>
          <w:szCs w:val="26"/>
          <w:u w:val="single"/>
          <w:rtl/>
        </w:rPr>
      </w:pPr>
      <w:r w:rsidRPr="007A2A36">
        <w:rPr>
          <w:rFonts w:ascii="Arial" w:eastAsia="Times New Roman" w:hAnsi="Arial" w:cs="David"/>
          <w:sz w:val="26"/>
          <w:szCs w:val="26"/>
          <w:rtl/>
        </w:rPr>
        <w:t xml:space="preserve">משקבעתי את מתחם העונש ההולם, יש לגזור את העונש המתאים לנאשם, בהתחשב </w:t>
      </w:r>
      <w:r w:rsidRPr="007A2A36">
        <w:rPr>
          <w:rFonts w:ascii="Arial" w:eastAsia="Times New Roman" w:hAnsi="Arial" w:cs="David"/>
          <w:sz w:val="26"/>
          <w:szCs w:val="26"/>
          <w:u w:val="single"/>
          <w:rtl/>
        </w:rPr>
        <w:t>בנסיבות שאינן קשורות בביצוע העבירה.</w:t>
      </w:r>
    </w:p>
    <w:p w14:paraId="3F640C8C" w14:textId="77777777" w:rsidR="0011649A" w:rsidRPr="007A2A36" w:rsidRDefault="0011649A" w:rsidP="0011649A">
      <w:pPr>
        <w:pStyle w:val="a9"/>
        <w:spacing w:line="360" w:lineRule="auto"/>
        <w:ind w:right="-142"/>
        <w:jc w:val="both"/>
        <w:rPr>
          <w:rFonts w:ascii="Arial" w:eastAsia="Times New Roman" w:hAnsi="Arial" w:cs="David"/>
          <w:sz w:val="26"/>
          <w:szCs w:val="26"/>
          <w:u w:val="single"/>
        </w:rPr>
      </w:pPr>
    </w:p>
    <w:p w14:paraId="7C423843" w14:textId="77777777" w:rsidR="0011649A" w:rsidRPr="007A2A36" w:rsidRDefault="0011649A" w:rsidP="0011649A">
      <w:pPr>
        <w:pStyle w:val="a9"/>
        <w:numPr>
          <w:ilvl w:val="0"/>
          <w:numId w:val="1"/>
        </w:numPr>
        <w:spacing w:line="360" w:lineRule="auto"/>
        <w:ind w:right="-142"/>
        <w:jc w:val="both"/>
        <w:rPr>
          <w:rFonts w:ascii="David" w:eastAsia="Times New Roman" w:hAnsi="David" w:cs="David"/>
          <w:sz w:val="26"/>
          <w:szCs w:val="26"/>
          <w:rtl/>
        </w:rPr>
      </w:pPr>
      <w:r w:rsidRPr="007A2A36">
        <w:rPr>
          <w:rFonts w:ascii="David" w:eastAsia="Times New Roman" w:hAnsi="David" w:cs="David"/>
          <w:sz w:val="26"/>
          <w:szCs w:val="26"/>
          <w:rtl/>
        </w:rPr>
        <w:t>מדובר בנאשם אשר אין בעברו עבירות ממין העניין (לחובתו הרשעה אחת מתחום המיסים). גם נסיבות חייו הקשות מהוות משקל בבואי לקבוע את העונש הראוי.</w:t>
      </w:r>
    </w:p>
    <w:p w14:paraId="137567A4" w14:textId="77777777" w:rsidR="0011649A" w:rsidRPr="007A2A36" w:rsidRDefault="0011649A" w:rsidP="0011649A">
      <w:pPr>
        <w:pStyle w:val="a9"/>
        <w:rPr>
          <w:rFonts w:ascii="David" w:eastAsia="Times New Roman" w:hAnsi="David" w:cs="David"/>
          <w:sz w:val="26"/>
          <w:szCs w:val="26"/>
        </w:rPr>
      </w:pPr>
    </w:p>
    <w:p w14:paraId="1A15B774" w14:textId="77777777" w:rsidR="0011649A" w:rsidRPr="007A2A36" w:rsidRDefault="0011649A" w:rsidP="0011649A">
      <w:pPr>
        <w:pStyle w:val="a9"/>
        <w:numPr>
          <w:ilvl w:val="0"/>
          <w:numId w:val="1"/>
        </w:numPr>
        <w:spacing w:line="360" w:lineRule="auto"/>
        <w:ind w:right="-142"/>
        <w:jc w:val="both"/>
        <w:rPr>
          <w:rFonts w:ascii="Arial" w:eastAsia="Times New Roman" w:hAnsi="Arial" w:cs="David"/>
          <w:sz w:val="26"/>
          <w:szCs w:val="26"/>
          <w:rtl/>
        </w:rPr>
      </w:pPr>
      <w:r w:rsidRPr="007A2A36">
        <w:rPr>
          <w:rFonts w:ascii="Arial" w:eastAsia="Times New Roman" w:hAnsi="Arial" w:cs="David"/>
          <w:sz w:val="26"/>
          <w:szCs w:val="26"/>
          <w:rtl/>
        </w:rPr>
        <w:t>הנאשם ערך סולחה עם בני משפחתו ועל כן המוטיבציה שמאחורי רכישת האקדח למעשה לא קיימת</w:t>
      </w:r>
      <w:r w:rsidRPr="007A2A36">
        <w:rPr>
          <w:rFonts w:ascii="Arial" w:eastAsia="Times New Roman" w:hAnsi="Arial" w:cs="David" w:hint="cs"/>
          <w:sz w:val="26"/>
          <w:szCs w:val="26"/>
          <w:rtl/>
        </w:rPr>
        <w:t xml:space="preserve"> עוד</w:t>
      </w:r>
      <w:r w:rsidRPr="007A2A36">
        <w:rPr>
          <w:rFonts w:ascii="Arial" w:eastAsia="Times New Roman" w:hAnsi="Arial" w:cs="David"/>
          <w:sz w:val="26"/>
          <w:szCs w:val="26"/>
          <w:rtl/>
        </w:rPr>
        <w:t xml:space="preserve">. </w:t>
      </w:r>
    </w:p>
    <w:p w14:paraId="4E2B8B72" w14:textId="77777777" w:rsidR="0011649A" w:rsidRPr="007A2A36" w:rsidRDefault="0011649A" w:rsidP="0011649A">
      <w:pPr>
        <w:pStyle w:val="a9"/>
        <w:rPr>
          <w:rFonts w:ascii="Arial" w:eastAsia="Times New Roman" w:hAnsi="Arial" w:cs="David"/>
          <w:sz w:val="26"/>
          <w:szCs w:val="26"/>
        </w:rPr>
      </w:pPr>
    </w:p>
    <w:p w14:paraId="779177FE" w14:textId="77777777" w:rsidR="0011649A" w:rsidRPr="007A2A36" w:rsidRDefault="0011649A" w:rsidP="0011649A">
      <w:pPr>
        <w:pStyle w:val="a9"/>
        <w:numPr>
          <w:ilvl w:val="0"/>
          <w:numId w:val="1"/>
        </w:numPr>
        <w:spacing w:line="360" w:lineRule="auto"/>
        <w:ind w:right="-142"/>
        <w:jc w:val="both"/>
        <w:rPr>
          <w:rFonts w:ascii="Arial" w:eastAsia="Times New Roman" w:hAnsi="Arial" w:cs="David"/>
          <w:sz w:val="26"/>
          <w:szCs w:val="26"/>
          <w:rtl/>
        </w:rPr>
      </w:pPr>
      <w:r w:rsidRPr="007A2A36">
        <w:rPr>
          <w:rFonts w:ascii="Arial" w:eastAsia="Times New Roman" w:hAnsi="Arial" w:cs="David"/>
          <w:sz w:val="26"/>
          <w:szCs w:val="26"/>
          <w:rtl/>
        </w:rPr>
        <w:t xml:space="preserve">הנאשם הוכיח יציבות תעסוקתית לאורך שנים. </w:t>
      </w:r>
    </w:p>
    <w:p w14:paraId="22B5347A" w14:textId="77777777" w:rsidR="0011649A" w:rsidRPr="007A2A36" w:rsidRDefault="0011649A" w:rsidP="0011649A">
      <w:pPr>
        <w:pStyle w:val="a9"/>
        <w:rPr>
          <w:rFonts w:ascii="Arial" w:eastAsia="Times New Roman" w:hAnsi="Arial" w:cs="David"/>
          <w:sz w:val="26"/>
          <w:szCs w:val="26"/>
        </w:rPr>
      </w:pPr>
    </w:p>
    <w:p w14:paraId="1CAAE0B3" w14:textId="77777777" w:rsidR="0011649A" w:rsidRPr="007A2A36" w:rsidRDefault="0011649A" w:rsidP="0011649A">
      <w:pPr>
        <w:pStyle w:val="a9"/>
        <w:numPr>
          <w:ilvl w:val="0"/>
          <w:numId w:val="1"/>
        </w:numPr>
        <w:spacing w:line="360" w:lineRule="auto"/>
        <w:ind w:right="-142"/>
        <w:jc w:val="both"/>
        <w:rPr>
          <w:rFonts w:ascii="Arial" w:eastAsia="Times New Roman" w:hAnsi="Arial" w:cs="David"/>
          <w:sz w:val="26"/>
          <w:szCs w:val="26"/>
          <w:rtl/>
        </w:rPr>
      </w:pPr>
      <w:r w:rsidRPr="007A2A36">
        <w:rPr>
          <w:rFonts w:ascii="Arial" w:eastAsia="Times New Roman" w:hAnsi="Arial" w:cs="David"/>
          <w:sz w:val="26"/>
          <w:szCs w:val="26"/>
          <w:rtl/>
        </w:rPr>
        <w:t xml:space="preserve">מצבו הכלכלי של הנאשם בכי רע, והוא מפרנס את אמו - שהתגרשה מאביו על רקע האירועים נשוא כתב האישום. </w:t>
      </w:r>
    </w:p>
    <w:p w14:paraId="627AE53A" w14:textId="77777777" w:rsidR="0011649A" w:rsidRPr="007A2A36" w:rsidRDefault="0011649A" w:rsidP="0011649A">
      <w:pPr>
        <w:pStyle w:val="a9"/>
        <w:numPr>
          <w:ilvl w:val="0"/>
          <w:numId w:val="1"/>
        </w:numPr>
        <w:spacing w:line="360" w:lineRule="auto"/>
        <w:ind w:right="-142"/>
        <w:jc w:val="both"/>
        <w:rPr>
          <w:rFonts w:ascii="Arial" w:eastAsia="Times New Roman" w:hAnsi="Arial" w:cs="David"/>
          <w:sz w:val="26"/>
          <w:szCs w:val="26"/>
          <w:rtl/>
        </w:rPr>
      </w:pPr>
      <w:r w:rsidRPr="007A2A36">
        <w:rPr>
          <w:rFonts w:ascii="Arial" w:eastAsia="Times New Roman" w:hAnsi="Arial" w:cs="David"/>
          <w:sz w:val="26"/>
          <w:szCs w:val="26"/>
          <w:rtl/>
        </w:rPr>
        <w:t xml:space="preserve">הנאשם אמנם לקח אחריות על מעשיו אך התקשה להפנים את המסוכנות הטמונה בהם. </w:t>
      </w:r>
    </w:p>
    <w:p w14:paraId="1FB8D6BC" w14:textId="77777777" w:rsidR="0011649A" w:rsidRPr="007A2A36" w:rsidRDefault="0011649A" w:rsidP="0011649A">
      <w:pPr>
        <w:pStyle w:val="a9"/>
        <w:rPr>
          <w:rFonts w:ascii="Arial" w:eastAsia="Times New Roman" w:hAnsi="Arial" w:cs="David"/>
          <w:sz w:val="26"/>
          <w:szCs w:val="26"/>
        </w:rPr>
      </w:pPr>
    </w:p>
    <w:p w14:paraId="1112BD05" w14:textId="77777777" w:rsidR="0011649A" w:rsidRPr="007A2A36" w:rsidRDefault="0011649A" w:rsidP="0011649A">
      <w:pPr>
        <w:pStyle w:val="a9"/>
        <w:numPr>
          <w:ilvl w:val="0"/>
          <w:numId w:val="1"/>
        </w:numPr>
        <w:spacing w:line="360" w:lineRule="auto"/>
        <w:ind w:right="-142"/>
        <w:jc w:val="both"/>
        <w:rPr>
          <w:rFonts w:ascii="Arial" w:eastAsia="Times New Roman" w:hAnsi="Arial" w:cs="David"/>
          <w:sz w:val="26"/>
          <w:szCs w:val="26"/>
          <w:rtl/>
        </w:rPr>
      </w:pPr>
      <w:r w:rsidRPr="007A2A36">
        <w:rPr>
          <w:rFonts w:ascii="Arial" w:eastAsia="Times New Roman" w:hAnsi="Arial" w:cs="David"/>
          <w:sz w:val="26"/>
          <w:szCs w:val="26"/>
          <w:rtl/>
        </w:rPr>
        <w:t xml:space="preserve">הנאשם הודה במיוחס לו בכתב האישום, ובכך חסך זמן שיפוטי בלתי מבוטל. עם זאת – הנאשם בחר להודות רק לאחר שנשמעו שלושה ימי הוכחות, ולמעשה העידו כל עדי התביעה, הנאשם ועדים מטעמו. אין מדובר במי שנטל אחריות למעשיו בהזדמנות ראשונה. </w:t>
      </w:r>
    </w:p>
    <w:p w14:paraId="16EA30AD" w14:textId="77777777" w:rsidR="0011649A" w:rsidRPr="007A2A36" w:rsidRDefault="0011649A" w:rsidP="0011649A">
      <w:pPr>
        <w:pStyle w:val="a9"/>
        <w:rPr>
          <w:rFonts w:ascii="Arial" w:eastAsia="Times New Roman" w:hAnsi="Arial" w:cs="David"/>
          <w:sz w:val="26"/>
          <w:szCs w:val="26"/>
        </w:rPr>
      </w:pPr>
    </w:p>
    <w:p w14:paraId="315A17BE" w14:textId="77777777" w:rsidR="0011649A" w:rsidRPr="007A2A36" w:rsidRDefault="0011649A" w:rsidP="0011649A">
      <w:pPr>
        <w:pStyle w:val="a9"/>
        <w:numPr>
          <w:ilvl w:val="0"/>
          <w:numId w:val="1"/>
        </w:numPr>
        <w:spacing w:line="360" w:lineRule="auto"/>
        <w:ind w:right="-142"/>
        <w:jc w:val="both"/>
        <w:rPr>
          <w:rFonts w:ascii="Arial" w:eastAsia="Times New Roman" w:hAnsi="Arial" w:cs="David"/>
          <w:sz w:val="26"/>
          <w:szCs w:val="26"/>
          <w:rtl/>
        </w:rPr>
      </w:pPr>
      <w:r w:rsidRPr="007A2A36">
        <w:rPr>
          <w:rFonts w:ascii="Arial" w:eastAsia="Times New Roman" w:hAnsi="Arial" w:cs="David"/>
          <w:sz w:val="26"/>
          <w:szCs w:val="26"/>
          <w:rtl/>
        </w:rPr>
        <w:t xml:space="preserve">המאשימה הכירה בכך שנסיבותיו האישיות של הנאשם מצדיקות חריגה ממתחמי הענישה, ועל כן – חרף המתחם אליו עתרה – הסתפקה בכך שיוטל עליו עונש מאסר למשך 13 חודשים, בצירוף ענישה נלווית. </w:t>
      </w:r>
    </w:p>
    <w:p w14:paraId="684DA505" w14:textId="77777777" w:rsidR="0011649A" w:rsidRPr="007A2A36" w:rsidRDefault="0011649A" w:rsidP="0011649A">
      <w:pPr>
        <w:pStyle w:val="a9"/>
        <w:rPr>
          <w:rFonts w:ascii="Arial" w:eastAsia="Times New Roman" w:hAnsi="Arial" w:cs="David"/>
          <w:sz w:val="26"/>
          <w:szCs w:val="26"/>
        </w:rPr>
      </w:pPr>
    </w:p>
    <w:p w14:paraId="05C09839" w14:textId="77777777" w:rsidR="0011649A" w:rsidRPr="007A2A36" w:rsidRDefault="0011649A" w:rsidP="0011649A">
      <w:pPr>
        <w:pStyle w:val="a9"/>
        <w:numPr>
          <w:ilvl w:val="0"/>
          <w:numId w:val="1"/>
        </w:numPr>
        <w:spacing w:line="360" w:lineRule="auto"/>
        <w:ind w:right="-142"/>
        <w:jc w:val="both"/>
        <w:rPr>
          <w:rFonts w:ascii="Arial" w:eastAsia="Times New Roman" w:hAnsi="Arial" w:cs="David"/>
          <w:sz w:val="26"/>
          <w:szCs w:val="26"/>
          <w:rtl/>
        </w:rPr>
      </w:pPr>
      <w:r w:rsidRPr="007A2A36">
        <w:rPr>
          <w:rFonts w:ascii="Arial" w:eastAsia="Times New Roman" w:hAnsi="Arial" w:cs="David"/>
          <w:sz w:val="26"/>
          <w:szCs w:val="26"/>
          <w:rtl/>
        </w:rPr>
        <w:t xml:space="preserve">מתחמי הענישה שנקבעו בפסיקה ובתיקון החקיקה האמור גבוהים בהרבה מן העונש לו עתרה המאשימה. לא מצאתי עילה של ממש לחרוג ממתחמי ענישה אלה בנסיבותיו של הנאשם. ואולם, משמצאה המאשימה להסתפק בעונש מקל זה, לא מצאתי להחמיר עם הנאשם מעבר לעמדת המאשימה. </w:t>
      </w:r>
      <w:r>
        <w:rPr>
          <w:rFonts w:ascii="Arial" w:eastAsia="Times New Roman" w:hAnsi="Arial" w:cs="David" w:hint="cs"/>
          <w:sz w:val="26"/>
          <w:szCs w:val="26"/>
          <w:rtl/>
        </w:rPr>
        <w:t xml:space="preserve">מאידך, ועל מנת שלא למצות את הדין עם הנאשם, מצאתי להקל מעט בעונש המאסר בפועל ולהטיל מאסר על תנאי ממושך יותר. </w:t>
      </w:r>
    </w:p>
    <w:p w14:paraId="489C694B" w14:textId="77777777" w:rsidR="0011649A" w:rsidRPr="007A2A36" w:rsidRDefault="0011649A" w:rsidP="0011649A">
      <w:pPr>
        <w:pStyle w:val="a9"/>
        <w:rPr>
          <w:rFonts w:ascii="Arial" w:eastAsia="Times New Roman" w:hAnsi="Arial" w:cs="David"/>
          <w:sz w:val="26"/>
          <w:szCs w:val="26"/>
        </w:rPr>
      </w:pPr>
    </w:p>
    <w:p w14:paraId="338050FE" w14:textId="77777777" w:rsidR="0011649A" w:rsidRDefault="0011649A" w:rsidP="0011649A">
      <w:pPr>
        <w:spacing w:line="360" w:lineRule="auto"/>
        <w:ind w:right="-142"/>
        <w:jc w:val="both"/>
        <w:rPr>
          <w:rFonts w:ascii="Arial" w:hAnsi="Arial"/>
          <w:b/>
          <w:bCs/>
          <w:sz w:val="26"/>
          <w:szCs w:val="26"/>
          <w:u w:val="single"/>
          <w:rtl/>
        </w:rPr>
      </w:pPr>
    </w:p>
    <w:p w14:paraId="5CAFE595" w14:textId="77777777" w:rsidR="0011649A" w:rsidRPr="007A2A36" w:rsidRDefault="0011649A" w:rsidP="0011649A">
      <w:pPr>
        <w:spacing w:line="360" w:lineRule="auto"/>
        <w:ind w:right="-142"/>
        <w:jc w:val="both"/>
        <w:rPr>
          <w:rFonts w:ascii="Arial" w:hAnsi="Arial"/>
          <w:b/>
          <w:bCs/>
          <w:sz w:val="26"/>
          <w:szCs w:val="26"/>
          <w:u w:val="single"/>
          <w:rtl/>
        </w:rPr>
      </w:pPr>
      <w:r w:rsidRPr="007A2A36">
        <w:rPr>
          <w:rFonts w:ascii="Arial" w:hAnsi="Arial"/>
          <w:b/>
          <w:bCs/>
          <w:sz w:val="26"/>
          <w:szCs w:val="26"/>
          <w:u w:val="single"/>
          <w:rtl/>
        </w:rPr>
        <w:t>נוכח כל האמור לעיל, אני גוזרת על הנאשם את העונשים הבאים:</w:t>
      </w:r>
    </w:p>
    <w:p w14:paraId="63075FA4" w14:textId="77777777" w:rsidR="0011649A" w:rsidRPr="007A2A36" w:rsidRDefault="0011649A" w:rsidP="0011649A">
      <w:pPr>
        <w:spacing w:line="360" w:lineRule="auto"/>
        <w:ind w:right="-142"/>
        <w:jc w:val="both"/>
        <w:rPr>
          <w:rFonts w:ascii="Arial" w:hAnsi="Arial"/>
          <w:b/>
          <w:bCs/>
          <w:sz w:val="26"/>
          <w:szCs w:val="26"/>
          <w:u w:val="single"/>
          <w:rtl/>
        </w:rPr>
      </w:pPr>
    </w:p>
    <w:p w14:paraId="2CED009A" w14:textId="77777777" w:rsidR="0011649A" w:rsidRPr="007A2A36" w:rsidRDefault="0011649A" w:rsidP="0011649A">
      <w:pPr>
        <w:pStyle w:val="a9"/>
        <w:numPr>
          <w:ilvl w:val="0"/>
          <w:numId w:val="2"/>
        </w:numPr>
        <w:spacing w:line="360" w:lineRule="auto"/>
        <w:ind w:right="-142"/>
        <w:jc w:val="both"/>
        <w:rPr>
          <w:rFonts w:ascii="Arial" w:eastAsia="Times New Roman" w:hAnsi="Arial" w:cs="David"/>
          <w:sz w:val="26"/>
          <w:szCs w:val="26"/>
          <w:rtl/>
        </w:rPr>
      </w:pPr>
      <w:r>
        <w:rPr>
          <w:rFonts w:ascii="Arial" w:eastAsia="Times New Roman" w:hAnsi="Arial" w:cs="David" w:hint="cs"/>
          <w:sz w:val="26"/>
          <w:szCs w:val="26"/>
          <w:rtl/>
        </w:rPr>
        <w:t>11</w:t>
      </w:r>
      <w:r w:rsidRPr="007A2A36">
        <w:rPr>
          <w:rFonts w:ascii="Arial" w:eastAsia="Times New Roman" w:hAnsi="Arial" w:cs="David"/>
          <w:sz w:val="26"/>
          <w:szCs w:val="26"/>
          <w:rtl/>
        </w:rPr>
        <w:t xml:space="preserve"> חודשי מאסר בניכוי ימי מעצרו. הנאשם יתייצב לתחילת ריצוי ביום 5.1.25 בשעה 8:00 בבית מעצר איילון. </w:t>
      </w:r>
    </w:p>
    <w:p w14:paraId="1B3CEE9C" w14:textId="77777777" w:rsidR="0011649A" w:rsidRPr="007A2A36" w:rsidRDefault="0011649A" w:rsidP="0011649A">
      <w:pPr>
        <w:pStyle w:val="a9"/>
        <w:numPr>
          <w:ilvl w:val="0"/>
          <w:numId w:val="2"/>
        </w:numPr>
        <w:spacing w:line="360" w:lineRule="auto"/>
        <w:ind w:right="-142"/>
        <w:jc w:val="both"/>
        <w:rPr>
          <w:rFonts w:ascii="Arial" w:eastAsia="Times New Roman" w:hAnsi="Arial" w:cs="David"/>
          <w:sz w:val="26"/>
          <w:szCs w:val="26"/>
        </w:rPr>
      </w:pPr>
      <w:r w:rsidRPr="007A2A36">
        <w:rPr>
          <w:rFonts w:ascii="Arial" w:eastAsia="Times New Roman" w:hAnsi="Arial" w:cs="David"/>
          <w:sz w:val="26"/>
          <w:szCs w:val="26"/>
          <w:rtl/>
        </w:rPr>
        <w:t xml:space="preserve">מאסר למשך 12 חודשים, וזאת על תנאי למשך 3 שנים, והתנאי שלא יעבור הנאשם על עבירה של החזקת נשק. התנאי יחל מיום שחרורו מן הכלא. </w:t>
      </w:r>
    </w:p>
    <w:p w14:paraId="0B9AA846" w14:textId="77777777" w:rsidR="0011649A" w:rsidRDefault="0011649A" w:rsidP="0011649A">
      <w:pPr>
        <w:pStyle w:val="a9"/>
        <w:numPr>
          <w:ilvl w:val="0"/>
          <w:numId w:val="2"/>
        </w:numPr>
        <w:spacing w:line="360" w:lineRule="auto"/>
        <w:ind w:right="-142"/>
        <w:jc w:val="both"/>
        <w:rPr>
          <w:rFonts w:ascii="Arial" w:eastAsia="Times New Roman" w:hAnsi="Arial" w:cs="David"/>
          <w:sz w:val="26"/>
          <w:szCs w:val="26"/>
        </w:rPr>
      </w:pPr>
      <w:r w:rsidRPr="007A2A36">
        <w:rPr>
          <w:rFonts w:ascii="Arial" w:eastAsia="Times New Roman" w:hAnsi="Arial" w:cs="David"/>
          <w:sz w:val="26"/>
          <w:szCs w:val="26"/>
          <w:rtl/>
        </w:rPr>
        <w:t xml:space="preserve">קנס בסך 1,500 ₪ שיסולק ב – 4 תשלומים שווים ורצופים החל מיום 1.12.24. ככל שקיים פקדון בתיק – יקוזז הקנס מן הפקדון. ככל שתיוותר יתרה – תושב לנאשם. </w:t>
      </w:r>
    </w:p>
    <w:p w14:paraId="4736317D" w14:textId="77777777" w:rsidR="0011649A" w:rsidRPr="00007769" w:rsidRDefault="0011649A" w:rsidP="0011649A">
      <w:pPr>
        <w:ind w:left="1440"/>
        <w:jc w:val="both"/>
        <w:rPr>
          <w:rFonts w:ascii="David" w:hAnsi="David"/>
          <w:rtl/>
        </w:rPr>
      </w:pPr>
      <w:r>
        <w:rPr>
          <w:rFonts w:ascii="David" w:hAnsi="David"/>
          <w:rtl/>
        </w:rPr>
        <w:t>על הנאשם לשלם את חוב הקנס</w:t>
      </w:r>
      <w:r>
        <w:rPr>
          <w:rFonts w:ascii="David" w:hAnsi="David" w:hint="cs"/>
          <w:rtl/>
        </w:rPr>
        <w:t xml:space="preserve"> </w:t>
      </w:r>
      <w:r w:rsidRPr="00007769">
        <w:rPr>
          <w:rFonts w:ascii="David" w:hAnsi="David"/>
          <w:rtl/>
        </w:rPr>
        <w:t>לחשבון המרכז לגביית קנסות, אגרות והוצאות ברשות האכיפה והגבייה באחת מהדרכים הבאות:</w:t>
      </w:r>
    </w:p>
    <w:p w14:paraId="05155AC3" w14:textId="77777777" w:rsidR="0011649A" w:rsidRPr="00007769" w:rsidRDefault="0011649A" w:rsidP="0011649A">
      <w:pPr>
        <w:pStyle w:val="a9"/>
        <w:numPr>
          <w:ilvl w:val="0"/>
          <w:numId w:val="3"/>
        </w:numPr>
        <w:spacing w:after="0" w:line="240" w:lineRule="auto"/>
        <w:jc w:val="both"/>
        <w:rPr>
          <w:rFonts w:ascii="David" w:hAnsi="David" w:cs="David"/>
          <w:sz w:val="24"/>
          <w:szCs w:val="24"/>
          <w:rtl/>
        </w:rPr>
      </w:pPr>
      <w:r w:rsidRPr="00007769">
        <w:rPr>
          <w:rFonts w:ascii="David" w:hAnsi="David" w:cs="David"/>
          <w:sz w:val="24"/>
          <w:szCs w:val="24"/>
          <w:rtl/>
        </w:rPr>
        <w:t xml:space="preserve">בכרטיס אשראי – באתר המקוון של רשות האכיפה והגבייה, </w:t>
      </w:r>
      <w:r w:rsidRPr="00007769">
        <w:rPr>
          <w:rFonts w:ascii="David" w:hAnsi="David" w:cs="David"/>
          <w:sz w:val="24"/>
          <w:szCs w:val="24"/>
        </w:rPr>
        <w:t>www.eca.gov.il</w:t>
      </w:r>
      <w:r w:rsidRPr="00007769">
        <w:rPr>
          <w:rFonts w:ascii="David" w:hAnsi="David" w:cs="David"/>
          <w:sz w:val="24"/>
          <w:szCs w:val="24"/>
          <w:rtl/>
        </w:rPr>
        <w:t xml:space="preserve">  (ניתן לשלם בפריסה של עד 18 תשלומים בהסדר קרדיט) או חפש בגוגל " תשלום גביית קנסות".</w:t>
      </w:r>
    </w:p>
    <w:p w14:paraId="1F478FDB" w14:textId="77777777" w:rsidR="0011649A" w:rsidRPr="00007769" w:rsidRDefault="0011649A" w:rsidP="0011649A">
      <w:pPr>
        <w:pStyle w:val="a9"/>
        <w:numPr>
          <w:ilvl w:val="0"/>
          <w:numId w:val="3"/>
        </w:numPr>
        <w:spacing w:after="0" w:line="240" w:lineRule="auto"/>
        <w:jc w:val="both"/>
        <w:rPr>
          <w:rFonts w:ascii="David" w:hAnsi="David" w:cs="David"/>
          <w:sz w:val="24"/>
          <w:szCs w:val="24"/>
          <w:rtl/>
        </w:rPr>
      </w:pPr>
      <w:r w:rsidRPr="00007769">
        <w:rPr>
          <w:rFonts w:ascii="David" w:hAnsi="David" w:cs="David"/>
          <w:sz w:val="24"/>
          <w:szCs w:val="24"/>
          <w:rtl/>
        </w:rPr>
        <w:t>מוקד שירות טלפוני בשרות עצמי (מרכז גבייה) – בטלפון 35592* או בטלפון 0732055000.</w:t>
      </w:r>
    </w:p>
    <w:p w14:paraId="1766940F" w14:textId="77777777" w:rsidR="0011649A" w:rsidRPr="00007769" w:rsidRDefault="0011649A" w:rsidP="0011649A">
      <w:pPr>
        <w:pStyle w:val="a9"/>
        <w:numPr>
          <w:ilvl w:val="0"/>
          <w:numId w:val="3"/>
        </w:numPr>
        <w:spacing w:after="0" w:line="240" w:lineRule="auto"/>
        <w:jc w:val="both"/>
        <w:rPr>
          <w:rFonts w:ascii="David" w:hAnsi="David" w:cs="David"/>
          <w:sz w:val="24"/>
          <w:szCs w:val="24"/>
        </w:rPr>
      </w:pPr>
      <w:r w:rsidRPr="00007769">
        <w:rPr>
          <w:rFonts w:ascii="David" w:hAnsi="David" w:cs="David"/>
          <w:sz w:val="24"/>
          <w:szCs w:val="24"/>
          <w:rtl/>
        </w:rPr>
        <w:t>במזומן בכל סניף של בנק הדואר – בהצגת תעודת זהות בלבד (אין צורך בשוברי תשלום).</w:t>
      </w:r>
    </w:p>
    <w:p w14:paraId="554AD293" w14:textId="77777777" w:rsidR="0011649A" w:rsidRDefault="0011649A" w:rsidP="0011649A">
      <w:pPr>
        <w:spacing w:line="360" w:lineRule="auto"/>
        <w:jc w:val="both"/>
        <w:rPr>
          <w:b/>
          <w:bCs/>
          <w:sz w:val="26"/>
          <w:szCs w:val="26"/>
          <w:u w:val="single"/>
          <w:rtl/>
        </w:rPr>
      </w:pPr>
    </w:p>
    <w:p w14:paraId="327D240D" w14:textId="77777777" w:rsidR="0011649A" w:rsidRPr="007A2A36" w:rsidRDefault="00C95F5B" w:rsidP="0011649A">
      <w:pPr>
        <w:spacing w:line="360" w:lineRule="auto"/>
        <w:jc w:val="both"/>
        <w:rPr>
          <w:b/>
          <w:bCs/>
          <w:sz w:val="26"/>
          <w:szCs w:val="26"/>
          <w:u w:val="single"/>
        </w:rPr>
      </w:pPr>
      <w:r w:rsidRPr="00C95F5B">
        <w:rPr>
          <w:b/>
          <w:bCs/>
          <w:color w:val="FFFFFF"/>
          <w:sz w:val="2"/>
          <w:szCs w:val="2"/>
          <w:u w:val="single"/>
          <w:rtl/>
        </w:rPr>
        <w:t>5129371</w:t>
      </w:r>
      <w:r w:rsidR="0011649A" w:rsidRPr="007A2A36">
        <w:rPr>
          <w:b/>
          <w:bCs/>
          <w:sz w:val="26"/>
          <w:szCs w:val="26"/>
          <w:u w:val="single"/>
          <w:rtl/>
        </w:rPr>
        <w:t>אני מורה על חילוט/השמדת המוצגים, ע"פ החלטת המאשימה.</w:t>
      </w:r>
    </w:p>
    <w:p w14:paraId="05DCC79D" w14:textId="77777777" w:rsidR="0011649A" w:rsidRPr="007A2A36" w:rsidRDefault="00C95F5B" w:rsidP="0011649A">
      <w:pPr>
        <w:spacing w:line="360" w:lineRule="auto"/>
        <w:jc w:val="both"/>
        <w:rPr>
          <w:b/>
          <w:bCs/>
          <w:sz w:val="26"/>
          <w:szCs w:val="26"/>
          <w:rtl/>
        </w:rPr>
      </w:pPr>
      <w:r w:rsidRPr="00C95F5B">
        <w:rPr>
          <w:b/>
          <w:bCs/>
          <w:color w:val="FFFFFF"/>
          <w:sz w:val="2"/>
          <w:szCs w:val="2"/>
          <w:rtl/>
        </w:rPr>
        <w:t>54678313</w:t>
      </w:r>
      <w:r w:rsidR="0011649A" w:rsidRPr="007A2A36">
        <w:rPr>
          <w:b/>
          <w:bCs/>
          <w:sz w:val="26"/>
          <w:szCs w:val="26"/>
          <w:rtl/>
        </w:rPr>
        <w:t xml:space="preserve">זכות ערעור לבית המשפט המחוזי בירושלים בתוך 45 ימים מהיום. </w:t>
      </w:r>
    </w:p>
    <w:p w14:paraId="01E2910E" w14:textId="77777777" w:rsidR="0011649A" w:rsidRPr="000F2247" w:rsidRDefault="0011649A" w:rsidP="0011649A">
      <w:pPr>
        <w:rPr>
          <w:rFonts w:ascii="Arial" w:hAnsi="Arial"/>
          <w:b/>
          <w:bCs/>
          <w:sz w:val="26"/>
          <w:szCs w:val="26"/>
          <w:rtl/>
        </w:rPr>
      </w:pPr>
    </w:p>
    <w:p w14:paraId="6BE37058" w14:textId="77777777" w:rsidR="0011649A" w:rsidRPr="000F2247" w:rsidRDefault="00C95F5B" w:rsidP="0011649A">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י"ב תשרי תשפ"ה, 14 אוקטובר 2024, בהעדר הצדדים. </w:t>
      </w:r>
      <w:bookmarkEnd w:id="8"/>
      <w:r w:rsidR="0011649A">
        <w:rPr>
          <w:rFonts w:ascii="Arial" w:hAnsi="Arial"/>
          <w:b/>
          <w:bCs/>
          <w:sz w:val="26"/>
          <w:szCs w:val="26"/>
          <w:rtl/>
        </w:rPr>
        <w:tab/>
      </w:r>
      <w:r w:rsidR="0011649A">
        <w:rPr>
          <w:rFonts w:ascii="Arial" w:hAnsi="Arial"/>
          <w:b/>
          <w:bCs/>
          <w:sz w:val="26"/>
          <w:szCs w:val="26"/>
          <w:rtl/>
        </w:rPr>
        <w:tab/>
      </w:r>
      <w:r w:rsidR="0011649A">
        <w:rPr>
          <w:rFonts w:ascii="Arial" w:hAnsi="Arial"/>
          <w:b/>
          <w:bCs/>
          <w:sz w:val="26"/>
          <w:szCs w:val="26"/>
          <w:rtl/>
        </w:rPr>
        <w:tab/>
      </w:r>
      <w:r w:rsidR="0011649A">
        <w:rPr>
          <w:rFonts w:ascii="Arial" w:hAnsi="Arial"/>
          <w:b/>
          <w:bCs/>
          <w:sz w:val="26"/>
          <w:szCs w:val="26"/>
          <w:rtl/>
        </w:rPr>
        <w:tab/>
      </w:r>
      <w:r w:rsidR="0011649A">
        <w:rPr>
          <w:rFonts w:ascii="Arial" w:hAnsi="Arial"/>
          <w:b/>
          <w:bCs/>
          <w:sz w:val="26"/>
          <w:szCs w:val="26"/>
          <w:rtl/>
        </w:rPr>
        <w:tab/>
      </w:r>
      <w:r w:rsidR="0011649A">
        <w:rPr>
          <w:rFonts w:ascii="Arial" w:hAnsi="Arial"/>
          <w:b/>
          <w:bCs/>
          <w:sz w:val="26"/>
          <w:szCs w:val="26"/>
          <w:rtl/>
        </w:rPr>
        <w:tab/>
      </w:r>
      <w:r w:rsidR="0011649A">
        <w:rPr>
          <w:rFonts w:ascii="Arial" w:hAnsi="Arial"/>
          <w:b/>
          <w:bCs/>
          <w:sz w:val="26"/>
          <w:szCs w:val="26"/>
          <w:rtl/>
        </w:rPr>
        <w:tab/>
      </w:r>
      <w:r w:rsidR="0011649A">
        <w:rPr>
          <w:rFonts w:ascii="Arial" w:hAnsi="Arial" w:hint="cs"/>
          <w:b/>
          <w:bCs/>
          <w:sz w:val="26"/>
          <w:szCs w:val="26"/>
          <w:rtl/>
        </w:rPr>
        <w:t xml:space="preserve">         </w:t>
      </w:r>
    </w:p>
    <w:p w14:paraId="0F59CAE6" w14:textId="77777777" w:rsidR="0011649A" w:rsidRPr="000F2247" w:rsidRDefault="0011649A" w:rsidP="00C95F5B">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2C98564" w14:textId="77777777" w:rsidR="0011649A" w:rsidRPr="000F2247" w:rsidRDefault="0011649A" w:rsidP="0011649A">
      <w:pPr>
        <w:jc w:val="center"/>
        <w:rPr>
          <w:rFonts w:ascii="Arial" w:hAnsi="Arial"/>
          <w:b/>
          <w:bCs/>
          <w:sz w:val="26"/>
          <w:szCs w:val="26"/>
          <w:rtl/>
        </w:rPr>
      </w:pPr>
    </w:p>
    <w:p w14:paraId="080F0AC6" w14:textId="77777777" w:rsidR="00547061" w:rsidRPr="00C95F5B" w:rsidRDefault="00547061" w:rsidP="00C95F5B">
      <w:pPr>
        <w:keepNext/>
        <w:rPr>
          <w:rFonts w:ascii="David" w:hAnsi="David"/>
          <w:color w:val="000000"/>
          <w:sz w:val="22"/>
          <w:szCs w:val="22"/>
          <w:rtl/>
        </w:rPr>
      </w:pPr>
    </w:p>
    <w:p w14:paraId="441CFF4F" w14:textId="77777777" w:rsidR="00C95F5B" w:rsidRPr="00C95F5B" w:rsidRDefault="00C95F5B" w:rsidP="00C95F5B">
      <w:pPr>
        <w:keepNext/>
        <w:rPr>
          <w:rFonts w:ascii="David" w:hAnsi="David"/>
          <w:color w:val="000000"/>
          <w:sz w:val="22"/>
          <w:szCs w:val="22"/>
          <w:rtl/>
        </w:rPr>
      </w:pPr>
      <w:r w:rsidRPr="00C95F5B">
        <w:rPr>
          <w:rFonts w:ascii="David" w:hAnsi="David"/>
          <w:color w:val="000000"/>
          <w:sz w:val="22"/>
          <w:szCs w:val="22"/>
          <w:rtl/>
        </w:rPr>
        <w:t>שרון לארי בבלי 54678313</w:t>
      </w:r>
    </w:p>
    <w:p w14:paraId="277B5F12" w14:textId="77777777" w:rsidR="00C95F5B" w:rsidRDefault="00C95F5B" w:rsidP="00C95F5B">
      <w:r w:rsidRPr="00C95F5B">
        <w:rPr>
          <w:color w:val="000000"/>
          <w:rtl/>
        </w:rPr>
        <w:t>נוסח מסמך זה כפוף לשינויי ניסוח ועריכה</w:t>
      </w:r>
    </w:p>
    <w:p w14:paraId="42FAF6E0" w14:textId="77777777" w:rsidR="00C95F5B" w:rsidRDefault="00C95F5B" w:rsidP="00C95F5B">
      <w:pPr>
        <w:rPr>
          <w:rtl/>
        </w:rPr>
      </w:pPr>
    </w:p>
    <w:p w14:paraId="30DDD833" w14:textId="77777777" w:rsidR="00C95F5B" w:rsidRDefault="00C95F5B" w:rsidP="00C95F5B">
      <w:pPr>
        <w:jc w:val="center"/>
        <w:rPr>
          <w:color w:val="0000FF"/>
          <w:u w:val="single"/>
        </w:rPr>
      </w:pPr>
      <w:hyperlink r:id="rId14" w:history="1">
        <w:r>
          <w:rPr>
            <w:color w:val="0000FF"/>
            <w:u w:val="single"/>
            <w:rtl/>
          </w:rPr>
          <w:t>בעניין עריכה ושינויים במסמכי פסיקה, חקיקה ועוד באתר נבו – הקש כאן</w:t>
        </w:r>
      </w:hyperlink>
    </w:p>
    <w:p w14:paraId="49BBFAC9" w14:textId="77777777" w:rsidR="00C95F5B" w:rsidRPr="00C95F5B" w:rsidRDefault="00C95F5B" w:rsidP="00C95F5B">
      <w:pPr>
        <w:jc w:val="center"/>
        <w:rPr>
          <w:color w:val="0000FF"/>
          <w:u w:val="single"/>
        </w:rPr>
      </w:pPr>
    </w:p>
    <w:sectPr w:rsidR="00C95F5B" w:rsidRPr="00C95F5B" w:rsidSect="00C95F5B">
      <w:headerReference w:type="even" r:id="rId15"/>
      <w:headerReference w:type="default" r:id="rId16"/>
      <w:footerReference w:type="even" r:id="rId17"/>
      <w:footerReference w:type="default" r:id="rId1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F8C089" w14:textId="77777777" w:rsidR="0000689A" w:rsidRDefault="0000689A" w:rsidP="00305435">
      <w:r>
        <w:separator/>
      </w:r>
    </w:p>
  </w:endnote>
  <w:endnote w:type="continuationSeparator" w:id="0">
    <w:p w14:paraId="0B36FB9E" w14:textId="77777777" w:rsidR="0000689A" w:rsidRDefault="0000689A" w:rsidP="00305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87CA54" w14:textId="77777777" w:rsidR="00C95F5B" w:rsidRDefault="00C95F5B" w:rsidP="00C95F5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D69F6D8" w14:textId="77777777" w:rsidR="00816145" w:rsidRPr="00C95F5B" w:rsidRDefault="00C95F5B" w:rsidP="00C95F5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1615D1" w14:textId="77777777" w:rsidR="00C95F5B" w:rsidRDefault="00C95F5B" w:rsidP="00C95F5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64ABF">
      <w:rPr>
        <w:rFonts w:ascii="FrankRuehl" w:hAnsi="FrankRuehl" w:cs="FrankRuehl"/>
        <w:noProof/>
        <w:rtl/>
      </w:rPr>
      <w:t>1</w:t>
    </w:r>
    <w:r>
      <w:rPr>
        <w:rFonts w:ascii="FrankRuehl" w:hAnsi="FrankRuehl" w:cs="FrankRuehl"/>
        <w:rtl/>
      </w:rPr>
      <w:fldChar w:fldCharType="end"/>
    </w:r>
  </w:p>
  <w:p w14:paraId="1D4FD5E9" w14:textId="77777777" w:rsidR="00816145" w:rsidRPr="00C95F5B" w:rsidRDefault="00C95F5B" w:rsidP="00C95F5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89F94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A8CA3B" w14:textId="77777777" w:rsidR="0000689A" w:rsidRDefault="0000689A" w:rsidP="00305435">
      <w:r>
        <w:separator/>
      </w:r>
    </w:p>
  </w:footnote>
  <w:footnote w:type="continuationSeparator" w:id="0">
    <w:p w14:paraId="44B9E636" w14:textId="77777777" w:rsidR="0000689A" w:rsidRDefault="0000689A" w:rsidP="00305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41D480" w14:textId="77777777" w:rsidR="00C95F5B" w:rsidRPr="00C95F5B" w:rsidRDefault="00C95F5B" w:rsidP="00C95F5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20216-02-22</w:t>
    </w:r>
    <w:r>
      <w:rPr>
        <w:rFonts w:ascii="David" w:hAnsi="David"/>
        <w:color w:val="000000"/>
        <w:sz w:val="22"/>
        <w:szCs w:val="22"/>
        <w:rtl/>
      </w:rPr>
      <w:tab/>
      <w:t xml:space="preserve"> מדינת ישראל נ' מחמד גול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A5CD68" w14:textId="77777777" w:rsidR="00C95F5B" w:rsidRPr="00C95F5B" w:rsidRDefault="00C95F5B" w:rsidP="00C95F5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20216-02-22</w:t>
    </w:r>
    <w:r>
      <w:rPr>
        <w:rFonts w:ascii="David" w:hAnsi="David"/>
        <w:color w:val="000000"/>
        <w:sz w:val="22"/>
        <w:szCs w:val="22"/>
        <w:rtl/>
      </w:rPr>
      <w:tab/>
      <w:t xml:space="preserve"> מדינת ישראל נ' מחמד גול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7281F"/>
    <w:multiLevelType w:val="hybridMultilevel"/>
    <w:tmpl w:val="6EB0EA6A"/>
    <w:lvl w:ilvl="0" w:tplc="EB9A2914">
      <w:start w:val="1"/>
      <w:numFmt w:val="hebrew1"/>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6BF278AE"/>
    <w:multiLevelType w:val="hybridMultilevel"/>
    <w:tmpl w:val="50AC2CB6"/>
    <w:lvl w:ilvl="0" w:tplc="AE2C75BA">
      <w:start w:val="1"/>
      <w:numFmt w:val="decimal"/>
      <w:lvlText w:val="%1."/>
      <w:lvlJc w:val="left"/>
      <w:pPr>
        <w:ind w:left="720" w:hanging="360"/>
      </w:pPr>
      <w:rPr>
        <w:rFonts w:ascii="David" w:hAnsi="David" w:cs="David"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EEE565A"/>
    <w:multiLevelType w:val="hybridMultilevel"/>
    <w:tmpl w:val="6AF4992A"/>
    <w:lvl w:ilvl="0" w:tplc="A15E3518">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3771963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818325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582257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1649A"/>
    <w:rsid w:val="0000689A"/>
    <w:rsid w:val="0002664C"/>
    <w:rsid w:val="000E1984"/>
    <w:rsid w:val="0011649A"/>
    <w:rsid w:val="00305435"/>
    <w:rsid w:val="00547061"/>
    <w:rsid w:val="00572B35"/>
    <w:rsid w:val="00816145"/>
    <w:rsid w:val="00A245DF"/>
    <w:rsid w:val="00C64ABF"/>
    <w:rsid w:val="00C95F5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C9618CA"/>
  <w15:chartTrackingRefBased/>
  <w15:docId w15:val="{DBCD601B-AE64-4A9C-9E94-001F2F63B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1649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1649A"/>
    <w:pPr>
      <w:tabs>
        <w:tab w:val="center" w:pos="4153"/>
        <w:tab w:val="right" w:pos="8306"/>
      </w:tabs>
    </w:pPr>
  </w:style>
  <w:style w:type="character" w:customStyle="1" w:styleId="a4">
    <w:name w:val="כותרת עליונה תו"/>
    <w:link w:val="a3"/>
    <w:rsid w:val="0011649A"/>
    <w:rPr>
      <w:rFonts w:ascii="Times New Roman" w:eastAsia="Times New Roman" w:hAnsi="Times New Roman" w:cs="David"/>
      <w:sz w:val="24"/>
      <w:szCs w:val="24"/>
    </w:rPr>
  </w:style>
  <w:style w:type="paragraph" w:styleId="a5">
    <w:name w:val="footer"/>
    <w:basedOn w:val="a"/>
    <w:link w:val="a6"/>
    <w:rsid w:val="0011649A"/>
    <w:pPr>
      <w:tabs>
        <w:tab w:val="center" w:pos="4153"/>
        <w:tab w:val="right" w:pos="8306"/>
      </w:tabs>
    </w:pPr>
  </w:style>
  <w:style w:type="character" w:customStyle="1" w:styleId="a6">
    <w:name w:val="כותרת תחתונה תו"/>
    <w:link w:val="a5"/>
    <w:rsid w:val="0011649A"/>
    <w:rPr>
      <w:rFonts w:ascii="Times New Roman" w:eastAsia="Times New Roman" w:hAnsi="Times New Roman" w:cs="David"/>
      <w:sz w:val="24"/>
      <w:szCs w:val="24"/>
    </w:rPr>
  </w:style>
  <w:style w:type="table" w:styleId="a7">
    <w:name w:val="Table Grid"/>
    <w:basedOn w:val="a1"/>
    <w:rsid w:val="0011649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1649A"/>
  </w:style>
  <w:style w:type="character" w:styleId="Hyperlink">
    <w:name w:val="Hyperlink"/>
    <w:rsid w:val="0011649A"/>
    <w:rPr>
      <w:color w:val="0563C1"/>
      <w:u w:val="single"/>
    </w:rPr>
  </w:style>
  <w:style w:type="paragraph" w:styleId="a9">
    <w:name w:val="List Paragraph"/>
    <w:basedOn w:val="a"/>
    <w:qFormat/>
    <w:rsid w:val="0011649A"/>
    <w:pPr>
      <w:spacing w:after="160" w:line="256"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case/29611509"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law/70301" TargetMode="External"/><Relationship Id="rId12" Type="http://schemas.openxmlformats.org/officeDocument/2006/relationships/hyperlink" Target="http://www.nevo.co.il/case/27734980"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nevo.co.il/law/7030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1464</Words>
  <Characters>7320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8767</CharactersWithSpaces>
  <SharedDoc>false</SharedDoc>
  <HLinks>
    <vt:vector size="48" baseType="variant">
      <vt:variant>
        <vt:i4>393283</vt:i4>
      </vt:variant>
      <vt:variant>
        <vt:i4>21</vt:i4>
      </vt:variant>
      <vt:variant>
        <vt:i4>0</vt:i4>
      </vt:variant>
      <vt:variant>
        <vt:i4>5</vt:i4>
      </vt:variant>
      <vt:variant>
        <vt:lpwstr>http://www.nevo.co.il/advertisements/nevo-100.doc</vt:lpwstr>
      </vt:variant>
      <vt:variant>
        <vt:lpwstr/>
      </vt:variant>
      <vt:variant>
        <vt:i4>3473529</vt:i4>
      </vt:variant>
      <vt:variant>
        <vt:i4>18</vt:i4>
      </vt:variant>
      <vt:variant>
        <vt:i4>0</vt:i4>
      </vt:variant>
      <vt:variant>
        <vt:i4>5</vt:i4>
      </vt:variant>
      <vt:variant>
        <vt:lpwstr>http://www.nevo.co.il/case/29611509</vt:lpwstr>
      </vt:variant>
      <vt:variant>
        <vt:lpwstr/>
      </vt:variant>
      <vt:variant>
        <vt:i4>3735673</vt:i4>
      </vt:variant>
      <vt:variant>
        <vt:i4>15</vt:i4>
      </vt:variant>
      <vt:variant>
        <vt:i4>0</vt:i4>
      </vt:variant>
      <vt:variant>
        <vt:i4>5</vt:i4>
      </vt:variant>
      <vt:variant>
        <vt:lpwstr>http://www.nevo.co.il/case/27734980</vt:lpwstr>
      </vt:variant>
      <vt:variant>
        <vt:lpwstr/>
      </vt:variant>
      <vt:variant>
        <vt:i4>7995492</vt:i4>
      </vt:variant>
      <vt:variant>
        <vt:i4>12</vt:i4>
      </vt:variant>
      <vt:variant>
        <vt:i4>0</vt:i4>
      </vt:variant>
      <vt:variant>
        <vt:i4>5</vt:i4>
      </vt:variant>
      <vt:variant>
        <vt:lpwstr>http://www.nevo.co.il/law/70301</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2025-01-19T17:48:00Z</dcterms:created>
  <dcterms:modified xsi:type="dcterms:W3CDTF">2025-01-19T17:48:00Z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20216</vt:lpwstr>
  </property>
  <property fmtid="{D5CDD505-2E9C-101B-9397-08002B2CF9AE}" pid="6" name="NEWPARTB">
    <vt:lpwstr>02</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מחמד גול</vt:lpwstr>
  </property>
  <property fmtid="{D5CDD505-2E9C-101B-9397-08002B2CF9AE}" pid="10" name="LAWYER">
    <vt:lpwstr>;הילה נאוי;פרקליטות מחוז ירושלים פלילי</vt:lpwstr>
  </property>
  <property fmtid="{D5CDD505-2E9C-101B-9397-08002B2CF9AE}" pid="11" name="JUDGE">
    <vt:lpwstr>שרון לארי בבלי</vt:lpwstr>
  </property>
  <property fmtid="{D5CDD505-2E9C-101B-9397-08002B2CF9AE}" pid="12" name="CITY">
    <vt:lpwstr>י-ם</vt:lpwstr>
  </property>
  <property fmtid="{D5CDD505-2E9C-101B-9397-08002B2CF9AE}" pid="13" name="DATE">
    <vt:lpwstr>20241014</vt:lpwstr>
  </property>
  <property fmtid="{D5CDD505-2E9C-101B-9397-08002B2CF9AE}" pid="14" name="TYPE_N_DATE">
    <vt:lpwstr>38020241014</vt:lpwstr>
  </property>
  <property fmtid="{D5CDD505-2E9C-101B-9397-08002B2CF9AE}" pid="15" name="CASESLISTTMP1">
    <vt:lpwstr>27734980;29611509</vt:lpwstr>
  </property>
  <property fmtid="{D5CDD505-2E9C-101B-9397-08002B2CF9AE}" pid="16" name="CASENOTES1">
    <vt:lpwstr>ProcID=135&amp;PartA=9683&amp;PartB=09&amp;PartC=22</vt:lpwstr>
  </property>
  <property fmtid="{D5CDD505-2E9C-101B-9397-08002B2CF9AE}" pid="17" name="WORDNUMPAGES">
    <vt:lpwstr>7</vt:lpwstr>
  </property>
  <property fmtid="{D5CDD505-2E9C-101B-9397-08002B2CF9AE}" pid="18" name="TYPE_ABS_DATE">
    <vt:lpwstr>380020241014</vt:lpwstr>
  </property>
  <property fmtid="{D5CDD505-2E9C-101B-9397-08002B2CF9AE}" pid="19" name="ISABSTRACT">
    <vt:lpwstr>Y</vt:lpwstr>
  </property>
  <property fmtid="{D5CDD505-2E9C-101B-9397-08002B2CF9AE}" pid="20" name="LAWLISTTMP1">
    <vt:lpwstr>70301/144.a</vt:lpwstr>
  </property>
</Properties>
</file>