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1D285B" w:rsidRPr="00E6216C" w14:paraId="2430DBDB" w14:textId="77777777" w:rsidTr="00724B14">
        <w:trPr>
          <w:gridAfter w:val="1"/>
          <w:wAfter w:w="99" w:type="dxa"/>
          <w:trHeight w:hRule="exact" w:val="418"/>
          <w:jc w:val="center"/>
        </w:trPr>
        <w:tc>
          <w:tcPr>
            <w:tcW w:w="8721" w:type="dxa"/>
            <w:gridSpan w:val="4"/>
          </w:tcPr>
          <w:p w14:paraId="2BDEFA30" w14:textId="77777777" w:rsidR="001D285B" w:rsidRPr="00E6216C" w:rsidRDefault="001D285B" w:rsidP="00E42500">
            <w:pPr>
              <w:pStyle w:val="a3"/>
              <w:jc w:val="center"/>
              <w:rPr>
                <w:rFonts w:ascii="Tahoma" w:hAnsi="Tahoma" w:cs="Tahoma"/>
                <w:color w:val="000080"/>
                <w:rtl/>
              </w:rPr>
            </w:pPr>
            <w:bookmarkStart w:id="0" w:name="LastJudge"/>
            <w:r w:rsidRPr="00E6216C">
              <w:rPr>
                <w:rFonts w:ascii="Tahoma" w:hAnsi="Tahoma" w:cs="Tahoma"/>
                <w:b/>
                <w:bCs/>
                <w:color w:val="000080"/>
                <w:rtl/>
              </w:rPr>
              <w:t>בית משפט השלום בבאר שבע</w:t>
            </w:r>
          </w:p>
        </w:tc>
      </w:tr>
      <w:tr w:rsidR="001D285B" w:rsidRPr="00E6216C" w14:paraId="4BB09627" w14:textId="77777777" w:rsidTr="00724B14">
        <w:trPr>
          <w:gridAfter w:val="1"/>
          <w:wAfter w:w="99" w:type="dxa"/>
          <w:trHeight w:val="337"/>
          <w:jc w:val="center"/>
        </w:trPr>
        <w:tc>
          <w:tcPr>
            <w:tcW w:w="5055" w:type="dxa"/>
            <w:gridSpan w:val="3"/>
          </w:tcPr>
          <w:p w14:paraId="016F20ED" w14:textId="77777777" w:rsidR="001D285B" w:rsidRPr="00E6216C" w:rsidRDefault="001D285B" w:rsidP="00E42500">
            <w:pPr>
              <w:rPr>
                <w:rFonts w:ascii="David" w:hAnsi="David"/>
                <w:b/>
                <w:bCs/>
                <w:sz w:val="28"/>
                <w:szCs w:val="28"/>
                <w:rtl/>
              </w:rPr>
            </w:pPr>
            <w:r w:rsidRPr="00E6216C">
              <w:rPr>
                <w:rFonts w:ascii="David" w:hAnsi="David"/>
                <w:b/>
                <w:bCs/>
                <w:sz w:val="28"/>
                <w:szCs w:val="28"/>
                <w:rtl/>
              </w:rPr>
              <w:t>ת"פ 50207-02-22 מדינת ישראל נ' חזן</w:t>
            </w:r>
          </w:p>
          <w:p w14:paraId="1F4ED8B3" w14:textId="77777777" w:rsidR="001D285B" w:rsidRPr="00E6216C" w:rsidRDefault="001D285B" w:rsidP="00E42500">
            <w:pPr>
              <w:pStyle w:val="a3"/>
              <w:rPr>
                <w:rFonts w:cs="FrankRuehl"/>
                <w:sz w:val="28"/>
                <w:szCs w:val="28"/>
                <w:rtl/>
              </w:rPr>
            </w:pPr>
          </w:p>
        </w:tc>
        <w:tc>
          <w:tcPr>
            <w:tcW w:w="3666" w:type="dxa"/>
          </w:tcPr>
          <w:p w14:paraId="2EDC1223" w14:textId="77777777" w:rsidR="001D285B" w:rsidRPr="00E6216C" w:rsidRDefault="001D285B" w:rsidP="00E42500">
            <w:pPr>
              <w:pStyle w:val="a3"/>
              <w:jc w:val="right"/>
              <w:rPr>
                <w:rFonts w:cs="FrankRuehl"/>
                <w:sz w:val="28"/>
                <w:szCs w:val="28"/>
                <w:rtl/>
              </w:rPr>
            </w:pPr>
          </w:p>
        </w:tc>
      </w:tr>
      <w:tr w:rsidR="001D285B" w:rsidRPr="00E6216C" w14:paraId="2553816C" w14:textId="77777777" w:rsidTr="00724B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07D38A9" w14:textId="77777777" w:rsidR="001D285B" w:rsidRPr="00E6216C" w:rsidRDefault="001D285B" w:rsidP="001D285B">
            <w:pPr>
              <w:jc w:val="both"/>
              <w:rPr>
                <w:rFonts w:ascii="David" w:hAnsi="David"/>
                <w:b/>
                <w:bCs/>
                <w:sz w:val="26"/>
                <w:szCs w:val="26"/>
              </w:rPr>
            </w:pPr>
            <w:r w:rsidRPr="00E6216C">
              <w:rPr>
                <w:rFonts w:hint="cs"/>
                <w:rtl/>
              </w:rPr>
              <w:t xml:space="preserve"> </w:t>
            </w:r>
            <w:r w:rsidRPr="00E6216C">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6EF38F7F" w14:textId="77777777" w:rsidR="001D285B" w:rsidRPr="00E6216C" w:rsidRDefault="001D285B" w:rsidP="00E42500">
            <w:pPr>
              <w:rPr>
                <w:rFonts w:ascii="David" w:hAnsi="David"/>
                <w:b/>
                <w:bCs/>
                <w:sz w:val="26"/>
                <w:szCs w:val="26"/>
                <w:rtl/>
              </w:rPr>
            </w:pPr>
            <w:r w:rsidRPr="00E6216C">
              <w:rPr>
                <w:rFonts w:ascii="David" w:hAnsi="David"/>
                <w:b/>
                <w:bCs/>
                <w:sz w:val="26"/>
                <w:szCs w:val="26"/>
                <w:rtl/>
              </w:rPr>
              <w:t>כבוד השופט  יניב בן הרוש</w:t>
            </w:r>
          </w:p>
          <w:p w14:paraId="10D4EEC1" w14:textId="77777777" w:rsidR="001D285B" w:rsidRPr="00E6216C" w:rsidRDefault="001D285B" w:rsidP="00E42500">
            <w:pPr>
              <w:rPr>
                <w:rFonts w:ascii="David" w:hAnsi="David"/>
                <w:b/>
                <w:bCs/>
                <w:sz w:val="26"/>
                <w:szCs w:val="26"/>
                <w:rtl/>
              </w:rPr>
            </w:pPr>
          </w:p>
          <w:p w14:paraId="53D82014" w14:textId="77777777" w:rsidR="001D285B" w:rsidRPr="00E6216C" w:rsidRDefault="001D285B" w:rsidP="001D285B">
            <w:pPr>
              <w:jc w:val="both"/>
              <w:rPr>
                <w:rFonts w:ascii="David" w:hAnsi="David"/>
                <w:b/>
                <w:bCs/>
                <w:sz w:val="26"/>
                <w:szCs w:val="26"/>
              </w:rPr>
            </w:pPr>
          </w:p>
        </w:tc>
      </w:tr>
      <w:tr w:rsidR="001D285B" w:rsidRPr="00E6216C" w14:paraId="1BC0BC4A" w14:textId="77777777" w:rsidTr="00724B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98E421" w14:textId="77777777" w:rsidR="001D285B" w:rsidRPr="00E6216C" w:rsidRDefault="001D285B" w:rsidP="001D285B">
            <w:pPr>
              <w:jc w:val="both"/>
              <w:rPr>
                <w:rFonts w:ascii="David" w:hAnsi="David"/>
                <w:b/>
                <w:bCs/>
                <w:sz w:val="26"/>
                <w:szCs w:val="26"/>
              </w:rPr>
            </w:pPr>
            <w:bookmarkStart w:id="1" w:name="FirstAppellant"/>
            <w:r w:rsidRPr="00E6216C">
              <w:rPr>
                <w:rFonts w:ascii="David" w:hAnsi="David"/>
                <w:b/>
                <w:bCs/>
                <w:sz w:val="26"/>
                <w:szCs w:val="26"/>
                <w:rtl/>
              </w:rPr>
              <w:t>בעניין:</w:t>
            </w:r>
          </w:p>
        </w:tc>
        <w:tc>
          <w:tcPr>
            <w:tcW w:w="3219" w:type="dxa"/>
            <w:tcBorders>
              <w:top w:val="nil"/>
              <w:left w:val="nil"/>
              <w:bottom w:val="nil"/>
              <w:right w:val="nil"/>
            </w:tcBorders>
            <w:shd w:val="clear" w:color="auto" w:fill="auto"/>
          </w:tcPr>
          <w:p w14:paraId="77747BEF" w14:textId="77777777" w:rsidR="001D285B" w:rsidRPr="00E6216C" w:rsidRDefault="001D285B" w:rsidP="001D285B">
            <w:pPr>
              <w:suppressLineNumbers/>
              <w:rPr>
                <w:b/>
                <w:bCs/>
              </w:rPr>
            </w:pPr>
            <w:r w:rsidRPr="00E6216C">
              <w:rPr>
                <w:rFonts w:ascii="Arial" w:hAnsi="Arial" w:hint="cs"/>
                <w:b/>
                <w:bCs/>
                <w:sz w:val="26"/>
                <w:szCs w:val="26"/>
                <w:rtl/>
              </w:rPr>
              <w:t>ה</w:t>
            </w:r>
            <w:r w:rsidRPr="00E6216C">
              <w:rPr>
                <w:rFonts w:ascii="Arial" w:hAnsi="Arial"/>
                <w:b/>
                <w:bCs/>
                <w:sz w:val="26"/>
                <w:szCs w:val="26"/>
                <w:rtl/>
              </w:rPr>
              <w:t>מאשימה</w:t>
            </w:r>
          </w:p>
          <w:p w14:paraId="4AC377A2" w14:textId="77777777" w:rsidR="001D285B" w:rsidRPr="00E6216C" w:rsidRDefault="001D285B" w:rsidP="00E42500">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47D16CC6" w14:textId="77777777" w:rsidR="001D285B" w:rsidRPr="00E6216C" w:rsidRDefault="001D285B" w:rsidP="001D285B">
            <w:pPr>
              <w:suppressLineNumbers/>
              <w:rPr>
                <w:rFonts w:ascii="Arial" w:hAnsi="Arial"/>
                <w:b/>
                <w:bCs/>
                <w:sz w:val="26"/>
                <w:szCs w:val="26"/>
                <w:rtl/>
              </w:rPr>
            </w:pPr>
            <w:r w:rsidRPr="00E6216C">
              <w:rPr>
                <w:rFonts w:ascii="Arial" w:hAnsi="Arial"/>
                <w:b/>
                <w:bCs/>
                <w:sz w:val="26"/>
                <w:szCs w:val="26"/>
                <w:rtl/>
              </w:rPr>
              <w:t>מדינת ישראל</w:t>
            </w:r>
            <w:r w:rsidRPr="00E6216C">
              <w:rPr>
                <w:rFonts w:ascii="Arial" w:hAnsi="Arial" w:hint="cs"/>
                <w:b/>
                <w:bCs/>
                <w:sz w:val="26"/>
                <w:szCs w:val="26"/>
                <w:rtl/>
              </w:rPr>
              <w:t xml:space="preserve"> </w:t>
            </w:r>
          </w:p>
          <w:p w14:paraId="4846C97C" w14:textId="77777777" w:rsidR="001D285B" w:rsidRPr="00E6216C" w:rsidRDefault="001D285B" w:rsidP="001D285B">
            <w:pPr>
              <w:suppressLineNumbers/>
              <w:rPr>
                <w:b/>
                <w:bCs/>
              </w:rPr>
            </w:pPr>
            <w:r w:rsidRPr="00E6216C">
              <w:rPr>
                <w:rFonts w:ascii="Arial" w:hAnsi="Arial"/>
                <w:b/>
                <w:bCs/>
                <w:sz w:val="26"/>
                <w:szCs w:val="26"/>
                <w:rtl/>
              </w:rPr>
              <w:t xml:space="preserve">ע"י </w:t>
            </w:r>
            <w:r w:rsidRPr="00E6216C">
              <w:rPr>
                <w:rFonts w:ascii="Arial" w:hAnsi="Arial" w:hint="cs"/>
                <w:b/>
                <w:bCs/>
                <w:sz w:val="26"/>
                <w:szCs w:val="26"/>
                <w:rtl/>
              </w:rPr>
              <w:t>לשכת תביעות נגב</w:t>
            </w:r>
          </w:p>
          <w:p w14:paraId="5EAC86EB" w14:textId="77777777" w:rsidR="001D285B" w:rsidRPr="00E6216C" w:rsidRDefault="001D285B" w:rsidP="00E42500">
            <w:pPr>
              <w:rPr>
                <w:rFonts w:ascii="David" w:hAnsi="David"/>
                <w:b/>
                <w:bCs/>
                <w:sz w:val="26"/>
                <w:szCs w:val="26"/>
              </w:rPr>
            </w:pPr>
          </w:p>
        </w:tc>
      </w:tr>
      <w:bookmarkEnd w:id="1"/>
      <w:tr w:rsidR="001D285B" w:rsidRPr="00E6216C" w14:paraId="405870A5" w14:textId="77777777" w:rsidTr="00724B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043155" w14:textId="77777777" w:rsidR="001D285B" w:rsidRPr="00E6216C" w:rsidRDefault="001D285B" w:rsidP="001D285B">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57E56A89" w14:textId="77777777" w:rsidR="001D285B" w:rsidRPr="00E6216C" w:rsidRDefault="001D285B" w:rsidP="001D285B">
            <w:pPr>
              <w:jc w:val="center"/>
              <w:rPr>
                <w:rFonts w:ascii="David" w:hAnsi="David"/>
                <w:b/>
                <w:bCs/>
                <w:sz w:val="26"/>
                <w:szCs w:val="26"/>
                <w:rtl/>
              </w:rPr>
            </w:pPr>
          </w:p>
          <w:p w14:paraId="1734EFC0" w14:textId="77777777" w:rsidR="001D285B" w:rsidRPr="00E6216C" w:rsidRDefault="001D285B" w:rsidP="001D285B">
            <w:pPr>
              <w:jc w:val="center"/>
              <w:rPr>
                <w:rFonts w:ascii="David" w:hAnsi="David"/>
                <w:b/>
                <w:bCs/>
                <w:sz w:val="26"/>
                <w:szCs w:val="26"/>
                <w:rtl/>
              </w:rPr>
            </w:pPr>
            <w:r w:rsidRPr="00E6216C">
              <w:rPr>
                <w:rFonts w:ascii="David" w:hAnsi="David"/>
                <w:b/>
                <w:bCs/>
                <w:sz w:val="26"/>
                <w:szCs w:val="26"/>
                <w:rtl/>
              </w:rPr>
              <w:t>נגד</w:t>
            </w:r>
          </w:p>
          <w:p w14:paraId="64DE5464" w14:textId="77777777" w:rsidR="001D285B" w:rsidRPr="00E6216C" w:rsidRDefault="001D285B" w:rsidP="001D285B">
            <w:pPr>
              <w:jc w:val="both"/>
              <w:rPr>
                <w:rFonts w:ascii="David" w:hAnsi="David"/>
                <w:b/>
                <w:bCs/>
                <w:sz w:val="26"/>
                <w:szCs w:val="26"/>
              </w:rPr>
            </w:pPr>
          </w:p>
        </w:tc>
      </w:tr>
      <w:tr w:rsidR="001D285B" w:rsidRPr="00E6216C" w14:paraId="5D6F6ABE" w14:textId="77777777" w:rsidTr="00724B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E64E7F" w14:textId="77777777" w:rsidR="001D285B" w:rsidRPr="00E6216C" w:rsidRDefault="001D285B" w:rsidP="00E42500">
            <w:pPr>
              <w:rPr>
                <w:rFonts w:ascii="David" w:hAnsi="David"/>
                <w:b/>
                <w:bCs/>
                <w:sz w:val="26"/>
                <w:szCs w:val="26"/>
                <w:rtl/>
              </w:rPr>
            </w:pPr>
            <w:bookmarkStart w:id="2" w:name="FirstLawyer"/>
          </w:p>
        </w:tc>
        <w:tc>
          <w:tcPr>
            <w:tcW w:w="3219" w:type="dxa"/>
            <w:tcBorders>
              <w:top w:val="nil"/>
              <w:left w:val="nil"/>
              <w:bottom w:val="nil"/>
              <w:right w:val="nil"/>
            </w:tcBorders>
            <w:shd w:val="clear" w:color="auto" w:fill="auto"/>
          </w:tcPr>
          <w:p w14:paraId="6D5E2ED5" w14:textId="77777777" w:rsidR="001D285B" w:rsidRPr="00E6216C" w:rsidRDefault="001D285B" w:rsidP="00E42500">
            <w:pPr>
              <w:rPr>
                <w:rFonts w:ascii="Arial" w:hAnsi="Arial"/>
                <w:b/>
                <w:bCs/>
                <w:sz w:val="26"/>
                <w:szCs w:val="26"/>
                <w:rtl/>
              </w:rPr>
            </w:pPr>
            <w:r w:rsidRPr="00E6216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1379345" w14:textId="77777777" w:rsidR="001D285B" w:rsidRPr="00E6216C" w:rsidRDefault="001D285B" w:rsidP="001D285B">
            <w:pPr>
              <w:suppressLineNumbers/>
              <w:rPr>
                <w:rFonts w:ascii="Arial" w:hAnsi="Arial"/>
                <w:b/>
                <w:bCs/>
                <w:sz w:val="26"/>
                <w:szCs w:val="26"/>
                <w:rtl/>
              </w:rPr>
            </w:pPr>
            <w:r w:rsidRPr="00E6216C">
              <w:rPr>
                <w:rFonts w:ascii="Arial" w:hAnsi="Arial"/>
                <w:b/>
                <w:bCs/>
                <w:sz w:val="26"/>
                <w:szCs w:val="26"/>
                <w:rtl/>
              </w:rPr>
              <w:t>שלומי חזן</w:t>
            </w:r>
            <w:r w:rsidRPr="00E6216C">
              <w:rPr>
                <w:rFonts w:ascii="Arial" w:hAnsi="Arial" w:hint="cs"/>
                <w:b/>
                <w:bCs/>
                <w:sz w:val="26"/>
                <w:szCs w:val="26"/>
                <w:rtl/>
              </w:rPr>
              <w:t xml:space="preserve">-בעצמו </w:t>
            </w:r>
          </w:p>
          <w:p w14:paraId="5C199B80" w14:textId="77777777" w:rsidR="001D285B" w:rsidRPr="00E6216C" w:rsidRDefault="001D285B" w:rsidP="001D285B">
            <w:pPr>
              <w:suppressLineNumbers/>
              <w:rPr>
                <w:b/>
                <w:bCs/>
              </w:rPr>
            </w:pPr>
            <w:r w:rsidRPr="00E6216C">
              <w:rPr>
                <w:rFonts w:ascii="Arial" w:hAnsi="Arial"/>
                <w:b/>
                <w:bCs/>
                <w:sz w:val="26"/>
                <w:szCs w:val="26"/>
                <w:rtl/>
              </w:rPr>
              <w:t>ע"י ב"כ עוה"ד</w:t>
            </w:r>
            <w:r w:rsidRPr="00E6216C">
              <w:rPr>
                <w:rFonts w:ascii="Arial" w:hAnsi="Arial" w:hint="cs"/>
                <w:b/>
                <w:bCs/>
                <w:sz w:val="26"/>
                <w:szCs w:val="26"/>
                <w:rtl/>
              </w:rPr>
              <w:t xml:space="preserve"> חנן אסולין</w:t>
            </w:r>
          </w:p>
        </w:tc>
      </w:tr>
      <w:bookmarkEnd w:id="2"/>
    </w:tbl>
    <w:p w14:paraId="165EF4C9" w14:textId="77777777" w:rsidR="00724B14" w:rsidRPr="00724B14" w:rsidRDefault="00724B14" w:rsidP="00724B14">
      <w:pPr>
        <w:spacing w:before="120" w:after="120" w:line="240" w:lineRule="exact"/>
        <w:ind w:left="283" w:hanging="283"/>
        <w:jc w:val="both"/>
        <w:rPr>
          <w:rFonts w:ascii="FrankRuehl" w:hAnsi="FrankRuehl" w:cs="FrankRuehl"/>
          <w:rtl/>
        </w:rPr>
      </w:pPr>
    </w:p>
    <w:p w14:paraId="53E17CDD" w14:textId="77777777" w:rsidR="00A527EC" w:rsidRPr="00A527EC" w:rsidRDefault="00A527EC" w:rsidP="00A527EC">
      <w:pPr>
        <w:spacing w:before="120" w:after="120" w:line="240" w:lineRule="exact"/>
        <w:ind w:left="283" w:hanging="283"/>
        <w:jc w:val="both"/>
        <w:rPr>
          <w:rFonts w:ascii="FrankRuehl" w:hAnsi="FrankRuehl" w:cs="FrankRuehl"/>
          <w:rtl/>
        </w:rPr>
      </w:pPr>
    </w:p>
    <w:p w14:paraId="0C800CD2" w14:textId="77777777" w:rsidR="000E12C6" w:rsidRDefault="000E12C6" w:rsidP="000E12C6">
      <w:pPr>
        <w:rPr>
          <w:sz w:val="26"/>
          <w:szCs w:val="26"/>
          <w:rtl/>
        </w:rPr>
      </w:pPr>
      <w:bookmarkStart w:id="3" w:name="LawTable"/>
      <w:bookmarkEnd w:id="3"/>
    </w:p>
    <w:p w14:paraId="2778824C" w14:textId="77777777" w:rsidR="000E12C6" w:rsidRPr="000E12C6" w:rsidRDefault="000E12C6" w:rsidP="000E12C6">
      <w:pPr>
        <w:spacing w:before="120" w:after="120" w:line="240" w:lineRule="exact"/>
        <w:ind w:left="283" w:hanging="283"/>
        <w:jc w:val="both"/>
        <w:rPr>
          <w:rFonts w:ascii="FrankRuehl" w:hAnsi="FrankRuehl" w:cs="FrankRuehl"/>
          <w:rtl/>
        </w:rPr>
      </w:pPr>
    </w:p>
    <w:p w14:paraId="552B6551" w14:textId="77777777" w:rsidR="000E12C6" w:rsidRPr="000E12C6" w:rsidRDefault="000E12C6" w:rsidP="000E12C6">
      <w:pPr>
        <w:spacing w:before="120" w:after="120" w:line="240" w:lineRule="exact"/>
        <w:ind w:left="283" w:hanging="283"/>
        <w:jc w:val="both"/>
        <w:rPr>
          <w:rFonts w:ascii="FrankRuehl" w:hAnsi="FrankRuehl" w:cs="FrankRuehl"/>
          <w:rtl/>
        </w:rPr>
      </w:pPr>
    </w:p>
    <w:p w14:paraId="7CDAA7BE" w14:textId="77777777" w:rsidR="000E12C6" w:rsidRPr="000E12C6" w:rsidRDefault="000E12C6" w:rsidP="000E12C6">
      <w:pPr>
        <w:spacing w:before="120" w:after="120" w:line="240" w:lineRule="exact"/>
        <w:ind w:left="283" w:hanging="283"/>
        <w:jc w:val="both"/>
        <w:rPr>
          <w:rFonts w:ascii="FrankRuehl" w:hAnsi="FrankRuehl" w:cs="FrankRuehl"/>
          <w:rtl/>
        </w:rPr>
      </w:pPr>
      <w:r w:rsidRPr="000E12C6">
        <w:rPr>
          <w:rFonts w:ascii="FrankRuehl" w:hAnsi="FrankRuehl" w:cs="FrankRuehl"/>
          <w:rtl/>
        </w:rPr>
        <w:t xml:space="preserve">חקיקה שאוזכרה: </w:t>
      </w:r>
    </w:p>
    <w:p w14:paraId="6B6223A0" w14:textId="77777777" w:rsidR="000E12C6" w:rsidRPr="000E12C6" w:rsidRDefault="000E12C6" w:rsidP="000E12C6">
      <w:pPr>
        <w:spacing w:before="120" w:after="120" w:line="240" w:lineRule="exact"/>
        <w:ind w:left="283" w:hanging="283"/>
        <w:jc w:val="both"/>
        <w:rPr>
          <w:rFonts w:ascii="FrankRuehl" w:hAnsi="FrankRuehl" w:cs="FrankRuehl"/>
          <w:rtl/>
        </w:rPr>
      </w:pPr>
      <w:hyperlink r:id="rId7" w:history="1">
        <w:r w:rsidRPr="000E12C6">
          <w:rPr>
            <w:rFonts w:ascii="FrankRuehl" w:hAnsi="FrankRuehl" w:cs="FrankRuehl"/>
            <w:color w:val="0000FF"/>
            <w:rtl/>
          </w:rPr>
          <w:t>חוק העונשין, תשל"ז-1977</w:t>
        </w:r>
      </w:hyperlink>
      <w:r w:rsidRPr="000E12C6">
        <w:rPr>
          <w:rFonts w:ascii="FrankRuehl" w:hAnsi="FrankRuehl" w:cs="FrankRuehl"/>
          <w:rtl/>
        </w:rPr>
        <w:t xml:space="preserve">: סע'  </w:t>
      </w:r>
      <w:hyperlink r:id="rId8" w:history="1">
        <w:r w:rsidRPr="000E12C6">
          <w:rPr>
            <w:rFonts w:ascii="FrankRuehl" w:hAnsi="FrankRuehl" w:cs="FrankRuehl"/>
            <w:color w:val="0000FF"/>
            <w:rtl/>
          </w:rPr>
          <w:t>144 (א)</w:t>
        </w:r>
      </w:hyperlink>
    </w:p>
    <w:p w14:paraId="2EFD97DA" w14:textId="77777777" w:rsidR="000E12C6" w:rsidRPr="000E12C6" w:rsidRDefault="000E12C6" w:rsidP="000E12C6">
      <w:pPr>
        <w:rPr>
          <w:sz w:val="26"/>
          <w:szCs w:val="26"/>
          <w:rtl/>
        </w:rPr>
      </w:pPr>
      <w:bookmarkStart w:id="4" w:name="LawTable_End"/>
      <w:bookmarkEnd w:id="4"/>
    </w:p>
    <w:p w14:paraId="51B7613C" w14:textId="77777777" w:rsidR="001D285B" w:rsidRPr="00A527EC" w:rsidRDefault="001D285B" w:rsidP="00A527E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285B" w14:paraId="79F92705" w14:textId="77777777" w:rsidTr="001D285B">
        <w:trPr>
          <w:trHeight w:val="355"/>
          <w:jc w:val="center"/>
        </w:trPr>
        <w:tc>
          <w:tcPr>
            <w:tcW w:w="8820" w:type="dxa"/>
            <w:tcBorders>
              <w:top w:val="nil"/>
              <w:left w:val="nil"/>
              <w:bottom w:val="nil"/>
              <w:right w:val="nil"/>
            </w:tcBorders>
            <w:shd w:val="clear" w:color="auto" w:fill="auto"/>
          </w:tcPr>
          <w:p w14:paraId="031A08E0" w14:textId="77777777" w:rsidR="00E6216C" w:rsidRPr="00E6216C" w:rsidRDefault="00E6216C" w:rsidP="00E6216C">
            <w:pPr>
              <w:jc w:val="center"/>
              <w:rPr>
                <w:rFonts w:ascii="David" w:hAnsi="David"/>
                <w:b/>
                <w:bCs/>
                <w:sz w:val="32"/>
                <w:szCs w:val="32"/>
                <w:u w:val="single"/>
                <w:rtl/>
              </w:rPr>
            </w:pPr>
            <w:bookmarkStart w:id="5" w:name="PsakDin" w:colFirst="0" w:colLast="0"/>
            <w:bookmarkEnd w:id="0"/>
            <w:r w:rsidRPr="00E6216C">
              <w:rPr>
                <w:rFonts w:ascii="David" w:hAnsi="David"/>
                <w:b/>
                <w:bCs/>
                <w:sz w:val="32"/>
                <w:szCs w:val="32"/>
                <w:u w:val="single"/>
                <w:rtl/>
              </w:rPr>
              <w:t>גזר דין</w:t>
            </w:r>
          </w:p>
          <w:p w14:paraId="18D33732" w14:textId="77777777" w:rsidR="001D285B" w:rsidRPr="00E6216C" w:rsidRDefault="001D285B" w:rsidP="00E6216C">
            <w:pPr>
              <w:jc w:val="center"/>
              <w:rPr>
                <w:rFonts w:ascii="David" w:hAnsi="David"/>
                <w:bCs/>
                <w:sz w:val="32"/>
                <w:szCs w:val="32"/>
                <w:u w:val="single"/>
                <w:rtl/>
              </w:rPr>
            </w:pPr>
          </w:p>
        </w:tc>
      </w:tr>
      <w:bookmarkEnd w:id="5"/>
    </w:tbl>
    <w:p w14:paraId="665AE1F3" w14:textId="77777777" w:rsidR="001D285B" w:rsidRPr="000F2247" w:rsidRDefault="001D285B" w:rsidP="001D285B">
      <w:pPr>
        <w:rPr>
          <w:rFonts w:ascii="Arial" w:hAnsi="Arial"/>
          <w:b/>
          <w:bCs/>
          <w:sz w:val="26"/>
          <w:szCs w:val="26"/>
          <w:rtl/>
        </w:rPr>
      </w:pPr>
    </w:p>
    <w:p w14:paraId="479B2049" w14:textId="77777777" w:rsidR="001D285B" w:rsidRDefault="001D285B" w:rsidP="001D285B">
      <w:pPr>
        <w:spacing w:line="360" w:lineRule="auto"/>
        <w:jc w:val="both"/>
        <w:rPr>
          <w:rFonts w:ascii="David" w:hAnsi="David"/>
          <w:b/>
          <w:bCs/>
          <w:sz w:val="26"/>
          <w:szCs w:val="26"/>
        </w:rPr>
      </w:pPr>
      <w:r>
        <w:rPr>
          <w:rFonts w:ascii="David" w:hAnsi="David"/>
          <w:b/>
          <w:bCs/>
          <w:sz w:val="26"/>
          <w:szCs w:val="26"/>
          <w:rtl/>
        </w:rPr>
        <w:t>רקע</w:t>
      </w:r>
      <w:bookmarkStart w:id="6" w:name="ABSTRACT_START"/>
      <w:bookmarkEnd w:id="6"/>
    </w:p>
    <w:p w14:paraId="253277C6" w14:textId="77777777" w:rsidR="001D285B" w:rsidRDefault="001D285B" w:rsidP="001D285B">
      <w:pPr>
        <w:numPr>
          <w:ilvl w:val="0"/>
          <w:numId w:val="1"/>
        </w:numPr>
        <w:spacing w:line="360" w:lineRule="auto"/>
        <w:contextualSpacing/>
        <w:jc w:val="both"/>
        <w:rPr>
          <w:rFonts w:ascii="David" w:hAnsi="David"/>
          <w:rtl/>
        </w:rPr>
      </w:pPr>
      <w:r>
        <w:rPr>
          <w:rFonts w:ascii="David" w:hAnsi="David"/>
          <w:rtl/>
        </w:rPr>
        <w:t xml:space="preserve">ביום 19.4.23 הגיעו הצדדים להסדר טיעון במסגרתו הודה הנאשם בעובדות כתב האישום המתוקן והורשע בעבירה של </w:t>
      </w:r>
      <w:r>
        <w:rPr>
          <w:rFonts w:ascii="David" w:hAnsi="David"/>
          <w:b/>
          <w:bCs/>
          <w:rtl/>
        </w:rPr>
        <w:t>החזקת חלק של נשק או תחמושת</w:t>
      </w:r>
      <w:r>
        <w:rPr>
          <w:rFonts w:ascii="David" w:hAnsi="David"/>
          <w:rtl/>
        </w:rPr>
        <w:t xml:space="preserve">, לפי סעיף </w:t>
      </w:r>
      <w:hyperlink r:id="rId9" w:history="1">
        <w:r w:rsidR="00724B14" w:rsidRPr="00724B14">
          <w:rPr>
            <w:rStyle w:val="Hyperlink"/>
            <w:rFonts w:ascii="David" w:hAnsi="David"/>
            <w:rtl/>
          </w:rPr>
          <w:t>144 (א)</w:t>
        </w:r>
      </w:hyperlink>
      <w:r>
        <w:rPr>
          <w:rFonts w:ascii="David" w:hAnsi="David"/>
          <w:rtl/>
        </w:rPr>
        <w:t xml:space="preserve"> סיפא ל</w:t>
      </w:r>
      <w:hyperlink r:id="rId10" w:history="1">
        <w:r w:rsidR="00E6216C" w:rsidRPr="00E6216C">
          <w:rPr>
            <w:rFonts w:ascii="David" w:hAnsi="David"/>
            <w:color w:val="0000FF"/>
            <w:u w:val="single"/>
            <w:rtl/>
          </w:rPr>
          <w:t>חוק העונשין</w:t>
        </w:r>
      </w:hyperlink>
      <w:r>
        <w:rPr>
          <w:rFonts w:ascii="David" w:hAnsi="David"/>
          <w:rtl/>
        </w:rPr>
        <w:t>, תשל"ז-1977 (להלן: "חוק העונשין")</w:t>
      </w:r>
    </w:p>
    <w:p w14:paraId="1C29A5F2" w14:textId="77777777" w:rsidR="001D285B" w:rsidRDefault="001D285B" w:rsidP="001D285B">
      <w:pPr>
        <w:spacing w:line="360" w:lineRule="auto"/>
        <w:ind w:left="502"/>
        <w:contextualSpacing/>
        <w:jc w:val="both"/>
        <w:rPr>
          <w:rFonts w:ascii="David" w:hAnsi="David"/>
        </w:rPr>
      </w:pPr>
    </w:p>
    <w:p w14:paraId="04D0058A" w14:textId="77777777" w:rsidR="001D285B" w:rsidRDefault="001D285B" w:rsidP="001D285B">
      <w:pPr>
        <w:numPr>
          <w:ilvl w:val="0"/>
          <w:numId w:val="1"/>
        </w:numPr>
        <w:spacing w:line="360" w:lineRule="auto"/>
        <w:contextualSpacing/>
        <w:jc w:val="both"/>
        <w:rPr>
          <w:rFonts w:ascii="David" w:hAnsi="David"/>
        </w:rPr>
      </w:pPr>
      <w:r>
        <w:rPr>
          <w:rFonts w:ascii="David" w:hAnsi="David"/>
          <w:rtl/>
        </w:rPr>
        <w:t>על פי עובדות כתב האישום המתוקן ביום 23.11.20, סמוך לשעה 12:00, החזיק הנאשם בארון בביתו, תחמושת הכוללת 5 קופסאות המכילות 115 כדורי תחמושת 5.56 מ"מ ו-3 קופסאות המכילות 120 כדורי תחמושת 9 מ"מ.</w:t>
      </w:r>
    </w:p>
    <w:p w14:paraId="3B7143B1" w14:textId="77777777" w:rsidR="001D285B" w:rsidRDefault="001D285B" w:rsidP="001D285B">
      <w:pPr>
        <w:pStyle w:val="aa"/>
        <w:rPr>
          <w:rFonts w:ascii="David" w:eastAsia="Times New Roman" w:hAnsi="David" w:cs="David"/>
          <w:sz w:val="24"/>
          <w:szCs w:val="24"/>
        </w:rPr>
      </w:pPr>
      <w:bookmarkStart w:id="7" w:name="ABSTRACT_END"/>
      <w:bookmarkEnd w:id="7"/>
    </w:p>
    <w:p w14:paraId="033EBEDD" w14:textId="77777777" w:rsidR="001D285B" w:rsidRDefault="001D285B" w:rsidP="001D285B">
      <w:pPr>
        <w:numPr>
          <w:ilvl w:val="0"/>
          <w:numId w:val="1"/>
        </w:numPr>
        <w:spacing w:line="360" w:lineRule="auto"/>
        <w:contextualSpacing/>
        <w:jc w:val="both"/>
        <w:rPr>
          <w:rFonts w:ascii="David" w:hAnsi="David"/>
          <w:rtl/>
        </w:rPr>
      </w:pPr>
      <w:r>
        <w:rPr>
          <w:rFonts w:ascii="David" w:hAnsi="David"/>
          <w:rtl/>
        </w:rPr>
        <w:t>במסגרת ההסדר לא הייתה הסכמה עונשית וסוכם כי הצדדים יטענו באופן פתוח.</w:t>
      </w:r>
    </w:p>
    <w:p w14:paraId="192CC46F" w14:textId="77777777" w:rsidR="001D285B" w:rsidRDefault="001D285B" w:rsidP="001D285B">
      <w:pPr>
        <w:rPr>
          <w:rFonts w:ascii="David" w:eastAsia="Calibri" w:hAnsi="David"/>
        </w:rPr>
      </w:pPr>
    </w:p>
    <w:p w14:paraId="657886E1" w14:textId="77777777" w:rsidR="001D285B" w:rsidRPr="001D285B" w:rsidRDefault="001D285B" w:rsidP="001D285B">
      <w:pPr>
        <w:rPr>
          <w:rFonts w:ascii="Calibri" w:eastAsia="Calibri" w:hAnsi="Calibri" w:cs="Arial"/>
          <w:b/>
          <w:bCs/>
          <w:sz w:val="26"/>
          <w:szCs w:val="26"/>
          <w:rtl/>
        </w:rPr>
      </w:pPr>
      <w:r>
        <w:rPr>
          <w:rFonts w:ascii="David" w:eastAsia="Calibri" w:hAnsi="David"/>
          <w:b/>
          <w:bCs/>
          <w:sz w:val="26"/>
          <w:szCs w:val="26"/>
          <w:rtl/>
        </w:rPr>
        <w:t>טיעוני הצדדים לעונש</w:t>
      </w:r>
    </w:p>
    <w:p w14:paraId="5BDB4B31" w14:textId="77777777" w:rsidR="001D285B" w:rsidRDefault="001D285B" w:rsidP="001D285B">
      <w:pPr>
        <w:rPr>
          <w:b/>
          <w:bCs/>
          <w:sz w:val="26"/>
          <w:szCs w:val="26"/>
          <w:rtl/>
        </w:rPr>
      </w:pPr>
    </w:p>
    <w:p w14:paraId="06E06E65" w14:textId="77777777" w:rsidR="001D285B" w:rsidRDefault="001D285B" w:rsidP="001D285B">
      <w:pPr>
        <w:pStyle w:val="aa"/>
        <w:numPr>
          <w:ilvl w:val="0"/>
          <w:numId w:val="1"/>
        </w:numPr>
        <w:spacing w:line="360" w:lineRule="auto"/>
        <w:jc w:val="both"/>
        <w:rPr>
          <w:rFonts w:ascii="David" w:hAnsi="David" w:cs="David"/>
          <w:sz w:val="24"/>
          <w:szCs w:val="24"/>
          <w:rtl/>
        </w:rPr>
      </w:pPr>
      <w:r>
        <w:rPr>
          <w:rFonts w:ascii="David" w:hAnsi="David" w:cs="David"/>
          <w:sz w:val="24"/>
          <w:szCs w:val="24"/>
          <w:rtl/>
        </w:rPr>
        <w:lastRenderedPageBreak/>
        <w:t>ב"כ המאשימה הגיש את טיעוניו בכתב, (ת/1) בהם תיאר את העבירה שבוצעה על ידי הנאשם וטען לפגיעה קשה בערכים המוגנים. ב"כ המאשימה הפנה לפסיקה וטען למתחם ענישה הנע בין 6-12 חודשי מאסר בפועל. בשים לב להיעדר עבר פלילי עתר לגזור את עונשו של הנאשם ברף התחתון של המתחם, מאסר על תנאי, קנס והתחייבות.</w:t>
      </w:r>
    </w:p>
    <w:p w14:paraId="6AF7D921" w14:textId="77777777" w:rsidR="001D285B" w:rsidRDefault="001D285B" w:rsidP="001D285B">
      <w:pPr>
        <w:pStyle w:val="aa"/>
        <w:spacing w:line="360" w:lineRule="auto"/>
        <w:ind w:left="502"/>
        <w:jc w:val="both"/>
        <w:rPr>
          <w:rFonts w:ascii="David" w:hAnsi="David" w:cs="David"/>
          <w:sz w:val="24"/>
          <w:szCs w:val="24"/>
        </w:rPr>
      </w:pPr>
    </w:p>
    <w:p w14:paraId="4151A8EB" w14:textId="77777777" w:rsidR="001D285B" w:rsidRDefault="001D285B" w:rsidP="001D285B">
      <w:pPr>
        <w:pStyle w:val="aa"/>
        <w:numPr>
          <w:ilvl w:val="0"/>
          <w:numId w:val="1"/>
        </w:numPr>
        <w:spacing w:line="360" w:lineRule="auto"/>
        <w:jc w:val="both"/>
        <w:rPr>
          <w:rFonts w:ascii="David" w:hAnsi="David" w:cs="David"/>
          <w:sz w:val="24"/>
          <w:szCs w:val="24"/>
        </w:rPr>
      </w:pPr>
      <w:r>
        <w:rPr>
          <w:rFonts w:ascii="David" w:hAnsi="David" w:cs="David"/>
          <w:sz w:val="24"/>
          <w:szCs w:val="24"/>
          <w:rtl/>
        </w:rPr>
        <w:t>ב"כ הנאשם טען כי עתירת המאשימה למתחם שתחתיתו 6 חודשי מאסר בפועל, אינו תואם להנחיית פרקליט המדינה לפיה מתחם הענישה בעבירות של החזקת תחמושת נע בין מאסר על תנאי ועד 6 חודשי מאסר בפועל ובהתאם לכמות התחמושת שנתפסה. עוד טען כי לא הוכחה מטרה פלילית בהחזקת התחמושת, אלא שהנאשם שימש ככיתת כוננות וזאת בניגוד לנסיבות המתוארת בפסיקה אליה הפנה ב"כ המאשימה. ב"כ הנאשם טען כי הנאשם נעדר עבר פלילי ומשלא הוכחו נסיבות פליליות או עברייניות בהחזקת התחמושת ומשגרסתו לא נבדקה במשטרה, יש לקבוע מתחם הנע בין צו של"צ ועד 6 חודשי מאסר על תנאי והפנה ל</w:t>
      </w:r>
      <w:hyperlink r:id="rId11" w:history="1">
        <w:r w:rsidR="00E6216C" w:rsidRPr="00E6216C">
          <w:rPr>
            <w:rFonts w:ascii="David" w:hAnsi="David" w:cs="David"/>
            <w:color w:val="0000FF"/>
            <w:sz w:val="24"/>
            <w:szCs w:val="24"/>
            <w:u w:val="single"/>
            <w:rtl/>
          </w:rPr>
          <w:t>עפ"ג 9036-02-23</w:t>
        </w:r>
      </w:hyperlink>
      <w:r>
        <w:rPr>
          <w:rFonts w:ascii="David" w:hAnsi="David" w:cs="David"/>
          <w:sz w:val="24"/>
          <w:szCs w:val="24"/>
          <w:rtl/>
        </w:rPr>
        <w:t xml:space="preserve"> </w:t>
      </w:r>
      <w:r>
        <w:rPr>
          <w:rFonts w:ascii="David" w:hAnsi="David" w:cs="David"/>
          <w:b/>
          <w:bCs/>
          <w:sz w:val="24"/>
          <w:szCs w:val="24"/>
          <w:rtl/>
        </w:rPr>
        <w:t>אסולין נ' מדינת ישראל</w:t>
      </w:r>
      <w:r>
        <w:rPr>
          <w:rFonts w:ascii="David" w:hAnsi="David" w:cs="David"/>
          <w:sz w:val="24"/>
          <w:szCs w:val="24"/>
          <w:rtl/>
        </w:rPr>
        <w:t>.</w:t>
      </w:r>
    </w:p>
    <w:p w14:paraId="74CA28CB" w14:textId="77777777" w:rsidR="001D285B" w:rsidRDefault="001D285B" w:rsidP="001D285B">
      <w:pPr>
        <w:pStyle w:val="aa"/>
        <w:rPr>
          <w:rFonts w:ascii="David" w:hAnsi="David" w:cs="David"/>
          <w:sz w:val="24"/>
          <w:szCs w:val="24"/>
        </w:rPr>
      </w:pPr>
    </w:p>
    <w:p w14:paraId="0A8BE365" w14:textId="77777777" w:rsidR="001D285B" w:rsidRDefault="001D285B" w:rsidP="001D285B">
      <w:pPr>
        <w:pStyle w:val="aa"/>
        <w:numPr>
          <w:ilvl w:val="0"/>
          <w:numId w:val="1"/>
        </w:numPr>
        <w:spacing w:line="360" w:lineRule="auto"/>
        <w:jc w:val="both"/>
        <w:rPr>
          <w:rFonts w:ascii="David" w:hAnsi="David" w:cs="David"/>
          <w:sz w:val="24"/>
          <w:szCs w:val="24"/>
          <w:rtl/>
        </w:rPr>
      </w:pPr>
      <w:r>
        <w:rPr>
          <w:rFonts w:ascii="David" w:hAnsi="David" w:cs="David"/>
          <w:sz w:val="24"/>
          <w:szCs w:val="24"/>
          <w:rtl/>
        </w:rPr>
        <w:t>הנאשם</w:t>
      </w:r>
      <w:r>
        <w:rPr>
          <w:rFonts w:ascii="David" w:hAnsi="David" w:cs="David"/>
          <w:b/>
          <w:bCs/>
          <w:sz w:val="24"/>
          <w:szCs w:val="24"/>
          <w:rtl/>
        </w:rPr>
        <w:t xml:space="preserve"> </w:t>
      </w:r>
      <w:r>
        <w:rPr>
          <w:rFonts w:ascii="David" w:hAnsi="David" w:cs="David"/>
          <w:sz w:val="24"/>
          <w:szCs w:val="24"/>
          <w:rtl/>
        </w:rPr>
        <w:t>מסר כי עבד בביטחון של היישוב וכי לא ידע כי התחמושת נמצאת אצלו בבית.</w:t>
      </w:r>
    </w:p>
    <w:p w14:paraId="339F3FAE" w14:textId="77777777" w:rsidR="001D285B" w:rsidRDefault="001D285B" w:rsidP="001D285B">
      <w:pPr>
        <w:pStyle w:val="aa"/>
        <w:rPr>
          <w:rFonts w:ascii="David" w:hAnsi="David" w:cs="David"/>
          <w:sz w:val="24"/>
          <w:szCs w:val="24"/>
        </w:rPr>
      </w:pPr>
    </w:p>
    <w:p w14:paraId="7F5AD391" w14:textId="77777777" w:rsidR="001D285B" w:rsidRDefault="001D285B" w:rsidP="001D285B">
      <w:pPr>
        <w:spacing w:line="360" w:lineRule="auto"/>
        <w:jc w:val="both"/>
        <w:rPr>
          <w:rFonts w:ascii="David" w:hAnsi="David"/>
          <w:b/>
          <w:bCs/>
          <w:sz w:val="26"/>
          <w:szCs w:val="26"/>
          <w:rtl/>
        </w:rPr>
      </w:pPr>
      <w:r>
        <w:rPr>
          <w:rFonts w:ascii="David" w:hAnsi="David"/>
          <w:b/>
          <w:bCs/>
          <w:sz w:val="26"/>
          <w:szCs w:val="26"/>
          <w:rtl/>
        </w:rPr>
        <w:t>קביעת מתחם העונש ההולם</w:t>
      </w:r>
    </w:p>
    <w:p w14:paraId="5A736E51" w14:textId="77777777" w:rsidR="001D285B" w:rsidRDefault="001D285B" w:rsidP="001D285B">
      <w:pPr>
        <w:pStyle w:val="aa"/>
        <w:numPr>
          <w:ilvl w:val="0"/>
          <w:numId w:val="1"/>
        </w:numPr>
        <w:spacing w:line="360" w:lineRule="auto"/>
        <w:jc w:val="both"/>
        <w:rPr>
          <w:rFonts w:ascii="David" w:eastAsia="Times New Roman" w:hAnsi="David" w:cs="David"/>
          <w:b/>
          <w:bCs/>
          <w:sz w:val="24"/>
          <w:szCs w:val="24"/>
          <w:u w:val="single"/>
          <w:rtl/>
        </w:rPr>
      </w:pPr>
      <w:r>
        <w:rPr>
          <w:rFonts w:ascii="David" w:eastAsia="Times New Roman" w:hAnsi="David" w:cs="David"/>
          <w:sz w:val="24"/>
          <w:szCs w:val="24"/>
          <w:rtl/>
        </w:rPr>
        <w:t>בקביעת מתחם העונש על בית המשפט להתחשב בערכים המוגנים, במידת הפגיעה בהם, בענישה הנוהגת ובנסיבות הקשורות בביצוע העבירה.</w:t>
      </w:r>
    </w:p>
    <w:p w14:paraId="195BF105" w14:textId="77777777" w:rsidR="001D285B" w:rsidRDefault="001D285B" w:rsidP="001D285B">
      <w:pPr>
        <w:spacing w:line="360" w:lineRule="auto"/>
        <w:ind w:firstLine="360"/>
        <w:jc w:val="both"/>
        <w:rPr>
          <w:rFonts w:ascii="David" w:hAnsi="David"/>
          <w:u w:val="single"/>
          <w:rtl/>
        </w:rPr>
      </w:pPr>
      <w:r>
        <w:rPr>
          <w:rFonts w:ascii="David" w:hAnsi="David"/>
          <w:u w:val="single"/>
          <w:rtl/>
        </w:rPr>
        <w:t>הערכים המוגנים</w:t>
      </w:r>
    </w:p>
    <w:p w14:paraId="773A0D40" w14:textId="77777777" w:rsidR="001D285B" w:rsidRDefault="001D285B" w:rsidP="001D285B">
      <w:pPr>
        <w:spacing w:line="360" w:lineRule="atLeast"/>
        <w:ind w:left="720"/>
        <w:jc w:val="both"/>
        <w:rPr>
          <w:rFonts w:ascii="David" w:hAnsi="David"/>
          <w:rtl/>
        </w:rPr>
      </w:pPr>
      <w:r>
        <w:rPr>
          <w:rtl/>
        </w:rPr>
        <w:t xml:space="preserve">הערכים המוגנים שנפגעו בשל מעשי הנאשם בהחזקת תחמושת שלא כדין, הם שמירה על </w:t>
      </w:r>
      <w:r>
        <w:rPr>
          <w:rFonts w:ascii="David" w:hAnsi="David"/>
          <w:rtl/>
        </w:rPr>
        <w:t>בטחון הציבור ושלמות גופו. בהקשר זה אפנה ל</w:t>
      </w:r>
      <w:hyperlink r:id="rId12" w:history="1">
        <w:r w:rsidR="00E6216C" w:rsidRPr="00E6216C">
          <w:rPr>
            <w:rFonts w:ascii="David" w:hAnsi="David"/>
            <w:color w:val="0000FF"/>
            <w:u w:val="single"/>
            <w:rtl/>
          </w:rPr>
          <w:t>ע"פ 761/07</w:t>
        </w:r>
      </w:hyperlink>
      <w:r w:rsidR="00E6216C">
        <w:rPr>
          <w:rFonts w:ascii="David" w:hAnsi="David"/>
          <w:rtl/>
        </w:rPr>
        <w:t xml:space="preserve"> </w:t>
      </w:r>
      <w:r>
        <w:rPr>
          <w:rFonts w:ascii="David" w:hAnsi="David"/>
          <w:b/>
          <w:bCs/>
          <w:rtl/>
        </w:rPr>
        <w:t>מדינת ישראל נ' אדרי</w:t>
      </w:r>
      <w:r>
        <w:rPr>
          <w:rFonts w:ascii="David" w:hAnsi="David"/>
          <w:rtl/>
        </w:rPr>
        <w:t>, תק-על 2007(1), 3416:</w:t>
      </w:r>
    </w:p>
    <w:p w14:paraId="091B588C" w14:textId="77777777" w:rsidR="001D285B" w:rsidRDefault="001D285B" w:rsidP="001D285B">
      <w:pPr>
        <w:spacing w:line="360" w:lineRule="atLeast"/>
        <w:ind w:left="1417" w:right="993"/>
        <w:jc w:val="both"/>
        <w:rPr>
          <w:rFonts w:ascii="David" w:hAnsi="David"/>
        </w:rPr>
      </w:pPr>
      <w:r>
        <w:rPr>
          <w:rFonts w:ascii="David" w:hAnsi="David"/>
          <w:b/>
          <w:bCs/>
          <w:rtl/>
        </w:rPr>
        <w:t>"ניסיון השנים האחרונות מלמד שנשק המוחזק שלא כדין מוצא את דרכו לעיתים לידיים עויינות ולעיתים נעשה בו שימוש למטרות פליליות, ואלה גרמו לא אחת לאובדן חיי אדם ולפגיעה בחפים מפשע שכל "חטאם" נבע מכך שהם נקלעו בדרך מקרה לזירת הפשע...."</w:t>
      </w:r>
    </w:p>
    <w:p w14:paraId="7920B5EB" w14:textId="77777777" w:rsidR="001D285B" w:rsidRDefault="001D285B" w:rsidP="001D285B">
      <w:pPr>
        <w:pStyle w:val="aa"/>
        <w:spacing w:after="0" w:line="360" w:lineRule="auto"/>
        <w:ind w:left="502"/>
        <w:jc w:val="both"/>
        <w:rPr>
          <w:rFonts w:ascii="David" w:eastAsia="Times New Roman" w:hAnsi="David" w:cs="David"/>
          <w:b/>
          <w:bCs/>
          <w:sz w:val="32"/>
          <w:szCs w:val="32"/>
          <w:rtl/>
        </w:rPr>
      </w:pPr>
    </w:p>
    <w:p w14:paraId="76EFE803" w14:textId="77777777" w:rsidR="001D285B" w:rsidRDefault="001D285B" w:rsidP="001D285B">
      <w:pPr>
        <w:spacing w:line="360" w:lineRule="auto"/>
        <w:ind w:left="142"/>
        <w:jc w:val="both"/>
        <w:rPr>
          <w:rFonts w:ascii="David" w:eastAsia="Calibri" w:hAnsi="David"/>
          <w:b/>
          <w:bCs/>
        </w:rPr>
      </w:pPr>
      <w:r>
        <w:rPr>
          <w:rFonts w:ascii="David" w:hAnsi="David"/>
          <w:b/>
          <w:bCs/>
          <w:u w:val="single"/>
          <w:rtl/>
        </w:rPr>
        <w:t>מדיניות הענישה הנוהגת:</w:t>
      </w:r>
    </w:p>
    <w:p w14:paraId="6CA4ADCD" w14:textId="77777777" w:rsidR="001D285B" w:rsidRDefault="001D285B" w:rsidP="001D285B">
      <w:pPr>
        <w:pStyle w:val="aa"/>
        <w:numPr>
          <w:ilvl w:val="0"/>
          <w:numId w:val="1"/>
        </w:numPr>
        <w:spacing w:after="0" w:line="360" w:lineRule="auto"/>
        <w:jc w:val="both"/>
        <w:rPr>
          <w:rFonts w:ascii="David" w:eastAsia="Times New Roman" w:hAnsi="David" w:cs="David"/>
          <w:sz w:val="24"/>
          <w:szCs w:val="24"/>
          <w:rtl/>
        </w:rPr>
      </w:pPr>
      <w:r>
        <w:rPr>
          <w:rFonts w:ascii="David" w:hAnsi="David" w:cs="David"/>
          <w:sz w:val="24"/>
          <w:szCs w:val="24"/>
          <w:rtl/>
        </w:rPr>
        <w:t xml:space="preserve">נקודת המוצא בקביעת העונש הראוי למעשיי הנאשם היא העונש שקבע המחוקק בעבירת החזקת תחמושת הוא שלוש שנות מאסר. </w:t>
      </w:r>
    </w:p>
    <w:p w14:paraId="04AC9547" w14:textId="77777777" w:rsidR="001D285B" w:rsidRDefault="001D285B" w:rsidP="001D285B">
      <w:pPr>
        <w:rPr>
          <w:rFonts w:ascii="David" w:hAnsi="David"/>
        </w:rPr>
      </w:pPr>
    </w:p>
    <w:p w14:paraId="6BE76562" w14:textId="77777777" w:rsidR="001D285B" w:rsidRDefault="001D285B" w:rsidP="001D285B">
      <w:pPr>
        <w:pStyle w:val="aa"/>
        <w:numPr>
          <w:ilvl w:val="0"/>
          <w:numId w:val="1"/>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מדיניות הענישה הנהוגה בעבירות אלה מלמדת כי מתחמי הענישה נעים בין מאסר מותנה למספר חודשי מאסר בפועל. ראה למשל את </w:t>
      </w:r>
      <w:hyperlink r:id="rId13" w:history="1">
        <w:r w:rsidR="00E6216C" w:rsidRPr="00E6216C">
          <w:rPr>
            <w:rFonts w:ascii="David" w:eastAsia="Times New Roman" w:hAnsi="David" w:cs="David"/>
            <w:color w:val="0000FF"/>
            <w:sz w:val="24"/>
            <w:szCs w:val="24"/>
            <w:u w:val="single"/>
            <w:rtl/>
          </w:rPr>
          <w:t>עפ"ג 9036-02-23</w:t>
        </w:r>
      </w:hyperlink>
      <w:r>
        <w:rPr>
          <w:rFonts w:ascii="David" w:eastAsia="Times New Roman" w:hAnsi="David" w:cs="David"/>
          <w:sz w:val="24"/>
          <w:szCs w:val="24"/>
          <w:rtl/>
        </w:rPr>
        <w:t xml:space="preserve"> </w:t>
      </w:r>
      <w:r>
        <w:rPr>
          <w:rFonts w:ascii="David" w:eastAsia="Times New Roman" w:hAnsi="David" w:cs="David"/>
          <w:b/>
          <w:bCs/>
          <w:sz w:val="24"/>
          <w:szCs w:val="24"/>
          <w:rtl/>
        </w:rPr>
        <w:t>אסולין נ' מדינת ישראל</w:t>
      </w:r>
      <w:r>
        <w:rPr>
          <w:rFonts w:ascii="David" w:eastAsia="Times New Roman" w:hAnsi="David" w:cs="David"/>
          <w:sz w:val="24"/>
          <w:szCs w:val="24"/>
          <w:rtl/>
        </w:rPr>
        <w:t xml:space="preserve"> [פורסם בנבו] (15.3.23) אליו הפנה ב"כ הנאשם, שם התקבל ערעור הנאשם על חומרת עונשו </w:t>
      </w:r>
      <w:r>
        <w:rPr>
          <w:rFonts w:ascii="David" w:eastAsia="Times New Roman" w:hAnsi="David" w:cs="David"/>
          <w:sz w:val="24"/>
          <w:szCs w:val="24"/>
          <w:rtl/>
        </w:rPr>
        <w:lastRenderedPageBreak/>
        <w:t>והוטל עליו מאסר על תנאי, תחת עונש של 3 חודשי מאסר בעבודות שירות. דובר בנאשם שהורשע בעבירה של החזקת תחמושת שכללה 4 קופסאות שכל אחת מהן הכילה 30 כדורי 5.56 מ"מ, המתאימים לרובה סער.</w:t>
      </w:r>
    </w:p>
    <w:p w14:paraId="27296155" w14:textId="77777777" w:rsidR="001D285B" w:rsidRDefault="001D285B" w:rsidP="001D285B">
      <w:pPr>
        <w:pStyle w:val="aa"/>
        <w:rPr>
          <w:rFonts w:ascii="David" w:eastAsia="Times New Roman" w:hAnsi="David" w:cs="David"/>
          <w:sz w:val="24"/>
          <w:szCs w:val="24"/>
        </w:rPr>
      </w:pPr>
    </w:p>
    <w:p w14:paraId="7987AFC0" w14:textId="77777777" w:rsidR="001D285B" w:rsidRDefault="001D285B" w:rsidP="001D285B">
      <w:pPr>
        <w:pStyle w:val="aa"/>
        <w:spacing w:after="0" w:line="360" w:lineRule="auto"/>
        <w:ind w:left="502"/>
        <w:jc w:val="both"/>
        <w:rPr>
          <w:rFonts w:ascii="David" w:eastAsia="Times New Roman" w:hAnsi="David" w:cs="David"/>
          <w:sz w:val="24"/>
          <w:szCs w:val="24"/>
          <w:rtl/>
        </w:rPr>
      </w:pPr>
      <w:r>
        <w:rPr>
          <w:rFonts w:ascii="David" w:eastAsia="Times New Roman" w:hAnsi="David" w:cs="David"/>
          <w:sz w:val="24"/>
          <w:szCs w:val="24"/>
          <w:rtl/>
        </w:rPr>
        <w:t>ב</w:t>
      </w:r>
      <w:hyperlink r:id="rId14" w:history="1">
        <w:r w:rsidR="00E6216C" w:rsidRPr="00E6216C">
          <w:rPr>
            <w:rFonts w:ascii="David" w:eastAsia="Times New Roman" w:hAnsi="David" w:cs="David"/>
            <w:color w:val="0000FF"/>
            <w:sz w:val="24"/>
            <w:szCs w:val="24"/>
            <w:u w:val="single"/>
            <w:rtl/>
          </w:rPr>
          <w:t>עפ"ג 20834-04-17</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ורנר</w:t>
      </w:r>
      <w:r>
        <w:rPr>
          <w:rFonts w:ascii="David" w:eastAsia="Times New Roman" w:hAnsi="David" w:cs="David"/>
          <w:sz w:val="24"/>
          <w:szCs w:val="24"/>
          <w:rtl/>
        </w:rPr>
        <w:t xml:space="preserve"> (לא פורסם) התקבל ערעור המאשימה לעניין ביטול ההרשעה, ובית המשפט המחוזי הרשיע את הנאשם בעבירה של החזקת תחמושת שכללה 360 קליעים בקוטר 5.56 ו-10 מחסניות </w:t>
      </w:r>
      <w:r>
        <w:rPr>
          <w:rFonts w:ascii="David" w:eastAsia="Times New Roman" w:hAnsi="David" w:cs="David"/>
          <w:sz w:val="24"/>
          <w:szCs w:val="24"/>
        </w:rPr>
        <w:t>M</w:t>
      </w:r>
      <w:r>
        <w:rPr>
          <w:rFonts w:ascii="David" w:eastAsia="Times New Roman" w:hAnsi="David" w:cs="David"/>
          <w:sz w:val="24"/>
          <w:szCs w:val="24"/>
          <w:rtl/>
        </w:rPr>
        <w:t xml:space="preserve">-16 צבאיות. בנוסף לצו השל"צ שהוטל עליו בבית משפט השלום, הושתו על הנאשם 3 חודשי מאסר על תנאי. </w:t>
      </w:r>
    </w:p>
    <w:p w14:paraId="656E4997" w14:textId="77777777" w:rsidR="001D285B" w:rsidRDefault="001D285B" w:rsidP="001D285B">
      <w:pPr>
        <w:pStyle w:val="aa"/>
        <w:spacing w:after="0" w:line="360" w:lineRule="auto"/>
        <w:ind w:left="502"/>
        <w:jc w:val="both"/>
        <w:rPr>
          <w:rFonts w:ascii="David" w:eastAsia="Times New Roman" w:hAnsi="David" w:cs="David"/>
          <w:sz w:val="24"/>
          <w:szCs w:val="24"/>
          <w:rtl/>
        </w:rPr>
      </w:pPr>
    </w:p>
    <w:p w14:paraId="530A14F9" w14:textId="77777777" w:rsidR="001D285B" w:rsidRDefault="001D285B" w:rsidP="001D285B">
      <w:pPr>
        <w:pStyle w:val="aa"/>
        <w:spacing w:after="0" w:line="360" w:lineRule="auto"/>
        <w:ind w:left="502"/>
        <w:jc w:val="both"/>
        <w:rPr>
          <w:rFonts w:ascii="David" w:eastAsia="Times New Roman" w:hAnsi="David" w:cs="David"/>
          <w:sz w:val="24"/>
          <w:szCs w:val="24"/>
          <w:rtl/>
        </w:rPr>
      </w:pPr>
      <w:r>
        <w:rPr>
          <w:rFonts w:ascii="David" w:eastAsia="Times New Roman" w:hAnsi="David" w:cs="David"/>
          <w:sz w:val="24"/>
          <w:szCs w:val="24"/>
          <w:rtl/>
        </w:rPr>
        <w:t>ב</w:t>
      </w:r>
      <w:hyperlink r:id="rId15" w:history="1">
        <w:r w:rsidR="00E6216C" w:rsidRPr="00E6216C">
          <w:rPr>
            <w:rFonts w:ascii="David" w:eastAsia="Times New Roman" w:hAnsi="David" w:cs="David"/>
            <w:color w:val="0000FF"/>
            <w:sz w:val="24"/>
            <w:szCs w:val="24"/>
            <w:u w:val="single"/>
            <w:rtl/>
          </w:rPr>
          <w:t>עפ"ג 20599-04-17</w:t>
        </w:r>
      </w:hyperlink>
      <w:r>
        <w:rPr>
          <w:rFonts w:ascii="David" w:eastAsia="Times New Roman" w:hAnsi="David" w:cs="David"/>
          <w:sz w:val="24"/>
          <w:szCs w:val="24"/>
          <w:rtl/>
        </w:rPr>
        <w:t xml:space="preserve"> </w:t>
      </w:r>
      <w:r>
        <w:rPr>
          <w:rFonts w:ascii="David" w:eastAsia="Times New Roman" w:hAnsi="David" w:cs="David"/>
          <w:b/>
          <w:bCs/>
          <w:sz w:val="24"/>
          <w:szCs w:val="24"/>
          <w:rtl/>
        </w:rPr>
        <w:t>מירילשוילי</w:t>
      </w:r>
      <w:r>
        <w:rPr>
          <w:rFonts w:ascii="David" w:eastAsia="Times New Roman" w:hAnsi="David" w:cs="David"/>
          <w:sz w:val="24"/>
          <w:szCs w:val="24"/>
          <w:rtl/>
        </w:rPr>
        <w:t xml:space="preserve"> </w:t>
      </w:r>
      <w:r>
        <w:rPr>
          <w:rFonts w:ascii="David" w:eastAsia="Times New Roman" w:hAnsi="David" w:cs="David"/>
          <w:b/>
          <w:bCs/>
          <w:sz w:val="24"/>
          <w:szCs w:val="24"/>
          <w:rtl/>
        </w:rPr>
        <w:t>נ'</w:t>
      </w:r>
      <w:r>
        <w:rPr>
          <w:rFonts w:ascii="David" w:eastAsia="Times New Roman" w:hAnsi="David" w:cs="David"/>
          <w:sz w:val="24"/>
          <w:szCs w:val="24"/>
          <w:rtl/>
        </w:rPr>
        <w:t xml:space="preserve"> </w:t>
      </w:r>
      <w:r>
        <w:rPr>
          <w:rFonts w:ascii="David" w:eastAsia="Times New Roman" w:hAnsi="David" w:cs="David"/>
          <w:b/>
          <w:bCs/>
          <w:sz w:val="24"/>
          <w:szCs w:val="24"/>
          <w:rtl/>
        </w:rPr>
        <w:t>מדינת</w:t>
      </w:r>
      <w:r>
        <w:rPr>
          <w:rFonts w:ascii="David" w:eastAsia="Times New Roman" w:hAnsi="David" w:cs="David"/>
          <w:sz w:val="24"/>
          <w:szCs w:val="24"/>
          <w:rtl/>
        </w:rPr>
        <w:t xml:space="preserve"> </w:t>
      </w:r>
      <w:r>
        <w:rPr>
          <w:rFonts w:ascii="David" w:eastAsia="Times New Roman" w:hAnsi="David" w:cs="David"/>
          <w:b/>
          <w:bCs/>
          <w:sz w:val="24"/>
          <w:szCs w:val="24"/>
          <w:rtl/>
        </w:rPr>
        <w:t>ישראל</w:t>
      </w:r>
      <w:r>
        <w:rPr>
          <w:rFonts w:ascii="David" w:eastAsia="Times New Roman" w:hAnsi="David" w:cs="David"/>
          <w:sz w:val="24"/>
          <w:szCs w:val="24"/>
          <w:rtl/>
        </w:rPr>
        <w:t xml:space="preserve"> [פורסם בנבו] (27.9.17) בית המשפט המחוזי הותיר על כנו את פסק הדין המרשיע נאשם בעבירת החזקת תחמושת מסוג רימון הלם, ובעבירת החזקת סם לשימוש עצמי מסוג חשיש במשקל 0.73 גרם והטיל עליו מאסר על תנאי ועונשים צופי עתיד נוספים.</w:t>
      </w:r>
    </w:p>
    <w:p w14:paraId="44D37C9B" w14:textId="77777777" w:rsidR="001D285B" w:rsidRDefault="001D285B" w:rsidP="001D285B">
      <w:pPr>
        <w:pStyle w:val="aa"/>
        <w:spacing w:after="0" w:line="360" w:lineRule="auto"/>
        <w:ind w:left="502"/>
        <w:jc w:val="both"/>
        <w:rPr>
          <w:rFonts w:ascii="David" w:eastAsia="Times New Roman" w:hAnsi="David" w:cs="David"/>
          <w:sz w:val="24"/>
          <w:szCs w:val="24"/>
          <w:rtl/>
        </w:rPr>
      </w:pPr>
    </w:p>
    <w:p w14:paraId="00603296" w14:textId="77777777" w:rsidR="001D285B" w:rsidRDefault="001D285B" w:rsidP="001D285B">
      <w:pPr>
        <w:pStyle w:val="aa"/>
        <w:spacing w:after="0" w:line="360" w:lineRule="auto"/>
        <w:ind w:left="502"/>
        <w:jc w:val="both"/>
        <w:rPr>
          <w:rFonts w:ascii="David" w:eastAsia="Times New Roman" w:hAnsi="David" w:cs="David"/>
          <w:sz w:val="24"/>
          <w:szCs w:val="24"/>
          <w:rtl/>
        </w:rPr>
      </w:pPr>
      <w:r>
        <w:rPr>
          <w:rFonts w:ascii="David" w:eastAsia="Times New Roman" w:hAnsi="David" w:cs="David"/>
          <w:sz w:val="24"/>
          <w:szCs w:val="24"/>
          <w:rtl/>
        </w:rPr>
        <w:t xml:space="preserve">בת"פ 6740-12-21 </w:t>
      </w:r>
      <w:r>
        <w:rPr>
          <w:rFonts w:ascii="David" w:eastAsia="Times New Roman" w:hAnsi="David" w:cs="David"/>
          <w:b/>
          <w:bCs/>
          <w:sz w:val="24"/>
          <w:szCs w:val="24"/>
          <w:rtl/>
        </w:rPr>
        <w:t>מדינת ישראל נ' אמארה</w:t>
      </w:r>
      <w:r>
        <w:rPr>
          <w:rFonts w:ascii="David" w:eastAsia="Times New Roman" w:hAnsi="David" w:cs="David"/>
          <w:sz w:val="24"/>
          <w:szCs w:val="24"/>
          <w:rtl/>
        </w:rPr>
        <w:t xml:space="preserve"> (לא פורסם) אליו הפנתה ב"כ המאשימה, הורשע הנאשם בנשיאת תחמושת והפרעה לשוטר במילוי תפקידו בכך שהחזיק ברכבו שקית ובה 19 קופסאות שהכילו 960 קליעים בקוטר של 9 מ"מ. משהבחין בשוטרים במהלך נסיעתו, יצא מהמכונית במהירות ובמהלך בריחתו השליך את השקית. מתחם העונש נקבע בין 8-20 חודשי מאסר בפועל ועונשו נגזר ל-12 חודשי מאסר בפועל. יוער כי נסיבות המקרה שם חמורות מעניינו, בשים לב לכמות התחמושת, נסיבות החזקתה ברכב בתוך שקית מחולק לקופסאות, בריחת הנאשם מהשוטרים והשלכת השקית במהלך הבריחה, באופן שיכול ללמד על נסיבות פליליות. יצוין כי ערעור שהגיש הנאשם על חומרת עונשו נמחק בהסכמת הנאשם.</w:t>
      </w:r>
    </w:p>
    <w:p w14:paraId="058143AB" w14:textId="77777777" w:rsidR="001D285B" w:rsidRDefault="001D285B" w:rsidP="001D285B">
      <w:pPr>
        <w:spacing w:line="360" w:lineRule="auto"/>
        <w:jc w:val="both"/>
        <w:rPr>
          <w:rFonts w:ascii="David" w:hAnsi="David"/>
          <w:rtl/>
        </w:rPr>
      </w:pPr>
    </w:p>
    <w:p w14:paraId="4B0D99D0" w14:textId="77777777" w:rsidR="001D285B" w:rsidRDefault="001D285B" w:rsidP="001D285B">
      <w:pPr>
        <w:pStyle w:val="aa"/>
        <w:spacing w:after="0" w:line="360" w:lineRule="auto"/>
        <w:ind w:left="502"/>
        <w:jc w:val="both"/>
        <w:rPr>
          <w:rFonts w:ascii="David" w:eastAsia="Times New Roman" w:hAnsi="David" w:cs="David"/>
          <w:sz w:val="24"/>
          <w:szCs w:val="24"/>
          <w:rtl/>
        </w:rPr>
      </w:pPr>
      <w:r>
        <w:rPr>
          <w:rFonts w:ascii="David" w:eastAsia="Times New Roman" w:hAnsi="David" w:cs="David"/>
          <w:sz w:val="24"/>
          <w:szCs w:val="24"/>
          <w:rtl/>
        </w:rPr>
        <w:t>ב</w:t>
      </w:r>
      <w:hyperlink r:id="rId16" w:history="1">
        <w:r w:rsidR="00E6216C" w:rsidRPr="00E6216C">
          <w:rPr>
            <w:rFonts w:ascii="David" w:eastAsia="Times New Roman" w:hAnsi="David" w:cs="David"/>
            <w:color w:val="0000FF"/>
            <w:sz w:val="24"/>
            <w:szCs w:val="24"/>
            <w:u w:val="single"/>
            <w:rtl/>
          </w:rPr>
          <w:t>ת"פ 26182-10-14</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אבו חנין ואח'</w:t>
      </w:r>
      <w:r>
        <w:rPr>
          <w:rFonts w:ascii="David" w:eastAsia="Times New Roman" w:hAnsi="David" w:cs="David"/>
          <w:sz w:val="24"/>
          <w:szCs w:val="24"/>
          <w:rtl/>
        </w:rPr>
        <w:t xml:space="preserve"> [פורסם בנבו] (9.2.16) הורשעו שני נאשמים בעבירות של החזקת תחמושת בכך שהחזיקו מאות כדורים מסוגים שונים ועשרות מחסניות. מתחם העונש נקבע בין מאסר על תנאי ועד 8 חודשי מאסר בפועל ועונשם של הנאשמים נגזר ל-12 חודשי מאסר על תנאי וקנס על סך 5,000 ₪. </w:t>
      </w:r>
    </w:p>
    <w:p w14:paraId="63D2AC98" w14:textId="77777777" w:rsidR="001D285B" w:rsidRDefault="001D285B" w:rsidP="001D285B">
      <w:pPr>
        <w:pStyle w:val="aa"/>
        <w:spacing w:after="0" w:line="360" w:lineRule="auto"/>
        <w:ind w:left="502"/>
        <w:jc w:val="both"/>
        <w:rPr>
          <w:rFonts w:ascii="David" w:eastAsia="Times New Roman" w:hAnsi="David" w:cs="David"/>
          <w:sz w:val="24"/>
          <w:szCs w:val="24"/>
          <w:rtl/>
        </w:rPr>
      </w:pPr>
    </w:p>
    <w:p w14:paraId="243429B9" w14:textId="77777777" w:rsidR="001D285B" w:rsidRDefault="001D285B" w:rsidP="001D285B">
      <w:pPr>
        <w:pStyle w:val="aa"/>
        <w:spacing w:after="0" w:line="360" w:lineRule="auto"/>
        <w:ind w:left="502"/>
        <w:jc w:val="both"/>
        <w:rPr>
          <w:rFonts w:ascii="David" w:eastAsia="Times New Roman" w:hAnsi="David" w:cs="David"/>
          <w:sz w:val="24"/>
          <w:szCs w:val="24"/>
          <w:rtl/>
        </w:rPr>
      </w:pPr>
      <w:r>
        <w:rPr>
          <w:rFonts w:ascii="David" w:eastAsia="Times New Roman" w:hAnsi="David" w:cs="David"/>
          <w:sz w:val="24"/>
          <w:szCs w:val="24"/>
          <w:rtl/>
        </w:rPr>
        <w:t>ב</w:t>
      </w:r>
      <w:hyperlink r:id="rId17" w:history="1">
        <w:r w:rsidR="00E6216C" w:rsidRPr="00E6216C">
          <w:rPr>
            <w:rFonts w:ascii="David" w:eastAsia="Times New Roman" w:hAnsi="David" w:cs="David"/>
            <w:color w:val="0000FF"/>
            <w:sz w:val="24"/>
            <w:szCs w:val="24"/>
            <w:u w:val="single"/>
            <w:rtl/>
          </w:rPr>
          <w:t>ת"פ 53603-11-13</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אבו כשכ</w:t>
      </w:r>
      <w:r>
        <w:rPr>
          <w:rFonts w:ascii="David" w:eastAsia="Times New Roman" w:hAnsi="David" w:cs="David"/>
          <w:sz w:val="24"/>
          <w:szCs w:val="24"/>
          <w:rtl/>
        </w:rPr>
        <w:t xml:space="preserve"> [פורסם בנבו] (31.5.15) הורשע הנאשם בהחזקת תחמושת ובהחזקת נכס החשוד כגנוב בכך שהחזיק 53 כדורי 9 מ"מ לאקדח בתוך גרב ואופניים השייכות לעיריית תל אביב. מתחם הענישה נקבע בין מאסר על תנאי ועד 6 חודשי מאסר בפועל ועונשו של הנאשם נגזר ל-6 חודשי מאסר על תנאי</w:t>
      </w:r>
    </w:p>
    <w:p w14:paraId="00316445" w14:textId="77777777" w:rsidR="001D285B" w:rsidRPr="001D285B" w:rsidRDefault="001D285B" w:rsidP="001D285B">
      <w:pPr>
        <w:spacing w:line="360" w:lineRule="auto"/>
        <w:jc w:val="both"/>
        <w:rPr>
          <w:rFonts w:ascii="David" w:eastAsia="Calibri" w:hAnsi="David"/>
          <w:b/>
          <w:bCs/>
          <w:u w:val="single"/>
          <w:rtl/>
        </w:rPr>
      </w:pPr>
    </w:p>
    <w:p w14:paraId="01E0582D" w14:textId="77777777" w:rsidR="001D285B" w:rsidRDefault="001D285B" w:rsidP="001D285B">
      <w:pPr>
        <w:spacing w:line="360" w:lineRule="auto"/>
        <w:ind w:left="142"/>
        <w:jc w:val="both"/>
        <w:rPr>
          <w:rFonts w:ascii="David" w:hAnsi="David"/>
          <w:b/>
          <w:bCs/>
          <w:u w:val="single"/>
          <w:rtl/>
        </w:rPr>
      </w:pPr>
      <w:r>
        <w:rPr>
          <w:rFonts w:ascii="David" w:hAnsi="David"/>
          <w:b/>
          <w:bCs/>
          <w:u w:val="single"/>
          <w:rtl/>
        </w:rPr>
        <w:t>נסיבות ביצוע העבירה</w:t>
      </w:r>
    </w:p>
    <w:p w14:paraId="16A3772A" w14:textId="77777777" w:rsidR="001D285B" w:rsidRDefault="001D285B" w:rsidP="001D285B">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בבחינת הנסיבות הקשורות בביצוע העבירה נתתי דעתי לכמות התחמושת שנמצאה שאינה מבוטלת, מדובר ב-235 כדורים, משני סוגים שונים ומחולקים לשמונה קופסאות. עם זאת, נתתי דעתי לנסיבות מציאת הנשק אגב חיפוש אחר והסברו של הנאשם לנסיבות החזקת התחמושת שלדבריו נותרה מאז ששימש כחבר בכיתת כוננות. אעיר כי מדובר בטענה סבירה שמתיישבת עם כך שנאשם אכן שעסק בעבר בביטחון היישוב, ובשים לב לטענת ב"כ הנאשם כי לא הוכחה כוונה פלילית או מעורבות עבריינית מעבר להחזקה עצמה. עוד נתתי דעתי לכך שהתחמושת נמצאה בארון ליד חדרו של הנאשם ולא נעשה בה שימוש ואף לא נמצא כלי נשק בסמוך שיכול להעיד על כוונה לשימוש בתחמושת. הדברים מקבלים משנה תוקף בשים לב לכך שטענותיו של הנאשם לא נבדקו על ידי היחידה החוקרת. </w:t>
      </w:r>
    </w:p>
    <w:p w14:paraId="181F4CAE" w14:textId="77777777" w:rsidR="001D285B" w:rsidRDefault="001D285B" w:rsidP="001D285B">
      <w:pPr>
        <w:pStyle w:val="aa"/>
        <w:spacing w:line="360" w:lineRule="auto"/>
        <w:ind w:left="502"/>
        <w:jc w:val="both"/>
        <w:rPr>
          <w:rFonts w:ascii="David" w:hAnsi="David" w:cs="David"/>
          <w:sz w:val="24"/>
          <w:szCs w:val="24"/>
        </w:rPr>
      </w:pPr>
    </w:p>
    <w:p w14:paraId="03CD7F47" w14:textId="77777777" w:rsidR="001D285B" w:rsidRDefault="001D285B" w:rsidP="001D285B">
      <w:pPr>
        <w:pStyle w:val="aa"/>
        <w:spacing w:line="360" w:lineRule="auto"/>
        <w:ind w:left="502"/>
        <w:jc w:val="both"/>
        <w:rPr>
          <w:rFonts w:ascii="David" w:hAnsi="David" w:cs="David"/>
          <w:sz w:val="24"/>
          <w:szCs w:val="24"/>
        </w:rPr>
      </w:pPr>
      <w:r>
        <w:rPr>
          <w:rFonts w:ascii="David" w:hAnsi="David" w:cs="David"/>
          <w:sz w:val="24"/>
          <w:szCs w:val="24"/>
          <w:rtl/>
        </w:rPr>
        <w:t xml:space="preserve">עוד נתתי דעתי לכך שלא נגרם נזק ממעשי הנאשם, אך יש לזכור כי מידת הנזק אינה נמדדת רק אל מול מבחן התוצאה, אלא אף אל מול פוטנציאל הנזק הטמון בעבירות נשק. </w:t>
      </w:r>
    </w:p>
    <w:p w14:paraId="7D986A45" w14:textId="77777777" w:rsidR="001D285B" w:rsidRDefault="001D285B" w:rsidP="001D285B">
      <w:pPr>
        <w:pStyle w:val="aa"/>
        <w:spacing w:line="360" w:lineRule="auto"/>
        <w:ind w:left="502"/>
        <w:jc w:val="both"/>
        <w:rPr>
          <w:rFonts w:ascii="David" w:hAnsi="David" w:cs="David"/>
          <w:sz w:val="24"/>
          <w:szCs w:val="24"/>
        </w:rPr>
      </w:pPr>
    </w:p>
    <w:p w14:paraId="5B31C659" w14:textId="77777777" w:rsidR="001D285B" w:rsidRDefault="001D285B" w:rsidP="001D285B">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נוכח האמור סבורני כי מידת הפגיעה בערכים המוגנים היא ברף הנמוך. </w:t>
      </w:r>
    </w:p>
    <w:p w14:paraId="1F932E82" w14:textId="77777777" w:rsidR="001D285B" w:rsidRDefault="001D285B" w:rsidP="001D285B">
      <w:pPr>
        <w:pStyle w:val="aa"/>
        <w:rPr>
          <w:rFonts w:ascii="David" w:hAnsi="David" w:cs="David"/>
          <w:sz w:val="24"/>
          <w:szCs w:val="24"/>
        </w:rPr>
      </w:pPr>
    </w:p>
    <w:p w14:paraId="6C6BF376" w14:textId="77777777" w:rsidR="001D285B" w:rsidRDefault="001D285B" w:rsidP="001D285B">
      <w:pPr>
        <w:pStyle w:val="aa"/>
        <w:numPr>
          <w:ilvl w:val="0"/>
          <w:numId w:val="1"/>
        </w:numPr>
        <w:spacing w:line="360" w:lineRule="auto"/>
        <w:jc w:val="both"/>
        <w:rPr>
          <w:rFonts w:ascii="David" w:hAnsi="David" w:cs="David"/>
          <w:sz w:val="24"/>
          <w:szCs w:val="24"/>
          <w:rtl/>
        </w:rPr>
      </w:pPr>
      <w:r>
        <w:rPr>
          <w:rFonts w:ascii="David" w:hAnsi="David" w:cs="David"/>
          <w:sz w:val="24"/>
          <w:szCs w:val="24"/>
          <w:rtl/>
        </w:rPr>
        <w:t>לאחר ששקלתי את נסיבות ביצוע העבירות ולאור הענישה הנוהגת, אני קובע כי מתחם העונש ההולם נע ממאסר מותנה וקנס ועד מספר חודשי מאסר שניתן לשאת בדרך של עבודות שירות.</w:t>
      </w:r>
    </w:p>
    <w:p w14:paraId="0467E597" w14:textId="77777777" w:rsidR="001D285B" w:rsidRDefault="001D285B" w:rsidP="001D285B">
      <w:pPr>
        <w:pStyle w:val="aa"/>
        <w:rPr>
          <w:rFonts w:ascii="David" w:hAnsi="David" w:cs="David"/>
          <w:sz w:val="24"/>
          <w:szCs w:val="24"/>
        </w:rPr>
      </w:pPr>
    </w:p>
    <w:p w14:paraId="20DF7EBD" w14:textId="77777777" w:rsidR="001D285B" w:rsidRDefault="001D285B" w:rsidP="001D285B">
      <w:pPr>
        <w:spacing w:line="360" w:lineRule="auto"/>
        <w:jc w:val="both"/>
        <w:rPr>
          <w:rFonts w:ascii="David" w:hAnsi="David"/>
          <w:rtl/>
        </w:rPr>
      </w:pPr>
      <w:r>
        <w:rPr>
          <w:rFonts w:ascii="David" w:hAnsi="David"/>
          <w:b/>
          <w:bCs/>
          <w:u w:val="single"/>
          <w:rtl/>
        </w:rPr>
        <w:t>סטייה ממתחם העונש ההולם</w:t>
      </w:r>
    </w:p>
    <w:p w14:paraId="390DEAEF" w14:textId="77777777" w:rsidR="001D285B" w:rsidRDefault="001D285B" w:rsidP="001D285B">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על נאשם המבקש לסטות לקולה ממתחם העונש ההולם הנטל להציג ראיות לכך שעבר הליך שיקומי משמעותי (</w:t>
      </w:r>
      <w:hyperlink r:id="rId18" w:history="1">
        <w:r w:rsidR="00E6216C" w:rsidRPr="00E6216C">
          <w:rPr>
            <w:rFonts w:ascii="David" w:hAnsi="David" w:cs="David"/>
            <w:color w:val="0000FF"/>
            <w:sz w:val="24"/>
            <w:szCs w:val="24"/>
            <w:u w:val="single"/>
            <w:rtl/>
          </w:rPr>
          <w:t>רע"פ 1705/22</w:t>
        </w:r>
      </w:hyperlink>
      <w:r>
        <w:rPr>
          <w:rFonts w:ascii="David" w:hAnsi="David" w:cs="David"/>
          <w:sz w:val="24"/>
          <w:szCs w:val="24"/>
          <w:rtl/>
        </w:rPr>
        <w:t xml:space="preserve"> </w:t>
      </w:r>
      <w:r>
        <w:rPr>
          <w:rFonts w:ascii="David" w:hAnsi="David" w:cs="David"/>
          <w:b/>
          <w:bCs/>
          <w:sz w:val="24"/>
          <w:szCs w:val="24"/>
          <w:rtl/>
        </w:rPr>
        <w:t xml:space="preserve">אלצראיעה נ' מדינת ישראל </w:t>
      </w:r>
      <w:r>
        <w:rPr>
          <w:rFonts w:ascii="David" w:hAnsi="David" w:cs="David"/>
          <w:sz w:val="24"/>
          <w:szCs w:val="24"/>
          <w:rtl/>
        </w:rPr>
        <w:t>[פורסם בנבו] (14/03/22)). בעניינו אין אינדיקציה כלשהי להליך שיקומי, ואף לא התבקש תסקיר שירות מבחן.</w:t>
      </w:r>
    </w:p>
    <w:p w14:paraId="65FA973B" w14:textId="77777777" w:rsidR="001D285B" w:rsidRDefault="001D285B" w:rsidP="001D285B">
      <w:pPr>
        <w:spacing w:line="360" w:lineRule="auto"/>
        <w:jc w:val="both"/>
        <w:rPr>
          <w:rFonts w:ascii="David" w:hAnsi="David"/>
          <w:b/>
          <w:bCs/>
          <w:u w:val="single"/>
        </w:rPr>
      </w:pPr>
    </w:p>
    <w:p w14:paraId="5988AC6A" w14:textId="77777777" w:rsidR="001D285B" w:rsidRDefault="001D285B" w:rsidP="001D285B">
      <w:pPr>
        <w:spacing w:line="360" w:lineRule="auto"/>
        <w:jc w:val="both"/>
        <w:rPr>
          <w:rFonts w:ascii="David" w:hAnsi="David"/>
          <w:b/>
          <w:bCs/>
          <w:u w:val="single"/>
          <w:rtl/>
        </w:rPr>
      </w:pPr>
      <w:r>
        <w:rPr>
          <w:rFonts w:ascii="David" w:hAnsi="David"/>
          <w:b/>
          <w:bCs/>
          <w:u w:val="single"/>
          <w:rtl/>
        </w:rPr>
        <w:t>קביעת העונש ההולם בתוך המתחם</w:t>
      </w:r>
    </w:p>
    <w:p w14:paraId="6B4B539E" w14:textId="77777777" w:rsidR="001D285B" w:rsidRDefault="001D285B" w:rsidP="001D285B">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לשם קביעת העונש ההולם, בגדרי מתחם העונש, על בית המשפט להידרש לנסיבות שאינן קשורות בביצוע העבירה:  </w:t>
      </w:r>
    </w:p>
    <w:p w14:paraId="43D3D0EE" w14:textId="77777777" w:rsidR="001D285B" w:rsidRDefault="001D285B" w:rsidP="001D285B">
      <w:pPr>
        <w:pStyle w:val="aa"/>
        <w:spacing w:after="0" w:line="360" w:lineRule="auto"/>
        <w:ind w:left="502"/>
        <w:jc w:val="both"/>
        <w:rPr>
          <w:rFonts w:ascii="David" w:hAnsi="David" w:cs="David"/>
          <w:sz w:val="24"/>
          <w:szCs w:val="24"/>
        </w:rPr>
      </w:pPr>
    </w:p>
    <w:p w14:paraId="3003101B" w14:textId="77777777" w:rsidR="001D285B" w:rsidRDefault="001D285B" w:rsidP="001D285B">
      <w:pPr>
        <w:pStyle w:val="aa"/>
        <w:spacing w:after="0" w:line="360" w:lineRule="auto"/>
        <w:ind w:left="502"/>
        <w:jc w:val="both"/>
        <w:rPr>
          <w:rFonts w:ascii="David" w:hAnsi="David" w:cs="David"/>
          <w:sz w:val="24"/>
          <w:szCs w:val="24"/>
          <w:rtl/>
        </w:rPr>
      </w:pPr>
      <w:r>
        <w:rPr>
          <w:rFonts w:ascii="David" w:hAnsi="David" w:cs="David"/>
          <w:sz w:val="24"/>
          <w:szCs w:val="24"/>
          <w:rtl/>
        </w:rPr>
        <w:t>הנאשם נעדר עבר פלילי.</w:t>
      </w:r>
    </w:p>
    <w:p w14:paraId="008DA6E4" w14:textId="77777777" w:rsidR="001D285B" w:rsidRDefault="001D285B" w:rsidP="001D285B">
      <w:pPr>
        <w:pStyle w:val="aa"/>
        <w:spacing w:after="0" w:line="360" w:lineRule="auto"/>
        <w:ind w:left="502"/>
        <w:jc w:val="both"/>
        <w:rPr>
          <w:rFonts w:ascii="David" w:hAnsi="David" w:cs="David"/>
          <w:sz w:val="24"/>
          <w:szCs w:val="24"/>
          <w:rtl/>
        </w:rPr>
      </w:pPr>
    </w:p>
    <w:p w14:paraId="55482C74" w14:textId="77777777" w:rsidR="001D285B" w:rsidRDefault="001D285B" w:rsidP="001D285B">
      <w:pPr>
        <w:pStyle w:val="aa"/>
        <w:spacing w:after="0" w:line="360" w:lineRule="auto"/>
        <w:ind w:left="502"/>
        <w:jc w:val="both"/>
        <w:rPr>
          <w:rFonts w:ascii="David" w:hAnsi="David" w:cs="David"/>
          <w:sz w:val="24"/>
          <w:szCs w:val="24"/>
          <w:rtl/>
        </w:rPr>
      </w:pPr>
      <w:r>
        <w:rPr>
          <w:rFonts w:ascii="David" w:hAnsi="David" w:cs="David"/>
          <w:sz w:val="24"/>
          <w:szCs w:val="24"/>
          <w:rtl/>
        </w:rPr>
        <w:t>הנאשם הודה במיוחס לו וחסך זמן שיפוטי.</w:t>
      </w:r>
    </w:p>
    <w:p w14:paraId="4CDE3DC0" w14:textId="77777777" w:rsidR="001D285B" w:rsidRDefault="001D285B" w:rsidP="001D285B">
      <w:pPr>
        <w:pStyle w:val="aa"/>
        <w:spacing w:after="0" w:line="360" w:lineRule="auto"/>
        <w:ind w:left="502"/>
        <w:jc w:val="both"/>
        <w:rPr>
          <w:rFonts w:ascii="David" w:hAnsi="David" w:cs="David"/>
          <w:sz w:val="24"/>
          <w:szCs w:val="24"/>
          <w:rtl/>
        </w:rPr>
      </w:pPr>
    </w:p>
    <w:p w14:paraId="04F3CB5E" w14:textId="77777777" w:rsidR="001D285B" w:rsidRDefault="001D285B" w:rsidP="001D285B">
      <w:pPr>
        <w:pStyle w:val="aa"/>
        <w:spacing w:after="0" w:line="360" w:lineRule="auto"/>
        <w:ind w:left="502"/>
        <w:jc w:val="both"/>
        <w:rPr>
          <w:rFonts w:ascii="David" w:hAnsi="David" w:cs="David"/>
          <w:sz w:val="24"/>
          <w:szCs w:val="24"/>
          <w:rtl/>
        </w:rPr>
      </w:pPr>
      <w:r>
        <w:rPr>
          <w:rFonts w:ascii="David" w:hAnsi="David" w:cs="David"/>
          <w:sz w:val="24"/>
          <w:szCs w:val="24"/>
          <w:rtl/>
        </w:rPr>
        <w:t xml:space="preserve">הנאשם אינו צעיר או מבוגר באופן המצדיק התחשבות. </w:t>
      </w:r>
    </w:p>
    <w:p w14:paraId="17CD75BF" w14:textId="77777777" w:rsidR="001D285B" w:rsidRDefault="001D285B" w:rsidP="001D285B">
      <w:pPr>
        <w:spacing w:line="360" w:lineRule="auto"/>
        <w:jc w:val="both"/>
        <w:rPr>
          <w:rFonts w:ascii="David" w:hAnsi="David"/>
          <w:rtl/>
        </w:rPr>
      </w:pPr>
    </w:p>
    <w:p w14:paraId="402AD463" w14:textId="77777777" w:rsidR="001D285B" w:rsidRDefault="001D285B" w:rsidP="001D285B">
      <w:pPr>
        <w:pStyle w:val="aa"/>
        <w:numPr>
          <w:ilvl w:val="0"/>
          <w:numId w:val="1"/>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נוכח האמור, </w:t>
      </w:r>
      <w:r>
        <w:rPr>
          <w:rFonts w:ascii="David" w:hAnsi="David" w:cs="David"/>
          <w:sz w:val="24"/>
          <w:szCs w:val="24"/>
          <w:rtl/>
        </w:rPr>
        <w:t>התרשמתי כי יש לקבוע את העונש הראוי בתחתית המתחם</w:t>
      </w:r>
      <w:r>
        <w:rPr>
          <w:rFonts w:ascii="David" w:eastAsia="Times New Roman" w:hAnsi="David" w:cs="David"/>
          <w:sz w:val="24"/>
          <w:szCs w:val="24"/>
          <w:rtl/>
        </w:rPr>
        <w:t>.</w:t>
      </w:r>
    </w:p>
    <w:p w14:paraId="4622B60D" w14:textId="77777777" w:rsidR="001D285B" w:rsidRDefault="001D285B" w:rsidP="001D285B">
      <w:pPr>
        <w:pStyle w:val="aa"/>
        <w:spacing w:after="0" w:line="360" w:lineRule="auto"/>
        <w:ind w:left="502"/>
        <w:jc w:val="both"/>
        <w:rPr>
          <w:rFonts w:ascii="David" w:eastAsia="Times New Roman" w:hAnsi="David" w:cs="David"/>
          <w:sz w:val="24"/>
          <w:szCs w:val="24"/>
        </w:rPr>
      </w:pPr>
    </w:p>
    <w:p w14:paraId="3CAEF3A1" w14:textId="77777777" w:rsidR="001D285B" w:rsidRDefault="001D285B" w:rsidP="001D285B">
      <w:pPr>
        <w:spacing w:line="360" w:lineRule="auto"/>
        <w:jc w:val="both"/>
        <w:rPr>
          <w:rFonts w:ascii="David" w:hAnsi="David"/>
          <w:b/>
          <w:bCs/>
          <w:sz w:val="26"/>
          <w:szCs w:val="26"/>
          <w:rtl/>
        </w:rPr>
      </w:pPr>
      <w:r>
        <w:rPr>
          <w:rFonts w:ascii="David" w:hAnsi="David"/>
          <w:b/>
          <w:bCs/>
          <w:sz w:val="26"/>
          <w:szCs w:val="26"/>
          <w:rtl/>
        </w:rPr>
        <w:t>סוף דבר</w:t>
      </w:r>
    </w:p>
    <w:p w14:paraId="1EC53857" w14:textId="77777777" w:rsidR="001D285B" w:rsidRDefault="001D285B" w:rsidP="001D285B">
      <w:pPr>
        <w:pStyle w:val="aa"/>
        <w:spacing w:after="0" w:line="360" w:lineRule="auto"/>
        <w:ind w:left="360"/>
        <w:jc w:val="both"/>
        <w:rPr>
          <w:rFonts w:ascii="David" w:hAnsi="David" w:cs="David"/>
          <w:sz w:val="24"/>
          <w:szCs w:val="24"/>
        </w:rPr>
      </w:pPr>
    </w:p>
    <w:p w14:paraId="0F0F14B6" w14:textId="77777777" w:rsidR="001D285B" w:rsidRDefault="001D285B" w:rsidP="001D285B">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לאחר ששקלתי את כלל השיקולים לעיל, לקולה ולחומרה, אני גוזר על הנאשם את העונשים הבאים:</w:t>
      </w:r>
    </w:p>
    <w:p w14:paraId="509A38F2" w14:textId="77777777" w:rsidR="001D285B" w:rsidRDefault="001D285B" w:rsidP="001D285B">
      <w:pPr>
        <w:spacing w:line="360" w:lineRule="auto"/>
        <w:contextualSpacing/>
        <w:jc w:val="both"/>
        <w:rPr>
          <w:rFonts w:ascii="David" w:hAnsi="David"/>
        </w:rPr>
      </w:pPr>
    </w:p>
    <w:p w14:paraId="478789E9" w14:textId="77777777" w:rsidR="001D285B" w:rsidRDefault="001D285B" w:rsidP="001D285B">
      <w:pPr>
        <w:pStyle w:val="aa"/>
        <w:numPr>
          <w:ilvl w:val="0"/>
          <w:numId w:val="2"/>
        </w:numPr>
        <w:spacing w:before="60" w:after="0" w:line="360" w:lineRule="auto"/>
        <w:ind w:left="1080"/>
        <w:jc w:val="both"/>
        <w:rPr>
          <w:rFonts w:ascii="David" w:hAnsi="David" w:cs="David"/>
          <w:sz w:val="24"/>
          <w:szCs w:val="24"/>
          <w:rtl/>
        </w:rPr>
      </w:pPr>
      <w:r>
        <w:rPr>
          <w:rFonts w:ascii="David" w:hAnsi="David" w:cs="David"/>
          <w:sz w:val="24"/>
          <w:szCs w:val="24"/>
          <w:rtl/>
        </w:rPr>
        <w:t xml:space="preserve">4 חודשי מאסר מותנה למשך 3 שנים מהיום. מאסר זה יופעל במידה והנאשם יעבור במשך תקופת התנאי עבירת נשק מסוג עוון.  </w:t>
      </w:r>
    </w:p>
    <w:p w14:paraId="35C27BFF" w14:textId="77777777" w:rsidR="001D285B" w:rsidRDefault="001D285B" w:rsidP="001D285B">
      <w:pPr>
        <w:pStyle w:val="aa"/>
        <w:spacing w:before="60" w:after="0" w:line="360" w:lineRule="auto"/>
        <w:ind w:left="1080"/>
        <w:jc w:val="both"/>
        <w:rPr>
          <w:rFonts w:ascii="David" w:hAnsi="David" w:cs="David"/>
          <w:sz w:val="24"/>
          <w:szCs w:val="24"/>
          <w:rtl/>
        </w:rPr>
      </w:pPr>
    </w:p>
    <w:p w14:paraId="011BC300" w14:textId="77777777" w:rsidR="001D285B" w:rsidRDefault="001D285B" w:rsidP="001D285B">
      <w:pPr>
        <w:pStyle w:val="aa"/>
        <w:numPr>
          <w:ilvl w:val="0"/>
          <w:numId w:val="2"/>
        </w:numPr>
        <w:spacing w:before="60" w:after="0" w:line="360" w:lineRule="auto"/>
        <w:ind w:left="1080"/>
        <w:jc w:val="both"/>
        <w:rPr>
          <w:rFonts w:ascii="David" w:hAnsi="David" w:cs="David"/>
          <w:sz w:val="24"/>
          <w:szCs w:val="24"/>
        </w:rPr>
      </w:pPr>
      <w:r>
        <w:rPr>
          <w:rFonts w:ascii="David" w:hAnsi="David" w:cs="David"/>
          <w:sz w:val="24"/>
          <w:szCs w:val="24"/>
          <w:rtl/>
        </w:rPr>
        <w:t>6 חודשי מאסר מותנה למשך 3 שנים מהיום. מאסר זה יופעל במידה והנאשם יעבור במשך תקופת התנאי יעבור עבירת נשק מסוג פשע.</w:t>
      </w:r>
    </w:p>
    <w:p w14:paraId="211496EB" w14:textId="77777777" w:rsidR="001D285B" w:rsidRDefault="001D285B" w:rsidP="001D285B">
      <w:pPr>
        <w:rPr>
          <w:rFonts w:ascii="David" w:hAnsi="David"/>
        </w:rPr>
      </w:pPr>
    </w:p>
    <w:p w14:paraId="2DEE6687" w14:textId="77777777" w:rsidR="001D285B" w:rsidRDefault="001D285B" w:rsidP="001D285B">
      <w:pPr>
        <w:pStyle w:val="aa"/>
        <w:numPr>
          <w:ilvl w:val="0"/>
          <w:numId w:val="2"/>
        </w:numPr>
        <w:spacing w:before="60" w:after="0" w:line="360" w:lineRule="auto"/>
        <w:ind w:left="1080"/>
        <w:jc w:val="both"/>
        <w:rPr>
          <w:rFonts w:ascii="David" w:hAnsi="David" w:cs="David"/>
          <w:sz w:val="24"/>
          <w:szCs w:val="24"/>
          <w:rtl/>
        </w:rPr>
      </w:pPr>
      <w:r>
        <w:rPr>
          <w:rFonts w:ascii="David" w:eastAsia="Times New Roman" w:hAnsi="David" w:cs="David"/>
          <w:sz w:val="24"/>
          <w:szCs w:val="24"/>
          <w:rtl/>
        </w:rPr>
        <w:t xml:space="preserve">קנס בסך 3,000 ₪ או 7 ימי מאסר תמורתו. הקנס ישולם </w:t>
      </w:r>
      <w:r>
        <w:rPr>
          <w:rFonts w:ascii="David" w:eastAsia="Times New Roman" w:hAnsi="David" w:cs="David" w:hint="cs"/>
          <w:sz w:val="24"/>
          <w:szCs w:val="24"/>
          <w:rtl/>
        </w:rPr>
        <w:t xml:space="preserve">בעשרה תשלומים חודשיים שווים החל מיום 10.11.23 ובכל 10 לחודש שלאחריו. </w:t>
      </w:r>
      <w:r>
        <w:rPr>
          <w:rFonts w:ascii="David" w:eastAsia="Times New Roman" w:hAnsi="David" w:cs="David" w:hint="cs"/>
          <w:sz w:val="24"/>
          <w:szCs w:val="24"/>
        </w:rPr>
        <w:t xml:space="preserve"> </w:t>
      </w:r>
    </w:p>
    <w:p w14:paraId="2DE00E04" w14:textId="77777777" w:rsidR="001D285B" w:rsidRDefault="001D285B" w:rsidP="001D285B">
      <w:pPr>
        <w:spacing w:line="360" w:lineRule="auto"/>
        <w:ind w:firstLine="720"/>
        <w:jc w:val="both"/>
        <w:rPr>
          <w:rtl/>
        </w:rPr>
      </w:pPr>
    </w:p>
    <w:p w14:paraId="07867DCB" w14:textId="77777777" w:rsidR="001D285B" w:rsidRDefault="001D285B" w:rsidP="001D285B">
      <w:pPr>
        <w:spacing w:line="360" w:lineRule="auto"/>
        <w:ind w:firstLine="720"/>
        <w:jc w:val="both"/>
      </w:pPr>
      <w:r>
        <w:rPr>
          <w:rFonts w:hint="cs"/>
          <w:rtl/>
        </w:rPr>
        <w:t xml:space="preserve">את הקנס ניתן לשלם כעבור  3 ימים מהיום באחת מהדרכים הבאות: </w:t>
      </w:r>
    </w:p>
    <w:p w14:paraId="4D9497C5" w14:textId="77777777" w:rsidR="001D285B" w:rsidRDefault="001D285B" w:rsidP="001D285B">
      <w:pPr>
        <w:numPr>
          <w:ilvl w:val="0"/>
          <w:numId w:val="3"/>
        </w:numPr>
        <w:spacing w:line="360" w:lineRule="auto"/>
        <w:jc w:val="both"/>
      </w:pPr>
      <w:r>
        <w:rPr>
          <w:rFonts w:hint="cs"/>
          <w:rtl/>
        </w:rPr>
        <w:t xml:space="preserve">בכרטיס אשראי – באתר המקוון של רשות האכיפה והגבייה, </w:t>
      </w:r>
      <w:r>
        <w:t xml:space="preserve">www.eca.gov.il </w:t>
      </w:r>
      <w:r>
        <w:rPr>
          <w:rFonts w:hint="cs"/>
          <w:rtl/>
        </w:rPr>
        <w:t>.</w:t>
      </w:r>
    </w:p>
    <w:p w14:paraId="588F398B" w14:textId="77777777" w:rsidR="001D285B" w:rsidRDefault="001D285B" w:rsidP="001D285B">
      <w:pPr>
        <w:numPr>
          <w:ilvl w:val="0"/>
          <w:numId w:val="3"/>
        </w:numPr>
        <w:spacing w:line="360" w:lineRule="auto"/>
        <w:jc w:val="both"/>
        <w:rPr>
          <w:rFonts w:ascii="David" w:hAnsi="David"/>
        </w:rPr>
      </w:pPr>
      <w:r>
        <w:rPr>
          <w:rFonts w:hint="cs"/>
          <w:rtl/>
        </w:rPr>
        <w:t>מוקד שירות טלפוני בשרות עצמי (מרכז גבייה)</w:t>
      </w:r>
      <w:r w:rsidR="00E6216C">
        <w:rPr>
          <w:rFonts w:hint="cs"/>
          <w:rtl/>
        </w:rPr>
        <w:t xml:space="preserve"> </w:t>
      </w:r>
      <w:r>
        <w:rPr>
          <w:rFonts w:hint="cs"/>
          <w:rtl/>
        </w:rPr>
        <w:t xml:space="preserve"> – בטלפון 35592* או בטלפון 073-2055000</w:t>
      </w:r>
    </w:p>
    <w:p w14:paraId="099F6AE8" w14:textId="77777777" w:rsidR="001D285B" w:rsidRDefault="001D285B" w:rsidP="001D285B">
      <w:pPr>
        <w:numPr>
          <w:ilvl w:val="0"/>
          <w:numId w:val="3"/>
        </w:numPr>
        <w:spacing w:line="360" w:lineRule="auto"/>
        <w:jc w:val="both"/>
      </w:pPr>
      <w:r>
        <w:rPr>
          <w:rFonts w:hint="cs"/>
          <w:rtl/>
        </w:rPr>
        <w:t>במזומן בכל סניף של בנק הדואר – בהצגת תעודת זהות בלבד (אין צורך בהצגת בשוברי תשלום).</w:t>
      </w:r>
    </w:p>
    <w:p w14:paraId="43D4FEDA" w14:textId="77777777" w:rsidR="001D285B" w:rsidRDefault="001D285B" w:rsidP="001D285B">
      <w:pPr>
        <w:spacing w:before="60" w:line="360" w:lineRule="auto"/>
        <w:jc w:val="both"/>
        <w:rPr>
          <w:rFonts w:ascii="David" w:eastAsia="Calibri" w:hAnsi="David"/>
          <w:rtl/>
        </w:rPr>
      </w:pPr>
    </w:p>
    <w:p w14:paraId="5D41D05A" w14:textId="77777777" w:rsidR="001D285B" w:rsidRPr="00B06E3C" w:rsidRDefault="001D285B" w:rsidP="001D285B">
      <w:pPr>
        <w:spacing w:before="60" w:line="360" w:lineRule="auto"/>
        <w:jc w:val="both"/>
        <w:rPr>
          <w:rFonts w:ascii="David" w:hAnsi="David"/>
          <w:b/>
          <w:bCs/>
          <w:rtl/>
        </w:rPr>
      </w:pPr>
      <w:r w:rsidRPr="00B06E3C">
        <w:rPr>
          <w:rFonts w:ascii="David" w:hAnsi="David"/>
          <w:b/>
          <w:bCs/>
          <w:rtl/>
        </w:rPr>
        <w:t>התחמושת תושמד.</w:t>
      </w:r>
    </w:p>
    <w:p w14:paraId="40E300C2" w14:textId="77777777" w:rsidR="001D285B" w:rsidRPr="00B06E3C" w:rsidRDefault="00E6216C" w:rsidP="001D285B">
      <w:pPr>
        <w:spacing w:before="60" w:line="360" w:lineRule="auto"/>
        <w:jc w:val="both"/>
        <w:rPr>
          <w:rFonts w:ascii="David" w:hAnsi="David"/>
          <w:b/>
          <w:bCs/>
          <w:rtl/>
        </w:rPr>
      </w:pPr>
      <w:r w:rsidRPr="00E6216C">
        <w:rPr>
          <w:rFonts w:ascii="David" w:hAnsi="David"/>
          <w:b/>
          <w:bCs/>
          <w:color w:val="FFFFFF"/>
          <w:sz w:val="2"/>
          <w:szCs w:val="2"/>
          <w:rtl/>
        </w:rPr>
        <w:t>5129371</w:t>
      </w:r>
      <w:r w:rsidR="001D285B" w:rsidRPr="00B06E3C">
        <w:rPr>
          <w:rFonts w:ascii="David" w:hAnsi="David"/>
          <w:b/>
          <w:bCs/>
          <w:rtl/>
        </w:rPr>
        <w:t>זכות ערעור כדין.</w:t>
      </w:r>
    </w:p>
    <w:p w14:paraId="5FA0FA2D" w14:textId="77777777" w:rsidR="001D285B" w:rsidRPr="00E6216C" w:rsidRDefault="00E6216C" w:rsidP="001D285B">
      <w:pPr>
        <w:rPr>
          <w:rFonts w:ascii="Arial" w:hAnsi="Arial"/>
          <w:b/>
          <w:bCs/>
          <w:color w:val="FFFFFF"/>
          <w:sz w:val="2"/>
          <w:szCs w:val="2"/>
          <w:rtl/>
        </w:rPr>
      </w:pPr>
      <w:r w:rsidRPr="00E6216C">
        <w:rPr>
          <w:rFonts w:ascii="Arial" w:hAnsi="Arial"/>
          <w:b/>
          <w:bCs/>
          <w:color w:val="FFFFFF"/>
          <w:sz w:val="2"/>
          <w:szCs w:val="2"/>
          <w:rtl/>
        </w:rPr>
        <w:t>54678313</w:t>
      </w:r>
    </w:p>
    <w:p w14:paraId="3DAA792C" w14:textId="77777777" w:rsidR="001D285B" w:rsidRPr="000F2247" w:rsidRDefault="001D285B" w:rsidP="001D285B">
      <w:pPr>
        <w:rPr>
          <w:rFonts w:ascii="Arial" w:hAnsi="Arial"/>
          <w:b/>
          <w:bCs/>
          <w:sz w:val="26"/>
          <w:szCs w:val="26"/>
          <w:rtl/>
        </w:rPr>
      </w:pPr>
    </w:p>
    <w:p w14:paraId="4FF76B3E" w14:textId="77777777" w:rsidR="001D285B" w:rsidRPr="000F2247" w:rsidRDefault="00E6216C" w:rsidP="001D285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ג' תשרי תשפ"ד, 18 ספטמבר 2023, במעמד הצדדים. </w:t>
      </w:r>
      <w:bookmarkEnd w:id="8"/>
      <w:r w:rsidR="001D285B">
        <w:rPr>
          <w:rFonts w:ascii="Arial" w:hAnsi="Arial"/>
          <w:b/>
          <w:bCs/>
          <w:sz w:val="26"/>
          <w:szCs w:val="26"/>
          <w:rtl/>
        </w:rPr>
        <w:tab/>
      </w:r>
      <w:r w:rsidR="001D285B">
        <w:rPr>
          <w:rFonts w:ascii="Arial" w:hAnsi="Arial"/>
          <w:b/>
          <w:bCs/>
          <w:sz w:val="26"/>
          <w:szCs w:val="26"/>
          <w:rtl/>
        </w:rPr>
        <w:tab/>
      </w:r>
      <w:r w:rsidR="001D285B">
        <w:rPr>
          <w:rFonts w:ascii="Arial" w:hAnsi="Arial"/>
          <w:b/>
          <w:bCs/>
          <w:sz w:val="26"/>
          <w:szCs w:val="26"/>
          <w:rtl/>
        </w:rPr>
        <w:tab/>
      </w:r>
      <w:r w:rsidR="001D285B">
        <w:rPr>
          <w:rFonts w:ascii="Arial" w:hAnsi="Arial"/>
          <w:b/>
          <w:bCs/>
          <w:sz w:val="26"/>
          <w:szCs w:val="26"/>
          <w:rtl/>
        </w:rPr>
        <w:tab/>
      </w:r>
      <w:r w:rsidR="001D285B">
        <w:rPr>
          <w:rFonts w:ascii="Arial" w:hAnsi="Arial"/>
          <w:b/>
          <w:bCs/>
          <w:sz w:val="26"/>
          <w:szCs w:val="26"/>
          <w:rtl/>
        </w:rPr>
        <w:tab/>
      </w:r>
      <w:r w:rsidR="001D285B">
        <w:rPr>
          <w:rFonts w:ascii="Arial" w:hAnsi="Arial"/>
          <w:b/>
          <w:bCs/>
          <w:sz w:val="26"/>
          <w:szCs w:val="26"/>
          <w:rtl/>
        </w:rPr>
        <w:tab/>
      </w:r>
      <w:r w:rsidR="001D285B">
        <w:rPr>
          <w:rFonts w:ascii="Arial" w:hAnsi="Arial"/>
          <w:b/>
          <w:bCs/>
          <w:sz w:val="26"/>
          <w:szCs w:val="26"/>
          <w:rtl/>
        </w:rPr>
        <w:tab/>
      </w:r>
      <w:r w:rsidR="001D285B">
        <w:rPr>
          <w:rFonts w:ascii="Arial" w:hAnsi="Arial" w:hint="cs"/>
          <w:b/>
          <w:bCs/>
          <w:sz w:val="26"/>
          <w:szCs w:val="26"/>
          <w:rtl/>
        </w:rPr>
        <w:t xml:space="preserve">         </w:t>
      </w:r>
    </w:p>
    <w:p w14:paraId="61DA16B1" w14:textId="77777777" w:rsidR="00E6216C" w:rsidRDefault="00E6216C" w:rsidP="00E6216C">
      <w:pPr>
        <w:rPr>
          <w:rtl/>
        </w:rPr>
      </w:pPr>
    </w:p>
    <w:p w14:paraId="06A57718" w14:textId="77777777" w:rsidR="00E6216C" w:rsidRDefault="00E6216C" w:rsidP="00E6216C">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4D691B0" w14:textId="77777777" w:rsidR="00724B14" w:rsidRPr="00724B14" w:rsidRDefault="00724B14" w:rsidP="00724B14">
      <w:pPr>
        <w:keepNext/>
        <w:rPr>
          <w:rFonts w:ascii="David" w:hAnsi="David"/>
          <w:color w:val="000000"/>
          <w:sz w:val="22"/>
          <w:szCs w:val="22"/>
          <w:rtl/>
        </w:rPr>
      </w:pPr>
    </w:p>
    <w:p w14:paraId="069FC8BC" w14:textId="77777777" w:rsidR="00724B14" w:rsidRPr="00724B14" w:rsidRDefault="00724B14" w:rsidP="00724B14">
      <w:pPr>
        <w:keepNext/>
        <w:rPr>
          <w:rFonts w:ascii="David" w:hAnsi="David"/>
          <w:color w:val="000000"/>
          <w:sz w:val="22"/>
          <w:szCs w:val="22"/>
          <w:rtl/>
        </w:rPr>
      </w:pPr>
      <w:r w:rsidRPr="00724B14">
        <w:rPr>
          <w:rFonts w:ascii="David" w:hAnsi="David"/>
          <w:color w:val="000000"/>
          <w:sz w:val="22"/>
          <w:szCs w:val="22"/>
          <w:rtl/>
        </w:rPr>
        <w:t>יניב בן הרוש 54678313-/</w:t>
      </w:r>
    </w:p>
    <w:p w14:paraId="3AE485D3" w14:textId="77777777" w:rsidR="00E6216C" w:rsidRPr="00E6216C" w:rsidRDefault="00724B14" w:rsidP="00724B14">
      <w:pPr>
        <w:rPr>
          <w:color w:val="0000FF"/>
          <w:u w:val="single"/>
        </w:rPr>
      </w:pPr>
      <w:r w:rsidRPr="00724B14">
        <w:rPr>
          <w:color w:val="000000"/>
          <w:u w:val="single"/>
          <w:rtl/>
        </w:rPr>
        <w:t>נוסח מסמך זה כפוף לשינויי ניסוח ועריכה</w:t>
      </w:r>
    </w:p>
    <w:sectPr w:rsidR="00E6216C" w:rsidRPr="00E6216C" w:rsidSect="00724B14">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3F6C4" w14:textId="77777777" w:rsidR="00C77923" w:rsidRDefault="00C77923" w:rsidP="00190355">
      <w:r>
        <w:separator/>
      </w:r>
    </w:p>
  </w:endnote>
  <w:endnote w:type="continuationSeparator" w:id="0">
    <w:p w14:paraId="4720242F" w14:textId="77777777" w:rsidR="00C77923" w:rsidRDefault="00C77923" w:rsidP="00190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EE2C7" w14:textId="77777777" w:rsidR="00724B14" w:rsidRDefault="00724B14" w:rsidP="00724B1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BEDE7C" w14:textId="77777777" w:rsidR="00E42500" w:rsidRPr="00724B14" w:rsidRDefault="00724B14" w:rsidP="00724B14">
    <w:pPr>
      <w:pStyle w:val="a5"/>
      <w:pBdr>
        <w:top w:val="single" w:sz="4" w:space="1" w:color="auto"/>
        <w:between w:val="single" w:sz="4" w:space="0" w:color="auto"/>
      </w:pBdr>
      <w:spacing w:after="60"/>
      <w:jc w:val="center"/>
      <w:rPr>
        <w:rFonts w:ascii="FrankRuehl" w:hAnsi="FrankRuehl" w:cs="FrankRuehl"/>
        <w:color w:val="000000"/>
      </w:rPr>
    </w:pPr>
    <w:r w:rsidRPr="00724B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7A609" w14:textId="77777777" w:rsidR="00724B14" w:rsidRDefault="00724B14" w:rsidP="00724B1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63FA">
      <w:rPr>
        <w:rFonts w:ascii="FrankRuehl" w:hAnsi="FrankRuehl" w:cs="FrankRuehl"/>
        <w:noProof/>
        <w:rtl/>
      </w:rPr>
      <w:t>1</w:t>
    </w:r>
    <w:r>
      <w:rPr>
        <w:rFonts w:ascii="FrankRuehl" w:hAnsi="FrankRuehl" w:cs="FrankRuehl"/>
        <w:rtl/>
      </w:rPr>
      <w:fldChar w:fldCharType="end"/>
    </w:r>
  </w:p>
  <w:p w14:paraId="1C997C2A" w14:textId="77777777" w:rsidR="00E42500" w:rsidRPr="00724B14" w:rsidRDefault="00724B14" w:rsidP="00724B14">
    <w:pPr>
      <w:pStyle w:val="a5"/>
      <w:pBdr>
        <w:top w:val="single" w:sz="4" w:space="1" w:color="auto"/>
        <w:between w:val="single" w:sz="4" w:space="0" w:color="auto"/>
      </w:pBdr>
      <w:spacing w:after="60"/>
      <w:jc w:val="center"/>
      <w:rPr>
        <w:rFonts w:ascii="FrankRuehl" w:hAnsi="FrankRuehl" w:cs="FrankRuehl"/>
        <w:color w:val="000000"/>
      </w:rPr>
    </w:pPr>
    <w:r w:rsidRPr="00724B14">
      <w:rPr>
        <w:rFonts w:ascii="FrankRuehl" w:hAnsi="FrankRuehl" w:cs="FrankRuehl"/>
        <w:color w:val="000000"/>
      </w:rPr>
      <w:pict w14:anchorId="3271F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3942D" w14:textId="77777777" w:rsidR="00C77923" w:rsidRDefault="00C77923" w:rsidP="00190355">
      <w:r>
        <w:separator/>
      </w:r>
    </w:p>
  </w:footnote>
  <w:footnote w:type="continuationSeparator" w:id="0">
    <w:p w14:paraId="66F4D19F" w14:textId="77777777" w:rsidR="00C77923" w:rsidRDefault="00C77923" w:rsidP="00190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EF9B3" w14:textId="77777777" w:rsidR="00E6216C" w:rsidRPr="00724B14" w:rsidRDefault="00724B14" w:rsidP="00724B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50207-02-22</w:t>
    </w:r>
    <w:r>
      <w:rPr>
        <w:rFonts w:ascii="David" w:hAnsi="David"/>
        <w:color w:val="000000"/>
        <w:sz w:val="22"/>
        <w:szCs w:val="22"/>
        <w:rtl/>
      </w:rPr>
      <w:tab/>
      <w:t xml:space="preserve"> מדינת ישראל נ' שלומי חזן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CBE0" w14:textId="77777777" w:rsidR="00E6216C" w:rsidRPr="00724B14" w:rsidRDefault="00724B14" w:rsidP="00724B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50207-02-22</w:t>
    </w:r>
    <w:r>
      <w:rPr>
        <w:rFonts w:ascii="David" w:hAnsi="David"/>
        <w:color w:val="000000"/>
        <w:sz w:val="22"/>
        <w:szCs w:val="22"/>
        <w:rtl/>
      </w:rPr>
      <w:tab/>
      <w:t xml:space="preserve"> מדינת ישראל נ' שלומי חזן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3EC3747F"/>
    <w:multiLevelType w:val="hybridMultilevel"/>
    <w:tmpl w:val="E126F992"/>
    <w:lvl w:ilvl="0" w:tplc="2598A7E8">
      <w:start w:val="1"/>
      <w:numFmt w:val="hebrew1"/>
      <w:lvlText w:val="%1."/>
      <w:lvlJc w:val="left"/>
      <w:pPr>
        <w:ind w:left="720" w:hanging="360"/>
      </w:pPr>
      <w:rPr>
        <w:lang w:val="en-US"/>
      </w:rPr>
    </w:lvl>
    <w:lvl w:ilvl="1" w:tplc="E13C3A28">
      <w:start w:val="1"/>
      <w:numFmt w:val="lowerLetter"/>
      <w:lvlText w:val="%2."/>
      <w:lvlJc w:val="left"/>
      <w:pPr>
        <w:ind w:left="1440" w:hanging="360"/>
      </w:pPr>
    </w:lvl>
    <w:lvl w:ilvl="2" w:tplc="7F602992">
      <w:start w:val="1"/>
      <w:numFmt w:val="lowerRoman"/>
      <w:lvlText w:val="%3."/>
      <w:lvlJc w:val="right"/>
      <w:pPr>
        <w:ind w:left="2160" w:hanging="180"/>
      </w:pPr>
    </w:lvl>
    <w:lvl w:ilvl="3" w:tplc="2200ACC8">
      <w:start w:val="1"/>
      <w:numFmt w:val="decimal"/>
      <w:lvlText w:val="%4."/>
      <w:lvlJc w:val="left"/>
      <w:pPr>
        <w:ind w:left="2880" w:hanging="360"/>
      </w:pPr>
    </w:lvl>
    <w:lvl w:ilvl="4" w:tplc="E7B00666">
      <w:start w:val="1"/>
      <w:numFmt w:val="lowerLetter"/>
      <w:lvlText w:val="%5."/>
      <w:lvlJc w:val="left"/>
      <w:pPr>
        <w:ind w:left="3600" w:hanging="360"/>
      </w:pPr>
    </w:lvl>
    <w:lvl w:ilvl="5" w:tplc="C61CD7A4">
      <w:start w:val="1"/>
      <w:numFmt w:val="lowerRoman"/>
      <w:lvlText w:val="%6."/>
      <w:lvlJc w:val="right"/>
      <w:pPr>
        <w:ind w:left="4320" w:hanging="180"/>
      </w:pPr>
    </w:lvl>
    <w:lvl w:ilvl="6" w:tplc="4E0EDAF2">
      <w:start w:val="1"/>
      <w:numFmt w:val="decimal"/>
      <w:lvlText w:val="%7."/>
      <w:lvlJc w:val="left"/>
      <w:pPr>
        <w:ind w:left="5040" w:hanging="360"/>
      </w:pPr>
    </w:lvl>
    <w:lvl w:ilvl="7" w:tplc="FCD87E38">
      <w:start w:val="1"/>
      <w:numFmt w:val="lowerLetter"/>
      <w:lvlText w:val="%8."/>
      <w:lvlJc w:val="left"/>
      <w:pPr>
        <w:ind w:left="5760" w:hanging="360"/>
      </w:pPr>
    </w:lvl>
    <w:lvl w:ilvl="8" w:tplc="ABF2DEBC">
      <w:start w:val="1"/>
      <w:numFmt w:val="lowerRoman"/>
      <w:lvlText w:val="%9."/>
      <w:lvlJc w:val="right"/>
      <w:pPr>
        <w:ind w:left="6480" w:hanging="180"/>
      </w:pPr>
    </w:lvl>
  </w:abstractNum>
  <w:abstractNum w:abstractNumId="2" w15:restartNumberingAfterBreak="0">
    <w:nsid w:val="539B33B8"/>
    <w:multiLevelType w:val="hybridMultilevel"/>
    <w:tmpl w:val="419E9F4C"/>
    <w:lvl w:ilvl="0" w:tplc="FF981672">
      <w:start w:val="1"/>
      <w:numFmt w:val="decimal"/>
      <w:lvlText w:val="%1."/>
      <w:lvlJc w:val="left"/>
      <w:pPr>
        <w:ind w:left="502" w:hanging="360"/>
      </w:pPr>
      <w:rPr>
        <w:rFonts w:cs="Times New Roman"/>
        <w:b w:val="0"/>
        <w:bCs w:val="0"/>
        <w:sz w:val="24"/>
        <w:szCs w:val="24"/>
      </w:rPr>
    </w:lvl>
    <w:lvl w:ilvl="1" w:tplc="95CE76F8">
      <w:start w:val="1"/>
      <w:numFmt w:val="lowerLetter"/>
      <w:lvlText w:val="%2."/>
      <w:lvlJc w:val="left"/>
      <w:pPr>
        <w:ind w:left="1222" w:hanging="360"/>
      </w:pPr>
      <w:rPr>
        <w:rFonts w:cs="Times New Roman"/>
      </w:rPr>
    </w:lvl>
    <w:lvl w:ilvl="2" w:tplc="A25AF080">
      <w:start w:val="1"/>
      <w:numFmt w:val="lowerRoman"/>
      <w:lvlText w:val="%3."/>
      <w:lvlJc w:val="right"/>
      <w:pPr>
        <w:ind w:left="1942" w:hanging="180"/>
      </w:pPr>
      <w:rPr>
        <w:rFonts w:cs="Times New Roman"/>
      </w:rPr>
    </w:lvl>
    <w:lvl w:ilvl="3" w:tplc="FCEEB868">
      <w:start w:val="1"/>
      <w:numFmt w:val="decimal"/>
      <w:lvlText w:val="%4."/>
      <w:lvlJc w:val="left"/>
      <w:pPr>
        <w:ind w:left="2662" w:hanging="360"/>
      </w:pPr>
      <w:rPr>
        <w:rFonts w:cs="Times New Roman"/>
      </w:rPr>
    </w:lvl>
    <w:lvl w:ilvl="4" w:tplc="EDF204E6">
      <w:start w:val="1"/>
      <w:numFmt w:val="lowerLetter"/>
      <w:lvlText w:val="%5."/>
      <w:lvlJc w:val="left"/>
      <w:pPr>
        <w:ind w:left="3382" w:hanging="360"/>
      </w:pPr>
      <w:rPr>
        <w:rFonts w:cs="Times New Roman"/>
      </w:rPr>
    </w:lvl>
    <w:lvl w:ilvl="5" w:tplc="50DEA508">
      <w:start w:val="1"/>
      <w:numFmt w:val="lowerRoman"/>
      <w:lvlText w:val="%6."/>
      <w:lvlJc w:val="right"/>
      <w:pPr>
        <w:ind w:left="4102" w:hanging="180"/>
      </w:pPr>
      <w:rPr>
        <w:rFonts w:cs="Times New Roman"/>
      </w:rPr>
    </w:lvl>
    <w:lvl w:ilvl="6" w:tplc="C02E3D16">
      <w:start w:val="1"/>
      <w:numFmt w:val="decimal"/>
      <w:lvlText w:val="%7."/>
      <w:lvlJc w:val="left"/>
      <w:pPr>
        <w:ind w:left="4822" w:hanging="360"/>
      </w:pPr>
      <w:rPr>
        <w:rFonts w:cs="Times New Roman"/>
      </w:rPr>
    </w:lvl>
    <w:lvl w:ilvl="7" w:tplc="E196C15A">
      <w:start w:val="1"/>
      <w:numFmt w:val="lowerLetter"/>
      <w:lvlText w:val="%8."/>
      <w:lvlJc w:val="left"/>
      <w:pPr>
        <w:ind w:left="5542" w:hanging="360"/>
      </w:pPr>
      <w:rPr>
        <w:rFonts w:cs="Times New Roman"/>
      </w:rPr>
    </w:lvl>
    <w:lvl w:ilvl="8" w:tplc="45A88C60">
      <w:start w:val="1"/>
      <w:numFmt w:val="lowerRoman"/>
      <w:lvlText w:val="%9."/>
      <w:lvlJc w:val="right"/>
      <w:pPr>
        <w:ind w:left="6262" w:hanging="180"/>
      </w:pPr>
      <w:rPr>
        <w:rFonts w:cs="Times New Roman"/>
      </w:rPr>
    </w:lvl>
  </w:abstractNum>
  <w:num w:numId="1" w16cid:durableId="20048144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6753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523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285B"/>
    <w:rsid w:val="00013AEA"/>
    <w:rsid w:val="000E12C6"/>
    <w:rsid w:val="00190355"/>
    <w:rsid w:val="001A008F"/>
    <w:rsid w:val="001B5A3B"/>
    <w:rsid w:val="001D285B"/>
    <w:rsid w:val="00242D21"/>
    <w:rsid w:val="00295578"/>
    <w:rsid w:val="005D6EFE"/>
    <w:rsid w:val="005E63FA"/>
    <w:rsid w:val="00724B14"/>
    <w:rsid w:val="008906B6"/>
    <w:rsid w:val="00A527EC"/>
    <w:rsid w:val="00C77923"/>
    <w:rsid w:val="00E42500"/>
    <w:rsid w:val="00E621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F3CC1A"/>
  <w15:chartTrackingRefBased/>
  <w15:docId w15:val="{E0BFD7FE-BAE9-4DF5-A625-44336976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28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285B"/>
    <w:pPr>
      <w:tabs>
        <w:tab w:val="center" w:pos="4153"/>
        <w:tab w:val="right" w:pos="8306"/>
      </w:tabs>
    </w:pPr>
  </w:style>
  <w:style w:type="character" w:customStyle="1" w:styleId="a4">
    <w:name w:val="כותרת עליונה תו"/>
    <w:link w:val="a3"/>
    <w:rsid w:val="001D285B"/>
    <w:rPr>
      <w:rFonts w:ascii="Times New Roman" w:eastAsia="Times New Roman" w:hAnsi="Times New Roman" w:cs="David"/>
      <w:sz w:val="24"/>
      <w:szCs w:val="24"/>
    </w:rPr>
  </w:style>
  <w:style w:type="paragraph" w:styleId="a5">
    <w:name w:val="footer"/>
    <w:basedOn w:val="a"/>
    <w:link w:val="a6"/>
    <w:rsid w:val="001D285B"/>
    <w:pPr>
      <w:tabs>
        <w:tab w:val="center" w:pos="4153"/>
        <w:tab w:val="right" w:pos="8306"/>
      </w:tabs>
    </w:pPr>
  </w:style>
  <w:style w:type="character" w:customStyle="1" w:styleId="a6">
    <w:name w:val="כותרת תחתונה תו"/>
    <w:link w:val="a5"/>
    <w:rsid w:val="001D285B"/>
    <w:rPr>
      <w:rFonts w:ascii="Times New Roman" w:eastAsia="Times New Roman" w:hAnsi="Times New Roman" w:cs="David"/>
      <w:sz w:val="24"/>
      <w:szCs w:val="24"/>
    </w:rPr>
  </w:style>
  <w:style w:type="table" w:styleId="a7">
    <w:name w:val="Table Grid"/>
    <w:basedOn w:val="a1"/>
    <w:rsid w:val="001D28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285B"/>
  </w:style>
  <w:style w:type="character" w:customStyle="1" w:styleId="a9">
    <w:name w:val="פיסקת רשימה תו"/>
    <w:link w:val="aa"/>
    <w:locked/>
    <w:rsid w:val="001D285B"/>
    <w:rPr>
      <w:rFonts w:ascii="Calibri" w:eastAsia="Calibri" w:hAnsi="Calibri" w:cs="Arial"/>
    </w:rPr>
  </w:style>
  <w:style w:type="paragraph" w:styleId="aa">
    <w:name w:val="List Paragraph"/>
    <w:basedOn w:val="a"/>
    <w:link w:val="a9"/>
    <w:qFormat/>
    <w:rsid w:val="001D285B"/>
    <w:pPr>
      <w:spacing w:after="200" w:line="276" w:lineRule="auto"/>
      <w:ind w:left="720"/>
      <w:contextualSpacing/>
    </w:pPr>
    <w:rPr>
      <w:rFonts w:ascii="Calibri" w:eastAsia="Calibri" w:hAnsi="Calibri" w:cs="Arial"/>
      <w:sz w:val="22"/>
      <w:szCs w:val="22"/>
    </w:rPr>
  </w:style>
  <w:style w:type="character" w:styleId="Hyperlink">
    <w:name w:val="Hyperlink"/>
    <w:rsid w:val="00E621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9372283" TargetMode="External"/><Relationship Id="rId18" Type="http://schemas.openxmlformats.org/officeDocument/2006/relationships/hyperlink" Target="http://www.nevo.co.il/case/28388215"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5724364" TargetMode="External"/><Relationship Id="rId17" Type="http://schemas.openxmlformats.org/officeDocument/2006/relationships/hyperlink" Target="http://www.nevo.co.il/case/1134377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1809995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937228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2531303" TargetMode="External"/><Relationship Id="rId23"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253155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7806</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3670134</vt:i4>
      </vt:variant>
      <vt:variant>
        <vt:i4>33</vt:i4>
      </vt:variant>
      <vt:variant>
        <vt:i4>0</vt:i4>
      </vt:variant>
      <vt:variant>
        <vt:i4>5</vt:i4>
      </vt:variant>
      <vt:variant>
        <vt:lpwstr>http://www.nevo.co.il/case/28388215</vt:lpwstr>
      </vt:variant>
      <vt:variant>
        <vt:lpwstr/>
      </vt:variant>
      <vt:variant>
        <vt:i4>3539062</vt:i4>
      </vt:variant>
      <vt:variant>
        <vt:i4>30</vt:i4>
      </vt:variant>
      <vt:variant>
        <vt:i4>0</vt:i4>
      </vt:variant>
      <vt:variant>
        <vt:i4>5</vt:i4>
      </vt:variant>
      <vt:variant>
        <vt:lpwstr>http://www.nevo.co.il/case/11343779</vt:lpwstr>
      </vt:variant>
      <vt:variant>
        <vt:lpwstr/>
      </vt:variant>
      <vt:variant>
        <vt:i4>3997820</vt:i4>
      </vt:variant>
      <vt:variant>
        <vt:i4>27</vt:i4>
      </vt:variant>
      <vt:variant>
        <vt:i4>0</vt:i4>
      </vt:variant>
      <vt:variant>
        <vt:i4>5</vt:i4>
      </vt:variant>
      <vt:variant>
        <vt:lpwstr>http://www.nevo.co.il/case/18099950</vt:lpwstr>
      </vt:variant>
      <vt:variant>
        <vt:lpwstr/>
      </vt:variant>
      <vt:variant>
        <vt:i4>3539062</vt:i4>
      </vt:variant>
      <vt:variant>
        <vt:i4>24</vt:i4>
      </vt:variant>
      <vt:variant>
        <vt:i4>0</vt:i4>
      </vt:variant>
      <vt:variant>
        <vt:i4>5</vt:i4>
      </vt:variant>
      <vt:variant>
        <vt:lpwstr>http://www.nevo.co.il/case/22531303</vt:lpwstr>
      </vt:variant>
      <vt:variant>
        <vt:lpwstr/>
      </vt:variant>
      <vt:variant>
        <vt:i4>3342448</vt:i4>
      </vt:variant>
      <vt:variant>
        <vt:i4>21</vt:i4>
      </vt:variant>
      <vt:variant>
        <vt:i4>0</vt:i4>
      </vt:variant>
      <vt:variant>
        <vt:i4>5</vt:i4>
      </vt:variant>
      <vt:variant>
        <vt:lpwstr>http://www.nevo.co.il/case/22531551</vt:lpwstr>
      </vt:variant>
      <vt:variant>
        <vt:lpwstr/>
      </vt:variant>
      <vt:variant>
        <vt:i4>3866744</vt:i4>
      </vt:variant>
      <vt:variant>
        <vt:i4>18</vt:i4>
      </vt:variant>
      <vt:variant>
        <vt:i4>0</vt:i4>
      </vt:variant>
      <vt:variant>
        <vt:i4>5</vt:i4>
      </vt:variant>
      <vt:variant>
        <vt:lpwstr>http://www.nevo.co.il/case/29372283</vt:lpwstr>
      </vt:variant>
      <vt:variant>
        <vt:lpwstr/>
      </vt:variant>
      <vt:variant>
        <vt:i4>3145841</vt:i4>
      </vt:variant>
      <vt:variant>
        <vt:i4>15</vt:i4>
      </vt:variant>
      <vt:variant>
        <vt:i4>0</vt:i4>
      </vt:variant>
      <vt:variant>
        <vt:i4>5</vt:i4>
      </vt:variant>
      <vt:variant>
        <vt:lpwstr>http://www.nevo.co.il/case/5724364</vt:lpwstr>
      </vt:variant>
      <vt:variant>
        <vt:lpwstr/>
      </vt:variant>
      <vt:variant>
        <vt:i4>3866744</vt:i4>
      </vt:variant>
      <vt:variant>
        <vt:i4>12</vt:i4>
      </vt:variant>
      <vt:variant>
        <vt:i4>0</vt:i4>
      </vt:variant>
      <vt:variant>
        <vt:i4>5</vt:i4>
      </vt:variant>
      <vt:variant>
        <vt:lpwstr>http://www.nevo.co.il/case/29372283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2025-01-19T17:49:00Z</dcterms:created>
  <dcterms:modified xsi:type="dcterms:W3CDTF">2025-01-19T17:49:00Z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50207</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שלומי חזן</vt:lpwstr>
  </property>
  <property fmtid="{D5CDD505-2E9C-101B-9397-08002B2CF9AE}" pid="10" name="LAWYER">
    <vt:lpwstr>חנן אסולין</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20230918</vt:lpwstr>
  </property>
  <property fmtid="{D5CDD505-2E9C-101B-9397-08002B2CF9AE}" pid="14" name="TYPE_N_DATE">
    <vt:lpwstr>38020230918</vt:lpwstr>
  </property>
  <property fmtid="{D5CDD505-2E9C-101B-9397-08002B2CF9AE}" pid="15" name="WORDNUMPAGES">
    <vt:lpwstr>5</vt:lpwstr>
  </property>
  <property fmtid="{D5CDD505-2E9C-101B-9397-08002B2CF9AE}" pid="16" name="TYPE_ABS_DATE">
    <vt:lpwstr>380020230918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29372283:2;5724364;22531551;22531303;18099950;11343779;28388215</vt:lpwstr>
  </property>
  <property fmtid="{D5CDD505-2E9C-101B-9397-08002B2CF9AE}" pid="36" name="LAWLISTTMP1">
    <vt:lpwstr>70301/144.a</vt:lpwstr>
  </property>
</Properties>
</file>