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F560D" w:rsidRPr="00715BEE" w14:paraId="058471ED" w14:textId="77777777" w:rsidTr="008C74D2">
        <w:trPr>
          <w:trHeight w:hRule="exact" w:val="418"/>
          <w:jc w:val="center"/>
        </w:trPr>
        <w:tc>
          <w:tcPr>
            <w:tcW w:w="8721" w:type="dxa"/>
            <w:gridSpan w:val="2"/>
          </w:tcPr>
          <w:p w14:paraId="012BB9D3" w14:textId="77777777" w:rsidR="004F560D" w:rsidRPr="00715BEE" w:rsidRDefault="004F560D" w:rsidP="000326BF">
            <w:pPr>
              <w:pStyle w:val="a3"/>
              <w:jc w:val="center"/>
              <w:rPr>
                <w:rFonts w:ascii="Tahoma" w:hAnsi="Tahoma" w:cs="Tahoma"/>
                <w:color w:val="000080"/>
                <w:rtl/>
              </w:rPr>
            </w:pPr>
            <w:bookmarkStart w:id="0" w:name="LastJudge"/>
            <w:r w:rsidRPr="00715BEE">
              <w:rPr>
                <w:rFonts w:ascii="Tahoma" w:hAnsi="Tahoma" w:cs="Tahoma"/>
                <w:b/>
                <w:bCs/>
                <w:color w:val="000080"/>
                <w:rtl/>
              </w:rPr>
              <w:t>בית משפט השלום בחיפה</w:t>
            </w:r>
          </w:p>
        </w:tc>
      </w:tr>
      <w:tr w:rsidR="004F560D" w:rsidRPr="00715BEE" w14:paraId="450BCFC6" w14:textId="77777777" w:rsidTr="008C74D2">
        <w:trPr>
          <w:trHeight w:val="337"/>
          <w:jc w:val="center"/>
        </w:trPr>
        <w:tc>
          <w:tcPr>
            <w:tcW w:w="5059" w:type="dxa"/>
          </w:tcPr>
          <w:p w14:paraId="45135343" w14:textId="77777777" w:rsidR="004F560D" w:rsidRPr="00715BEE" w:rsidRDefault="004F560D" w:rsidP="000326BF">
            <w:pPr>
              <w:rPr>
                <w:rFonts w:cs="FrankRuehl"/>
                <w:sz w:val="28"/>
                <w:szCs w:val="28"/>
                <w:rtl/>
              </w:rPr>
            </w:pPr>
            <w:r w:rsidRPr="00715BEE">
              <w:rPr>
                <w:rFonts w:cs="FrankRuehl"/>
                <w:sz w:val="28"/>
                <w:szCs w:val="28"/>
                <w:rtl/>
              </w:rPr>
              <w:t>ת"פ</w:t>
            </w:r>
            <w:r w:rsidRPr="00715BEE">
              <w:rPr>
                <w:rFonts w:cs="FrankRuehl" w:hint="cs"/>
                <w:sz w:val="28"/>
                <w:szCs w:val="28"/>
                <w:rtl/>
              </w:rPr>
              <w:t xml:space="preserve"> </w:t>
            </w:r>
            <w:r w:rsidRPr="00715BEE">
              <w:rPr>
                <w:rFonts w:cs="FrankRuehl"/>
                <w:sz w:val="28"/>
                <w:szCs w:val="28"/>
                <w:rtl/>
              </w:rPr>
              <w:t>9986-02-22</w:t>
            </w:r>
            <w:r w:rsidRPr="00715BEE">
              <w:rPr>
                <w:rFonts w:cs="FrankRuehl" w:hint="cs"/>
                <w:sz w:val="28"/>
                <w:szCs w:val="28"/>
                <w:rtl/>
              </w:rPr>
              <w:t xml:space="preserve"> </w:t>
            </w:r>
            <w:r w:rsidRPr="00715BEE">
              <w:rPr>
                <w:rFonts w:cs="FrankRuehl"/>
                <w:sz w:val="28"/>
                <w:szCs w:val="28"/>
                <w:rtl/>
              </w:rPr>
              <w:t>מדינת ישראל נ' חמדאן(עציר) ואח'</w:t>
            </w:r>
          </w:p>
          <w:p w14:paraId="116DFF3A" w14:textId="77777777" w:rsidR="004F560D" w:rsidRPr="00715BEE" w:rsidRDefault="004F560D" w:rsidP="000326BF">
            <w:pPr>
              <w:pStyle w:val="a3"/>
              <w:rPr>
                <w:rFonts w:cs="FrankRuehl"/>
                <w:sz w:val="28"/>
                <w:szCs w:val="28"/>
                <w:rtl/>
              </w:rPr>
            </w:pPr>
          </w:p>
        </w:tc>
        <w:tc>
          <w:tcPr>
            <w:tcW w:w="3662" w:type="dxa"/>
          </w:tcPr>
          <w:p w14:paraId="43E50C0B" w14:textId="77777777" w:rsidR="004F560D" w:rsidRPr="00715BEE" w:rsidRDefault="004F560D" w:rsidP="000326BF">
            <w:pPr>
              <w:pStyle w:val="a3"/>
              <w:jc w:val="right"/>
              <w:rPr>
                <w:rFonts w:cs="FrankRuehl"/>
                <w:sz w:val="28"/>
                <w:szCs w:val="28"/>
                <w:rtl/>
              </w:rPr>
            </w:pPr>
          </w:p>
        </w:tc>
      </w:tr>
    </w:tbl>
    <w:p w14:paraId="712EA73C" w14:textId="77777777" w:rsidR="004F560D" w:rsidRPr="00715BEE" w:rsidRDefault="004F560D" w:rsidP="004F560D">
      <w:pPr>
        <w:pStyle w:val="a3"/>
        <w:rPr>
          <w:rtl/>
        </w:rPr>
      </w:pPr>
      <w:r w:rsidRPr="00715BEE">
        <w:rPr>
          <w:rFonts w:hint="cs"/>
          <w:rtl/>
        </w:rPr>
        <w:t xml:space="preserve"> </w:t>
      </w:r>
    </w:p>
    <w:p w14:paraId="25D28D81" w14:textId="77777777" w:rsidR="004F560D" w:rsidRPr="00715BEE" w:rsidRDefault="004F560D" w:rsidP="004F560D">
      <w:pPr>
        <w:rPr>
          <w:rtl/>
        </w:rPr>
      </w:pPr>
    </w:p>
    <w:p w14:paraId="198B4623" w14:textId="77777777" w:rsidR="004F560D" w:rsidRPr="00715BEE" w:rsidRDefault="004F560D" w:rsidP="004F560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F560D" w:rsidRPr="00715BEE" w14:paraId="60F6108F" w14:textId="77777777" w:rsidTr="004F560D">
        <w:trPr>
          <w:trHeight w:val="295"/>
          <w:jc w:val="center"/>
        </w:trPr>
        <w:tc>
          <w:tcPr>
            <w:tcW w:w="923" w:type="dxa"/>
            <w:tcBorders>
              <w:top w:val="nil"/>
              <w:left w:val="nil"/>
              <w:bottom w:val="nil"/>
              <w:right w:val="nil"/>
            </w:tcBorders>
            <w:shd w:val="clear" w:color="auto" w:fill="auto"/>
          </w:tcPr>
          <w:p w14:paraId="0F0E7001" w14:textId="77777777" w:rsidR="004F560D" w:rsidRPr="00715BEE" w:rsidRDefault="004F560D" w:rsidP="004F560D">
            <w:pPr>
              <w:jc w:val="both"/>
              <w:rPr>
                <w:rFonts w:ascii="David" w:hAnsi="David"/>
                <w:sz w:val="26"/>
                <w:szCs w:val="26"/>
              </w:rPr>
            </w:pPr>
            <w:r w:rsidRPr="00715BEE">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7EB8E30" w14:textId="77777777" w:rsidR="004F560D" w:rsidRPr="00715BEE" w:rsidRDefault="004F560D" w:rsidP="000326BF">
            <w:pPr>
              <w:rPr>
                <w:rFonts w:ascii="David" w:hAnsi="David"/>
                <w:b/>
                <w:bCs/>
                <w:sz w:val="26"/>
                <w:szCs w:val="26"/>
                <w:rtl/>
              </w:rPr>
            </w:pPr>
            <w:r w:rsidRPr="00715BEE">
              <w:rPr>
                <w:rFonts w:ascii="David" w:hAnsi="David"/>
                <w:b/>
                <w:bCs/>
                <w:sz w:val="26"/>
                <w:szCs w:val="26"/>
                <w:rtl/>
              </w:rPr>
              <w:t>כבוד השופטת מריה פיקוס בוגדאנוב</w:t>
            </w:r>
          </w:p>
          <w:p w14:paraId="62BA8746" w14:textId="77777777" w:rsidR="004F560D" w:rsidRPr="00715BEE" w:rsidRDefault="004F560D" w:rsidP="000326BF">
            <w:pPr>
              <w:rPr>
                <w:rFonts w:ascii="David" w:hAnsi="David"/>
                <w:sz w:val="26"/>
                <w:szCs w:val="26"/>
                <w:rtl/>
              </w:rPr>
            </w:pPr>
          </w:p>
          <w:p w14:paraId="28E47F58" w14:textId="77777777" w:rsidR="004F560D" w:rsidRPr="00715BEE" w:rsidRDefault="004F560D" w:rsidP="004F560D">
            <w:pPr>
              <w:jc w:val="both"/>
              <w:rPr>
                <w:rFonts w:ascii="David" w:hAnsi="David"/>
                <w:sz w:val="26"/>
                <w:szCs w:val="26"/>
              </w:rPr>
            </w:pPr>
          </w:p>
        </w:tc>
      </w:tr>
      <w:tr w:rsidR="004F560D" w:rsidRPr="00715BEE" w14:paraId="22419E4F" w14:textId="77777777" w:rsidTr="004F560D">
        <w:trPr>
          <w:trHeight w:val="355"/>
          <w:jc w:val="center"/>
        </w:trPr>
        <w:tc>
          <w:tcPr>
            <w:tcW w:w="923" w:type="dxa"/>
            <w:tcBorders>
              <w:top w:val="nil"/>
              <w:left w:val="nil"/>
              <w:bottom w:val="nil"/>
              <w:right w:val="nil"/>
            </w:tcBorders>
            <w:shd w:val="clear" w:color="auto" w:fill="auto"/>
          </w:tcPr>
          <w:p w14:paraId="5AE623A0" w14:textId="77777777" w:rsidR="004F560D" w:rsidRPr="00715BEE" w:rsidRDefault="004F560D" w:rsidP="004F560D">
            <w:pPr>
              <w:jc w:val="both"/>
              <w:rPr>
                <w:rFonts w:ascii="David" w:hAnsi="David"/>
                <w:sz w:val="26"/>
                <w:szCs w:val="26"/>
              </w:rPr>
            </w:pPr>
            <w:bookmarkStart w:id="1" w:name="FirstAppellant"/>
            <w:r w:rsidRPr="00715BEE">
              <w:rPr>
                <w:rFonts w:ascii="David" w:hAnsi="David"/>
                <w:sz w:val="26"/>
                <w:szCs w:val="26"/>
                <w:rtl/>
              </w:rPr>
              <w:t>בעניין:</w:t>
            </w:r>
          </w:p>
        </w:tc>
        <w:tc>
          <w:tcPr>
            <w:tcW w:w="3219" w:type="dxa"/>
            <w:tcBorders>
              <w:top w:val="nil"/>
              <w:left w:val="nil"/>
              <w:bottom w:val="nil"/>
              <w:right w:val="nil"/>
            </w:tcBorders>
            <w:shd w:val="clear" w:color="auto" w:fill="auto"/>
          </w:tcPr>
          <w:p w14:paraId="49F19D9F" w14:textId="77777777" w:rsidR="004F560D" w:rsidRPr="00715BEE" w:rsidRDefault="004F560D" w:rsidP="004F560D">
            <w:pPr>
              <w:suppressLineNumbers/>
            </w:pPr>
            <w:r w:rsidRPr="00715BEE">
              <w:rPr>
                <w:rFonts w:ascii="Arial" w:hAnsi="Arial" w:hint="cs"/>
                <w:b/>
                <w:bCs/>
                <w:sz w:val="26"/>
                <w:szCs w:val="26"/>
                <w:rtl/>
              </w:rPr>
              <w:t>ה</w:t>
            </w:r>
            <w:r w:rsidRPr="00715BEE">
              <w:rPr>
                <w:rFonts w:ascii="Arial" w:hAnsi="Arial"/>
                <w:b/>
                <w:bCs/>
                <w:sz w:val="26"/>
                <w:szCs w:val="26"/>
                <w:rtl/>
              </w:rPr>
              <w:t>מאשימה</w:t>
            </w:r>
          </w:p>
          <w:p w14:paraId="5538B733" w14:textId="77777777" w:rsidR="004F560D" w:rsidRPr="00715BEE" w:rsidRDefault="004F560D" w:rsidP="000326BF">
            <w:pPr>
              <w:rPr>
                <w:rFonts w:ascii="David" w:hAnsi="David"/>
                <w:sz w:val="26"/>
                <w:szCs w:val="26"/>
              </w:rPr>
            </w:pPr>
          </w:p>
        </w:tc>
        <w:tc>
          <w:tcPr>
            <w:tcW w:w="4678" w:type="dxa"/>
            <w:tcBorders>
              <w:top w:val="nil"/>
              <w:left w:val="nil"/>
              <w:bottom w:val="nil"/>
              <w:right w:val="nil"/>
            </w:tcBorders>
            <w:shd w:val="clear" w:color="auto" w:fill="auto"/>
            <w:vAlign w:val="center"/>
          </w:tcPr>
          <w:p w14:paraId="7BD90294" w14:textId="77777777" w:rsidR="004F560D" w:rsidRPr="00715BEE" w:rsidRDefault="004F560D" w:rsidP="004F560D">
            <w:pPr>
              <w:suppressLineNumbers/>
            </w:pPr>
            <w:r w:rsidRPr="00715BEE">
              <w:rPr>
                <w:rFonts w:ascii="Arial" w:hAnsi="Arial"/>
                <w:b/>
                <w:bCs/>
                <w:sz w:val="26"/>
                <w:szCs w:val="26"/>
                <w:rtl/>
              </w:rPr>
              <w:t>מדינת ישראל</w:t>
            </w:r>
            <w:r w:rsidRPr="00715BEE">
              <w:rPr>
                <w:rFonts w:ascii="Arial" w:hAnsi="Arial" w:hint="cs"/>
                <w:b/>
                <w:bCs/>
                <w:sz w:val="26"/>
                <w:szCs w:val="26"/>
                <w:rtl/>
              </w:rPr>
              <w:t xml:space="preserve"> </w:t>
            </w:r>
          </w:p>
          <w:p w14:paraId="4F44ECEA" w14:textId="77777777" w:rsidR="004F560D" w:rsidRPr="00715BEE" w:rsidRDefault="004F560D" w:rsidP="000326BF">
            <w:pPr>
              <w:rPr>
                <w:rFonts w:ascii="David" w:hAnsi="David"/>
                <w:sz w:val="26"/>
                <w:szCs w:val="26"/>
              </w:rPr>
            </w:pPr>
          </w:p>
        </w:tc>
      </w:tr>
      <w:bookmarkEnd w:id="1"/>
      <w:tr w:rsidR="004F560D" w:rsidRPr="00715BEE" w14:paraId="0D9EFC91" w14:textId="77777777" w:rsidTr="004F560D">
        <w:trPr>
          <w:trHeight w:val="355"/>
          <w:jc w:val="center"/>
        </w:trPr>
        <w:tc>
          <w:tcPr>
            <w:tcW w:w="923" w:type="dxa"/>
            <w:tcBorders>
              <w:top w:val="nil"/>
              <w:left w:val="nil"/>
              <w:bottom w:val="nil"/>
              <w:right w:val="nil"/>
            </w:tcBorders>
            <w:shd w:val="clear" w:color="auto" w:fill="auto"/>
          </w:tcPr>
          <w:p w14:paraId="4A62F33F" w14:textId="77777777" w:rsidR="004F560D" w:rsidRPr="00715BEE" w:rsidRDefault="004F560D" w:rsidP="004F560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11A9AB7" w14:textId="77777777" w:rsidR="004F560D" w:rsidRPr="00715BEE" w:rsidRDefault="004F560D" w:rsidP="004F560D">
            <w:pPr>
              <w:jc w:val="center"/>
              <w:rPr>
                <w:rFonts w:ascii="David" w:hAnsi="David"/>
                <w:b/>
                <w:bCs/>
                <w:sz w:val="26"/>
                <w:szCs w:val="26"/>
                <w:rtl/>
              </w:rPr>
            </w:pPr>
          </w:p>
          <w:p w14:paraId="04AE4EBA" w14:textId="77777777" w:rsidR="004F560D" w:rsidRPr="00715BEE" w:rsidRDefault="004F560D" w:rsidP="004F560D">
            <w:pPr>
              <w:jc w:val="center"/>
              <w:rPr>
                <w:rFonts w:ascii="David" w:hAnsi="David"/>
                <w:b/>
                <w:bCs/>
                <w:sz w:val="26"/>
                <w:szCs w:val="26"/>
                <w:rtl/>
              </w:rPr>
            </w:pPr>
            <w:r w:rsidRPr="00715BEE">
              <w:rPr>
                <w:rFonts w:ascii="David" w:hAnsi="David"/>
                <w:b/>
                <w:bCs/>
                <w:sz w:val="26"/>
                <w:szCs w:val="26"/>
                <w:rtl/>
              </w:rPr>
              <w:t>נגד</w:t>
            </w:r>
          </w:p>
          <w:p w14:paraId="2E0EECCB" w14:textId="77777777" w:rsidR="004F560D" w:rsidRPr="00715BEE" w:rsidRDefault="004F560D" w:rsidP="004F560D">
            <w:pPr>
              <w:jc w:val="both"/>
              <w:rPr>
                <w:rFonts w:ascii="David" w:hAnsi="David"/>
                <w:sz w:val="26"/>
                <w:szCs w:val="26"/>
              </w:rPr>
            </w:pPr>
          </w:p>
        </w:tc>
      </w:tr>
      <w:tr w:rsidR="004F560D" w:rsidRPr="00715BEE" w14:paraId="5623C58B" w14:textId="77777777" w:rsidTr="004F560D">
        <w:trPr>
          <w:trHeight w:val="355"/>
          <w:jc w:val="center"/>
        </w:trPr>
        <w:tc>
          <w:tcPr>
            <w:tcW w:w="923" w:type="dxa"/>
            <w:tcBorders>
              <w:top w:val="nil"/>
              <w:left w:val="nil"/>
              <w:bottom w:val="nil"/>
              <w:right w:val="nil"/>
            </w:tcBorders>
            <w:shd w:val="clear" w:color="auto" w:fill="auto"/>
          </w:tcPr>
          <w:p w14:paraId="274C11D5" w14:textId="77777777" w:rsidR="004F560D" w:rsidRPr="00715BEE" w:rsidRDefault="004F560D" w:rsidP="000326BF">
            <w:pPr>
              <w:rPr>
                <w:rFonts w:ascii="David" w:hAnsi="David"/>
                <w:sz w:val="26"/>
                <w:szCs w:val="26"/>
                <w:rtl/>
              </w:rPr>
            </w:pPr>
          </w:p>
        </w:tc>
        <w:tc>
          <w:tcPr>
            <w:tcW w:w="3219" w:type="dxa"/>
            <w:tcBorders>
              <w:top w:val="nil"/>
              <w:left w:val="nil"/>
              <w:bottom w:val="nil"/>
              <w:right w:val="nil"/>
            </w:tcBorders>
            <w:shd w:val="clear" w:color="auto" w:fill="auto"/>
          </w:tcPr>
          <w:p w14:paraId="2C54D2F9" w14:textId="77777777" w:rsidR="004F560D" w:rsidRPr="00715BEE" w:rsidRDefault="004F560D" w:rsidP="000326BF">
            <w:pPr>
              <w:rPr>
                <w:rFonts w:ascii="Arial" w:hAnsi="Arial"/>
                <w:b/>
                <w:bCs/>
                <w:sz w:val="26"/>
                <w:szCs w:val="26"/>
                <w:rtl/>
              </w:rPr>
            </w:pPr>
            <w:r w:rsidRPr="00715BEE">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4D2E75F2" w14:textId="77777777" w:rsidR="004F560D" w:rsidRPr="00715BEE" w:rsidRDefault="004F560D" w:rsidP="000326BF">
            <w:pPr>
              <w:rPr>
                <w:rFonts w:ascii="David" w:hAnsi="David"/>
                <w:sz w:val="26"/>
                <w:szCs w:val="26"/>
              </w:rPr>
            </w:pPr>
          </w:p>
          <w:p w14:paraId="0A6F9671" w14:textId="77777777" w:rsidR="004F560D" w:rsidRPr="00715BEE" w:rsidRDefault="004F560D" w:rsidP="004F560D">
            <w:pPr>
              <w:suppressLineNumbers/>
            </w:pPr>
            <w:r w:rsidRPr="00715BEE">
              <w:rPr>
                <w:rFonts w:ascii="Arial" w:hAnsi="Arial"/>
                <w:b/>
                <w:bCs/>
                <w:sz w:val="26"/>
                <w:szCs w:val="26"/>
                <w:rtl/>
              </w:rPr>
              <w:t>1. טארק חמדאן (עציר)</w:t>
            </w:r>
            <w:r w:rsidRPr="00715BEE">
              <w:rPr>
                <w:rFonts w:ascii="Arial" w:hAnsi="Arial" w:hint="cs"/>
                <w:b/>
                <w:bCs/>
                <w:sz w:val="26"/>
                <w:szCs w:val="26"/>
                <w:rtl/>
              </w:rPr>
              <w:t xml:space="preserve"> </w:t>
            </w:r>
          </w:p>
          <w:p w14:paraId="75EB1223" w14:textId="77777777" w:rsidR="004F560D" w:rsidRPr="00715BEE" w:rsidRDefault="004F560D" w:rsidP="004F560D">
            <w:pPr>
              <w:suppressLineNumbers/>
            </w:pPr>
            <w:r w:rsidRPr="00715BEE">
              <w:rPr>
                <w:rFonts w:ascii="Arial" w:hAnsi="Arial"/>
                <w:b/>
                <w:bCs/>
                <w:sz w:val="26"/>
                <w:szCs w:val="26"/>
                <w:rtl/>
              </w:rPr>
              <w:t>2. ענאד כרום</w:t>
            </w:r>
            <w:r w:rsidRPr="00715BEE">
              <w:rPr>
                <w:rFonts w:ascii="Arial" w:hAnsi="Arial" w:hint="cs"/>
                <w:b/>
                <w:bCs/>
                <w:sz w:val="26"/>
                <w:szCs w:val="26"/>
                <w:rtl/>
              </w:rPr>
              <w:t xml:space="preserve"> </w:t>
            </w:r>
          </w:p>
        </w:tc>
      </w:tr>
    </w:tbl>
    <w:p w14:paraId="355E5703" w14:textId="77777777" w:rsidR="005960F8" w:rsidRPr="005960F8" w:rsidRDefault="005960F8" w:rsidP="005960F8">
      <w:pPr>
        <w:spacing w:before="120" w:after="120" w:line="240" w:lineRule="exact"/>
        <w:ind w:left="283" w:hanging="283"/>
        <w:jc w:val="both"/>
        <w:rPr>
          <w:rFonts w:ascii="FrankRuehl" w:hAnsi="FrankRuehl" w:cs="FrankRuehl"/>
          <w:rtl/>
        </w:rPr>
      </w:pPr>
    </w:p>
    <w:p w14:paraId="7F3CEF0B" w14:textId="77777777" w:rsidR="009B429F" w:rsidRDefault="009B429F" w:rsidP="009B429F">
      <w:pPr>
        <w:rPr>
          <w:sz w:val="26"/>
          <w:szCs w:val="26"/>
          <w:rtl/>
        </w:rPr>
      </w:pPr>
      <w:bookmarkStart w:id="2" w:name="LawTable"/>
      <w:bookmarkEnd w:id="2"/>
    </w:p>
    <w:p w14:paraId="5FAB7AD8" w14:textId="77777777" w:rsidR="009B429F" w:rsidRPr="009B429F" w:rsidRDefault="009B429F" w:rsidP="009B429F">
      <w:pPr>
        <w:spacing w:before="120" w:after="120" w:line="240" w:lineRule="exact"/>
        <w:ind w:left="283" w:hanging="283"/>
        <w:jc w:val="both"/>
        <w:rPr>
          <w:rFonts w:ascii="FrankRuehl" w:hAnsi="FrankRuehl" w:cs="FrankRuehl"/>
          <w:rtl/>
        </w:rPr>
      </w:pPr>
    </w:p>
    <w:p w14:paraId="5094A86E" w14:textId="77777777" w:rsidR="009B429F" w:rsidRPr="009B429F" w:rsidRDefault="009B429F" w:rsidP="009B429F">
      <w:pPr>
        <w:spacing w:before="120" w:after="120" w:line="240" w:lineRule="exact"/>
        <w:ind w:left="283" w:hanging="283"/>
        <w:jc w:val="both"/>
        <w:rPr>
          <w:rFonts w:ascii="FrankRuehl" w:hAnsi="FrankRuehl" w:cs="FrankRuehl"/>
          <w:rtl/>
        </w:rPr>
      </w:pPr>
    </w:p>
    <w:p w14:paraId="720E5661" w14:textId="77777777" w:rsidR="009B429F" w:rsidRPr="009B429F" w:rsidRDefault="009B429F" w:rsidP="009B429F">
      <w:pPr>
        <w:spacing w:before="120" w:after="120" w:line="240" w:lineRule="exact"/>
        <w:ind w:left="283" w:hanging="283"/>
        <w:jc w:val="both"/>
        <w:rPr>
          <w:rFonts w:ascii="FrankRuehl" w:hAnsi="FrankRuehl" w:cs="FrankRuehl"/>
          <w:rtl/>
        </w:rPr>
      </w:pPr>
      <w:r w:rsidRPr="009B429F">
        <w:rPr>
          <w:rFonts w:ascii="FrankRuehl" w:hAnsi="FrankRuehl" w:cs="FrankRuehl"/>
          <w:rtl/>
        </w:rPr>
        <w:t xml:space="preserve">חקיקה שאוזכרה: </w:t>
      </w:r>
    </w:p>
    <w:p w14:paraId="2B14BFF3" w14:textId="77777777" w:rsidR="009B429F" w:rsidRPr="009B429F" w:rsidRDefault="009B429F" w:rsidP="009B429F">
      <w:pPr>
        <w:spacing w:before="120" w:after="120" w:line="240" w:lineRule="exact"/>
        <w:ind w:left="283" w:hanging="283"/>
        <w:jc w:val="both"/>
        <w:rPr>
          <w:rFonts w:ascii="FrankRuehl" w:hAnsi="FrankRuehl" w:cs="FrankRuehl"/>
          <w:rtl/>
        </w:rPr>
      </w:pPr>
      <w:hyperlink r:id="rId7" w:history="1">
        <w:r w:rsidRPr="009B429F">
          <w:rPr>
            <w:rFonts w:ascii="FrankRuehl" w:hAnsi="FrankRuehl" w:cs="FrankRuehl"/>
            <w:color w:val="0000FF"/>
            <w:rtl/>
          </w:rPr>
          <w:t>חוק העונשין, תשל"ז-1977</w:t>
        </w:r>
      </w:hyperlink>
      <w:r w:rsidRPr="009B429F">
        <w:rPr>
          <w:rFonts w:ascii="FrankRuehl" w:hAnsi="FrankRuehl" w:cs="FrankRuehl"/>
          <w:rtl/>
        </w:rPr>
        <w:t xml:space="preserve">: סע'  </w:t>
      </w:r>
      <w:hyperlink r:id="rId8" w:history="1">
        <w:r w:rsidRPr="009B429F">
          <w:rPr>
            <w:rFonts w:ascii="FrankRuehl" w:hAnsi="FrankRuehl" w:cs="FrankRuehl"/>
            <w:color w:val="0000FF"/>
            <w:rtl/>
          </w:rPr>
          <w:t>25</w:t>
        </w:r>
      </w:hyperlink>
      <w:r w:rsidRPr="009B429F">
        <w:rPr>
          <w:rFonts w:ascii="FrankRuehl" w:hAnsi="FrankRuehl" w:cs="FrankRuehl"/>
          <w:rtl/>
        </w:rPr>
        <w:t xml:space="preserve">, </w:t>
      </w:r>
      <w:hyperlink r:id="rId9" w:history="1">
        <w:r w:rsidRPr="009B429F">
          <w:rPr>
            <w:rFonts w:ascii="FrankRuehl" w:hAnsi="FrankRuehl" w:cs="FrankRuehl"/>
            <w:color w:val="0000FF"/>
            <w:rtl/>
          </w:rPr>
          <w:t>29</w:t>
        </w:r>
      </w:hyperlink>
      <w:r w:rsidRPr="009B429F">
        <w:rPr>
          <w:rFonts w:ascii="FrankRuehl" w:hAnsi="FrankRuehl" w:cs="FrankRuehl"/>
          <w:rtl/>
        </w:rPr>
        <w:t xml:space="preserve">, </w:t>
      </w:r>
      <w:hyperlink r:id="rId10" w:history="1">
        <w:r w:rsidRPr="009B429F">
          <w:rPr>
            <w:rFonts w:ascii="FrankRuehl" w:hAnsi="FrankRuehl" w:cs="FrankRuehl"/>
            <w:color w:val="0000FF"/>
            <w:rtl/>
          </w:rPr>
          <w:t>40ג(א)</w:t>
        </w:r>
      </w:hyperlink>
      <w:r w:rsidRPr="009B429F">
        <w:rPr>
          <w:rFonts w:ascii="FrankRuehl" w:hAnsi="FrankRuehl" w:cs="FrankRuehl"/>
          <w:rtl/>
        </w:rPr>
        <w:t xml:space="preserve">, </w:t>
      </w:r>
      <w:hyperlink r:id="rId11" w:history="1">
        <w:r w:rsidRPr="009B429F">
          <w:rPr>
            <w:rFonts w:ascii="FrankRuehl" w:hAnsi="FrankRuehl" w:cs="FrankRuehl"/>
            <w:color w:val="0000FF"/>
            <w:rtl/>
          </w:rPr>
          <w:t>144(א)</w:t>
        </w:r>
      </w:hyperlink>
      <w:r w:rsidRPr="009B429F">
        <w:rPr>
          <w:rFonts w:ascii="FrankRuehl" w:hAnsi="FrankRuehl" w:cs="FrankRuehl"/>
          <w:rtl/>
        </w:rPr>
        <w:t xml:space="preserve">, </w:t>
      </w:r>
      <w:hyperlink r:id="rId12" w:history="1">
        <w:r w:rsidRPr="009B429F">
          <w:rPr>
            <w:rFonts w:ascii="FrankRuehl" w:hAnsi="FrankRuehl" w:cs="FrankRuehl"/>
            <w:color w:val="0000FF"/>
            <w:rtl/>
          </w:rPr>
          <w:t>242</w:t>
        </w:r>
      </w:hyperlink>
      <w:r w:rsidRPr="009B429F">
        <w:rPr>
          <w:rFonts w:ascii="FrankRuehl" w:hAnsi="FrankRuehl" w:cs="FrankRuehl"/>
          <w:rtl/>
        </w:rPr>
        <w:t xml:space="preserve">, </w:t>
      </w:r>
      <w:hyperlink r:id="rId13" w:history="1">
        <w:r w:rsidRPr="009B429F">
          <w:rPr>
            <w:rFonts w:ascii="FrankRuehl" w:hAnsi="FrankRuehl" w:cs="FrankRuehl"/>
            <w:color w:val="0000FF"/>
            <w:rtl/>
          </w:rPr>
          <w:t>244</w:t>
        </w:r>
      </w:hyperlink>
    </w:p>
    <w:p w14:paraId="561498BB" w14:textId="77777777" w:rsidR="009B429F" w:rsidRPr="009B429F" w:rsidRDefault="009B429F" w:rsidP="009B429F">
      <w:pPr>
        <w:rPr>
          <w:sz w:val="26"/>
          <w:szCs w:val="26"/>
          <w:rtl/>
        </w:rPr>
      </w:pPr>
      <w:bookmarkStart w:id="3" w:name="LawTable_End"/>
      <w:bookmarkEnd w:id="3"/>
    </w:p>
    <w:p w14:paraId="6F341466" w14:textId="77777777" w:rsidR="004F560D" w:rsidRPr="005960F8" w:rsidRDefault="004F560D" w:rsidP="005960F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560D" w14:paraId="008F2938" w14:textId="77777777" w:rsidTr="004F560D">
        <w:trPr>
          <w:trHeight w:val="355"/>
          <w:jc w:val="center"/>
        </w:trPr>
        <w:tc>
          <w:tcPr>
            <w:tcW w:w="8820" w:type="dxa"/>
            <w:tcBorders>
              <w:top w:val="nil"/>
              <w:left w:val="nil"/>
              <w:bottom w:val="nil"/>
              <w:right w:val="nil"/>
            </w:tcBorders>
            <w:shd w:val="clear" w:color="auto" w:fill="auto"/>
          </w:tcPr>
          <w:p w14:paraId="3BFF7E6C" w14:textId="77777777" w:rsidR="00715BEE" w:rsidRPr="00715BEE" w:rsidRDefault="00715BEE" w:rsidP="00715BEE">
            <w:pPr>
              <w:jc w:val="center"/>
              <w:rPr>
                <w:rFonts w:ascii="David" w:hAnsi="David"/>
                <w:b/>
                <w:bCs/>
                <w:sz w:val="32"/>
                <w:szCs w:val="32"/>
                <w:u w:val="single"/>
                <w:rtl/>
              </w:rPr>
            </w:pPr>
            <w:bookmarkStart w:id="4" w:name="PsakDin" w:colFirst="0" w:colLast="0"/>
            <w:bookmarkEnd w:id="0"/>
            <w:r w:rsidRPr="00715BEE">
              <w:rPr>
                <w:rFonts w:ascii="David" w:hAnsi="David"/>
                <w:b/>
                <w:bCs/>
                <w:sz w:val="32"/>
                <w:szCs w:val="32"/>
                <w:u w:val="single"/>
                <w:rtl/>
              </w:rPr>
              <w:t>גזר דין</w:t>
            </w:r>
          </w:p>
          <w:p w14:paraId="53A1C854" w14:textId="77777777" w:rsidR="004F560D" w:rsidRPr="00715BEE" w:rsidRDefault="004F560D" w:rsidP="00715BEE">
            <w:pPr>
              <w:jc w:val="center"/>
              <w:rPr>
                <w:rFonts w:ascii="David" w:hAnsi="David"/>
                <w:bCs/>
                <w:sz w:val="32"/>
                <w:szCs w:val="32"/>
                <w:u w:val="single"/>
                <w:rtl/>
              </w:rPr>
            </w:pPr>
          </w:p>
        </w:tc>
      </w:tr>
      <w:bookmarkEnd w:id="4"/>
    </w:tbl>
    <w:p w14:paraId="0F2CEFA3" w14:textId="77777777" w:rsidR="004F560D" w:rsidRPr="000F2247" w:rsidRDefault="004F560D" w:rsidP="004F560D">
      <w:pPr>
        <w:rPr>
          <w:rFonts w:ascii="Arial" w:hAnsi="Arial"/>
          <w:b/>
          <w:bCs/>
          <w:sz w:val="26"/>
          <w:szCs w:val="26"/>
          <w:rtl/>
        </w:rPr>
      </w:pPr>
    </w:p>
    <w:p w14:paraId="49F1ECB9" w14:textId="77777777" w:rsidR="004F560D" w:rsidRDefault="004F560D" w:rsidP="004F560D">
      <w:pPr>
        <w:spacing w:before="120" w:line="360" w:lineRule="auto"/>
        <w:jc w:val="both"/>
      </w:pPr>
      <w:bookmarkStart w:id="5" w:name="ABSTRACT_START"/>
      <w:bookmarkEnd w:id="5"/>
      <w:r>
        <w:rPr>
          <w:rFonts w:hint="cs"/>
          <w:rtl/>
        </w:rPr>
        <w:t>בתאריך 22.11.22 הורשעו הנאשמים, בהתאם להודאתם, בעובדות כתב האישום המתוקן (במ/1), ובביצוע העבירות הבאות:</w:t>
      </w:r>
    </w:p>
    <w:p w14:paraId="61135680" w14:textId="77777777" w:rsidR="004F560D" w:rsidRDefault="004F560D" w:rsidP="004F560D">
      <w:pPr>
        <w:spacing w:before="120" w:line="360" w:lineRule="auto"/>
        <w:jc w:val="both"/>
        <w:rPr>
          <w:rtl/>
        </w:rPr>
      </w:pPr>
      <w:r>
        <w:rPr>
          <w:rFonts w:hint="cs"/>
          <w:rtl/>
        </w:rPr>
        <w:t xml:space="preserve">נאשם 1 הורשע בעבירות של החזקת נשק בניגוד </w:t>
      </w:r>
      <w:hyperlink r:id="rId14" w:history="1">
        <w:r w:rsidR="008C74D2" w:rsidRPr="008C74D2">
          <w:rPr>
            <w:rStyle w:val="Hyperlink"/>
            <w:rFonts w:hint="eastAsia"/>
            <w:rtl/>
          </w:rPr>
          <w:t>לסעיף</w:t>
        </w:r>
        <w:r w:rsidR="008C74D2" w:rsidRPr="008C74D2">
          <w:rPr>
            <w:rStyle w:val="Hyperlink"/>
            <w:rtl/>
          </w:rPr>
          <w:t xml:space="preserve"> 144(א)</w:t>
        </w:r>
      </w:hyperlink>
      <w:r>
        <w:rPr>
          <w:rFonts w:hint="cs"/>
          <w:rtl/>
        </w:rPr>
        <w:t xml:space="preserve"> רישא ל</w:t>
      </w:r>
      <w:hyperlink r:id="rId15" w:history="1">
        <w:r w:rsidR="00715BEE" w:rsidRPr="00715BEE">
          <w:rPr>
            <w:color w:val="0000FF"/>
            <w:u w:val="single"/>
            <w:rtl/>
          </w:rPr>
          <w:t>חוק העונשין</w:t>
        </w:r>
      </w:hyperlink>
      <w:r>
        <w:rPr>
          <w:rFonts w:hint="cs"/>
          <w:rtl/>
        </w:rPr>
        <w:t>, תשל"ז-1977 (להלן: "</w:t>
      </w:r>
      <w:r>
        <w:rPr>
          <w:rFonts w:hint="cs"/>
          <w:b/>
          <w:bCs/>
          <w:rtl/>
        </w:rPr>
        <w:t>חוק העונשין</w:t>
      </w:r>
      <w:r>
        <w:rPr>
          <w:rFonts w:hint="cs"/>
          <w:rtl/>
        </w:rPr>
        <w:t xml:space="preserve">"), החזקת נשק בניגוד </w:t>
      </w:r>
      <w:hyperlink r:id="rId16" w:history="1">
        <w:r w:rsidR="008C74D2" w:rsidRPr="008C74D2">
          <w:rPr>
            <w:rStyle w:val="Hyperlink"/>
            <w:rFonts w:hint="eastAsia"/>
            <w:rtl/>
          </w:rPr>
          <w:t>לסעיף</w:t>
        </w:r>
        <w:r w:rsidR="008C74D2" w:rsidRPr="008C74D2">
          <w:rPr>
            <w:rStyle w:val="Hyperlink"/>
            <w:rtl/>
          </w:rPr>
          <w:t xml:space="preserve"> 144(א)</w:t>
        </w:r>
      </w:hyperlink>
      <w:r>
        <w:rPr>
          <w:rFonts w:hint="cs"/>
          <w:rtl/>
        </w:rPr>
        <w:t xml:space="preserve"> סיפא + </w:t>
      </w:r>
      <w:hyperlink r:id="rId17" w:history="1">
        <w:r w:rsidR="008C74D2" w:rsidRPr="008C74D2">
          <w:rPr>
            <w:rStyle w:val="Hyperlink"/>
            <w:rFonts w:hint="eastAsia"/>
            <w:rtl/>
          </w:rPr>
          <w:t>סעיף</w:t>
        </w:r>
        <w:r w:rsidR="008C74D2" w:rsidRPr="008C74D2">
          <w:rPr>
            <w:rStyle w:val="Hyperlink"/>
            <w:rtl/>
          </w:rPr>
          <w:t xml:space="preserve"> 29</w:t>
        </w:r>
      </w:hyperlink>
      <w:r>
        <w:rPr>
          <w:rFonts w:hint="cs"/>
          <w:rtl/>
        </w:rPr>
        <w:t xml:space="preserve"> לחוק העונשין, ניסיון השמדת ראיה בניגוד </w:t>
      </w:r>
      <w:hyperlink r:id="rId18" w:history="1">
        <w:r w:rsidR="008C74D2" w:rsidRPr="008C74D2">
          <w:rPr>
            <w:rStyle w:val="Hyperlink"/>
            <w:rFonts w:hint="eastAsia"/>
            <w:rtl/>
          </w:rPr>
          <w:t>לסעיף</w:t>
        </w:r>
        <w:r w:rsidR="008C74D2" w:rsidRPr="008C74D2">
          <w:rPr>
            <w:rStyle w:val="Hyperlink"/>
            <w:rtl/>
          </w:rPr>
          <w:t xml:space="preserve"> 242</w:t>
        </w:r>
      </w:hyperlink>
      <w:r>
        <w:rPr>
          <w:rFonts w:hint="cs"/>
          <w:rtl/>
        </w:rPr>
        <w:t xml:space="preserve"> + </w:t>
      </w:r>
      <w:hyperlink r:id="rId19" w:history="1">
        <w:r w:rsidR="008C74D2" w:rsidRPr="008C74D2">
          <w:rPr>
            <w:rStyle w:val="Hyperlink"/>
            <w:rFonts w:hint="eastAsia"/>
            <w:rtl/>
          </w:rPr>
          <w:t>סעיף</w:t>
        </w:r>
        <w:r w:rsidR="008C74D2" w:rsidRPr="008C74D2">
          <w:rPr>
            <w:rStyle w:val="Hyperlink"/>
            <w:rtl/>
          </w:rPr>
          <w:t xml:space="preserve"> 25</w:t>
        </w:r>
      </w:hyperlink>
      <w:r>
        <w:rPr>
          <w:rFonts w:hint="cs"/>
          <w:rtl/>
        </w:rPr>
        <w:t xml:space="preserve"> לחוק העונשין, ושיבוש הליכי משפט בניגוד </w:t>
      </w:r>
      <w:hyperlink r:id="rId20" w:history="1">
        <w:r w:rsidR="008C74D2" w:rsidRPr="008C74D2">
          <w:rPr>
            <w:rStyle w:val="Hyperlink"/>
            <w:rFonts w:hint="eastAsia"/>
            <w:rtl/>
          </w:rPr>
          <w:t>לסעיף</w:t>
        </w:r>
        <w:r w:rsidR="008C74D2" w:rsidRPr="008C74D2">
          <w:rPr>
            <w:rStyle w:val="Hyperlink"/>
            <w:rtl/>
          </w:rPr>
          <w:t xml:space="preserve"> 244</w:t>
        </w:r>
      </w:hyperlink>
      <w:r>
        <w:rPr>
          <w:rFonts w:hint="cs"/>
          <w:rtl/>
        </w:rPr>
        <w:t xml:space="preserve"> לחוק העונשין.</w:t>
      </w:r>
    </w:p>
    <w:p w14:paraId="3DEA5434" w14:textId="77777777" w:rsidR="004F560D" w:rsidRDefault="004F560D" w:rsidP="004F560D">
      <w:pPr>
        <w:spacing w:before="120" w:line="360" w:lineRule="auto"/>
        <w:jc w:val="both"/>
        <w:rPr>
          <w:rtl/>
        </w:rPr>
      </w:pPr>
      <w:r>
        <w:rPr>
          <w:rFonts w:hint="cs"/>
          <w:rtl/>
        </w:rPr>
        <w:t xml:space="preserve">נאשם 2 הורשע בעבירות של החזקת נשק בניגוד </w:t>
      </w:r>
      <w:hyperlink r:id="rId21" w:history="1">
        <w:r w:rsidR="008C74D2" w:rsidRPr="008C74D2">
          <w:rPr>
            <w:rStyle w:val="Hyperlink"/>
            <w:rFonts w:hint="eastAsia"/>
            <w:rtl/>
          </w:rPr>
          <w:t>לסעיף</w:t>
        </w:r>
        <w:r w:rsidR="008C74D2" w:rsidRPr="008C74D2">
          <w:rPr>
            <w:rStyle w:val="Hyperlink"/>
            <w:rtl/>
          </w:rPr>
          <w:t xml:space="preserve"> 144(א)</w:t>
        </w:r>
      </w:hyperlink>
      <w:r>
        <w:rPr>
          <w:rFonts w:hint="cs"/>
          <w:rtl/>
        </w:rPr>
        <w:t xml:space="preserve"> רישא + סיפא ל</w:t>
      </w:r>
      <w:hyperlink r:id="rId22" w:history="1">
        <w:r w:rsidR="00715BEE" w:rsidRPr="00715BEE">
          <w:rPr>
            <w:color w:val="0000FF"/>
            <w:u w:val="single"/>
            <w:rtl/>
          </w:rPr>
          <w:t>חוק העונשין</w:t>
        </w:r>
      </w:hyperlink>
      <w:r>
        <w:rPr>
          <w:rFonts w:hint="cs"/>
          <w:rtl/>
        </w:rPr>
        <w:t xml:space="preserve">, והחזקת נשק בניגוד </w:t>
      </w:r>
      <w:hyperlink r:id="rId23" w:history="1">
        <w:r w:rsidR="008C74D2" w:rsidRPr="008C74D2">
          <w:rPr>
            <w:rStyle w:val="Hyperlink"/>
            <w:rFonts w:hint="eastAsia"/>
            <w:rtl/>
          </w:rPr>
          <w:t>לסעיף</w:t>
        </w:r>
        <w:r w:rsidR="008C74D2" w:rsidRPr="008C74D2">
          <w:rPr>
            <w:rStyle w:val="Hyperlink"/>
            <w:rtl/>
          </w:rPr>
          <w:t xml:space="preserve"> 144(א)</w:t>
        </w:r>
      </w:hyperlink>
      <w:r>
        <w:rPr>
          <w:rFonts w:hint="cs"/>
          <w:rtl/>
        </w:rPr>
        <w:t xml:space="preserve"> סיפא + </w:t>
      </w:r>
      <w:hyperlink r:id="rId24" w:history="1">
        <w:r w:rsidR="008C74D2" w:rsidRPr="008C74D2">
          <w:rPr>
            <w:rStyle w:val="Hyperlink"/>
            <w:rFonts w:hint="eastAsia"/>
            <w:rtl/>
          </w:rPr>
          <w:t>סעיף</w:t>
        </w:r>
        <w:r w:rsidR="008C74D2" w:rsidRPr="008C74D2">
          <w:rPr>
            <w:rStyle w:val="Hyperlink"/>
            <w:rtl/>
          </w:rPr>
          <w:t xml:space="preserve"> 29</w:t>
        </w:r>
      </w:hyperlink>
      <w:r>
        <w:rPr>
          <w:rFonts w:hint="cs"/>
          <w:rtl/>
        </w:rPr>
        <w:t xml:space="preserve"> לחוק העונשין. </w:t>
      </w:r>
    </w:p>
    <w:p w14:paraId="61AD115A" w14:textId="77777777" w:rsidR="004F560D" w:rsidRDefault="004F560D" w:rsidP="004F560D">
      <w:pPr>
        <w:spacing w:line="360" w:lineRule="auto"/>
        <w:jc w:val="both"/>
        <w:rPr>
          <w:rtl/>
        </w:rPr>
      </w:pPr>
    </w:p>
    <w:p w14:paraId="477F87F4" w14:textId="77777777" w:rsidR="004F560D" w:rsidRDefault="004F560D" w:rsidP="004F560D">
      <w:pPr>
        <w:spacing w:line="360" w:lineRule="auto"/>
        <w:jc w:val="both"/>
        <w:rPr>
          <w:rtl/>
        </w:rPr>
      </w:pPr>
      <w:r>
        <w:rPr>
          <w:rFonts w:hint="cs"/>
          <w:rtl/>
        </w:rPr>
        <w:t xml:space="preserve">בטרם טיעונים לעונש, הופנה נאשם 2 לקבלת תסקיר שירות המבחן, מחמת גילו. </w:t>
      </w:r>
    </w:p>
    <w:p w14:paraId="028F88D1" w14:textId="77777777" w:rsidR="004F560D" w:rsidRDefault="004F560D" w:rsidP="004F560D">
      <w:pPr>
        <w:spacing w:line="360" w:lineRule="auto"/>
        <w:jc w:val="both"/>
        <w:rPr>
          <w:rtl/>
        </w:rPr>
      </w:pPr>
      <w:r>
        <w:rPr>
          <w:rFonts w:hint="cs"/>
          <w:rtl/>
        </w:rPr>
        <w:t xml:space="preserve"> </w:t>
      </w:r>
    </w:p>
    <w:p w14:paraId="57805FFD" w14:textId="77777777" w:rsidR="004F560D" w:rsidRDefault="004F560D" w:rsidP="004F560D">
      <w:pPr>
        <w:spacing w:before="120" w:line="360" w:lineRule="auto"/>
        <w:rPr>
          <w:b/>
          <w:bCs/>
          <w:rtl/>
        </w:rPr>
      </w:pPr>
      <w:bookmarkStart w:id="6" w:name="ABSTRACT_END"/>
      <w:bookmarkEnd w:id="6"/>
      <w:r>
        <w:rPr>
          <w:rFonts w:hint="cs"/>
          <w:b/>
          <w:bCs/>
          <w:rtl/>
        </w:rPr>
        <w:lastRenderedPageBreak/>
        <w:t>עובדות כתב האישום המתוקן בו הורשעו הנאשמים:</w:t>
      </w:r>
    </w:p>
    <w:p w14:paraId="72EF513D" w14:textId="77777777" w:rsidR="004F560D" w:rsidRDefault="004F560D" w:rsidP="004F560D">
      <w:pPr>
        <w:spacing w:before="120" w:line="360" w:lineRule="auto"/>
        <w:rPr>
          <w:u w:val="single"/>
          <w:rtl/>
        </w:rPr>
      </w:pPr>
      <w:r>
        <w:rPr>
          <w:rFonts w:hint="cs"/>
          <w:u w:val="single"/>
          <w:rtl/>
        </w:rPr>
        <w:t>אישום 1 (לגבי שני הנאשמים)</w:t>
      </w:r>
      <w:r>
        <w:rPr>
          <w:rFonts w:hint="cs"/>
          <w:rtl/>
        </w:rPr>
        <w:t>:</w:t>
      </w:r>
    </w:p>
    <w:p w14:paraId="620C8A51" w14:textId="77777777" w:rsidR="004F560D" w:rsidRDefault="004F560D" w:rsidP="004F560D">
      <w:pPr>
        <w:spacing w:before="120" w:line="360" w:lineRule="auto"/>
        <w:jc w:val="both"/>
        <w:rPr>
          <w:rtl/>
        </w:rPr>
      </w:pPr>
      <w:r>
        <w:rPr>
          <w:rFonts w:hint="cs"/>
          <w:rtl/>
        </w:rPr>
        <w:t>תאופיק כרום (להלן: "</w:t>
      </w:r>
      <w:r>
        <w:rPr>
          <w:rFonts w:hint="cs"/>
          <w:b/>
          <w:bCs/>
          <w:rtl/>
        </w:rPr>
        <w:t>תאופיק</w:t>
      </w:r>
      <w:r>
        <w:rPr>
          <w:rFonts w:hint="cs"/>
          <w:rtl/>
        </w:rPr>
        <w:t>") הוא אביו של נאשם 2, ובבעלותו חלקת אדמה שנמצאת סמוך לכפר ראמה (להלן: "</w:t>
      </w:r>
      <w:r>
        <w:rPr>
          <w:rFonts w:hint="cs"/>
          <w:b/>
          <w:bCs/>
          <w:rtl/>
        </w:rPr>
        <w:t>החלקה</w:t>
      </w:r>
      <w:r>
        <w:rPr>
          <w:rFonts w:hint="cs"/>
          <w:rtl/>
        </w:rPr>
        <w:t>"). בחלקה בנויה סככה ובה בית בד ישן (להלן: "</w:t>
      </w:r>
      <w:r>
        <w:rPr>
          <w:rFonts w:hint="cs"/>
          <w:b/>
          <w:bCs/>
          <w:rtl/>
        </w:rPr>
        <w:t>בית</w:t>
      </w:r>
      <w:r>
        <w:rPr>
          <w:rFonts w:hint="cs"/>
          <w:rtl/>
        </w:rPr>
        <w:t xml:space="preserve"> </w:t>
      </w:r>
      <w:r>
        <w:rPr>
          <w:rFonts w:hint="cs"/>
          <w:b/>
          <w:bCs/>
          <w:rtl/>
        </w:rPr>
        <w:t>הבד</w:t>
      </w:r>
      <w:r>
        <w:rPr>
          <w:rFonts w:hint="cs"/>
          <w:rtl/>
        </w:rPr>
        <w:t xml:space="preserve">"). </w:t>
      </w:r>
    </w:p>
    <w:p w14:paraId="16233AB1" w14:textId="77777777" w:rsidR="004F560D" w:rsidRDefault="004F560D" w:rsidP="004F560D">
      <w:pPr>
        <w:spacing w:before="120" w:line="360" w:lineRule="auto"/>
        <w:jc w:val="both"/>
        <w:rPr>
          <w:rtl/>
        </w:rPr>
      </w:pPr>
      <w:r>
        <w:rPr>
          <w:rFonts w:hint="cs"/>
          <w:rtl/>
        </w:rPr>
        <w:t>עובר ליום 8.10.21 החזיק נאשם 2 בבית הבד, תת מקלע מאולתר מסוג קרלו, קליבר 9 מ"מ (להלן: "</w:t>
      </w:r>
      <w:r>
        <w:rPr>
          <w:rFonts w:hint="cs"/>
          <w:b/>
          <w:bCs/>
          <w:rtl/>
        </w:rPr>
        <w:t>הקרלו</w:t>
      </w:r>
      <w:r>
        <w:rPr>
          <w:rFonts w:hint="cs"/>
          <w:rtl/>
        </w:rPr>
        <w:t>") ובתוכו מחסנית תואמת ו-4 מחסניות תואמות (להלן: "</w:t>
      </w:r>
      <w:r>
        <w:rPr>
          <w:rFonts w:hint="cs"/>
          <w:b/>
          <w:bCs/>
          <w:rtl/>
        </w:rPr>
        <w:t>המחסניות</w:t>
      </w:r>
      <w:r>
        <w:rPr>
          <w:rFonts w:hint="cs"/>
          <w:rtl/>
        </w:rPr>
        <w:t>") ללא רשות על פי דין להחזקתם.</w:t>
      </w:r>
    </w:p>
    <w:p w14:paraId="608F560A" w14:textId="77777777" w:rsidR="004F560D" w:rsidRDefault="004F560D" w:rsidP="004F560D">
      <w:pPr>
        <w:spacing w:before="120" w:line="360" w:lineRule="auto"/>
        <w:jc w:val="both"/>
        <w:rPr>
          <w:rtl/>
        </w:rPr>
      </w:pPr>
      <w:r>
        <w:rPr>
          <w:rFonts w:hint="cs"/>
          <w:rtl/>
        </w:rPr>
        <w:t>נאשם 1 החזיק בבית הבד תת מקלע מסוג עוזי, קליבר 9 מ"מ פאראבלום (להלן: "</w:t>
      </w:r>
      <w:r>
        <w:rPr>
          <w:rFonts w:hint="cs"/>
          <w:b/>
          <w:bCs/>
          <w:rtl/>
        </w:rPr>
        <w:t>העוזי</w:t>
      </w:r>
      <w:r>
        <w:rPr>
          <w:rFonts w:hint="cs"/>
          <w:rtl/>
        </w:rPr>
        <w:t xml:space="preserve">") ללא רשות על פי דין להחזקתו. </w:t>
      </w:r>
    </w:p>
    <w:p w14:paraId="75E4B13F" w14:textId="77777777" w:rsidR="004F560D" w:rsidRDefault="004F560D" w:rsidP="004F560D">
      <w:pPr>
        <w:spacing w:before="120" w:line="360" w:lineRule="auto"/>
        <w:jc w:val="both"/>
        <w:rPr>
          <w:rtl/>
        </w:rPr>
      </w:pPr>
      <w:r>
        <w:rPr>
          <w:rFonts w:hint="cs"/>
          <w:rtl/>
        </w:rPr>
        <w:t>כן החזיקו הנאשמים בבית הבד, בצוותא חדא, תחמושת בכמות רבה בקליברים שונים: 5.56 מ"מ,  7.62 מ"מ ו- 0.22 מ"מ ופונדה תואמת לאקדח (להלן: "</w:t>
      </w:r>
      <w:r>
        <w:rPr>
          <w:rFonts w:hint="cs"/>
          <w:b/>
          <w:bCs/>
          <w:rtl/>
        </w:rPr>
        <w:t>התחמושת</w:t>
      </w:r>
      <w:r>
        <w:rPr>
          <w:rFonts w:hint="cs"/>
          <w:rtl/>
        </w:rPr>
        <w:t xml:space="preserve">"), ללא רשות על פי דין להחזקתם. </w:t>
      </w:r>
    </w:p>
    <w:p w14:paraId="6170A224" w14:textId="77777777" w:rsidR="004F560D" w:rsidRDefault="004F560D" w:rsidP="004F560D">
      <w:pPr>
        <w:spacing w:before="120" w:line="360" w:lineRule="auto"/>
        <w:jc w:val="both"/>
        <w:rPr>
          <w:rtl/>
        </w:rPr>
      </w:pPr>
      <w:r>
        <w:rPr>
          <w:rFonts w:hint="cs"/>
          <w:rtl/>
        </w:rPr>
        <w:t xml:space="preserve">ביום 8.10.21, בחיפוש שנערך על ידי המשטרה בבית הבד, בשעה 20:00 לערך, נמצאו הנשקים, המחסניות והתחמושת, כשהם מוחבאים בתוך בית הבד. </w:t>
      </w:r>
    </w:p>
    <w:p w14:paraId="39091A6B" w14:textId="77777777" w:rsidR="004F560D" w:rsidRDefault="004F560D" w:rsidP="004F560D">
      <w:pPr>
        <w:spacing w:before="120" w:line="360" w:lineRule="auto"/>
        <w:jc w:val="both"/>
        <w:rPr>
          <w:rtl/>
        </w:rPr>
      </w:pPr>
      <w:r>
        <w:rPr>
          <w:rFonts w:hint="cs"/>
          <w:rtl/>
        </w:rPr>
        <w:t xml:space="preserve">הנשקים הינם כלי נשק שסוגלו לירות כדור ובכוחם להמית אדם, ולפיכך הם מהווים נשק כהגדרתו בחוק, והמחסניות, הפונדה והתחמושת מהווים אביזרים ותחמושת לנשק כהגדרתם בחוק. </w:t>
      </w:r>
    </w:p>
    <w:p w14:paraId="2D473E75" w14:textId="77777777" w:rsidR="004F560D" w:rsidRDefault="004F560D" w:rsidP="004F560D">
      <w:pPr>
        <w:spacing w:before="120" w:line="360" w:lineRule="auto"/>
        <w:rPr>
          <w:u w:val="single"/>
          <w:rtl/>
        </w:rPr>
      </w:pPr>
    </w:p>
    <w:p w14:paraId="2133E233" w14:textId="77777777" w:rsidR="004F560D" w:rsidRDefault="004F560D" w:rsidP="004F560D">
      <w:pPr>
        <w:spacing w:before="120" w:line="360" w:lineRule="auto"/>
        <w:rPr>
          <w:u w:val="single"/>
          <w:rtl/>
        </w:rPr>
      </w:pPr>
      <w:r>
        <w:rPr>
          <w:rFonts w:hint="cs"/>
          <w:u w:val="single"/>
          <w:rtl/>
        </w:rPr>
        <w:t>אישום 2 (ביחס לנאשם 1 בלבד)</w:t>
      </w:r>
      <w:r>
        <w:rPr>
          <w:rFonts w:hint="cs"/>
          <w:rtl/>
        </w:rPr>
        <w:t>:</w:t>
      </w:r>
    </w:p>
    <w:p w14:paraId="5E79943E" w14:textId="77777777" w:rsidR="004F560D" w:rsidRDefault="004F560D" w:rsidP="004F560D">
      <w:pPr>
        <w:spacing w:before="120" w:line="360" w:lineRule="auto"/>
        <w:jc w:val="both"/>
        <w:rPr>
          <w:rtl/>
        </w:rPr>
      </w:pPr>
      <w:r>
        <w:rPr>
          <w:rFonts w:hint="cs"/>
          <w:rtl/>
        </w:rPr>
        <w:t>בתאריך 24.1.22 במהלך מעצרו של נאשם 1, נערך חיפוש ונתפסו שני מכשירי פלאפון שהוחבאו- האחד מסוג "סמסונג" (להלן: "</w:t>
      </w:r>
      <w:r>
        <w:rPr>
          <w:rFonts w:hint="cs"/>
          <w:b/>
          <w:bCs/>
          <w:rtl/>
        </w:rPr>
        <w:t>סמסונג</w:t>
      </w:r>
      <w:r>
        <w:rPr>
          <w:rFonts w:hint="cs"/>
          <w:rtl/>
        </w:rPr>
        <w:t>") והשני מסוג "אייפון" (להלן: "</w:t>
      </w:r>
      <w:r>
        <w:rPr>
          <w:rFonts w:hint="cs"/>
          <w:b/>
          <w:bCs/>
          <w:rtl/>
        </w:rPr>
        <w:t>אייפון</w:t>
      </w:r>
      <w:r>
        <w:rPr>
          <w:rFonts w:hint="cs"/>
          <w:rtl/>
        </w:rPr>
        <w:t xml:space="preserve">"). </w:t>
      </w:r>
    </w:p>
    <w:p w14:paraId="793906EE" w14:textId="77777777" w:rsidR="004F560D" w:rsidRDefault="004F560D" w:rsidP="004F560D">
      <w:pPr>
        <w:spacing w:before="120" w:line="360" w:lineRule="auto"/>
        <w:jc w:val="both"/>
        <w:rPr>
          <w:rtl/>
        </w:rPr>
      </w:pPr>
      <w:r>
        <w:rPr>
          <w:rFonts w:hint="cs"/>
          <w:rtl/>
        </w:rPr>
        <w:t xml:space="preserve">בתאריך 24.1.22 החל מהשעה 8:40 נחקר נאשם 1 בחדר חקירות בתחנת המשטרה. במהלך החקירה הוצגו בפני נאשם 1 הפלאפונים. בעוד החוקר מקליד את גרסת נאשם 1 שבר נאשם 1 את האייפון בכך שהטיח אותו על השולחן וזרק אותו על הרצפה בחוזקה. לאחר מכן הטיח נאשם 2 את טלפון הסמסונג בשולחן, אך לא הספיק לשבור אותו. </w:t>
      </w:r>
    </w:p>
    <w:p w14:paraId="1BCBD4B2" w14:textId="77777777" w:rsidR="004F560D" w:rsidRDefault="004F560D" w:rsidP="004F560D">
      <w:pPr>
        <w:spacing w:before="120" w:line="360" w:lineRule="auto"/>
        <w:jc w:val="both"/>
        <w:rPr>
          <w:rtl/>
        </w:rPr>
      </w:pPr>
      <w:r>
        <w:rPr>
          <w:rFonts w:hint="cs"/>
          <w:rtl/>
        </w:rPr>
        <w:t xml:space="preserve">כתוצאה ממעשי הנאשם נשבר המסך של האייפון.  </w:t>
      </w:r>
    </w:p>
    <w:p w14:paraId="75AB6A6E" w14:textId="77777777" w:rsidR="004F560D" w:rsidRDefault="004F560D" w:rsidP="004F560D">
      <w:pPr>
        <w:spacing w:before="120" w:line="360" w:lineRule="auto"/>
        <w:jc w:val="both"/>
        <w:rPr>
          <w:rtl/>
        </w:rPr>
      </w:pPr>
    </w:p>
    <w:p w14:paraId="4C1EFFE3" w14:textId="77777777" w:rsidR="004F560D" w:rsidRDefault="004F560D" w:rsidP="004F560D">
      <w:pPr>
        <w:spacing w:before="120" w:line="360" w:lineRule="auto"/>
        <w:jc w:val="both"/>
        <w:rPr>
          <w:b/>
          <w:bCs/>
          <w:rtl/>
        </w:rPr>
      </w:pPr>
      <w:r>
        <w:rPr>
          <w:rFonts w:hint="cs"/>
          <w:b/>
          <w:bCs/>
          <w:rtl/>
        </w:rPr>
        <w:t>תסקיר שירות המבחן בעניינו של נאשם 2:</w:t>
      </w:r>
    </w:p>
    <w:p w14:paraId="5C4B801B" w14:textId="77777777" w:rsidR="004F560D" w:rsidRDefault="004F560D" w:rsidP="004F560D">
      <w:pPr>
        <w:spacing w:before="120" w:line="360" w:lineRule="auto"/>
        <w:jc w:val="both"/>
        <w:rPr>
          <w:rtl/>
        </w:rPr>
      </w:pPr>
      <w:r>
        <w:rPr>
          <w:rFonts w:hint="cs"/>
          <w:rtl/>
        </w:rPr>
        <w:t xml:space="preserve">מתסקיר שירות המבחן, שנערך ביום 22.12.22, עולה כי נאשם 2, יליד 2003, התגורר טרם מעצרו בבית אביו ועבד באופן מסודר בגינון. הנאשם גדל בתא משפחתי מתפקד ונורמטיבי, ואין לחובתו עבר פלילי, אך תיאר כי בבגרותו חבר לחברה שולית. </w:t>
      </w:r>
    </w:p>
    <w:p w14:paraId="577E6113" w14:textId="77777777" w:rsidR="004F560D" w:rsidRDefault="004F560D" w:rsidP="004F560D">
      <w:pPr>
        <w:spacing w:before="120" w:line="360" w:lineRule="auto"/>
        <w:jc w:val="both"/>
        <w:rPr>
          <w:rtl/>
        </w:rPr>
      </w:pPr>
      <w:r>
        <w:rPr>
          <w:rFonts w:hint="cs"/>
          <w:rtl/>
        </w:rPr>
        <w:lastRenderedPageBreak/>
        <w:t xml:space="preserve">באשר לעבירות בהן הורשע הנאשם, צוין בתסקיר, כי לצד הודאתו של הנאשם בעובדות כתב האישום, דומה כי הוא לקח אחריות חלקית על ביצוע העבירות, מאחר ושלל את מעורבותו בהחבאת הנשק. יחד עם זאת, מהתסקיר עולה כי הנאשם הצליח לזהות את הבעייתיות סביב התנהלותו ואת הסיכון הפוטנציאלי בעבירות נשק, וכן הצליח לערוך התבוננות על אלטרנטיבות אחרות להתנהלותו במהלך ביצוע העבירות. </w:t>
      </w:r>
    </w:p>
    <w:p w14:paraId="265F0ADE" w14:textId="77777777" w:rsidR="004F560D" w:rsidRDefault="004F560D" w:rsidP="004F560D">
      <w:pPr>
        <w:spacing w:before="120" w:line="360" w:lineRule="auto"/>
        <w:jc w:val="both"/>
        <w:rPr>
          <w:rtl/>
        </w:rPr>
      </w:pPr>
      <w:r>
        <w:rPr>
          <w:rFonts w:hint="cs"/>
          <w:rtl/>
        </w:rPr>
        <w:t xml:space="preserve">במסגרת הליך המעצר השתלב הנאשם בשיחות פרטניות בשירות המבחן וביטא נכונות להשתלב בטיפול, כאשר שירות המבחין התרשם כי הנאשם זיהה את הצורך שלו בנזקקות טיפולית סביב דפוסיו המכשילים.  </w:t>
      </w:r>
    </w:p>
    <w:p w14:paraId="2730AEE2" w14:textId="77777777" w:rsidR="004F560D" w:rsidRDefault="004F560D" w:rsidP="004F560D">
      <w:pPr>
        <w:spacing w:before="120" w:line="360" w:lineRule="auto"/>
        <w:jc w:val="both"/>
        <w:rPr>
          <w:rtl/>
        </w:rPr>
      </w:pPr>
      <w:r>
        <w:rPr>
          <w:rFonts w:hint="cs"/>
          <w:rtl/>
        </w:rPr>
        <w:t xml:space="preserve">שירות המבחן התרשם כי הנאשם הפגין רמת אחריות אישית בקשר שניהל מול שירות המבחן תוך נכונות אמיתית לשינוי, שיתף פעולה ודאג לבצע את הנדרש ממנו. לפיכך, שירות המבחן העריך כי במידה והנאשם ישתלב בהליך טיפולי מעמיק, בעל אלמנט סמכותי, הסיכון להישנות התנהגות פורצת גבולות בעתיד, יפחת. </w:t>
      </w:r>
    </w:p>
    <w:p w14:paraId="11B1CB7A" w14:textId="77777777" w:rsidR="004F560D" w:rsidRDefault="004F560D" w:rsidP="004F560D">
      <w:pPr>
        <w:spacing w:before="120" w:line="360" w:lineRule="auto"/>
        <w:jc w:val="both"/>
        <w:rPr>
          <w:rtl/>
        </w:rPr>
      </w:pPr>
      <w:r>
        <w:rPr>
          <w:rFonts w:hint="cs"/>
          <w:rtl/>
        </w:rPr>
        <w:t xml:space="preserve">לאור האופק השיקומי, והתמיכה לה הנאשם זוכה ממשפחתו, המליץ שירות המבחן להשית על הנאשם מאסר בעבודות שירות וכן צו מבחן למשך שנה, במהלכו ישולב בהליך טיפולי במסגרת שירות המבחן. </w:t>
      </w:r>
    </w:p>
    <w:p w14:paraId="6CD7C3B6" w14:textId="77777777" w:rsidR="004F560D" w:rsidRDefault="004F560D" w:rsidP="004F560D">
      <w:pPr>
        <w:spacing w:before="120" w:line="360" w:lineRule="auto"/>
        <w:jc w:val="both"/>
        <w:rPr>
          <w:rtl/>
        </w:rPr>
      </w:pPr>
    </w:p>
    <w:p w14:paraId="2C7C0665" w14:textId="77777777" w:rsidR="004F560D" w:rsidRDefault="004F560D" w:rsidP="004F560D">
      <w:pPr>
        <w:spacing w:before="120" w:line="360" w:lineRule="auto"/>
        <w:jc w:val="both"/>
        <w:rPr>
          <w:b/>
          <w:bCs/>
          <w:rtl/>
        </w:rPr>
      </w:pPr>
      <w:r>
        <w:rPr>
          <w:rFonts w:hint="cs"/>
          <w:b/>
          <w:bCs/>
          <w:rtl/>
        </w:rPr>
        <w:t>ראיות לעונש:</w:t>
      </w:r>
    </w:p>
    <w:p w14:paraId="2D0E0C1C" w14:textId="77777777" w:rsidR="004F560D" w:rsidRDefault="004F560D" w:rsidP="004F560D">
      <w:pPr>
        <w:spacing w:before="120" w:line="360" w:lineRule="auto"/>
        <w:jc w:val="both"/>
        <w:rPr>
          <w:rtl/>
        </w:rPr>
      </w:pPr>
      <w:r>
        <w:rPr>
          <w:rFonts w:hint="cs"/>
          <w:rtl/>
        </w:rPr>
        <w:t>המאשימה הגישה רישום פלילי בעניינו של נאשם 1 (טע/1).</w:t>
      </w:r>
    </w:p>
    <w:p w14:paraId="0EF36996" w14:textId="77777777" w:rsidR="004F560D" w:rsidRDefault="004F560D" w:rsidP="004F560D">
      <w:pPr>
        <w:spacing w:before="120" w:line="360" w:lineRule="auto"/>
        <w:jc w:val="both"/>
        <w:rPr>
          <w:rtl/>
        </w:rPr>
      </w:pPr>
    </w:p>
    <w:p w14:paraId="2B266A0C" w14:textId="77777777" w:rsidR="004F560D" w:rsidRDefault="004F560D" w:rsidP="004F560D">
      <w:pPr>
        <w:spacing w:before="120" w:line="360" w:lineRule="auto"/>
        <w:jc w:val="both"/>
        <w:rPr>
          <w:b/>
          <w:bCs/>
          <w:rtl/>
        </w:rPr>
      </w:pPr>
      <w:r>
        <w:rPr>
          <w:rFonts w:hint="cs"/>
          <w:b/>
          <w:bCs/>
          <w:rtl/>
        </w:rPr>
        <w:t>טיעוני המאשימה:</w:t>
      </w:r>
    </w:p>
    <w:p w14:paraId="7BBF1DEE" w14:textId="77777777" w:rsidR="004F560D" w:rsidRDefault="004F560D" w:rsidP="004F560D">
      <w:pPr>
        <w:spacing w:before="120" w:line="360" w:lineRule="auto"/>
        <w:jc w:val="both"/>
        <w:rPr>
          <w:rtl/>
        </w:rPr>
      </w:pPr>
      <w:r>
        <w:rPr>
          <w:rFonts w:hint="cs"/>
          <w:rtl/>
        </w:rPr>
        <w:t xml:space="preserve">ב"כ המאשימה טען בטיעוניו בעל פה ובכתב (טע/2), כי הנאשמים ביצעו עבירות חמורות של החזקת נשק ותחמושת אשר פוטנציאל הנזק הגלום בהן הוא רב. </w:t>
      </w:r>
    </w:p>
    <w:p w14:paraId="6DEC2FEA" w14:textId="77777777" w:rsidR="004F560D" w:rsidRDefault="004F560D" w:rsidP="004F560D">
      <w:pPr>
        <w:spacing w:before="120" w:line="360" w:lineRule="auto"/>
        <w:jc w:val="both"/>
        <w:rPr>
          <w:rtl/>
        </w:rPr>
      </w:pPr>
      <w:r>
        <w:rPr>
          <w:rFonts w:hint="cs"/>
          <w:rtl/>
        </w:rPr>
        <w:t>לטענת ב"כ המאשימה, יש לראות בחומרה את מאפייני וטיב כלי הנשק שנתפסו - נשק תת מקלע מאולתר ורובה מסוג עוזי שהינם כלי נשק אוטומטיים המאופיינים בקצב אש גבוה, דיוק נמוך ונזק גדול יותר. עוד נטען, כי יש לראות בחומרה את העובדה שהנאשמים החזיקו כמות רבה של תחמושת, שבחלקה תאמה לכלי הנשק.</w:t>
      </w:r>
    </w:p>
    <w:p w14:paraId="18F718F9" w14:textId="77777777" w:rsidR="004F560D" w:rsidRDefault="004F560D" w:rsidP="004F560D">
      <w:pPr>
        <w:spacing w:before="120" w:line="360" w:lineRule="auto"/>
        <w:jc w:val="both"/>
        <w:rPr>
          <w:rtl/>
        </w:rPr>
      </w:pPr>
      <w:r>
        <w:rPr>
          <w:rFonts w:hint="cs"/>
          <w:rtl/>
        </w:rPr>
        <w:t>ב"כ המאשימה הפנה להוראת שעה שנכנסה לתוקף בתאריך 8.12.21 אשר קובעת עונש מזערי בעבירות נשק, של רבע מהעונש המירבי, דהיינו 21 חודשי מאסר. ב"כ המאשימה ציין כי על אף שהתיקון החדש אינו חל על הנאשמים, יש בו ללמד על חומרת העבירות בהן הורשעו ועל הצורך בענישה מרתיעה.</w:t>
      </w:r>
    </w:p>
    <w:p w14:paraId="5A85D0C3" w14:textId="77777777" w:rsidR="004F560D" w:rsidRDefault="004F560D" w:rsidP="004F560D">
      <w:pPr>
        <w:spacing w:before="120" w:line="360" w:lineRule="auto"/>
        <w:jc w:val="both"/>
        <w:rPr>
          <w:rtl/>
        </w:rPr>
      </w:pPr>
      <w:r>
        <w:rPr>
          <w:rFonts w:hint="cs"/>
          <w:rtl/>
        </w:rPr>
        <w:t>עוד הפנה ב"כ המאשימה להנחיית פרקליט המדינה 9.16 אשר לפיה המתחם בעבירות של החזקת נשק מתחיל מ-24 ועד ל-48 חודשי מאסר. כן הפנה ב"כ המאשימה לפסיקה ממנה ביקש ללמוד כי מתחם העונש ההולם נע בין 30 ל- 60 חודשי מאסר בפועל.</w:t>
      </w:r>
    </w:p>
    <w:p w14:paraId="5AA6AD8B" w14:textId="77777777" w:rsidR="004F560D" w:rsidRDefault="004F560D" w:rsidP="004F560D">
      <w:pPr>
        <w:spacing w:before="120" w:line="360" w:lineRule="auto"/>
        <w:jc w:val="both"/>
        <w:rPr>
          <w:rtl/>
        </w:rPr>
      </w:pPr>
      <w:r>
        <w:rPr>
          <w:rFonts w:hint="cs"/>
          <w:rtl/>
        </w:rPr>
        <w:t xml:space="preserve">ביחס לעבירות ניסיון השמדת ראיה ושיבוש הליכי משפט בהן הורשע נאשם 1 בלבד, ביקש ב"כ המאשימה לקבוע כי מתחם העונש ההולם נע בין 5 ועד 12 חודשי מאסר בפועל. </w:t>
      </w:r>
    </w:p>
    <w:p w14:paraId="475C8C21" w14:textId="77777777" w:rsidR="004F560D" w:rsidRDefault="004F560D" w:rsidP="004F560D">
      <w:pPr>
        <w:spacing w:before="120" w:line="360" w:lineRule="auto"/>
        <w:jc w:val="both"/>
        <w:rPr>
          <w:rtl/>
        </w:rPr>
      </w:pPr>
      <w:r>
        <w:rPr>
          <w:rFonts w:hint="cs"/>
          <w:rtl/>
        </w:rPr>
        <w:t xml:space="preserve">ב"כ המאשימה טען כי הנאשמים אמנם הודו ונטלו אחריות על מעשיהם, אך זאת עשו לאחר שמיעת כל עדי התביעה. </w:t>
      </w:r>
    </w:p>
    <w:p w14:paraId="4478B7A3" w14:textId="77777777" w:rsidR="004F560D" w:rsidRDefault="004F560D" w:rsidP="004F560D">
      <w:pPr>
        <w:spacing w:before="120" w:line="360" w:lineRule="auto"/>
        <w:jc w:val="both"/>
        <w:rPr>
          <w:rtl/>
        </w:rPr>
      </w:pPr>
      <w:r>
        <w:rPr>
          <w:rFonts w:hint="cs"/>
          <w:rtl/>
        </w:rPr>
        <w:t xml:space="preserve">עוד נטען, כי אין מקום לסטות ממתחם העונש ההולם משיקולי שיקום, מאחר והנאשמים לא הצביעו על כך שהשתקמו, או כי קיים סיכוי של ממש כי ישתקמו. באשר לתסקיר שניתן בעניינו של נאשם 2 נטען כי רצונו להשתלב בטיפול נאמר ברמה ההצהרתית בלבד, כאשר הנאשם לא נטל אחריות מלאה על מעשיו בפני שירות המבחן. </w:t>
      </w:r>
    </w:p>
    <w:p w14:paraId="6629C666" w14:textId="77777777" w:rsidR="004F560D" w:rsidRDefault="004F560D" w:rsidP="004F560D">
      <w:pPr>
        <w:spacing w:before="120" w:line="360" w:lineRule="auto"/>
        <w:jc w:val="both"/>
        <w:rPr>
          <w:rtl/>
        </w:rPr>
      </w:pPr>
      <w:r>
        <w:rPr>
          <w:rFonts w:hint="cs"/>
          <w:rtl/>
        </w:rPr>
        <w:t>עוד נטען כי יש לשקול לחומרה כי לנאשם 1 עבר פלילי הכולל שתי הרשעות קודמות.</w:t>
      </w:r>
    </w:p>
    <w:p w14:paraId="6BAD1D41" w14:textId="77777777" w:rsidR="004F560D" w:rsidRDefault="004F560D" w:rsidP="004F560D">
      <w:pPr>
        <w:spacing w:before="120" w:line="360" w:lineRule="auto"/>
        <w:jc w:val="both"/>
        <w:rPr>
          <w:rtl/>
        </w:rPr>
      </w:pPr>
      <w:r>
        <w:rPr>
          <w:rFonts w:hint="cs"/>
          <w:rtl/>
        </w:rPr>
        <w:t xml:space="preserve">לאור האמור, ביקש ב"כ המאשימה כי עונשו של נאשם 1 יהיה ברף האמצעי של המתחם שהוצע על ידו לצד מאסר על תנאי ארוך, וקנס כספי משמעותי. עוד טען ב"כ המאשימה כי בעניינו של נאשם 1 יש לצבור את העונשים בגין שני האישומים. </w:t>
      </w:r>
    </w:p>
    <w:p w14:paraId="6B483D86" w14:textId="77777777" w:rsidR="004F560D" w:rsidRDefault="004F560D" w:rsidP="004F560D">
      <w:pPr>
        <w:spacing w:before="120" w:line="360" w:lineRule="auto"/>
        <w:jc w:val="both"/>
        <w:rPr>
          <w:rtl/>
        </w:rPr>
      </w:pPr>
      <w:r>
        <w:rPr>
          <w:rFonts w:hint="cs"/>
          <w:rtl/>
        </w:rPr>
        <w:t xml:space="preserve">באשר לנאשם 2, בשים לב להודאתו, גילו הצעיר והעדר עבר פלילי, ב"כ המאשימה ביקש להשית על נאשם 2 עונש ברף התחתון של המתחם, לצד מאסר מותנה וקנס כספי משמעותי. </w:t>
      </w:r>
    </w:p>
    <w:p w14:paraId="4D6D21B5" w14:textId="77777777" w:rsidR="004F560D" w:rsidRDefault="004F560D" w:rsidP="004F560D">
      <w:pPr>
        <w:spacing w:before="120" w:line="360" w:lineRule="auto"/>
        <w:jc w:val="both"/>
        <w:rPr>
          <w:b/>
          <w:bCs/>
          <w:rtl/>
        </w:rPr>
      </w:pPr>
    </w:p>
    <w:p w14:paraId="6EB30979" w14:textId="77777777" w:rsidR="004F560D" w:rsidRPr="00DC2FB3" w:rsidRDefault="004F560D" w:rsidP="004F560D">
      <w:pPr>
        <w:spacing w:before="120" w:line="360" w:lineRule="auto"/>
        <w:jc w:val="both"/>
        <w:rPr>
          <w:b/>
          <w:bCs/>
          <w:rtl/>
        </w:rPr>
      </w:pPr>
      <w:r w:rsidRPr="00DC2FB3">
        <w:rPr>
          <w:rFonts w:hint="cs"/>
          <w:b/>
          <w:bCs/>
          <w:rtl/>
        </w:rPr>
        <w:t>טיעוני ב"כ נאשם 1:</w:t>
      </w:r>
      <w:r>
        <w:rPr>
          <w:rFonts w:hint="cs"/>
          <w:b/>
          <w:bCs/>
          <w:rtl/>
        </w:rPr>
        <w:t xml:space="preserve"> </w:t>
      </w:r>
    </w:p>
    <w:p w14:paraId="657F564C" w14:textId="77777777" w:rsidR="004F560D" w:rsidRDefault="004F560D" w:rsidP="004F560D">
      <w:pPr>
        <w:spacing w:before="120" w:line="360" w:lineRule="auto"/>
        <w:jc w:val="both"/>
        <w:rPr>
          <w:rtl/>
        </w:rPr>
      </w:pPr>
      <w:r>
        <w:rPr>
          <w:rFonts w:hint="cs"/>
          <w:rtl/>
        </w:rPr>
        <w:t>ב"כ נאשם 1 טען כי נאשם 1 החזיק כלי נשק מאולתר, לא תקני ושלא נגנב מהצבא. בנוסף, נטען כי לכלי הנשק לא נתפסה מחסנית ולא הייתה תחמושת שתואמת לו בכלל התחמושת שנתפסה.</w:t>
      </w:r>
    </w:p>
    <w:p w14:paraId="611E9ED0" w14:textId="77777777" w:rsidR="004F560D" w:rsidRDefault="004F560D" w:rsidP="004F560D">
      <w:pPr>
        <w:spacing w:before="120" w:line="360" w:lineRule="auto"/>
        <w:jc w:val="both"/>
        <w:rPr>
          <w:rtl/>
        </w:rPr>
      </w:pPr>
      <w:r>
        <w:rPr>
          <w:rFonts w:hint="cs"/>
          <w:rtl/>
        </w:rPr>
        <w:t>עוד נטען, כי הנשק נתפס במקום מרוחק ממקום מגוריו של נאשם 1 על כן שיש לתת את הדעת לכך שלא מדובר בנשק שהיה זמין לנאשם באופן מיידי.</w:t>
      </w:r>
    </w:p>
    <w:p w14:paraId="6EBF7F68" w14:textId="77777777" w:rsidR="004F560D" w:rsidRDefault="004F560D" w:rsidP="004F560D">
      <w:pPr>
        <w:spacing w:before="120" w:line="360" w:lineRule="auto"/>
        <w:jc w:val="both"/>
        <w:rPr>
          <w:rtl/>
        </w:rPr>
      </w:pPr>
      <w:r>
        <w:rPr>
          <w:rFonts w:hint="cs"/>
          <w:rtl/>
        </w:rPr>
        <w:t xml:space="preserve">ב"כ הנאשם 1 הפנה לפסיקה (טע/3) בה נקבעו בעבירות של החזקת נשק מתחמים אשר מתחילים מ-9 חודשי מאסר בפועל, כאשר על חלק מהנאשמים נגזרו עונשי מאסר לריצוי בעבודות שירות. </w:t>
      </w:r>
    </w:p>
    <w:p w14:paraId="43879D8F" w14:textId="77777777" w:rsidR="004F560D" w:rsidRDefault="004F560D" w:rsidP="004F560D">
      <w:pPr>
        <w:spacing w:before="120" w:line="360" w:lineRule="auto"/>
        <w:jc w:val="both"/>
        <w:rPr>
          <w:rtl/>
        </w:rPr>
      </w:pPr>
      <w:r>
        <w:rPr>
          <w:rFonts w:hint="cs"/>
          <w:rtl/>
        </w:rPr>
        <w:t>ב"כ נאשם 1 טען כי מתחם העונש ההולם לאישום השני עניינו במאסר מותנה, וכי מתחם העונש ההולם לאישום הראשון נע בין 8 ובין 24 חודשי מאסר בפועל.</w:t>
      </w:r>
    </w:p>
    <w:p w14:paraId="44B45CA0" w14:textId="77777777" w:rsidR="004F560D" w:rsidRDefault="004F560D" w:rsidP="004F560D">
      <w:pPr>
        <w:spacing w:before="120" w:line="360" w:lineRule="auto"/>
        <w:jc w:val="both"/>
        <w:rPr>
          <w:rtl/>
        </w:rPr>
      </w:pPr>
      <w:r>
        <w:rPr>
          <w:rFonts w:hint="cs"/>
          <w:rtl/>
        </w:rPr>
        <w:t xml:space="preserve">ב"כ נאשם 1 ביקש כי העונש שייגזר יהיה בהתאם לפסיקה שניתנה טרם תוקן החוק בו נקבע עונש מזערי, מאחר והוא אינו חל במקרה דנן. </w:t>
      </w:r>
    </w:p>
    <w:p w14:paraId="5652529F" w14:textId="77777777" w:rsidR="004F560D" w:rsidRDefault="004F560D" w:rsidP="004F560D">
      <w:pPr>
        <w:spacing w:before="120" w:line="360" w:lineRule="auto"/>
        <w:jc w:val="both"/>
        <w:rPr>
          <w:rtl/>
        </w:rPr>
      </w:pPr>
      <w:r>
        <w:rPr>
          <w:rFonts w:hint="cs"/>
          <w:rtl/>
        </w:rPr>
        <w:t xml:space="preserve">באשר לעונש בתוך המתחם, ב"כ נאשם 1 טען כי הנאשמים לא ניהלו הליך סרק היות ולאחר שנשמעה פרשת התביעה כתב האישום בו הודו תוקן, ועל כן יש לייחס לנאשמים הודאה בהזדמנות הראשונה. </w:t>
      </w:r>
    </w:p>
    <w:p w14:paraId="2F387834" w14:textId="77777777" w:rsidR="004F560D" w:rsidRDefault="004F560D" w:rsidP="004F560D">
      <w:pPr>
        <w:spacing w:before="120" w:line="360" w:lineRule="auto"/>
        <w:jc w:val="both"/>
        <w:rPr>
          <w:rtl/>
        </w:rPr>
      </w:pPr>
      <w:r>
        <w:rPr>
          <w:rFonts w:hint="cs"/>
          <w:rtl/>
        </w:rPr>
        <w:t>עוד נטען כי אמנם לנאשם 1 הרשעות קודמות, אך הראשונה היא משנת 2009 והשנייה היא בעניין תעבורתי בגינו ריצה נאשם 1 מאסר של 17 ימים.</w:t>
      </w:r>
    </w:p>
    <w:p w14:paraId="24681F96" w14:textId="77777777" w:rsidR="004F560D" w:rsidRDefault="004F560D" w:rsidP="004F560D">
      <w:pPr>
        <w:spacing w:before="120" w:line="360" w:lineRule="auto"/>
        <w:jc w:val="both"/>
        <w:rPr>
          <w:rtl/>
        </w:rPr>
      </w:pPr>
      <w:r>
        <w:rPr>
          <w:rFonts w:hint="cs"/>
          <w:rtl/>
        </w:rPr>
        <w:t>לאור האמור, ביקש ב"כ הנאשם למקם את העונש של הנאשם ברף התחתון של המתחם לו עתר.</w:t>
      </w:r>
    </w:p>
    <w:p w14:paraId="499075EA" w14:textId="77777777" w:rsidR="004F560D" w:rsidRDefault="004F560D" w:rsidP="004F560D">
      <w:pPr>
        <w:spacing w:before="120" w:line="360" w:lineRule="auto"/>
        <w:jc w:val="both"/>
        <w:rPr>
          <w:b/>
          <w:bCs/>
          <w:rtl/>
        </w:rPr>
      </w:pPr>
    </w:p>
    <w:p w14:paraId="4608633B" w14:textId="77777777" w:rsidR="004F560D" w:rsidRDefault="004F560D" w:rsidP="004F560D">
      <w:pPr>
        <w:spacing w:before="120" w:line="360" w:lineRule="auto"/>
        <w:jc w:val="both"/>
        <w:rPr>
          <w:b/>
          <w:bCs/>
          <w:rtl/>
        </w:rPr>
      </w:pPr>
      <w:r w:rsidRPr="005D240A">
        <w:rPr>
          <w:rFonts w:hint="cs"/>
          <w:b/>
          <w:bCs/>
          <w:rtl/>
        </w:rPr>
        <w:t>טיעוני ב"כ נאשם 2:</w:t>
      </w:r>
    </w:p>
    <w:p w14:paraId="4AD3A460" w14:textId="77777777" w:rsidR="004F560D" w:rsidRPr="004072FD" w:rsidRDefault="004F560D" w:rsidP="004F560D">
      <w:pPr>
        <w:spacing w:before="120" w:line="360" w:lineRule="auto"/>
        <w:jc w:val="both"/>
        <w:rPr>
          <w:rtl/>
        </w:rPr>
      </w:pPr>
      <w:r w:rsidRPr="004072FD">
        <w:rPr>
          <w:rFonts w:hint="cs"/>
          <w:rtl/>
        </w:rPr>
        <w:t xml:space="preserve">ב"כ נאשם 2 הצטרף לטיעוני ב"כ נאשם 1 והוסיף כי הפסיקה אליה הפנתה המאשימה עניינה במתחמים נמוכים יותר מהמתחם לו היא עותרת בעניינם של הנאשמים. </w:t>
      </w:r>
    </w:p>
    <w:p w14:paraId="3455DDD4" w14:textId="77777777" w:rsidR="004F560D" w:rsidRDefault="004F560D" w:rsidP="004F560D">
      <w:pPr>
        <w:spacing w:before="120" w:line="360" w:lineRule="auto"/>
        <w:jc w:val="both"/>
        <w:rPr>
          <w:rtl/>
        </w:rPr>
      </w:pPr>
      <w:r w:rsidRPr="004072FD">
        <w:rPr>
          <w:rFonts w:hint="cs"/>
          <w:rtl/>
        </w:rPr>
        <w:t xml:space="preserve">ב"כ נאשם 2 טען כי מתחם העונש ההולם נע בין 9 חודשי מאסר שיכול וירוצו בעבודות שירות </w:t>
      </w:r>
      <w:r>
        <w:rPr>
          <w:rFonts w:hint="cs"/>
          <w:rtl/>
        </w:rPr>
        <w:t>ל-</w:t>
      </w:r>
      <w:r w:rsidRPr="004072FD">
        <w:rPr>
          <w:rFonts w:hint="cs"/>
          <w:rtl/>
        </w:rPr>
        <w:t xml:space="preserve"> 24 חודשי מאסר בפועל. </w:t>
      </w:r>
    </w:p>
    <w:p w14:paraId="5D2BD785" w14:textId="77777777" w:rsidR="004F560D" w:rsidRDefault="004F560D" w:rsidP="004F560D">
      <w:pPr>
        <w:spacing w:before="120" w:line="360" w:lineRule="auto"/>
        <w:jc w:val="both"/>
        <w:rPr>
          <w:rtl/>
        </w:rPr>
      </w:pPr>
      <w:r>
        <w:rPr>
          <w:rFonts w:hint="cs"/>
          <w:rtl/>
        </w:rPr>
        <w:t xml:space="preserve">ב"כ הנאשם הפנה לפסיקה בחלקה נאשמים עברו הליך שיקומי ארוך ומשמעותי ועל כן בתי המשפט חרגו לקולא ממתחם העונש ההולם, ויש קושי ללמוד מפסיקה זו לענייננו. </w:t>
      </w:r>
    </w:p>
    <w:p w14:paraId="75F7EA6C" w14:textId="77777777" w:rsidR="004F560D" w:rsidRPr="004072FD" w:rsidRDefault="004F560D" w:rsidP="004F560D">
      <w:pPr>
        <w:spacing w:before="120" w:line="360" w:lineRule="auto"/>
        <w:jc w:val="both"/>
        <w:rPr>
          <w:rtl/>
        </w:rPr>
      </w:pPr>
      <w:r w:rsidRPr="004072FD">
        <w:rPr>
          <w:rFonts w:hint="cs"/>
          <w:rtl/>
        </w:rPr>
        <w:t>ב"כ נאשם 2 טען כי יש להתחשב בעת גזירת העונש בגילו הצעיר של הנאשם, במשפחתו הנורמטיבית התומכת ובסיכויי השיקום הגבוהים כפי שעלה מתסקיר שירות המבחן.</w:t>
      </w:r>
    </w:p>
    <w:p w14:paraId="42E91AA9" w14:textId="77777777" w:rsidR="004F560D" w:rsidRPr="004072FD" w:rsidRDefault="004F560D" w:rsidP="004F560D">
      <w:pPr>
        <w:spacing w:before="120" w:line="360" w:lineRule="auto"/>
        <w:jc w:val="both"/>
        <w:rPr>
          <w:rtl/>
        </w:rPr>
      </w:pPr>
      <w:r w:rsidRPr="004072FD">
        <w:rPr>
          <w:rFonts w:hint="cs"/>
          <w:rtl/>
        </w:rPr>
        <w:t>לאור האמור, ביקש ב"כ נאשם 2 לאמץ את המלצות שירות המבחן ולהשית על הנאשם עונש מאסר שירוצה בעבודות שירות</w:t>
      </w:r>
      <w:r>
        <w:rPr>
          <w:rFonts w:hint="cs"/>
          <w:rtl/>
        </w:rPr>
        <w:t xml:space="preserve"> ולחילופין לחרוג ממתחם העונש ההולם משיקולי שיקום</w:t>
      </w:r>
      <w:r w:rsidRPr="004072FD">
        <w:rPr>
          <w:rFonts w:hint="cs"/>
          <w:rtl/>
        </w:rPr>
        <w:t xml:space="preserve">. </w:t>
      </w:r>
    </w:p>
    <w:p w14:paraId="03B08EC1" w14:textId="77777777" w:rsidR="004F560D" w:rsidRDefault="004F560D" w:rsidP="004F560D">
      <w:pPr>
        <w:spacing w:before="120" w:line="360" w:lineRule="auto"/>
        <w:jc w:val="both"/>
        <w:rPr>
          <w:b/>
          <w:bCs/>
          <w:rtl/>
        </w:rPr>
      </w:pPr>
    </w:p>
    <w:p w14:paraId="27612EEC" w14:textId="77777777" w:rsidR="004F560D" w:rsidRDefault="004F560D" w:rsidP="004F560D">
      <w:pPr>
        <w:spacing w:before="120" w:line="360" w:lineRule="auto"/>
        <w:jc w:val="both"/>
        <w:rPr>
          <w:b/>
          <w:bCs/>
          <w:rtl/>
        </w:rPr>
      </w:pPr>
      <w:r>
        <w:rPr>
          <w:rFonts w:hint="cs"/>
          <w:b/>
          <w:bCs/>
          <w:rtl/>
        </w:rPr>
        <w:t>דברי הנאשם 1:</w:t>
      </w:r>
    </w:p>
    <w:p w14:paraId="5651DF09" w14:textId="77777777" w:rsidR="004F560D" w:rsidRDefault="004F560D" w:rsidP="004F560D">
      <w:pPr>
        <w:spacing w:before="120" w:line="360" w:lineRule="auto"/>
        <w:jc w:val="both"/>
        <w:rPr>
          <w:rtl/>
        </w:rPr>
      </w:pPr>
      <w:r>
        <w:rPr>
          <w:rFonts w:hint="cs"/>
          <w:rtl/>
        </w:rPr>
        <w:t xml:space="preserve">הנאשם הצטער על מעשיו וביקש להטיל עליו ענישה צופה פני עתיד. </w:t>
      </w:r>
    </w:p>
    <w:p w14:paraId="1DE64B2A" w14:textId="77777777" w:rsidR="004F560D" w:rsidRDefault="004F560D" w:rsidP="004F560D">
      <w:pPr>
        <w:spacing w:before="120" w:line="360" w:lineRule="auto"/>
        <w:jc w:val="both"/>
        <w:rPr>
          <w:rtl/>
        </w:rPr>
      </w:pPr>
    </w:p>
    <w:p w14:paraId="26DE5D81" w14:textId="77777777" w:rsidR="004F560D" w:rsidRDefault="004F560D" w:rsidP="004F560D">
      <w:pPr>
        <w:spacing w:before="120" w:line="360" w:lineRule="auto"/>
        <w:jc w:val="both"/>
        <w:rPr>
          <w:b/>
          <w:bCs/>
          <w:rtl/>
        </w:rPr>
      </w:pPr>
      <w:r>
        <w:rPr>
          <w:rFonts w:hint="cs"/>
          <w:b/>
          <w:bCs/>
          <w:rtl/>
        </w:rPr>
        <w:t>דברי הנאשם 2:</w:t>
      </w:r>
    </w:p>
    <w:p w14:paraId="3BB5F023" w14:textId="77777777" w:rsidR="004F560D" w:rsidRDefault="004F560D" w:rsidP="004F560D">
      <w:pPr>
        <w:spacing w:before="120" w:line="360" w:lineRule="auto"/>
        <w:jc w:val="both"/>
        <w:rPr>
          <w:rtl/>
        </w:rPr>
      </w:pPr>
      <w:r w:rsidRPr="00AE662A">
        <w:rPr>
          <w:rFonts w:hint="cs"/>
          <w:rtl/>
        </w:rPr>
        <w:t xml:space="preserve">נאשם 2 הביע חרטה על מעשיו, סיפר כי הוא מקבל תמיכה מבני משפחתו </w:t>
      </w:r>
      <w:r>
        <w:rPr>
          <w:rFonts w:hint="cs"/>
          <w:rtl/>
        </w:rPr>
        <w:t>ו</w:t>
      </w:r>
      <w:r w:rsidRPr="00AE662A">
        <w:rPr>
          <w:rFonts w:hint="cs"/>
          <w:rtl/>
        </w:rPr>
        <w:t>עתיד להתחתן.</w:t>
      </w:r>
    </w:p>
    <w:p w14:paraId="4DCA3320" w14:textId="77777777" w:rsidR="004F560D" w:rsidRPr="000F2247" w:rsidRDefault="004F560D" w:rsidP="004F560D">
      <w:pPr>
        <w:rPr>
          <w:rFonts w:ascii="Arial" w:hAnsi="Arial"/>
          <w:b/>
          <w:bCs/>
          <w:sz w:val="26"/>
          <w:szCs w:val="26"/>
          <w:rtl/>
        </w:rPr>
      </w:pPr>
    </w:p>
    <w:p w14:paraId="6118263E" w14:textId="77777777" w:rsidR="004F560D" w:rsidRPr="000F2247" w:rsidRDefault="004F560D" w:rsidP="004F560D">
      <w:pPr>
        <w:rPr>
          <w:rFonts w:ascii="Arial" w:hAnsi="Arial"/>
          <w:b/>
          <w:bCs/>
          <w:sz w:val="26"/>
          <w:szCs w:val="26"/>
          <w:rtl/>
        </w:rPr>
      </w:pPr>
    </w:p>
    <w:p w14:paraId="76800DA2" w14:textId="77777777" w:rsidR="004F560D" w:rsidRPr="004072FD" w:rsidRDefault="004F560D" w:rsidP="004F560D">
      <w:pPr>
        <w:rPr>
          <w:rFonts w:ascii="Arial" w:hAnsi="Arial"/>
          <w:b/>
          <w:bCs/>
          <w:rtl/>
        </w:rPr>
      </w:pPr>
      <w:r w:rsidRPr="004072FD">
        <w:rPr>
          <w:rFonts w:ascii="Arial" w:hAnsi="Arial" w:hint="cs"/>
          <w:b/>
          <w:bCs/>
          <w:rtl/>
        </w:rPr>
        <w:t>דיון והכרעה:</w:t>
      </w:r>
    </w:p>
    <w:p w14:paraId="2997FC62" w14:textId="77777777" w:rsidR="004F560D" w:rsidRDefault="004F560D" w:rsidP="004F560D">
      <w:pPr>
        <w:rPr>
          <w:rFonts w:ascii="Arial" w:hAnsi="Arial"/>
          <w:b/>
          <w:bCs/>
          <w:sz w:val="26"/>
          <w:szCs w:val="26"/>
          <w:rtl/>
        </w:rPr>
      </w:pPr>
    </w:p>
    <w:p w14:paraId="46BA113F" w14:textId="77777777" w:rsidR="004F560D" w:rsidRPr="004940FC" w:rsidRDefault="004F560D" w:rsidP="004F560D">
      <w:pPr>
        <w:spacing w:before="120" w:line="360" w:lineRule="auto"/>
        <w:jc w:val="both"/>
        <w:rPr>
          <w:rtl/>
        </w:rPr>
      </w:pPr>
      <w:r>
        <w:rPr>
          <w:rFonts w:ascii="Arial" w:hAnsi="Arial" w:hint="cs"/>
          <w:rtl/>
        </w:rPr>
        <w:t>במקרה זה יש מקום לקבוע שני מתחמים נפרדים, אחד בגין ביצוע עבירות בנשק והשני, ביחס לנאשם 1 בלבד, בגין ביצוע עבירה של ניסיון להשמדת ראיה</w:t>
      </w:r>
      <w:r>
        <w:rPr>
          <w:rFonts w:ascii="Arial" w:hAnsi="Arial" w:hint="cs"/>
        </w:rPr>
        <w:t xml:space="preserve"> </w:t>
      </w:r>
      <w:r>
        <w:rPr>
          <w:rFonts w:hint="cs"/>
          <w:rtl/>
        </w:rPr>
        <w:t>ו</w:t>
      </w:r>
      <w:r w:rsidRPr="004940FC">
        <w:rPr>
          <w:rFonts w:hint="cs"/>
          <w:rtl/>
        </w:rPr>
        <w:t xml:space="preserve">שיבוש מהלכי משפט. </w:t>
      </w:r>
    </w:p>
    <w:p w14:paraId="6B3468F6" w14:textId="77777777" w:rsidR="004F560D" w:rsidRDefault="004F560D" w:rsidP="004F560D">
      <w:pPr>
        <w:spacing w:before="120" w:line="360" w:lineRule="auto"/>
        <w:jc w:val="both"/>
        <w:rPr>
          <w:rtl/>
        </w:rPr>
      </w:pPr>
      <w:r>
        <w:rPr>
          <w:rFonts w:hint="cs"/>
          <w:rtl/>
        </w:rPr>
        <w:t>מדובר באירועים שונים, אשר פגעו בערכים מוגנים שונים, ולא מתקיים ביניהם "קשר הדוק" כפי שנקבע בהלכת ג'אבר (</w:t>
      </w:r>
      <w:hyperlink r:id="rId25" w:history="1">
        <w:r w:rsidR="00715BEE" w:rsidRPr="00715BEE">
          <w:rPr>
            <w:color w:val="0000FF"/>
            <w:u w:val="single"/>
            <w:rtl/>
          </w:rPr>
          <w:t>ע"פ 4910/13</w:t>
        </w:r>
      </w:hyperlink>
      <w:r>
        <w:rPr>
          <w:rFonts w:hint="cs"/>
          <w:rtl/>
        </w:rPr>
        <w:t xml:space="preserve"> </w:t>
      </w:r>
      <w:r w:rsidRPr="00AE662A">
        <w:rPr>
          <w:rFonts w:hint="cs"/>
          <w:b/>
          <w:bCs/>
          <w:rtl/>
        </w:rPr>
        <w:t>בני ג'אבר נ' מדינת ישראל</w:t>
      </w:r>
      <w:r>
        <w:rPr>
          <w:rFonts w:hint="cs"/>
          <w:rtl/>
        </w:rPr>
        <w:t xml:space="preserve"> (29.10.14)). </w:t>
      </w:r>
    </w:p>
    <w:p w14:paraId="54ABA5B8" w14:textId="77777777" w:rsidR="004F560D" w:rsidRDefault="004F560D" w:rsidP="004F560D">
      <w:pPr>
        <w:spacing w:before="120" w:line="360" w:lineRule="auto"/>
        <w:jc w:val="both"/>
        <w:rPr>
          <w:b/>
          <w:bCs/>
          <w:rtl/>
        </w:rPr>
      </w:pPr>
    </w:p>
    <w:p w14:paraId="58016387" w14:textId="77777777" w:rsidR="004F560D" w:rsidRPr="004940FC" w:rsidRDefault="004F560D" w:rsidP="004F560D">
      <w:pPr>
        <w:spacing w:before="120" w:line="360" w:lineRule="auto"/>
        <w:jc w:val="both"/>
        <w:rPr>
          <w:b/>
          <w:bCs/>
          <w:rtl/>
        </w:rPr>
      </w:pPr>
      <w:r w:rsidRPr="004940FC">
        <w:rPr>
          <w:rFonts w:hint="cs"/>
          <w:b/>
          <w:bCs/>
          <w:rtl/>
        </w:rPr>
        <w:t xml:space="preserve">מתחם </w:t>
      </w:r>
      <w:r>
        <w:rPr>
          <w:rFonts w:hint="cs"/>
          <w:b/>
          <w:bCs/>
          <w:rtl/>
        </w:rPr>
        <w:t>העונש ההולם בגין עבירות של החזקת נשק ותחמושת בנוגע לשני הנאשמים</w:t>
      </w:r>
      <w:r w:rsidRPr="004940FC">
        <w:rPr>
          <w:rFonts w:hint="cs"/>
          <w:b/>
          <w:bCs/>
          <w:rtl/>
        </w:rPr>
        <w:t>:</w:t>
      </w:r>
    </w:p>
    <w:p w14:paraId="48540A29" w14:textId="77777777" w:rsidR="004F560D" w:rsidRPr="004F560D" w:rsidRDefault="004F560D" w:rsidP="004F560D">
      <w:pPr>
        <w:spacing w:before="120" w:line="360" w:lineRule="auto"/>
        <w:jc w:val="both"/>
        <w:rPr>
          <w:rFonts w:ascii="Calibri" w:hAnsi="Calibri"/>
          <w:rtl/>
        </w:rPr>
      </w:pPr>
      <w:r w:rsidRPr="004F560D">
        <w:rPr>
          <w:rFonts w:ascii="Calibri" w:hAnsi="Calibri" w:hint="cs"/>
          <w:rtl/>
        </w:rPr>
        <w:t>מתחם העונש ההולם ייקבע בהתאם לעיקרון ההלימה, שביישומו על בית המשפט להתחשב בערך החברתי שנפגע מביצוע העבירה, במדיניות הענישה הנהוגה ובנסיבות הקשורות בביצוע העבירה (</w:t>
      </w:r>
      <w:hyperlink r:id="rId26" w:history="1">
        <w:r w:rsidR="00715BEE" w:rsidRPr="00715BEE">
          <w:rPr>
            <w:rFonts w:ascii="Calibri" w:hAnsi="Calibri" w:hint="eastAsia"/>
            <w:color w:val="0000FF"/>
            <w:u w:val="single"/>
            <w:rtl/>
          </w:rPr>
          <w:t>ע</w:t>
        </w:r>
        <w:r w:rsidR="00715BEE" w:rsidRPr="00715BEE">
          <w:rPr>
            <w:rFonts w:ascii="Calibri" w:hAnsi="Calibri"/>
            <w:color w:val="0000FF"/>
            <w:u w:val="single"/>
            <w:rtl/>
          </w:rPr>
          <w:t>"</w:t>
        </w:r>
        <w:r w:rsidR="00715BEE" w:rsidRPr="00715BEE">
          <w:rPr>
            <w:rFonts w:ascii="Calibri" w:hAnsi="Calibri" w:hint="eastAsia"/>
            <w:color w:val="0000FF"/>
            <w:u w:val="single"/>
            <w:rtl/>
          </w:rPr>
          <w:t>פ</w:t>
        </w:r>
        <w:r w:rsidR="00715BEE" w:rsidRPr="00715BEE">
          <w:rPr>
            <w:rFonts w:ascii="Calibri" w:hAnsi="Calibri"/>
            <w:color w:val="0000FF"/>
            <w:u w:val="single"/>
            <w:rtl/>
          </w:rPr>
          <w:t xml:space="preserve"> 8641/12</w:t>
        </w:r>
      </w:hyperlink>
      <w:r w:rsidRPr="004F560D">
        <w:rPr>
          <w:rFonts w:ascii="Calibri" w:hAnsi="Calibri"/>
          <w:rtl/>
        </w:rPr>
        <w:t xml:space="preserve"> </w:t>
      </w:r>
      <w:r w:rsidRPr="004F560D">
        <w:rPr>
          <w:rFonts w:ascii="Calibri" w:hAnsi="Calibri" w:hint="cs"/>
          <w:b/>
          <w:bCs/>
          <w:rtl/>
        </w:rPr>
        <w:t>מוחמד סעד נ' מ"י</w:t>
      </w:r>
      <w:r w:rsidRPr="004F560D">
        <w:rPr>
          <w:rFonts w:ascii="Calibri" w:hAnsi="Calibri" w:hint="cs"/>
          <w:rtl/>
        </w:rPr>
        <w:t xml:space="preserve"> (5.8.13)). </w:t>
      </w:r>
    </w:p>
    <w:p w14:paraId="5B1691BF" w14:textId="77777777" w:rsidR="004F560D" w:rsidRPr="004F560D" w:rsidRDefault="004F560D" w:rsidP="004F560D">
      <w:pPr>
        <w:spacing w:before="120" w:line="360" w:lineRule="auto"/>
        <w:jc w:val="both"/>
        <w:rPr>
          <w:rFonts w:ascii="Calibri" w:hAnsi="Calibri"/>
        </w:rPr>
      </w:pPr>
      <w:r w:rsidRPr="004F560D">
        <w:rPr>
          <w:rFonts w:ascii="Calibri" w:hAnsi="Calibri" w:hint="cs"/>
          <w:rtl/>
        </w:rPr>
        <w:t xml:space="preserve">כל אחד מהנאשמים החזיק בנשק ארוך מאולתר, והשניים החזיקו בצוותא חדא תחמושת רבה מסוגים שונים. על כן, מצאתי לקבוע מתחם עונש הולם זהה לגבי שני הנאשמים בגין עבירות הנשק. </w:t>
      </w:r>
    </w:p>
    <w:p w14:paraId="0BE237D6" w14:textId="77777777" w:rsidR="004F560D" w:rsidRPr="004F560D" w:rsidRDefault="004F560D" w:rsidP="004F560D">
      <w:pPr>
        <w:spacing w:before="120" w:line="360" w:lineRule="auto"/>
        <w:jc w:val="both"/>
        <w:rPr>
          <w:rFonts w:ascii="Calibri" w:hAnsi="Calibri"/>
          <w:rtl/>
        </w:rPr>
      </w:pPr>
      <w:r w:rsidRPr="004F560D">
        <w:rPr>
          <w:rFonts w:ascii="Calibri" w:hAnsi="Calibri" w:hint="cs"/>
          <w:b/>
          <w:bCs/>
          <w:rtl/>
        </w:rPr>
        <w:t>הערך החברתי המוגן</w:t>
      </w:r>
      <w:r w:rsidRPr="004F560D">
        <w:rPr>
          <w:rFonts w:ascii="Calibri" w:hAnsi="Calibri" w:hint="cs"/>
          <w:rtl/>
        </w:rPr>
        <w:t xml:space="preserve"> שנפגע ממעשי הנאשמים הוא הערך של הגנה על חיי אדם והגנה על תחושת הביטחון של הציבור. </w:t>
      </w:r>
    </w:p>
    <w:p w14:paraId="0084D25B" w14:textId="77777777" w:rsidR="004F560D" w:rsidRPr="004F560D" w:rsidRDefault="004F560D" w:rsidP="004F560D">
      <w:pPr>
        <w:spacing w:before="120" w:line="360" w:lineRule="auto"/>
        <w:jc w:val="both"/>
        <w:rPr>
          <w:rFonts w:ascii="Calibri" w:hAnsi="Calibri"/>
          <w:b/>
          <w:bCs/>
        </w:rPr>
      </w:pPr>
      <w:r w:rsidRPr="004F560D">
        <w:rPr>
          <w:rFonts w:ascii="Calibri" w:hAnsi="Calibri" w:hint="cs"/>
          <w:rtl/>
        </w:rPr>
        <w:t>באשר לחומרה היתרה שיש לראות בביצוע עבירות בנשק, קבע בית המשפט העליון ב</w:t>
      </w:r>
      <w:hyperlink r:id="rId27" w:history="1">
        <w:r w:rsidR="00715BEE" w:rsidRPr="00715BEE">
          <w:rPr>
            <w:rFonts w:ascii="Calibri" w:hAnsi="Calibri" w:hint="eastAsia"/>
            <w:color w:val="0000FF"/>
            <w:u w:val="single"/>
            <w:rtl/>
          </w:rPr>
          <w:t>ע</w:t>
        </w:r>
        <w:r w:rsidR="00715BEE" w:rsidRPr="00715BEE">
          <w:rPr>
            <w:rFonts w:ascii="Calibri" w:hAnsi="Calibri"/>
            <w:color w:val="0000FF"/>
            <w:u w:val="single"/>
            <w:rtl/>
          </w:rPr>
          <w:t>"</w:t>
        </w:r>
        <w:r w:rsidR="00715BEE" w:rsidRPr="00715BEE">
          <w:rPr>
            <w:rFonts w:ascii="Calibri" w:hAnsi="Calibri" w:hint="eastAsia"/>
            <w:color w:val="0000FF"/>
            <w:u w:val="single"/>
            <w:rtl/>
          </w:rPr>
          <w:t>פ</w:t>
        </w:r>
        <w:r w:rsidR="00715BEE" w:rsidRPr="00715BEE">
          <w:rPr>
            <w:rFonts w:ascii="Calibri" w:hAnsi="Calibri"/>
            <w:color w:val="0000FF"/>
            <w:u w:val="single"/>
            <w:rtl/>
          </w:rPr>
          <w:t xml:space="preserve"> 1945/13</w:t>
        </w:r>
      </w:hyperlink>
      <w:r w:rsidRPr="004F560D">
        <w:rPr>
          <w:rFonts w:ascii="Calibri" w:hAnsi="Calibri" w:hint="cs"/>
          <w:rtl/>
        </w:rPr>
        <w:t xml:space="preserve"> </w:t>
      </w:r>
      <w:r w:rsidRPr="004F560D">
        <w:rPr>
          <w:rFonts w:ascii="Calibri" w:hAnsi="Calibri" w:hint="cs"/>
          <w:b/>
          <w:bCs/>
          <w:rtl/>
        </w:rPr>
        <w:t xml:space="preserve">מדינת ישראל נ' עבד אל כרים סלימאן, </w:t>
      </w:r>
      <w:r w:rsidRPr="004F560D">
        <w:rPr>
          <w:rFonts w:ascii="Calibri" w:hAnsi="Calibri" w:hint="cs"/>
          <w:rtl/>
        </w:rPr>
        <w:t>(19.1.14) מדיניות ברורה:</w:t>
      </w:r>
    </w:p>
    <w:p w14:paraId="028696B9" w14:textId="77777777" w:rsidR="004F560D" w:rsidRPr="004F560D" w:rsidRDefault="004F560D" w:rsidP="004F560D">
      <w:pPr>
        <w:spacing w:before="120" w:line="360" w:lineRule="auto"/>
        <w:ind w:left="360"/>
        <w:jc w:val="both"/>
        <w:rPr>
          <w:rFonts w:ascii="Calibri" w:hAnsi="Calibri"/>
          <w:b/>
          <w:bCs/>
          <w:rtl/>
        </w:rPr>
      </w:pPr>
      <w:r w:rsidRPr="004F560D">
        <w:rPr>
          <w:rFonts w:ascii="Calibri" w:hAnsi="Calibri" w:hint="cs"/>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p>
    <w:p w14:paraId="0050EA63" w14:textId="77777777" w:rsidR="004F560D" w:rsidRPr="004F560D" w:rsidRDefault="004F560D" w:rsidP="004F560D">
      <w:pPr>
        <w:spacing w:before="120" w:line="360" w:lineRule="auto"/>
        <w:jc w:val="both"/>
        <w:rPr>
          <w:rFonts w:ascii="Calibri" w:hAnsi="Calibri"/>
          <w:rtl/>
        </w:rPr>
      </w:pPr>
      <w:r w:rsidRPr="004F560D">
        <w:rPr>
          <w:rFonts w:ascii="Calibri" w:hAnsi="Calibri" w:hint="cs"/>
          <w:rtl/>
        </w:rPr>
        <w:t>בשורה של פסקי דין נתן בית</w:t>
      </w:r>
      <w:r w:rsidRPr="004F560D">
        <w:rPr>
          <w:rFonts w:ascii="Calibri" w:hAnsi="Calibri"/>
        </w:rPr>
        <w:t xml:space="preserve"> </w:t>
      </w:r>
      <w:r w:rsidRPr="004F560D">
        <w:rPr>
          <w:rFonts w:ascii="Calibri" w:hAnsi="Calibri" w:hint="cs"/>
          <w:rtl/>
        </w:rPr>
        <w:t>המשפט</w:t>
      </w:r>
      <w:r w:rsidRPr="004F560D">
        <w:rPr>
          <w:rFonts w:ascii="Calibri" w:hAnsi="Calibri"/>
        </w:rPr>
        <w:t xml:space="preserve"> </w:t>
      </w:r>
      <w:r w:rsidRPr="004F560D">
        <w:rPr>
          <w:rFonts w:ascii="Calibri" w:hAnsi="Calibri" w:hint="cs"/>
          <w:rtl/>
        </w:rPr>
        <w:t>העליון</w:t>
      </w:r>
      <w:r w:rsidRPr="004F560D">
        <w:rPr>
          <w:rFonts w:ascii="Calibri" w:hAnsi="Calibri"/>
        </w:rPr>
        <w:t xml:space="preserve"> </w:t>
      </w:r>
      <w:r w:rsidRPr="004F560D">
        <w:rPr>
          <w:rFonts w:ascii="Calibri" w:hAnsi="Calibri" w:hint="cs"/>
          <w:rtl/>
        </w:rPr>
        <w:t>דעתו</w:t>
      </w:r>
      <w:r w:rsidRPr="004F560D">
        <w:rPr>
          <w:rFonts w:ascii="Calibri" w:hAnsi="Calibri"/>
        </w:rPr>
        <w:t xml:space="preserve"> </w:t>
      </w:r>
      <w:r w:rsidRPr="004F560D">
        <w:rPr>
          <w:rFonts w:ascii="Calibri" w:hAnsi="Calibri" w:hint="cs"/>
          <w:rtl/>
        </w:rPr>
        <w:t>לחומרת העבירות בנשק, להשלכות</w:t>
      </w:r>
      <w:r w:rsidRPr="004F560D">
        <w:rPr>
          <w:rFonts w:ascii="Calibri" w:hAnsi="Calibri"/>
        </w:rPr>
        <w:t xml:space="preserve"> </w:t>
      </w:r>
      <w:r w:rsidRPr="004F560D">
        <w:rPr>
          <w:rFonts w:ascii="Calibri" w:hAnsi="Calibri" w:hint="cs"/>
          <w:rtl/>
        </w:rPr>
        <w:t>הרות</w:t>
      </w:r>
      <w:r w:rsidRPr="004F560D">
        <w:rPr>
          <w:rFonts w:ascii="Calibri" w:hAnsi="Calibri"/>
        </w:rPr>
        <w:t xml:space="preserve"> </w:t>
      </w:r>
      <w:r w:rsidRPr="004F560D">
        <w:rPr>
          <w:rFonts w:ascii="Calibri" w:hAnsi="Calibri" w:hint="cs"/>
          <w:rtl/>
        </w:rPr>
        <w:t>האסון</w:t>
      </w:r>
      <w:r w:rsidRPr="004F560D">
        <w:rPr>
          <w:rFonts w:ascii="Calibri" w:hAnsi="Calibri"/>
        </w:rPr>
        <w:t xml:space="preserve"> </w:t>
      </w:r>
      <w:r w:rsidRPr="004F560D">
        <w:rPr>
          <w:rFonts w:ascii="Calibri" w:hAnsi="Calibri" w:hint="cs"/>
          <w:rtl/>
        </w:rPr>
        <w:t>והסיכון</w:t>
      </w:r>
      <w:r w:rsidRPr="004F560D">
        <w:rPr>
          <w:rFonts w:ascii="Calibri" w:hAnsi="Calibri"/>
        </w:rPr>
        <w:t xml:space="preserve"> </w:t>
      </w:r>
      <w:r w:rsidRPr="004F560D">
        <w:rPr>
          <w:rFonts w:ascii="Calibri" w:hAnsi="Calibri" w:hint="cs"/>
          <w:rtl/>
        </w:rPr>
        <w:t>הגלום</w:t>
      </w:r>
      <w:r w:rsidRPr="004F560D">
        <w:rPr>
          <w:rFonts w:ascii="Calibri" w:hAnsi="Calibri"/>
        </w:rPr>
        <w:t xml:space="preserve"> </w:t>
      </w:r>
      <w:r w:rsidRPr="004F560D">
        <w:rPr>
          <w:rFonts w:ascii="Calibri" w:hAnsi="Calibri" w:hint="cs"/>
          <w:rtl/>
        </w:rPr>
        <w:t>בהן. לאחרונה הוצאה הוראת שעה הקובעת עונש מזערי בגין עבירות בנשק, והגם שההוראה אינה חלה בענייננו, היא מלמדת על החמרה במדיניות הענישה בגין עבירות מסוג זה.</w:t>
      </w:r>
    </w:p>
    <w:p w14:paraId="3B3C9943" w14:textId="77777777" w:rsidR="004F560D" w:rsidRPr="00576A24" w:rsidRDefault="004F560D" w:rsidP="004F560D">
      <w:pPr>
        <w:spacing w:before="120" w:line="360" w:lineRule="auto"/>
        <w:jc w:val="both"/>
        <w:rPr>
          <w:color w:val="000000"/>
          <w:rtl/>
        </w:rPr>
      </w:pPr>
      <w:r w:rsidRPr="00576A24">
        <w:rPr>
          <w:rFonts w:hint="cs"/>
          <w:color w:val="000000"/>
          <w:rtl/>
        </w:rPr>
        <w:t xml:space="preserve">בעניין זה ראה </w:t>
      </w:r>
      <w:hyperlink r:id="rId28" w:history="1">
        <w:r w:rsidR="00715BEE" w:rsidRPr="00715BEE">
          <w:rPr>
            <w:color w:val="0000FF"/>
            <w:u w:val="single"/>
            <w:rtl/>
          </w:rPr>
          <w:t>ע"פ 2482/22</w:t>
        </w:r>
      </w:hyperlink>
      <w:r w:rsidR="00715BEE">
        <w:rPr>
          <w:color w:val="000000"/>
          <w:rtl/>
        </w:rPr>
        <w:t xml:space="preserve"> </w:t>
      </w:r>
      <w:r w:rsidRPr="00576A24">
        <w:rPr>
          <w:b/>
          <w:bCs/>
          <w:color w:val="000000"/>
          <w:rtl/>
        </w:rPr>
        <w:t>מדינת ישראל נ' אחמד קדורה</w:t>
      </w:r>
      <w:r w:rsidR="00715BEE">
        <w:rPr>
          <w:color w:val="000000"/>
          <w:rtl/>
        </w:rPr>
        <w:t xml:space="preserve"> </w:t>
      </w:r>
      <w:r w:rsidRPr="00576A24">
        <w:rPr>
          <w:color w:val="000000"/>
          <w:rtl/>
        </w:rPr>
        <w:t>(14.04.2022)</w:t>
      </w:r>
      <w:r>
        <w:rPr>
          <w:rFonts w:hint="cs"/>
          <w:color w:val="000000"/>
          <w:rtl/>
        </w:rPr>
        <w:t>:</w:t>
      </w:r>
      <w:r w:rsidRPr="00576A24">
        <w:rPr>
          <w:color w:val="000000"/>
          <w:rtl/>
        </w:rPr>
        <w:t xml:space="preserve"> </w:t>
      </w:r>
    </w:p>
    <w:p w14:paraId="1ED080DF" w14:textId="77777777" w:rsidR="004F560D" w:rsidRPr="004F560D" w:rsidRDefault="004F560D" w:rsidP="004F560D">
      <w:pPr>
        <w:spacing w:before="120" w:line="360" w:lineRule="auto"/>
        <w:ind w:left="720"/>
        <w:jc w:val="both"/>
        <w:rPr>
          <w:rFonts w:ascii="Calibri" w:hAnsi="Calibri"/>
          <w:b/>
          <w:bCs/>
          <w:rtl/>
        </w:rPr>
      </w:pPr>
      <w:r w:rsidRPr="004F560D">
        <w:rPr>
          <w:rFonts w:ascii="Calibri" w:hAnsi="Calibri"/>
          <w:b/>
          <w:bCs/>
          <w:rtl/>
        </w:rPr>
        <w:t>"</w:t>
      </w:r>
      <w:r w:rsidRPr="004F560D">
        <w:rPr>
          <w:rFonts w:ascii="Calibri" w:hAnsi="Calibri" w:hint="cs"/>
          <w:b/>
          <w:bCs/>
          <w:rtl/>
        </w:rPr>
        <w:t>ל</w:t>
      </w:r>
      <w:r w:rsidRPr="004F560D">
        <w:rPr>
          <w:rFonts w:ascii="Calibri" w:hAnsi="Calibri"/>
          <w:b/>
          <w:bCs/>
          <w:rtl/>
        </w:rPr>
        <w:t>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(סעיף 144(ז) ל</w:t>
      </w:r>
      <w:hyperlink r:id="rId29" w:history="1">
        <w:r w:rsidR="00715BEE" w:rsidRPr="00715BEE">
          <w:rPr>
            <w:rFonts w:ascii="Calibri" w:hAnsi="Calibri" w:hint="eastAsia"/>
            <w:b/>
            <w:bCs/>
            <w:color w:val="0000FF"/>
            <w:u w:val="single"/>
            <w:rtl/>
          </w:rPr>
          <w:t>חוק</w:t>
        </w:r>
        <w:r w:rsidR="00715BEE" w:rsidRPr="00715BEE">
          <w:rPr>
            <w:rFonts w:ascii="Calibri" w:hAnsi="Calibri"/>
            <w:b/>
            <w:bCs/>
            <w:color w:val="0000FF"/>
            <w:u w:val="single"/>
            <w:rtl/>
          </w:rPr>
          <w:t xml:space="preserve"> </w:t>
        </w:r>
        <w:r w:rsidR="00715BEE" w:rsidRPr="00715BEE">
          <w:rPr>
            <w:rFonts w:ascii="Calibri" w:hAnsi="Calibri" w:hint="eastAsia"/>
            <w:b/>
            <w:bCs/>
            <w:color w:val="0000FF"/>
            <w:u w:val="single"/>
            <w:rtl/>
          </w:rPr>
          <w:t>העונשין</w:t>
        </w:r>
      </w:hyperlink>
      <w:r w:rsidRPr="004F560D">
        <w:rPr>
          <w:rFonts w:ascii="Calibri" w:hAnsi="Calibri"/>
          <w:b/>
          <w:bCs/>
          <w:rtl/>
        </w:rPr>
        <w:t xml:space="preserve">, וראו חוק העונשין (תיקון מס' 140 - הוראת שעה), התשפ"ב-2021, ס"ח 472; </w:t>
      </w:r>
      <w:hyperlink r:id="rId30" w:history="1">
        <w:r w:rsidR="00715BEE" w:rsidRPr="00715BEE">
          <w:rPr>
            <w:rFonts w:ascii="Calibri" w:hAnsi="Calibri" w:hint="eastAsia"/>
            <w:b/>
            <w:bCs/>
            <w:color w:val="0000FF"/>
            <w:u w:val="single"/>
            <w:rtl/>
          </w:rPr>
          <w:t>ע</w:t>
        </w:r>
        <w:r w:rsidR="00715BEE" w:rsidRPr="00715BEE">
          <w:rPr>
            <w:rFonts w:ascii="Calibri" w:hAnsi="Calibri"/>
            <w:b/>
            <w:bCs/>
            <w:color w:val="0000FF"/>
            <w:u w:val="single"/>
            <w:rtl/>
          </w:rPr>
          <w:t>"</w:t>
        </w:r>
        <w:r w:rsidR="00715BEE" w:rsidRPr="00715BEE">
          <w:rPr>
            <w:rFonts w:ascii="Calibri" w:hAnsi="Calibri" w:hint="eastAsia"/>
            <w:b/>
            <w:bCs/>
            <w:color w:val="0000FF"/>
            <w:u w:val="single"/>
            <w:rtl/>
          </w:rPr>
          <w:t>פ</w:t>
        </w:r>
        <w:r w:rsidR="00715BEE" w:rsidRPr="00715BEE">
          <w:rPr>
            <w:rFonts w:ascii="Calibri" w:hAnsi="Calibri"/>
            <w:b/>
            <w:bCs/>
            <w:color w:val="0000FF"/>
            <w:u w:val="single"/>
            <w:rtl/>
          </w:rPr>
          <w:t xml:space="preserve"> 4456/21</w:t>
        </w:r>
      </w:hyperlink>
      <w:r w:rsidRPr="004F560D">
        <w:rPr>
          <w:rFonts w:ascii="Calibri" w:hAnsi="Calibri"/>
          <w:b/>
          <w:bCs/>
          <w:rtl/>
        </w:rPr>
        <w:t xml:space="preserve"> מדינת ישראל נ' אבו עבסה, פסקה 15 [פורסם בנבו]</w:t>
      </w:r>
      <w:r w:rsidRPr="004F560D">
        <w:rPr>
          <w:rFonts w:ascii="Calibri" w:hAnsi="Calibri"/>
          <w:b/>
          <w:bCs/>
        </w:rPr>
        <w:t xml:space="preserve"> (23.1.2022)</w:t>
      </w:r>
      <w:r w:rsidRPr="004F560D">
        <w:rPr>
          <w:rFonts w:ascii="Calibri" w:hAnsi="Calibri"/>
          <w:b/>
          <w:bCs/>
          <w:rtl/>
        </w:rPr>
        <w:t>). אכן, התיקון לחוק לא חל בענייננו, מאחר שהמעשים בהם הורשע המשיב נעשו עוד קודם לתיקון, אך יש בו כדי לשקף את רצון המחוקק להחמיר בענישה בעבירות נשק</w:t>
      </w:r>
      <w:r w:rsidRPr="004F560D">
        <w:rPr>
          <w:rFonts w:ascii="Calibri" w:hAnsi="Calibri"/>
          <w:b/>
          <w:bCs/>
        </w:rPr>
        <w:t>."</w:t>
      </w:r>
    </w:p>
    <w:p w14:paraId="3FECA17C" w14:textId="77777777" w:rsidR="004F560D" w:rsidRPr="004F560D" w:rsidRDefault="004F560D" w:rsidP="004F560D">
      <w:pPr>
        <w:spacing w:before="120" w:line="360" w:lineRule="auto"/>
        <w:jc w:val="both"/>
        <w:rPr>
          <w:rFonts w:ascii="Calibri" w:hAnsi="Calibri"/>
          <w:rtl/>
        </w:rPr>
      </w:pPr>
      <w:r w:rsidRPr="004F560D">
        <w:rPr>
          <w:rFonts w:ascii="Calibri" w:hAnsi="Calibri" w:hint="cs"/>
          <w:rtl/>
        </w:rPr>
        <w:t>בפסיקה נקבע כי החזקתו</w:t>
      </w:r>
      <w:r w:rsidRPr="004F560D">
        <w:rPr>
          <w:rFonts w:ascii="Calibri" w:hAnsi="Calibri"/>
        </w:rPr>
        <w:t xml:space="preserve"> </w:t>
      </w:r>
      <w:r w:rsidRPr="004F560D">
        <w:rPr>
          <w:rFonts w:ascii="Calibri" w:hAnsi="Calibri" w:hint="cs"/>
          <w:rtl/>
        </w:rPr>
        <w:t>של</w:t>
      </w:r>
      <w:r w:rsidRPr="004F560D">
        <w:rPr>
          <w:rFonts w:ascii="Calibri" w:hAnsi="Calibri"/>
        </w:rPr>
        <w:t xml:space="preserve"> </w:t>
      </w:r>
      <w:r w:rsidRPr="004F560D">
        <w:rPr>
          <w:rFonts w:ascii="Calibri" w:hAnsi="Calibri" w:hint="cs"/>
          <w:rtl/>
        </w:rPr>
        <w:t>נשק</w:t>
      </w:r>
      <w:r w:rsidRPr="004F560D">
        <w:rPr>
          <w:rFonts w:ascii="Calibri" w:hAnsi="Calibri"/>
        </w:rPr>
        <w:t xml:space="preserve"> </w:t>
      </w:r>
      <w:r w:rsidRPr="004F560D">
        <w:rPr>
          <w:rFonts w:ascii="Calibri" w:hAnsi="Calibri" w:hint="cs"/>
          <w:rtl/>
        </w:rPr>
        <w:t>חם</w:t>
      </w:r>
      <w:r w:rsidRPr="004F560D">
        <w:rPr>
          <w:rFonts w:ascii="Calibri" w:hAnsi="Calibri"/>
        </w:rPr>
        <w:t xml:space="preserve"> </w:t>
      </w:r>
      <w:r w:rsidRPr="004F560D">
        <w:rPr>
          <w:rFonts w:ascii="Calibri" w:hAnsi="Calibri" w:hint="cs"/>
          <w:rtl/>
        </w:rPr>
        <w:t>ורב</w:t>
      </w:r>
      <w:r w:rsidRPr="004F560D">
        <w:rPr>
          <w:rFonts w:ascii="Calibri" w:hAnsi="Calibri"/>
        </w:rPr>
        <w:t xml:space="preserve"> </w:t>
      </w:r>
      <w:r w:rsidRPr="004F560D">
        <w:rPr>
          <w:rFonts w:ascii="Calibri" w:hAnsi="Calibri" w:hint="cs"/>
          <w:rtl/>
        </w:rPr>
        <w:t>עוצמה</w:t>
      </w:r>
      <w:r w:rsidRPr="004F560D">
        <w:rPr>
          <w:rFonts w:ascii="Calibri" w:hAnsi="Calibri"/>
        </w:rPr>
        <w:t xml:space="preserve"> </w:t>
      </w:r>
      <w:r w:rsidRPr="004F560D">
        <w:rPr>
          <w:rFonts w:ascii="Calibri" w:hAnsi="Calibri" w:hint="cs"/>
          <w:rtl/>
        </w:rPr>
        <w:t>באופן</w:t>
      </w:r>
      <w:r w:rsidRPr="004F560D">
        <w:rPr>
          <w:rFonts w:ascii="Calibri" w:hAnsi="Calibri"/>
        </w:rPr>
        <w:t xml:space="preserve"> </w:t>
      </w:r>
      <w:r w:rsidRPr="004F560D">
        <w:rPr>
          <w:rFonts w:ascii="Calibri" w:hAnsi="Calibri" w:hint="cs"/>
          <w:rtl/>
        </w:rPr>
        <w:t>בלתי</w:t>
      </w:r>
      <w:r w:rsidRPr="004F560D">
        <w:rPr>
          <w:rFonts w:ascii="Calibri" w:hAnsi="Calibri"/>
        </w:rPr>
        <w:t xml:space="preserve"> </w:t>
      </w:r>
      <w:r w:rsidRPr="004F560D">
        <w:rPr>
          <w:rFonts w:ascii="Calibri" w:hAnsi="Calibri" w:hint="cs"/>
          <w:rtl/>
        </w:rPr>
        <w:t>חוקי,</w:t>
      </w:r>
      <w:r w:rsidRPr="004F560D">
        <w:rPr>
          <w:rFonts w:ascii="Calibri" w:hAnsi="Calibri"/>
        </w:rPr>
        <w:t xml:space="preserve"> </w:t>
      </w:r>
      <w:r w:rsidRPr="004F560D">
        <w:rPr>
          <w:rFonts w:ascii="Calibri" w:hAnsi="Calibri" w:hint="cs"/>
          <w:rtl/>
        </w:rPr>
        <w:t>עלול להוביל</w:t>
      </w:r>
      <w:r w:rsidRPr="004F560D">
        <w:rPr>
          <w:rFonts w:ascii="Calibri" w:hAnsi="Calibri"/>
        </w:rPr>
        <w:t xml:space="preserve"> </w:t>
      </w:r>
      <w:r w:rsidRPr="004F560D">
        <w:rPr>
          <w:rFonts w:ascii="Calibri" w:hAnsi="Calibri" w:hint="cs"/>
          <w:rtl/>
        </w:rPr>
        <w:t>לאלימות</w:t>
      </w:r>
      <w:r w:rsidRPr="004F560D">
        <w:rPr>
          <w:rFonts w:ascii="Calibri" w:hAnsi="Calibri"/>
        </w:rPr>
        <w:t xml:space="preserve"> </w:t>
      </w:r>
      <w:r w:rsidRPr="004F560D">
        <w:rPr>
          <w:rFonts w:ascii="Calibri" w:hAnsi="Calibri" w:hint="cs"/>
          <w:rtl/>
        </w:rPr>
        <w:t>קשה</w:t>
      </w:r>
      <w:r w:rsidRPr="004F560D">
        <w:rPr>
          <w:rFonts w:ascii="Calibri" w:hAnsi="Calibri"/>
        </w:rPr>
        <w:t xml:space="preserve"> </w:t>
      </w:r>
      <w:r w:rsidRPr="004F560D">
        <w:rPr>
          <w:rFonts w:ascii="Calibri" w:hAnsi="Calibri" w:hint="cs"/>
          <w:rtl/>
        </w:rPr>
        <w:t>עד</w:t>
      </w:r>
      <w:r w:rsidRPr="004F560D">
        <w:rPr>
          <w:rFonts w:ascii="Calibri" w:hAnsi="Calibri"/>
        </w:rPr>
        <w:t xml:space="preserve"> </w:t>
      </w:r>
      <w:r w:rsidRPr="004F560D">
        <w:rPr>
          <w:rFonts w:ascii="Calibri" w:hAnsi="Calibri" w:hint="cs"/>
          <w:rtl/>
        </w:rPr>
        <w:t>קטלנית. זמינות כלי</w:t>
      </w:r>
      <w:r w:rsidRPr="004F560D">
        <w:rPr>
          <w:rFonts w:ascii="Calibri" w:hAnsi="Calibri"/>
        </w:rPr>
        <w:t xml:space="preserve"> </w:t>
      </w:r>
      <w:r w:rsidRPr="004F560D">
        <w:rPr>
          <w:rFonts w:ascii="Calibri" w:hAnsi="Calibri" w:hint="cs"/>
          <w:rtl/>
        </w:rPr>
        <w:t>הנשק</w:t>
      </w:r>
      <w:r w:rsidRPr="004F560D">
        <w:rPr>
          <w:rFonts w:ascii="Calibri" w:hAnsi="Calibri"/>
        </w:rPr>
        <w:t xml:space="preserve"> </w:t>
      </w:r>
      <w:r w:rsidRPr="004F560D">
        <w:rPr>
          <w:rFonts w:ascii="Calibri" w:hAnsi="Calibri" w:hint="cs"/>
          <w:rtl/>
        </w:rPr>
        <w:t>העוברים</w:t>
      </w:r>
      <w:r w:rsidRPr="004F560D">
        <w:rPr>
          <w:rFonts w:ascii="Calibri" w:hAnsi="Calibri"/>
        </w:rPr>
        <w:t xml:space="preserve"> </w:t>
      </w:r>
      <w:r w:rsidRPr="004F560D">
        <w:rPr>
          <w:rFonts w:ascii="Calibri" w:hAnsi="Calibri" w:hint="cs"/>
          <w:rtl/>
        </w:rPr>
        <w:t>מיד</w:t>
      </w:r>
      <w:r w:rsidRPr="004F560D">
        <w:rPr>
          <w:rFonts w:ascii="Calibri" w:hAnsi="Calibri"/>
        </w:rPr>
        <w:t xml:space="preserve"> </w:t>
      </w:r>
      <w:r w:rsidRPr="004F560D">
        <w:rPr>
          <w:rFonts w:ascii="Calibri" w:hAnsi="Calibri" w:hint="cs"/>
          <w:rtl/>
        </w:rPr>
        <w:t>ליד, אם</w:t>
      </w:r>
      <w:r w:rsidRPr="004F560D">
        <w:rPr>
          <w:rFonts w:ascii="Calibri" w:hAnsi="Calibri"/>
        </w:rPr>
        <w:t xml:space="preserve"> </w:t>
      </w:r>
      <w:r w:rsidRPr="004F560D">
        <w:rPr>
          <w:rFonts w:ascii="Calibri" w:hAnsi="Calibri" w:hint="cs"/>
          <w:rtl/>
        </w:rPr>
        <w:t>לידיים</w:t>
      </w:r>
      <w:r w:rsidRPr="004F560D">
        <w:rPr>
          <w:rFonts w:ascii="Calibri" w:hAnsi="Calibri"/>
        </w:rPr>
        <w:t xml:space="preserve"> </w:t>
      </w:r>
      <w:r w:rsidRPr="004F560D">
        <w:rPr>
          <w:rFonts w:ascii="Calibri" w:hAnsi="Calibri" w:hint="cs"/>
          <w:rtl/>
        </w:rPr>
        <w:t>עוינות ואם לידיים פליליות, תורמים</w:t>
      </w:r>
      <w:r w:rsidRPr="004F560D">
        <w:rPr>
          <w:rFonts w:ascii="Calibri" w:hAnsi="Calibri"/>
        </w:rPr>
        <w:t xml:space="preserve"> </w:t>
      </w:r>
      <w:r w:rsidRPr="004F560D">
        <w:rPr>
          <w:rFonts w:ascii="Calibri" w:hAnsi="Calibri" w:hint="cs"/>
          <w:rtl/>
        </w:rPr>
        <w:t>להגדלת</w:t>
      </w:r>
      <w:r w:rsidRPr="004F560D">
        <w:rPr>
          <w:rFonts w:ascii="Calibri" w:hAnsi="Calibri"/>
        </w:rPr>
        <w:t xml:space="preserve"> </w:t>
      </w:r>
      <w:r w:rsidRPr="004F560D">
        <w:rPr>
          <w:rFonts w:ascii="Calibri" w:hAnsi="Calibri" w:hint="cs"/>
          <w:rtl/>
        </w:rPr>
        <w:t>מעגל</w:t>
      </w:r>
      <w:r w:rsidRPr="004F560D">
        <w:rPr>
          <w:rFonts w:ascii="Calibri" w:hAnsi="Calibri"/>
        </w:rPr>
        <w:t xml:space="preserve"> </w:t>
      </w:r>
      <w:r w:rsidRPr="004F560D">
        <w:rPr>
          <w:rFonts w:ascii="Calibri" w:hAnsi="Calibri" w:hint="cs"/>
          <w:rtl/>
        </w:rPr>
        <w:t>האלימות</w:t>
      </w:r>
      <w:r w:rsidRPr="004F560D">
        <w:rPr>
          <w:rFonts w:ascii="Calibri" w:hAnsi="Calibri"/>
        </w:rPr>
        <w:t xml:space="preserve"> </w:t>
      </w:r>
      <w:r w:rsidRPr="004F560D">
        <w:rPr>
          <w:rFonts w:ascii="Calibri" w:hAnsi="Calibri" w:hint="cs"/>
          <w:rtl/>
        </w:rPr>
        <w:t>ולתוצאות</w:t>
      </w:r>
      <w:r w:rsidRPr="004F560D">
        <w:rPr>
          <w:rFonts w:ascii="Calibri" w:hAnsi="Calibri"/>
        </w:rPr>
        <w:t xml:space="preserve"> </w:t>
      </w:r>
      <w:r w:rsidRPr="004F560D">
        <w:rPr>
          <w:rFonts w:ascii="Calibri" w:hAnsi="Calibri" w:hint="cs"/>
          <w:rtl/>
        </w:rPr>
        <w:t>הקשות</w:t>
      </w:r>
      <w:r w:rsidRPr="004F560D">
        <w:rPr>
          <w:rFonts w:ascii="Calibri" w:hAnsi="Calibri"/>
        </w:rPr>
        <w:t xml:space="preserve"> </w:t>
      </w:r>
      <w:r w:rsidRPr="004F560D">
        <w:rPr>
          <w:rFonts w:ascii="Calibri" w:hAnsi="Calibri" w:hint="cs"/>
          <w:rtl/>
        </w:rPr>
        <w:t>הנובעות</w:t>
      </w:r>
      <w:r w:rsidRPr="004F560D">
        <w:rPr>
          <w:rFonts w:ascii="Calibri" w:hAnsi="Calibri"/>
        </w:rPr>
        <w:t xml:space="preserve"> </w:t>
      </w:r>
      <w:r w:rsidRPr="004F560D">
        <w:rPr>
          <w:rFonts w:ascii="Calibri" w:hAnsi="Calibri" w:hint="cs"/>
          <w:rtl/>
        </w:rPr>
        <w:t xml:space="preserve">מכך. בשנתיים האחרונות אנו עדים לגל אלימות קשה תוך שימוש בנשק חם אשר אינו מבחין בין ילדים, נשים, גברים, בין עבריינים לחפים מפשע, ואשר גובה כמעט מדי יום קורבנות חדשים. </w:t>
      </w:r>
    </w:p>
    <w:p w14:paraId="73FBEDE8" w14:textId="77777777" w:rsidR="004F560D" w:rsidRPr="004F560D" w:rsidRDefault="004F560D" w:rsidP="004F560D">
      <w:pPr>
        <w:spacing w:before="120" w:line="360" w:lineRule="auto"/>
        <w:ind w:left="720"/>
        <w:jc w:val="both"/>
        <w:rPr>
          <w:rFonts w:ascii="Calibri" w:hAnsi="Calibri"/>
          <w:rtl/>
        </w:rPr>
      </w:pPr>
      <w:r w:rsidRPr="004F560D">
        <w:rPr>
          <w:rFonts w:ascii="Calibri" w:hAnsi="Calibri" w:hint="cs"/>
          <w:b/>
          <w:bCs/>
          <w:rtl/>
        </w:rPr>
        <w:t xml:space="preserve">"...המציאות השוררת בארץ - זמינותו של נשק חם ורב עוצמה שיש עמו פוטנציאל להסלמה באלימות העבריינית... מחייבת מתן ביטוי עונשי הולם והחמרה ברמת הענישה </w:t>
      </w:r>
      <w:r w:rsidRPr="004F560D">
        <w:rPr>
          <w:rFonts w:ascii="Calibri" w:hAnsi="Calibri" w:hint="cs"/>
          <w:rtl/>
        </w:rPr>
        <w:t xml:space="preserve">(ראו </w:t>
      </w:r>
      <w:r w:rsidRPr="00715BEE">
        <w:rPr>
          <w:rFonts w:ascii="Calibri" w:hAnsi="Calibri" w:hint="cs"/>
          <w:color w:val="000000"/>
          <w:rtl/>
        </w:rPr>
        <w:t xml:space="preserve">ע"פ </w:t>
      </w:r>
      <w:hyperlink r:id="rId31" w:history="1">
        <w:r w:rsidR="005960F8" w:rsidRPr="005960F8">
          <w:rPr>
            <w:rFonts w:ascii="Calibri" w:hAnsi="Calibri"/>
            <w:color w:val="0000FF"/>
            <w:u w:val="single"/>
            <w:rtl/>
          </w:rPr>
          <w:t xml:space="preserve">1332/04 </w:t>
        </w:r>
      </w:hyperlink>
      <w:r w:rsidRPr="004F560D">
        <w:rPr>
          <w:rFonts w:ascii="Calibri" w:hAnsi="Calibri"/>
          <w:rtl/>
        </w:rPr>
        <w:t xml:space="preserve"> </w:t>
      </w:r>
      <w:r w:rsidRPr="004F560D">
        <w:rPr>
          <w:rFonts w:ascii="Calibri" w:hAnsi="Calibri" w:hint="cs"/>
          <w:b/>
          <w:bCs/>
          <w:rtl/>
        </w:rPr>
        <w:t>מדינת ישראל נ' פס</w:t>
      </w:r>
      <w:r w:rsidRPr="004F560D">
        <w:rPr>
          <w:rFonts w:ascii="Calibri" w:hAnsi="Calibri" w:hint="cs"/>
          <w:rtl/>
        </w:rPr>
        <w:t>, פ"ד נח (5), 541 בעמ' 545).</w:t>
      </w:r>
    </w:p>
    <w:p w14:paraId="22E2D1A6" w14:textId="77777777" w:rsidR="004F560D" w:rsidRPr="004F560D" w:rsidRDefault="004F560D" w:rsidP="004F560D">
      <w:pPr>
        <w:spacing w:before="120" w:line="360" w:lineRule="auto"/>
        <w:jc w:val="both"/>
        <w:rPr>
          <w:rFonts w:ascii="Calibri" w:hAnsi="Calibri"/>
          <w:b/>
          <w:bCs/>
          <w:rtl/>
        </w:rPr>
      </w:pPr>
    </w:p>
    <w:p w14:paraId="72918439" w14:textId="77777777" w:rsidR="004F560D" w:rsidRPr="004F560D" w:rsidRDefault="004F560D" w:rsidP="004F560D">
      <w:pPr>
        <w:spacing w:before="120" w:line="360" w:lineRule="auto"/>
        <w:jc w:val="both"/>
        <w:rPr>
          <w:rFonts w:ascii="Calibri" w:hAnsi="Calibri"/>
          <w:b/>
          <w:bCs/>
          <w:rtl/>
        </w:rPr>
      </w:pPr>
    </w:p>
    <w:p w14:paraId="538A8461" w14:textId="77777777" w:rsidR="004F560D" w:rsidRPr="004F560D" w:rsidRDefault="004F560D" w:rsidP="004F560D">
      <w:pPr>
        <w:spacing w:before="120" w:line="360" w:lineRule="auto"/>
        <w:jc w:val="both"/>
        <w:rPr>
          <w:rFonts w:ascii="Calibri" w:hAnsi="Calibri"/>
        </w:rPr>
      </w:pPr>
      <w:r w:rsidRPr="004F560D">
        <w:rPr>
          <w:rFonts w:ascii="Calibri" w:hAnsi="Calibri" w:hint="cs"/>
          <w:b/>
          <w:bCs/>
          <w:rtl/>
        </w:rPr>
        <w:t xml:space="preserve">באשר לנסיבות הקשורות בביצוע העבירות: </w:t>
      </w:r>
    </w:p>
    <w:p w14:paraId="040558E1" w14:textId="77777777" w:rsidR="004F560D" w:rsidRDefault="004F560D" w:rsidP="004F560D">
      <w:pPr>
        <w:spacing w:after="160" w:line="360" w:lineRule="atLeast"/>
        <w:jc w:val="both"/>
        <w:rPr>
          <w:rFonts w:ascii="David" w:hAnsi="David"/>
          <w:color w:val="000000"/>
          <w:sz w:val="27"/>
          <w:szCs w:val="27"/>
          <w:rtl/>
        </w:rPr>
      </w:pPr>
      <w:r w:rsidRPr="004F560D">
        <w:rPr>
          <w:rFonts w:ascii="Calibri" w:hAnsi="Calibri" w:hint="cs"/>
          <w:b/>
          <w:bCs/>
          <w:rtl/>
        </w:rPr>
        <w:t>התכנון שקדם לביצוע העבירות</w:t>
      </w:r>
      <w:r w:rsidRPr="004F560D">
        <w:rPr>
          <w:rFonts w:ascii="Calibri" w:hAnsi="Calibri" w:hint="cs"/>
          <w:rtl/>
        </w:rPr>
        <w:t xml:space="preserve">: הנאשמים החזיקו נשקים ותחמושת אשר הוחבאו בבית בד מבעוד מועד, ועל כן ברור כי מדובר בעבירה מתוכננת. </w:t>
      </w:r>
    </w:p>
    <w:p w14:paraId="5C2F68D5" w14:textId="77777777" w:rsidR="004F560D" w:rsidRPr="004F560D" w:rsidRDefault="004F560D" w:rsidP="004F560D">
      <w:pPr>
        <w:spacing w:after="160" w:line="360" w:lineRule="atLeast"/>
        <w:jc w:val="both"/>
        <w:rPr>
          <w:rFonts w:ascii="Calibri" w:hAnsi="Calibri"/>
          <w:rtl/>
        </w:rPr>
      </w:pPr>
      <w:r w:rsidRPr="004F560D">
        <w:rPr>
          <w:rFonts w:ascii="Calibri" w:hAnsi="Calibri" w:hint="cs"/>
          <w:b/>
          <w:bCs/>
          <w:rtl/>
        </w:rPr>
        <w:t>הנזק שעלול היה להיגרם מביצוע העבירות</w:t>
      </w:r>
      <w:r w:rsidRPr="004F560D">
        <w:rPr>
          <w:rFonts w:ascii="Calibri" w:hAnsi="Calibri" w:hint="cs"/>
          <w:rtl/>
        </w:rPr>
        <w:t xml:space="preserve">: כל אחד מהנאשמים החזיקו בכלי נשק ארוך ואוטומטי, </w:t>
      </w:r>
      <w:r>
        <w:rPr>
          <w:rFonts w:hint="cs"/>
          <w:rtl/>
        </w:rPr>
        <w:t xml:space="preserve">המאופיינים בקצב אש גבוה, ונזק גדול. אם לא די בכך, </w:t>
      </w:r>
      <w:r w:rsidRPr="004F560D">
        <w:rPr>
          <w:rFonts w:ascii="Calibri" w:hAnsi="Calibri" w:hint="cs"/>
          <w:rtl/>
        </w:rPr>
        <w:t xml:space="preserve">נאשם 2 החזיק את הנשק עם מחסנית ותחמושת תואמת. בנוסף החזיקו השניים סוגי תחמושת רבים ושונים. על כן מדובר במדרג גבוה של עבירת החזקת נשק. </w:t>
      </w:r>
    </w:p>
    <w:p w14:paraId="21D59CF4" w14:textId="77777777" w:rsidR="004F560D" w:rsidRPr="004F560D" w:rsidRDefault="004F560D" w:rsidP="004F560D">
      <w:pPr>
        <w:spacing w:after="160" w:line="360" w:lineRule="atLeast"/>
        <w:jc w:val="both"/>
        <w:rPr>
          <w:rFonts w:ascii="Calibri" w:hAnsi="Calibri"/>
          <w:rtl/>
        </w:rPr>
      </w:pPr>
      <w:r w:rsidRPr="004F560D">
        <w:rPr>
          <w:rFonts w:ascii="Calibri" w:hAnsi="Calibri" w:hint="cs"/>
          <w:rtl/>
        </w:rPr>
        <w:t xml:space="preserve">מכאן, הנזק הפוטנציאלי שעלול היה להיגרם, הוא נזק גדול והרסני, העלול לקפח חיי אדם. </w:t>
      </w:r>
    </w:p>
    <w:p w14:paraId="1AF313DC" w14:textId="77777777" w:rsidR="004F560D" w:rsidRPr="004F560D" w:rsidRDefault="004F560D" w:rsidP="004F560D">
      <w:pPr>
        <w:spacing w:before="120" w:line="360" w:lineRule="auto"/>
        <w:jc w:val="both"/>
        <w:rPr>
          <w:rFonts w:ascii="Calibri" w:hAnsi="Calibri"/>
          <w:b/>
          <w:bCs/>
          <w:rtl/>
        </w:rPr>
      </w:pPr>
    </w:p>
    <w:p w14:paraId="7A4DA2E1" w14:textId="77777777" w:rsidR="004F560D" w:rsidRPr="004F560D" w:rsidRDefault="004F560D" w:rsidP="004F560D">
      <w:pPr>
        <w:spacing w:before="120" w:line="360" w:lineRule="auto"/>
        <w:jc w:val="both"/>
        <w:rPr>
          <w:rFonts w:ascii="Calibri" w:hAnsi="Calibri"/>
          <w:rtl/>
        </w:rPr>
      </w:pPr>
      <w:r w:rsidRPr="004F560D">
        <w:rPr>
          <w:rFonts w:ascii="Calibri" w:hAnsi="Calibri" w:hint="cs"/>
          <w:b/>
          <w:bCs/>
          <w:rtl/>
        </w:rPr>
        <w:t>מידת הפגיעה בערכים המוגנים</w:t>
      </w:r>
      <w:r w:rsidRPr="004F560D">
        <w:rPr>
          <w:rFonts w:ascii="Calibri" w:hAnsi="Calibri" w:hint="cs"/>
          <w:rtl/>
        </w:rPr>
        <w:t xml:space="preserve">: בשים לב לסוג הנשק שהחזיק כל אחד מהנאשמים, התחמושת הרבה שהוחזקה על ידם בצוותא חדא, התכנון בביצוע העבירות והנזק הפוטנציאלי שעלול היה להיגרם סבורני כי מידת הפגיעה בערכים המוגנים היא גבוהה. </w:t>
      </w:r>
      <w:r w:rsidRPr="004F560D">
        <w:rPr>
          <w:rFonts w:ascii="Calibri" w:hAnsi="Calibri" w:hint="cs"/>
        </w:rPr>
        <w:t xml:space="preserve"> </w:t>
      </w:r>
    </w:p>
    <w:p w14:paraId="0F6E8847" w14:textId="77777777" w:rsidR="004F560D" w:rsidRDefault="004F560D" w:rsidP="004F560D">
      <w:pPr>
        <w:spacing w:line="360" w:lineRule="auto"/>
        <w:jc w:val="both"/>
        <w:rPr>
          <w:rFonts w:ascii="Arial" w:hAnsi="Arial"/>
          <w:rtl/>
        </w:rPr>
      </w:pPr>
    </w:p>
    <w:p w14:paraId="1E6ECD0F" w14:textId="77777777" w:rsidR="004F560D" w:rsidRPr="005D2390" w:rsidRDefault="004F560D" w:rsidP="004F560D">
      <w:pPr>
        <w:spacing w:line="360" w:lineRule="auto"/>
        <w:jc w:val="both"/>
        <w:rPr>
          <w:rFonts w:ascii="Arial" w:hAnsi="Arial"/>
          <w:b/>
          <w:bCs/>
        </w:rPr>
      </w:pPr>
      <w:r w:rsidRPr="005848FF">
        <w:rPr>
          <w:rFonts w:ascii="Arial" w:hAnsi="Arial" w:hint="cs"/>
          <w:b/>
          <w:bCs/>
          <w:rtl/>
        </w:rPr>
        <w:t>באשר למדיניות הענישה הנהוגה:</w:t>
      </w:r>
    </w:p>
    <w:p w14:paraId="1BBD73F2" w14:textId="77777777" w:rsidR="004F560D" w:rsidRPr="00E34AD4" w:rsidRDefault="004F560D" w:rsidP="004F560D">
      <w:pPr>
        <w:pStyle w:val="a9"/>
        <w:numPr>
          <w:ilvl w:val="0"/>
          <w:numId w:val="1"/>
        </w:numPr>
        <w:spacing w:line="360" w:lineRule="auto"/>
        <w:jc w:val="both"/>
        <w:rPr>
          <w:rFonts w:ascii="Arial" w:hAnsi="Arial"/>
        </w:rPr>
      </w:pPr>
      <w:r w:rsidRPr="00E34AD4">
        <w:rPr>
          <w:rFonts w:ascii="Arial" w:hAnsi="Arial" w:hint="cs"/>
          <w:rtl/>
        </w:rPr>
        <w:t>ב</w:t>
      </w:r>
      <w:hyperlink r:id="rId32" w:history="1">
        <w:r w:rsidR="00715BEE" w:rsidRPr="00715BEE">
          <w:rPr>
            <w:rFonts w:ascii="Arial" w:hAnsi="Arial"/>
            <w:color w:val="0000FF"/>
            <w:u w:val="single"/>
            <w:rtl/>
          </w:rPr>
          <w:t>ע"פ 2482/22</w:t>
        </w:r>
      </w:hyperlink>
      <w:r w:rsidRPr="00E34AD4">
        <w:rPr>
          <w:rFonts w:ascii="Arial" w:hAnsi="Arial" w:hint="cs"/>
          <w:rtl/>
        </w:rPr>
        <w:t xml:space="preserve"> </w:t>
      </w:r>
      <w:r w:rsidRPr="00E34AD4">
        <w:rPr>
          <w:rFonts w:ascii="Arial" w:hAnsi="Arial" w:hint="cs"/>
          <w:b/>
          <w:bCs/>
          <w:rtl/>
        </w:rPr>
        <w:t>מדינת ישראל נ' אחמד קדורה</w:t>
      </w:r>
      <w:r w:rsidRPr="00E34AD4">
        <w:rPr>
          <w:rFonts w:ascii="Arial" w:hAnsi="Arial" w:hint="cs"/>
          <w:rtl/>
        </w:rPr>
        <w:t xml:space="preserve"> (14.4.22) </w:t>
      </w:r>
      <w:r w:rsidRPr="00E34AD4">
        <w:rPr>
          <w:rFonts w:ascii="Arial" w:hAnsi="Arial"/>
          <w:rtl/>
        </w:rPr>
        <w:t xml:space="preserve">המשיב הורשע </w:t>
      </w:r>
      <w:r w:rsidRPr="00E34AD4">
        <w:rPr>
          <w:rFonts w:ascii="Arial" w:hAnsi="Arial" w:hint="cs"/>
          <w:rtl/>
        </w:rPr>
        <w:t>לאחר</w:t>
      </w:r>
      <w:r w:rsidRPr="00E34AD4">
        <w:rPr>
          <w:rFonts w:ascii="Arial" w:hAnsi="Arial"/>
          <w:rtl/>
        </w:rPr>
        <w:t xml:space="preserve"> הודאתו בעבירה של החזקת נשק בצוותא עם אחר, לפי </w:t>
      </w:r>
      <w:hyperlink r:id="rId33" w:history="1">
        <w:r w:rsidR="008C74D2" w:rsidRPr="008C74D2">
          <w:rPr>
            <w:rStyle w:val="Hyperlink"/>
            <w:rFonts w:ascii="Arial" w:hAnsi="Arial"/>
            <w:rtl/>
          </w:rPr>
          <w:t>סעיף 144(א)</w:t>
        </w:r>
      </w:hyperlink>
      <w:r w:rsidRPr="00E34AD4">
        <w:rPr>
          <w:rFonts w:ascii="Arial" w:hAnsi="Arial"/>
          <w:rtl/>
        </w:rPr>
        <w:t xml:space="preserve"> רישא וסיפא בצירוף </w:t>
      </w:r>
      <w:hyperlink r:id="rId34" w:history="1">
        <w:r w:rsidR="008C74D2" w:rsidRPr="008C74D2">
          <w:rPr>
            <w:rStyle w:val="Hyperlink"/>
            <w:rFonts w:ascii="Arial" w:hAnsi="Arial"/>
            <w:rtl/>
          </w:rPr>
          <w:t>סעיף 29</w:t>
        </w:r>
      </w:hyperlink>
      <w:r w:rsidRPr="00E34AD4">
        <w:rPr>
          <w:rFonts w:ascii="Arial" w:hAnsi="Arial"/>
          <w:rtl/>
        </w:rPr>
        <w:t xml:space="preserve"> ל</w:t>
      </w:r>
      <w:hyperlink r:id="rId35" w:history="1">
        <w:r w:rsidR="00715BEE" w:rsidRPr="00715BEE">
          <w:rPr>
            <w:rFonts w:ascii="Arial" w:hAnsi="Arial"/>
            <w:color w:val="0000FF"/>
            <w:u w:val="single"/>
            <w:rtl/>
          </w:rPr>
          <w:t>חוק העונשין</w:t>
        </w:r>
      </w:hyperlink>
      <w:r w:rsidRPr="00E34AD4">
        <w:rPr>
          <w:rFonts w:ascii="Arial" w:hAnsi="Arial" w:hint="cs"/>
          <w:rtl/>
        </w:rPr>
        <w:t>.</w:t>
      </w:r>
      <w:r w:rsidRPr="00E34AD4">
        <w:rPr>
          <w:rFonts w:ascii="Arial" w:hAnsi="Arial"/>
          <w:rtl/>
        </w:rPr>
        <w:t xml:space="preserve"> </w:t>
      </w:r>
      <w:r>
        <w:rPr>
          <w:rFonts w:ascii="Arial" w:hAnsi="Arial" w:hint="cs"/>
          <w:rtl/>
        </w:rPr>
        <w:t>המשיב החזיק ב</w:t>
      </w:r>
      <w:r w:rsidRPr="00E34AD4">
        <w:rPr>
          <w:rFonts w:ascii="Arial" w:hAnsi="Arial"/>
          <w:rtl/>
        </w:rPr>
        <w:t>אקדח "גלוק", מחסנית</w:t>
      </w:r>
      <w:r w:rsidRPr="00E34AD4">
        <w:rPr>
          <w:rFonts w:ascii="Arial" w:hAnsi="Arial" w:hint="cs"/>
          <w:rtl/>
        </w:rPr>
        <w:t xml:space="preserve"> עם </w:t>
      </w:r>
      <w:r w:rsidRPr="00E34AD4">
        <w:rPr>
          <w:rFonts w:ascii="Arial" w:hAnsi="Arial"/>
          <w:rtl/>
        </w:rPr>
        <w:t>כדורים</w:t>
      </w:r>
      <w:r w:rsidRPr="00E34AD4">
        <w:rPr>
          <w:rFonts w:ascii="Arial" w:hAnsi="Arial" w:hint="cs"/>
          <w:rtl/>
        </w:rPr>
        <w:t xml:space="preserve"> ורימון הלם. </w:t>
      </w:r>
      <w:r w:rsidRPr="00E34AD4">
        <w:rPr>
          <w:rFonts w:ascii="Arial" w:hAnsi="Arial"/>
          <w:rtl/>
        </w:rPr>
        <w:t xml:space="preserve">בית המשפט </w:t>
      </w:r>
      <w:r w:rsidRPr="00E34AD4">
        <w:rPr>
          <w:rFonts w:ascii="Arial" w:hAnsi="Arial" w:hint="cs"/>
          <w:rtl/>
        </w:rPr>
        <w:t xml:space="preserve">המחוזי </w:t>
      </w:r>
      <w:r w:rsidRPr="00E34AD4">
        <w:rPr>
          <w:rFonts w:ascii="Arial" w:hAnsi="Arial"/>
          <w:rtl/>
        </w:rPr>
        <w:t xml:space="preserve">קבע כי </w:t>
      </w:r>
      <w:r w:rsidRPr="00E34AD4">
        <w:rPr>
          <w:rFonts w:ascii="Arial" w:hAnsi="Arial"/>
          <w:b/>
          <w:bCs/>
          <w:rtl/>
        </w:rPr>
        <w:t xml:space="preserve">מתחם העונש ההולם נע בין 10 ל-36 חודשי מאסר </w:t>
      </w:r>
      <w:r w:rsidRPr="00E34AD4">
        <w:rPr>
          <w:rFonts w:ascii="Arial" w:hAnsi="Arial" w:hint="cs"/>
          <w:b/>
          <w:bCs/>
          <w:rtl/>
        </w:rPr>
        <w:t>בפועל</w:t>
      </w:r>
      <w:r w:rsidRPr="00E34AD4">
        <w:rPr>
          <w:rFonts w:ascii="Arial" w:hAnsi="Arial" w:hint="cs"/>
          <w:rtl/>
        </w:rPr>
        <w:t xml:space="preserve"> </w:t>
      </w:r>
      <w:r w:rsidRPr="00E34AD4">
        <w:rPr>
          <w:rFonts w:ascii="Arial" w:hAnsi="Arial"/>
          <w:rtl/>
        </w:rPr>
        <w:t>וגזר את עונשו של המשיב ברף התחתון של המתחם</w:t>
      </w:r>
      <w:r>
        <w:rPr>
          <w:rFonts w:ascii="Arial" w:hAnsi="Arial" w:hint="cs"/>
          <w:rtl/>
        </w:rPr>
        <w:t>,</w:t>
      </w:r>
      <w:r w:rsidRPr="00E34AD4">
        <w:rPr>
          <w:rFonts w:ascii="Arial" w:hAnsi="Arial"/>
          <w:rtl/>
        </w:rPr>
        <w:t xml:space="preserve"> </w:t>
      </w:r>
      <w:r w:rsidRPr="00E34AD4">
        <w:rPr>
          <w:rFonts w:ascii="Arial" w:hAnsi="Arial" w:hint="cs"/>
          <w:rtl/>
        </w:rPr>
        <w:t>כך שהושתו עליו</w:t>
      </w:r>
      <w:r w:rsidRPr="00E34AD4">
        <w:rPr>
          <w:rFonts w:ascii="Arial" w:hAnsi="Arial"/>
          <w:rtl/>
        </w:rPr>
        <w:t xml:space="preserve"> 10 חודשי מאסר בפועל</w:t>
      </w:r>
      <w:r w:rsidRPr="00E34AD4">
        <w:rPr>
          <w:rFonts w:ascii="Arial" w:hAnsi="Arial" w:hint="cs"/>
          <w:rtl/>
        </w:rPr>
        <w:t xml:space="preserve"> וענישה נלווית וזאת בשים לב </w:t>
      </w:r>
      <w:r w:rsidRPr="00E34AD4">
        <w:rPr>
          <w:rFonts w:ascii="Arial" w:hAnsi="Arial"/>
          <w:rtl/>
        </w:rPr>
        <w:t xml:space="preserve">לתקופה הקצרה שבה הוחזק </w:t>
      </w:r>
      <w:r>
        <w:rPr>
          <w:rFonts w:ascii="Arial" w:hAnsi="Arial" w:hint="cs"/>
          <w:rtl/>
        </w:rPr>
        <w:t>הנשק,</w:t>
      </w:r>
      <w:r w:rsidRPr="00E34AD4">
        <w:rPr>
          <w:rFonts w:ascii="Arial" w:hAnsi="Arial" w:hint="cs"/>
          <w:rtl/>
        </w:rPr>
        <w:t xml:space="preserve"> </w:t>
      </w:r>
      <w:r w:rsidRPr="00E34AD4">
        <w:rPr>
          <w:rFonts w:ascii="Arial" w:hAnsi="Arial"/>
          <w:rtl/>
        </w:rPr>
        <w:t xml:space="preserve">שפסקה ביוזמת </w:t>
      </w:r>
      <w:r w:rsidRPr="00E34AD4">
        <w:rPr>
          <w:rFonts w:ascii="Arial" w:hAnsi="Arial" w:hint="cs"/>
          <w:rtl/>
        </w:rPr>
        <w:t xml:space="preserve">המשיב לאחר ימים ספורים, </w:t>
      </w:r>
      <w:r w:rsidRPr="00E34AD4">
        <w:rPr>
          <w:rFonts w:ascii="Arial" w:hAnsi="Arial"/>
          <w:rtl/>
        </w:rPr>
        <w:t>לשיתוף הפעולה של המשיב בחקירתו בעניין האקדח, הגם ש</w:t>
      </w:r>
      <w:r w:rsidRPr="00E34AD4">
        <w:rPr>
          <w:rFonts w:ascii="Arial" w:hAnsi="Arial" w:hint="cs"/>
          <w:rtl/>
        </w:rPr>
        <w:t>האקדח</w:t>
      </w:r>
      <w:r w:rsidRPr="00E34AD4">
        <w:rPr>
          <w:rFonts w:ascii="Arial" w:hAnsi="Arial"/>
          <w:rtl/>
        </w:rPr>
        <w:t xml:space="preserve"> לא נתפס</w:t>
      </w:r>
      <w:r w:rsidRPr="00E34AD4">
        <w:rPr>
          <w:rFonts w:ascii="Arial" w:hAnsi="Arial" w:hint="cs"/>
          <w:rtl/>
        </w:rPr>
        <w:t>,</w:t>
      </w:r>
      <w:r w:rsidRPr="00E34AD4">
        <w:rPr>
          <w:rFonts w:ascii="Arial" w:hAnsi="Arial"/>
          <w:rtl/>
        </w:rPr>
        <w:t xml:space="preserve"> להודאתו המידית ללא צורך בשמיעת עדים</w:t>
      </w:r>
      <w:r w:rsidRPr="00E34AD4">
        <w:rPr>
          <w:rFonts w:ascii="Arial" w:hAnsi="Arial" w:hint="cs"/>
          <w:rtl/>
        </w:rPr>
        <w:t xml:space="preserve">, </w:t>
      </w:r>
      <w:r w:rsidRPr="00E34AD4">
        <w:rPr>
          <w:rFonts w:ascii="Arial" w:hAnsi="Arial"/>
          <w:rtl/>
        </w:rPr>
        <w:t>לגילו הצעיר (19 שנים) ולעברו הנקי.</w:t>
      </w:r>
      <w:r w:rsidRPr="00E34AD4">
        <w:rPr>
          <w:rFonts w:ascii="Arial" w:hAnsi="Arial" w:hint="cs"/>
          <w:rtl/>
        </w:rPr>
        <w:t xml:space="preserve"> ערעור על קולת העונש שהגישה המ</w:t>
      </w:r>
      <w:r>
        <w:rPr>
          <w:rFonts w:ascii="Arial" w:hAnsi="Arial" w:hint="cs"/>
          <w:rtl/>
        </w:rPr>
        <w:t>דינה לבית המשפט העליון התקבל ו</w:t>
      </w:r>
      <w:r w:rsidRPr="00E34AD4">
        <w:rPr>
          <w:rFonts w:ascii="Arial" w:hAnsi="Arial" w:hint="cs"/>
          <w:rtl/>
        </w:rPr>
        <w:t>העונש הוחמר ל</w:t>
      </w:r>
      <w:r>
        <w:rPr>
          <w:rFonts w:ascii="Arial" w:hAnsi="Arial" w:hint="cs"/>
          <w:rtl/>
        </w:rPr>
        <w:t xml:space="preserve">- </w:t>
      </w:r>
      <w:r w:rsidRPr="00E34AD4">
        <w:rPr>
          <w:rFonts w:ascii="Arial" w:hAnsi="Arial" w:hint="cs"/>
          <w:rtl/>
        </w:rPr>
        <w:t xml:space="preserve">18 חודשי מאסר בפועל. </w:t>
      </w:r>
    </w:p>
    <w:p w14:paraId="4E15C6EE" w14:textId="77777777" w:rsidR="004F560D" w:rsidRDefault="004F560D" w:rsidP="004F560D">
      <w:pPr>
        <w:pStyle w:val="a9"/>
        <w:numPr>
          <w:ilvl w:val="0"/>
          <w:numId w:val="1"/>
        </w:numPr>
        <w:spacing w:line="360" w:lineRule="auto"/>
        <w:jc w:val="both"/>
        <w:rPr>
          <w:rFonts w:ascii="Arial" w:hAnsi="Arial"/>
        </w:rPr>
      </w:pPr>
      <w:r>
        <w:rPr>
          <w:rFonts w:ascii="Arial" w:hAnsi="Arial" w:hint="cs"/>
          <w:rtl/>
        </w:rPr>
        <w:t>ב</w:t>
      </w:r>
      <w:hyperlink r:id="rId36" w:history="1">
        <w:r w:rsidR="00715BEE" w:rsidRPr="00715BEE">
          <w:rPr>
            <w:rFonts w:ascii="Arial" w:hAnsi="Arial"/>
            <w:color w:val="0000FF"/>
            <w:u w:val="single"/>
            <w:rtl/>
          </w:rPr>
          <w:t>ע"פ 4332/21</w:t>
        </w:r>
      </w:hyperlink>
      <w:r>
        <w:rPr>
          <w:rFonts w:ascii="Arial" w:hAnsi="Arial" w:hint="cs"/>
          <w:rtl/>
        </w:rPr>
        <w:t xml:space="preserve"> </w:t>
      </w:r>
      <w:r w:rsidRPr="00AF0B46">
        <w:rPr>
          <w:rFonts w:ascii="Arial" w:hAnsi="Arial" w:hint="cs"/>
          <w:b/>
          <w:bCs/>
          <w:rtl/>
        </w:rPr>
        <w:t>ע</w:t>
      </w:r>
      <w:r>
        <w:rPr>
          <w:rFonts w:ascii="Arial" w:hAnsi="Arial" w:hint="cs"/>
          <w:b/>
          <w:bCs/>
          <w:rtl/>
        </w:rPr>
        <w:t>אס</w:t>
      </w:r>
      <w:r w:rsidRPr="00AF0B46">
        <w:rPr>
          <w:rFonts w:ascii="Arial" w:hAnsi="Arial" w:hint="cs"/>
          <w:b/>
          <w:bCs/>
          <w:rtl/>
        </w:rPr>
        <w:t>לה נ' מדינת ישראל</w:t>
      </w:r>
      <w:r>
        <w:rPr>
          <w:rFonts w:ascii="Arial" w:hAnsi="Arial" w:hint="cs"/>
          <w:rtl/>
        </w:rPr>
        <w:t xml:space="preserve"> (20.2.22) </w:t>
      </w:r>
      <w:r w:rsidRPr="00AF0B46">
        <w:rPr>
          <w:rFonts w:ascii="Arial" w:hAnsi="Arial"/>
          <w:rtl/>
        </w:rPr>
        <w:t>המערער הורשע</w:t>
      </w:r>
      <w:r w:rsidRPr="00AF0B46">
        <w:rPr>
          <w:rFonts w:ascii="Arial" w:hAnsi="Arial" w:hint="cs"/>
          <w:rtl/>
        </w:rPr>
        <w:t>, לאחר הודאתו,</w:t>
      </w:r>
      <w:r w:rsidRPr="00AF0B46">
        <w:rPr>
          <w:rFonts w:ascii="Arial" w:hAnsi="Arial"/>
          <w:rtl/>
        </w:rPr>
        <w:t xml:space="preserve"> בעבירה של החזקת נשק לפי </w:t>
      </w:r>
      <w:hyperlink r:id="rId37" w:history="1">
        <w:r w:rsidR="008C74D2" w:rsidRPr="008C74D2">
          <w:rPr>
            <w:rStyle w:val="Hyperlink"/>
            <w:rFonts w:ascii="Arial" w:hAnsi="Arial"/>
            <w:rtl/>
          </w:rPr>
          <w:t>סעיף 144(א)</w:t>
        </w:r>
      </w:hyperlink>
      <w:r w:rsidRPr="00AF0B46">
        <w:rPr>
          <w:rFonts w:ascii="Arial" w:hAnsi="Arial"/>
          <w:rtl/>
        </w:rPr>
        <w:t xml:space="preserve"> רישא וסיפא ל</w:t>
      </w:r>
      <w:hyperlink r:id="rId38" w:history="1">
        <w:r w:rsidR="00715BEE" w:rsidRPr="00715BEE">
          <w:rPr>
            <w:rFonts w:ascii="Arial" w:hAnsi="Arial"/>
            <w:color w:val="0000FF"/>
            <w:u w:val="single"/>
            <w:rtl/>
          </w:rPr>
          <w:t>חוק העונשין</w:t>
        </w:r>
      </w:hyperlink>
      <w:r w:rsidRPr="00AF0B46">
        <w:rPr>
          <w:rFonts w:ascii="Arial" w:hAnsi="Arial"/>
          <w:rtl/>
        </w:rPr>
        <w:t>.</w:t>
      </w:r>
      <w:r w:rsidRPr="00AF0B46">
        <w:rPr>
          <w:rFonts w:ascii="Arial" w:hAnsi="Arial" w:hint="cs"/>
          <w:rtl/>
        </w:rPr>
        <w:t xml:space="preserve"> </w:t>
      </w:r>
      <w:r w:rsidRPr="00AF0B46">
        <w:rPr>
          <w:rFonts w:ascii="Arial" w:hAnsi="Arial"/>
          <w:rtl/>
        </w:rPr>
        <w:t>המערער</w:t>
      </w:r>
      <w:r>
        <w:rPr>
          <w:rFonts w:ascii="Arial" w:hAnsi="Arial" w:hint="cs"/>
          <w:rtl/>
        </w:rPr>
        <w:t xml:space="preserve"> החזיק</w:t>
      </w:r>
      <w:r w:rsidRPr="00AF0B46">
        <w:rPr>
          <w:rFonts w:ascii="Arial" w:hAnsi="Arial"/>
          <w:rtl/>
        </w:rPr>
        <w:t xml:space="preserve"> תת</w:t>
      </w:r>
      <w:r w:rsidRPr="00AF0B46">
        <w:rPr>
          <w:rFonts w:ascii="Arial" w:hAnsi="Arial" w:hint="cs"/>
          <w:rtl/>
        </w:rPr>
        <w:t xml:space="preserve"> </w:t>
      </w:r>
      <w:r w:rsidRPr="00AF0B46">
        <w:rPr>
          <w:rFonts w:ascii="Arial" w:hAnsi="Arial"/>
          <w:rtl/>
        </w:rPr>
        <w:t xml:space="preserve">מקלע מאולתר מסוג קרלו ומחסנית, בלא רשות על פי דין להחזקתם, לאחר שעטף אותם בניילון נצמד ובמגבת, הכניסם לתוך תיק והסליק אותם מתחת לסלעים. המערער החזיק את הנשק והמחסנית </w:t>
      </w:r>
      <w:r w:rsidRPr="00AF0B46">
        <w:rPr>
          <w:rFonts w:ascii="Arial" w:hAnsi="Arial" w:hint="cs"/>
          <w:rtl/>
        </w:rPr>
        <w:t>במשך 3 חודשים</w:t>
      </w:r>
      <w:r w:rsidRPr="00AF0B46">
        <w:rPr>
          <w:rFonts w:ascii="Arial" w:hAnsi="Arial"/>
          <w:rtl/>
        </w:rPr>
        <w:t xml:space="preserve"> בשדה הממוקם במרחק של</w:t>
      </w:r>
      <w:r w:rsidRPr="00AF0B46">
        <w:rPr>
          <w:rFonts w:ascii="Arial" w:hAnsi="Arial" w:hint="cs"/>
          <w:rtl/>
        </w:rPr>
        <w:t xml:space="preserve"> מס' קילומטרים</w:t>
      </w:r>
      <w:r w:rsidRPr="00AF0B46">
        <w:rPr>
          <w:rFonts w:ascii="Arial" w:hAnsi="Arial"/>
          <w:rtl/>
        </w:rPr>
        <w:t xml:space="preserve"> מביתו.</w:t>
      </w:r>
      <w:r w:rsidRPr="00AF0B46">
        <w:rPr>
          <w:rFonts w:ascii="Arial" w:hAnsi="Arial" w:hint="cs"/>
          <w:rtl/>
        </w:rPr>
        <w:t xml:space="preserve"> </w:t>
      </w:r>
      <w:r w:rsidRPr="00AF0B46">
        <w:rPr>
          <w:rFonts w:ascii="Arial" w:hAnsi="Arial" w:hint="cs"/>
          <w:b/>
          <w:bCs/>
          <w:rtl/>
        </w:rPr>
        <w:t>בית משפט המחוזי קבע כי מתחם העונש ההולם נע בין 22 ובין 48 חודשי מאסר בפועל</w:t>
      </w:r>
      <w:r w:rsidRPr="00AF0B46">
        <w:rPr>
          <w:rFonts w:ascii="Arial" w:hAnsi="Arial" w:hint="cs"/>
          <w:rtl/>
        </w:rPr>
        <w:t xml:space="preserve"> והשית על הנאשם עונש של 15 חודשי מאסר בפועל לאחר שחרג מהמתחם משיקולי שיקום. בית משפט העליון קיבל את ערעור המערער והשית עליו 9 חודשי מאסר לריצוי בעבודות שירות לאור הליך טיפולי משמעותי, אם כי צוין כי ככלל עבירות נשק מצדיקות מאסר של ממש. </w:t>
      </w:r>
    </w:p>
    <w:p w14:paraId="347D8542" w14:textId="77777777" w:rsidR="004F560D" w:rsidRDefault="004F560D" w:rsidP="004F560D">
      <w:pPr>
        <w:pStyle w:val="a9"/>
        <w:numPr>
          <w:ilvl w:val="0"/>
          <w:numId w:val="1"/>
        </w:numPr>
        <w:spacing w:line="360" w:lineRule="auto"/>
        <w:jc w:val="both"/>
        <w:rPr>
          <w:rFonts w:ascii="David" w:hAnsi="David"/>
        </w:rPr>
      </w:pPr>
      <w:r>
        <w:rPr>
          <w:rFonts w:ascii="David" w:hAnsi="David" w:hint="cs"/>
          <w:rtl/>
        </w:rPr>
        <w:t>ב</w:t>
      </w:r>
      <w:hyperlink r:id="rId39" w:history="1">
        <w:r w:rsidR="00715BEE" w:rsidRPr="00715BEE">
          <w:rPr>
            <w:rFonts w:ascii="David" w:hAnsi="David"/>
            <w:color w:val="0000FF"/>
            <w:u w:val="single"/>
            <w:rtl/>
          </w:rPr>
          <w:t>רע"פ 6265/20</w:t>
        </w:r>
      </w:hyperlink>
      <w:r w:rsidRPr="003329E0">
        <w:rPr>
          <w:rFonts w:ascii="David" w:hAnsi="David" w:hint="cs"/>
          <w:b/>
          <w:bCs/>
          <w:rtl/>
        </w:rPr>
        <w:t xml:space="preserve"> מדינת ישראל </w:t>
      </w:r>
      <w:r>
        <w:rPr>
          <w:rFonts w:ascii="David" w:hAnsi="David" w:hint="cs"/>
          <w:b/>
          <w:bCs/>
          <w:rtl/>
        </w:rPr>
        <w:t>נ'</w:t>
      </w:r>
      <w:r w:rsidRPr="003329E0">
        <w:rPr>
          <w:rFonts w:ascii="David" w:hAnsi="David" w:hint="cs"/>
          <w:b/>
          <w:bCs/>
          <w:rtl/>
        </w:rPr>
        <w:t xml:space="preserve"> אבו אלקיעאן </w:t>
      </w:r>
      <w:r>
        <w:rPr>
          <w:rFonts w:ascii="David" w:hAnsi="David" w:hint="cs"/>
          <w:rtl/>
        </w:rPr>
        <w:t>(</w:t>
      </w:r>
      <w:r w:rsidRPr="00AE662A">
        <w:rPr>
          <w:rFonts w:ascii="David" w:hAnsi="David" w:hint="cs"/>
          <w:rtl/>
        </w:rPr>
        <w:t>15.9.20)</w:t>
      </w:r>
      <w:r>
        <w:rPr>
          <w:rFonts w:ascii="David" w:hAnsi="David" w:hint="cs"/>
          <w:rtl/>
        </w:rPr>
        <w:t xml:space="preserve"> המערער הורשע, לאחר ניהול הוכחות, בעבירה של החזקת נשק ותחמושת שלא כדין בניגוד </w:t>
      </w:r>
      <w:hyperlink r:id="rId40" w:history="1">
        <w:r w:rsidR="008C74D2" w:rsidRPr="008C74D2">
          <w:rPr>
            <w:rStyle w:val="Hyperlink"/>
            <w:rFonts w:ascii="David" w:hAnsi="David" w:hint="eastAsia"/>
            <w:rtl/>
          </w:rPr>
          <w:t>לסעיף</w:t>
        </w:r>
        <w:r w:rsidR="008C74D2" w:rsidRPr="008C74D2">
          <w:rPr>
            <w:rStyle w:val="Hyperlink"/>
            <w:rFonts w:ascii="David" w:hAnsi="David"/>
            <w:rtl/>
          </w:rPr>
          <w:t xml:space="preserve"> 144(א)</w:t>
        </w:r>
      </w:hyperlink>
      <w:r>
        <w:rPr>
          <w:rFonts w:ascii="David" w:hAnsi="David" w:hint="cs"/>
          <w:rtl/>
        </w:rPr>
        <w:t xml:space="preserve"> רישא וסיפא ל</w:t>
      </w:r>
      <w:hyperlink r:id="rId41" w:history="1">
        <w:r w:rsidR="00715BEE" w:rsidRPr="00715BEE">
          <w:rPr>
            <w:rFonts w:ascii="David" w:hAnsi="David"/>
            <w:color w:val="0000FF"/>
            <w:u w:val="single"/>
            <w:rtl/>
          </w:rPr>
          <w:t>חוק העונשין</w:t>
        </w:r>
      </w:hyperlink>
      <w:r>
        <w:rPr>
          <w:rFonts w:ascii="David" w:hAnsi="David" w:hint="cs"/>
          <w:rtl/>
        </w:rPr>
        <w:t xml:space="preserve">. המערער נתפס מחזיק בנשק חם מסוג אקדח ברטה, חצי אוטומטי, קליבר 9 מ"מ, בצירוף מחסנית ובה כדורים. הנשק הוחזק מתחת לכיסא הנהג ברכב אותו החזיק המערער. בית משפט השלום קבע כי </w:t>
      </w:r>
      <w:r w:rsidRPr="003329E0">
        <w:rPr>
          <w:rFonts w:ascii="David" w:hAnsi="David" w:hint="cs"/>
          <w:b/>
          <w:bCs/>
          <w:rtl/>
        </w:rPr>
        <w:t xml:space="preserve">מתחם העונש ההולם נע בין 15 ובין 30 חודשי מאסר בפועל </w:t>
      </w:r>
      <w:r>
        <w:rPr>
          <w:rFonts w:ascii="David" w:hAnsi="David" w:hint="cs"/>
          <w:rtl/>
        </w:rPr>
        <w:t xml:space="preserve">והשית על המערער, ללא עבר פלילי, עונש של 15 חודשי מאסר בפועל וענישה נלווית. בית המשפט המחוזי מצא להפחית בעונש של המערער כך שירצה 12 חודשי מאסר בפועל לאור נסיבות אישיות משפחתיות. </w:t>
      </w:r>
    </w:p>
    <w:p w14:paraId="4E6E04ED" w14:textId="77777777" w:rsidR="004F560D" w:rsidRPr="00EB0572" w:rsidRDefault="004F560D" w:rsidP="004F560D">
      <w:pPr>
        <w:pStyle w:val="a9"/>
        <w:numPr>
          <w:ilvl w:val="0"/>
          <w:numId w:val="1"/>
        </w:numPr>
        <w:spacing w:line="360" w:lineRule="auto"/>
        <w:jc w:val="both"/>
        <w:rPr>
          <w:rFonts w:ascii="David" w:hAnsi="David"/>
          <w:rtl/>
        </w:rPr>
      </w:pPr>
      <w:r>
        <w:rPr>
          <w:rFonts w:ascii="David" w:hAnsi="David" w:hint="cs"/>
          <w:rtl/>
        </w:rPr>
        <w:t>ב</w:t>
      </w:r>
      <w:hyperlink r:id="rId42" w:history="1">
        <w:r w:rsidR="00715BEE" w:rsidRPr="00715BEE">
          <w:rPr>
            <w:rFonts w:ascii="David" w:hAnsi="David"/>
            <w:color w:val="0000FF"/>
            <w:u w:val="single"/>
            <w:rtl/>
          </w:rPr>
          <w:t>ע"פ 2141/21</w:t>
        </w:r>
      </w:hyperlink>
      <w:r>
        <w:rPr>
          <w:rFonts w:ascii="David" w:hAnsi="David" w:hint="cs"/>
          <w:rtl/>
        </w:rPr>
        <w:t xml:space="preserve"> </w:t>
      </w:r>
      <w:r w:rsidRPr="00EB0572">
        <w:rPr>
          <w:rFonts w:ascii="David" w:hAnsi="David" w:hint="cs"/>
          <w:b/>
          <w:bCs/>
          <w:rtl/>
        </w:rPr>
        <w:t>איתן חניני נ' מדינת ישראל</w:t>
      </w:r>
      <w:r>
        <w:rPr>
          <w:rFonts w:ascii="David" w:hAnsi="David" w:hint="cs"/>
          <w:rtl/>
        </w:rPr>
        <w:t xml:space="preserve"> (3.5.21) </w:t>
      </w:r>
      <w:r w:rsidRPr="00EB0572">
        <w:rPr>
          <w:rFonts w:ascii="David" w:hAnsi="David" w:hint="cs"/>
          <w:rtl/>
        </w:rPr>
        <w:t xml:space="preserve">המערער </w:t>
      </w:r>
      <w:r w:rsidRPr="00EB0572">
        <w:rPr>
          <w:rFonts w:ascii="David" w:hAnsi="David"/>
          <w:rtl/>
        </w:rPr>
        <w:t>הורשע</w:t>
      </w:r>
      <w:r>
        <w:rPr>
          <w:rFonts w:ascii="David" w:hAnsi="David" w:hint="cs"/>
          <w:rtl/>
        </w:rPr>
        <w:t>,</w:t>
      </w:r>
      <w:r w:rsidRPr="00EB0572">
        <w:rPr>
          <w:rFonts w:ascii="David" w:hAnsi="David"/>
          <w:rtl/>
        </w:rPr>
        <w:t xml:space="preserve"> על פי הודאתו</w:t>
      </w:r>
      <w:r>
        <w:rPr>
          <w:rFonts w:ascii="David" w:hAnsi="David" w:hint="cs"/>
          <w:rtl/>
        </w:rPr>
        <w:t>,</w:t>
      </w:r>
      <w:r w:rsidRPr="00EB0572">
        <w:rPr>
          <w:rFonts w:ascii="David" w:hAnsi="David"/>
          <w:rtl/>
        </w:rPr>
        <w:t xml:space="preserve"> ב</w:t>
      </w:r>
      <w:r>
        <w:rPr>
          <w:rFonts w:ascii="David" w:hAnsi="David" w:hint="cs"/>
          <w:rtl/>
        </w:rPr>
        <w:t>החזקת</w:t>
      </w:r>
      <w:r w:rsidRPr="00EB0572">
        <w:rPr>
          <w:rFonts w:ascii="David" w:hAnsi="David"/>
          <w:rtl/>
        </w:rPr>
        <w:t xml:space="preserve"> נשק לפי</w:t>
      </w:r>
      <w:r w:rsidR="00715BEE">
        <w:rPr>
          <w:rFonts w:ascii="David" w:hAnsi="David"/>
          <w:rtl/>
        </w:rPr>
        <w:t xml:space="preserve"> </w:t>
      </w:r>
      <w:hyperlink r:id="rId43" w:history="1">
        <w:r w:rsidR="008C74D2" w:rsidRPr="008C74D2">
          <w:rPr>
            <w:rStyle w:val="Hyperlink"/>
            <w:rFonts w:ascii="David" w:hAnsi="David"/>
            <w:rtl/>
          </w:rPr>
          <w:t>סעיף 144(א)</w:t>
        </w:r>
      </w:hyperlink>
      <w:r w:rsidR="00715BEE">
        <w:rPr>
          <w:rFonts w:ascii="David" w:hAnsi="David"/>
          <w:rtl/>
        </w:rPr>
        <w:t xml:space="preserve"> </w:t>
      </w:r>
      <w:r w:rsidRPr="00EB0572">
        <w:rPr>
          <w:rFonts w:ascii="David" w:hAnsi="David"/>
          <w:rtl/>
        </w:rPr>
        <w:t xml:space="preserve">רישא </w:t>
      </w:r>
      <w:r w:rsidRPr="00EB0572">
        <w:rPr>
          <w:rFonts w:ascii="David" w:hAnsi="David" w:hint="cs"/>
          <w:rtl/>
        </w:rPr>
        <w:t>ותחמושת</w:t>
      </w:r>
      <w:r w:rsidRPr="00EB0572">
        <w:rPr>
          <w:rFonts w:ascii="David" w:hAnsi="David"/>
          <w:rtl/>
        </w:rPr>
        <w:t xml:space="preserve"> לפי</w:t>
      </w:r>
      <w:r w:rsidR="00715BEE">
        <w:rPr>
          <w:rFonts w:ascii="David" w:hAnsi="David"/>
          <w:rtl/>
        </w:rPr>
        <w:t xml:space="preserve"> </w:t>
      </w:r>
      <w:hyperlink r:id="rId44" w:history="1">
        <w:r w:rsidR="008C74D2" w:rsidRPr="008C74D2">
          <w:rPr>
            <w:rStyle w:val="Hyperlink"/>
            <w:rFonts w:ascii="David" w:hAnsi="David"/>
            <w:rtl/>
          </w:rPr>
          <w:t>סעיף 144(א)</w:t>
        </w:r>
      </w:hyperlink>
      <w:r w:rsidR="00715BEE">
        <w:rPr>
          <w:rFonts w:ascii="David" w:hAnsi="David"/>
          <w:rtl/>
        </w:rPr>
        <w:t xml:space="preserve"> </w:t>
      </w:r>
      <w:r w:rsidRPr="00EB0572">
        <w:rPr>
          <w:rFonts w:ascii="David" w:hAnsi="David"/>
          <w:rtl/>
        </w:rPr>
        <w:t>סיפא ל</w:t>
      </w:r>
      <w:hyperlink r:id="rId45" w:history="1">
        <w:r w:rsidR="00715BEE" w:rsidRPr="00715BEE">
          <w:rPr>
            <w:rFonts w:ascii="David" w:hAnsi="David"/>
            <w:color w:val="0000FF"/>
            <w:u w:val="single"/>
            <w:rtl/>
          </w:rPr>
          <w:t>חוק העונשין</w:t>
        </w:r>
      </w:hyperlink>
      <w:r w:rsidRPr="00EB0572">
        <w:rPr>
          <w:rFonts w:ascii="David" w:hAnsi="David" w:hint="cs"/>
          <w:rtl/>
        </w:rPr>
        <w:t>.</w:t>
      </w:r>
      <w:r w:rsidRPr="00EB0572">
        <w:rPr>
          <w:rFonts w:ascii="David" w:hAnsi="David"/>
          <w:rtl/>
        </w:rPr>
        <w:t xml:space="preserve"> </w:t>
      </w:r>
      <w:r w:rsidRPr="00EB0572">
        <w:rPr>
          <w:rFonts w:ascii="David" w:hAnsi="David" w:hint="cs"/>
          <w:rtl/>
        </w:rPr>
        <w:t xml:space="preserve">המערער </w:t>
      </w:r>
      <w:r>
        <w:rPr>
          <w:rFonts w:ascii="David" w:hAnsi="David"/>
          <w:rtl/>
        </w:rPr>
        <w:t>הצטייד באקדח אוויר ש</w:t>
      </w:r>
      <w:r w:rsidRPr="00EB0572">
        <w:rPr>
          <w:rFonts w:ascii="David" w:hAnsi="David"/>
          <w:rtl/>
        </w:rPr>
        <w:t xml:space="preserve">בוצעו בו שינויים שמאפשרים ירי של תחמושת בקליבר 7.65 מ"מ </w:t>
      </w:r>
      <w:r w:rsidRPr="00EB0572">
        <w:rPr>
          <w:rFonts w:ascii="David" w:hAnsi="David" w:hint="cs"/>
          <w:rtl/>
        </w:rPr>
        <w:t>ו</w:t>
      </w:r>
      <w:r w:rsidRPr="00EB0572">
        <w:rPr>
          <w:rFonts w:ascii="David" w:hAnsi="David"/>
          <w:rtl/>
        </w:rPr>
        <w:t>בכדורים תואמים –ללא ר</w:t>
      </w:r>
      <w:r>
        <w:rPr>
          <w:rFonts w:ascii="David" w:hAnsi="David" w:hint="cs"/>
          <w:rtl/>
        </w:rPr>
        <w:t>י</w:t>
      </w:r>
      <w:r w:rsidRPr="00EB0572">
        <w:rPr>
          <w:rFonts w:ascii="David" w:hAnsi="David"/>
          <w:rtl/>
        </w:rPr>
        <w:t>שיון כדין. ה</w:t>
      </w:r>
      <w:r w:rsidRPr="00EB0572">
        <w:rPr>
          <w:rFonts w:ascii="David" w:hAnsi="David" w:hint="cs"/>
          <w:rtl/>
        </w:rPr>
        <w:t>מערער</w:t>
      </w:r>
      <w:r w:rsidRPr="00EB0572">
        <w:rPr>
          <w:rFonts w:ascii="David" w:hAnsi="David"/>
          <w:rtl/>
        </w:rPr>
        <w:t xml:space="preserve"> נתפס בחצר קרובה לביתו</w:t>
      </w:r>
      <w:r>
        <w:rPr>
          <w:rFonts w:ascii="David" w:hAnsi="David" w:hint="cs"/>
          <w:rtl/>
        </w:rPr>
        <w:t>,</w:t>
      </w:r>
      <w:r w:rsidRPr="00EB0572">
        <w:rPr>
          <w:rFonts w:ascii="David" w:hAnsi="David"/>
          <w:rtl/>
        </w:rPr>
        <w:t xml:space="preserve"> כשהוא נושא את האקדח על גופו ובתוכו ארבעה כדורים.</w:t>
      </w:r>
      <w:r w:rsidRPr="00EB0572">
        <w:rPr>
          <w:rFonts w:ascii="David" w:hAnsi="David" w:hint="cs"/>
          <w:rtl/>
        </w:rPr>
        <w:t xml:space="preserve"> בית המשפט המחוזי קבע כי </w:t>
      </w:r>
      <w:r w:rsidRPr="00EB0572">
        <w:rPr>
          <w:rFonts w:ascii="David" w:hAnsi="David" w:hint="cs"/>
          <w:b/>
          <w:bCs/>
          <w:rtl/>
        </w:rPr>
        <w:t>מתחם העונש ההולם נע בין 12 ל-30 חודשי מאסר בפועל</w:t>
      </w:r>
      <w:r>
        <w:rPr>
          <w:rFonts w:ascii="David" w:hAnsi="David" w:hint="cs"/>
          <w:b/>
          <w:bCs/>
          <w:rtl/>
        </w:rPr>
        <w:t>,</w:t>
      </w:r>
      <w:r w:rsidRPr="00EB0572">
        <w:rPr>
          <w:rFonts w:ascii="David" w:hAnsi="David" w:hint="cs"/>
          <w:rtl/>
        </w:rPr>
        <w:t xml:space="preserve"> וגזר על המערער 20 חודשי מאסר בפועל. ערעור שהגיש המערער לבית המשפט העליון נדחה. </w:t>
      </w:r>
    </w:p>
    <w:p w14:paraId="6DBFCAAB" w14:textId="77777777" w:rsidR="004F560D" w:rsidRPr="00335849" w:rsidRDefault="004F560D" w:rsidP="004F560D">
      <w:pPr>
        <w:pStyle w:val="a9"/>
        <w:numPr>
          <w:ilvl w:val="0"/>
          <w:numId w:val="1"/>
        </w:numPr>
        <w:spacing w:line="360" w:lineRule="auto"/>
        <w:jc w:val="both"/>
        <w:rPr>
          <w:rFonts w:ascii="Arial" w:hAnsi="Arial"/>
        </w:rPr>
      </w:pPr>
      <w:r>
        <w:rPr>
          <w:rFonts w:ascii="Arial" w:hAnsi="Arial" w:hint="cs"/>
          <w:rtl/>
        </w:rPr>
        <w:t>ב</w:t>
      </w:r>
      <w:hyperlink r:id="rId46" w:history="1">
        <w:r w:rsidR="00715BEE" w:rsidRPr="00715BEE">
          <w:rPr>
            <w:rFonts w:ascii="Arial" w:hAnsi="Arial"/>
            <w:color w:val="0000FF"/>
            <w:u w:val="single"/>
            <w:rtl/>
          </w:rPr>
          <w:t>עפ"ג 4673-08-19</w:t>
        </w:r>
      </w:hyperlink>
      <w:r>
        <w:rPr>
          <w:rFonts w:ascii="Arial" w:hAnsi="Arial" w:hint="cs"/>
          <w:rtl/>
        </w:rPr>
        <w:t xml:space="preserve"> </w:t>
      </w:r>
      <w:r w:rsidRPr="00335849">
        <w:rPr>
          <w:rFonts w:ascii="Arial" w:hAnsi="Arial" w:hint="cs"/>
          <w:b/>
          <w:bCs/>
          <w:rtl/>
        </w:rPr>
        <w:t>אבו מוסא נ' מדינת ישראל</w:t>
      </w:r>
      <w:r>
        <w:rPr>
          <w:rFonts w:ascii="Arial" w:hAnsi="Arial" w:hint="cs"/>
          <w:rtl/>
        </w:rPr>
        <w:t xml:space="preserve"> (2.10.19) </w:t>
      </w:r>
      <w:r>
        <w:rPr>
          <w:rFonts w:ascii="Arial" w:hAnsi="Arial"/>
          <w:rtl/>
        </w:rPr>
        <w:t xml:space="preserve">הנאשם </w:t>
      </w:r>
      <w:r>
        <w:rPr>
          <w:rFonts w:ascii="Arial" w:hAnsi="Arial" w:hint="cs"/>
          <w:rtl/>
        </w:rPr>
        <w:t>הורשע לאחר הודאתו,</w:t>
      </w:r>
      <w:r>
        <w:rPr>
          <w:rFonts w:ascii="Arial" w:hAnsi="Arial"/>
          <w:rtl/>
        </w:rPr>
        <w:t xml:space="preserve"> </w:t>
      </w:r>
      <w:r>
        <w:rPr>
          <w:rFonts w:ascii="Arial" w:hAnsi="Arial" w:hint="cs"/>
          <w:rtl/>
        </w:rPr>
        <w:t>ב</w:t>
      </w:r>
      <w:r>
        <w:rPr>
          <w:rFonts w:ascii="Arial" w:hAnsi="Arial"/>
          <w:rtl/>
        </w:rPr>
        <w:t xml:space="preserve">עבירה של החזקת נשק חם שלא כדין, בניגוד </w:t>
      </w:r>
      <w:hyperlink r:id="rId47" w:history="1">
        <w:r w:rsidR="008C74D2" w:rsidRPr="008C74D2">
          <w:rPr>
            <w:rStyle w:val="Hyperlink"/>
            <w:rFonts w:ascii="Arial" w:hAnsi="Arial"/>
            <w:rtl/>
          </w:rPr>
          <w:t>לסעיף 144 (א)</w:t>
        </w:r>
      </w:hyperlink>
      <w:r>
        <w:rPr>
          <w:rFonts w:ascii="Arial" w:hAnsi="Arial"/>
          <w:rtl/>
        </w:rPr>
        <w:t xml:space="preserve"> רישא ל</w:t>
      </w:r>
      <w:hyperlink r:id="rId48" w:history="1">
        <w:r w:rsidR="00715BEE" w:rsidRPr="00715BEE">
          <w:rPr>
            <w:rFonts w:ascii="Arial" w:hAnsi="Arial"/>
            <w:color w:val="0000FF"/>
            <w:u w:val="single"/>
            <w:rtl/>
          </w:rPr>
          <w:t>חוק העונשין</w:t>
        </w:r>
      </w:hyperlink>
      <w:r>
        <w:rPr>
          <w:rFonts w:ascii="Arial" w:hAnsi="Arial" w:hint="cs"/>
          <w:rtl/>
        </w:rPr>
        <w:t xml:space="preserve">. הנאשם </w:t>
      </w:r>
      <w:r>
        <w:rPr>
          <w:rFonts w:ascii="Arial" w:hAnsi="Arial"/>
          <w:rtl/>
        </w:rPr>
        <w:t>נתפס</w:t>
      </w:r>
      <w:r>
        <w:rPr>
          <w:rFonts w:ascii="Arial" w:hAnsi="Arial" w:hint="cs"/>
          <w:rtl/>
        </w:rPr>
        <w:t xml:space="preserve"> </w:t>
      </w:r>
      <w:r>
        <w:rPr>
          <w:rFonts w:ascii="Arial" w:hAnsi="Arial"/>
          <w:rtl/>
        </w:rPr>
        <w:t xml:space="preserve">מחזיק נשק חם מסוג תת מקלע מאולתר, בחדרו, מוסלק מתחת למיטה. הנשק הגיע לידי הנאשם כעשרה ימים לפני המועד בו נתפס והחזיק בו בעבור אחר, שזהותו אינה ידועה למאשימה. </w:t>
      </w:r>
      <w:r w:rsidRPr="00335849">
        <w:rPr>
          <w:rFonts w:ascii="Arial" w:hAnsi="Arial" w:hint="cs"/>
          <w:rtl/>
        </w:rPr>
        <w:t xml:space="preserve">בית משפט השלום קבע כי </w:t>
      </w:r>
      <w:r w:rsidRPr="00BA1B5F">
        <w:rPr>
          <w:rFonts w:ascii="Arial" w:hAnsi="Arial"/>
          <w:b/>
          <w:bCs/>
          <w:rtl/>
        </w:rPr>
        <w:t xml:space="preserve">מתחם </w:t>
      </w:r>
      <w:r w:rsidRPr="00BA1B5F">
        <w:rPr>
          <w:rFonts w:ascii="Arial" w:hAnsi="Arial" w:hint="cs"/>
          <w:b/>
          <w:bCs/>
          <w:rtl/>
        </w:rPr>
        <w:t>העונש ההולם</w:t>
      </w:r>
      <w:r w:rsidRPr="00BA1B5F">
        <w:rPr>
          <w:rFonts w:ascii="Arial" w:hAnsi="Arial"/>
          <w:b/>
          <w:bCs/>
          <w:rtl/>
        </w:rPr>
        <w:t xml:space="preserve"> בכל הנוגע לאחזקת נשק אוטומטי מסוג רובה סער או תת מקלע </w:t>
      </w:r>
      <w:r w:rsidRPr="00BA1B5F">
        <w:rPr>
          <w:rFonts w:ascii="Arial" w:hAnsi="Arial" w:hint="cs"/>
          <w:b/>
          <w:bCs/>
          <w:rtl/>
        </w:rPr>
        <w:t>נע</w:t>
      </w:r>
      <w:r w:rsidRPr="00BA1B5F">
        <w:rPr>
          <w:rFonts w:ascii="Arial" w:hAnsi="Arial"/>
          <w:b/>
          <w:bCs/>
          <w:rtl/>
        </w:rPr>
        <w:t xml:space="preserve"> בין שנה ו</w:t>
      </w:r>
      <w:r w:rsidRPr="00BA1B5F">
        <w:rPr>
          <w:rFonts w:ascii="Arial" w:hAnsi="Arial" w:hint="cs"/>
          <w:b/>
          <w:bCs/>
          <w:rtl/>
        </w:rPr>
        <w:t>חצי</w:t>
      </w:r>
      <w:r w:rsidRPr="00BA1B5F">
        <w:rPr>
          <w:rFonts w:ascii="Arial" w:hAnsi="Arial"/>
          <w:b/>
          <w:bCs/>
          <w:rtl/>
        </w:rPr>
        <w:t xml:space="preserve"> ועד שלוש שנות מאסר בפועל</w:t>
      </w:r>
      <w:r w:rsidRPr="00335849">
        <w:rPr>
          <w:rFonts w:ascii="Arial" w:hAnsi="Arial"/>
          <w:rtl/>
        </w:rPr>
        <w:t>.</w:t>
      </w:r>
      <w:r w:rsidRPr="00335849">
        <w:rPr>
          <w:rFonts w:ascii="Arial" w:hAnsi="Arial" w:hint="cs"/>
          <w:rtl/>
        </w:rPr>
        <w:t xml:space="preserve"> על הנאשם ללא עבר פלילי, הושת עונש של 18 חודשי מאסר בפועל וענישה נלווית. בית משפט </w:t>
      </w:r>
      <w:r>
        <w:rPr>
          <w:rFonts w:ascii="Arial" w:hAnsi="Arial" w:hint="cs"/>
          <w:rtl/>
        </w:rPr>
        <w:t>ה</w:t>
      </w:r>
      <w:r w:rsidRPr="00335849">
        <w:rPr>
          <w:rFonts w:ascii="Arial" w:hAnsi="Arial" w:hint="cs"/>
          <w:rtl/>
        </w:rPr>
        <w:t>מחוזי דחה את ערעור הנאשם לעניין העונש</w:t>
      </w:r>
      <w:r>
        <w:rPr>
          <w:rFonts w:ascii="Arial" w:hAnsi="Arial" w:hint="cs"/>
          <w:rtl/>
        </w:rPr>
        <w:t>,</w:t>
      </w:r>
      <w:r w:rsidRPr="00335849">
        <w:rPr>
          <w:rFonts w:ascii="Arial" w:hAnsi="Arial" w:hint="cs"/>
          <w:rtl/>
        </w:rPr>
        <w:t xml:space="preserve"> תוך שאישר את מתחם העונש ההולם שקבע בית משפט קמא. </w:t>
      </w:r>
    </w:p>
    <w:p w14:paraId="71CEE267" w14:textId="77777777" w:rsidR="004F560D" w:rsidRDefault="004F560D" w:rsidP="004F560D">
      <w:pPr>
        <w:pStyle w:val="a9"/>
        <w:numPr>
          <w:ilvl w:val="0"/>
          <w:numId w:val="1"/>
        </w:numPr>
        <w:spacing w:line="360" w:lineRule="auto"/>
        <w:jc w:val="both"/>
        <w:rPr>
          <w:rFonts w:ascii="David" w:hAnsi="David"/>
        </w:rPr>
      </w:pPr>
      <w:r>
        <w:rPr>
          <w:rFonts w:ascii="David" w:hAnsi="David" w:hint="cs"/>
          <w:rtl/>
        </w:rPr>
        <w:t>ב</w:t>
      </w:r>
      <w:hyperlink r:id="rId49" w:history="1">
        <w:r w:rsidR="00715BEE" w:rsidRPr="00715BEE">
          <w:rPr>
            <w:rFonts w:ascii="David" w:hAnsi="David"/>
            <w:color w:val="0000FF"/>
            <w:u w:val="single"/>
            <w:rtl/>
          </w:rPr>
          <w:t>עפ"ג 22885-05-17</w:t>
        </w:r>
      </w:hyperlink>
      <w:r w:rsidRPr="00DB7892">
        <w:rPr>
          <w:rFonts w:ascii="David" w:hAnsi="David"/>
          <w:rtl/>
        </w:rPr>
        <w:t xml:space="preserve"> </w:t>
      </w:r>
      <w:r w:rsidRPr="00DB7892">
        <w:rPr>
          <w:rFonts w:ascii="David" w:hAnsi="David"/>
          <w:b/>
          <w:bCs/>
          <w:rtl/>
        </w:rPr>
        <w:t>אלאסד נ' מדינת ישראל</w:t>
      </w:r>
      <w:r w:rsidRPr="00DB7892">
        <w:rPr>
          <w:rFonts w:ascii="David" w:hAnsi="David"/>
          <w:rtl/>
        </w:rPr>
        <w:t xml:space="preserve"> </w:t>
      </w:r>
      <w:r>
        <w:rPr>
          <w:rFonts w:ascii="David" w:hAnsi="David" w:hint="cs"/>
          <w:rtl/>
        </w:rPr>
        <w:t>(5.7.17) ה</w:t>
      </w:r>
      <w:r>
        <w:rPr>
          <w:rFonts w:ascii="David" w:hAnsi="David"/>
          <w:color w:val="000000"/>
          <w:rtl/>
        </w:rPr>
        <w:t xml:space="preserve">נאשם </w:t>
      </w:r>
      <w:r>
        <w:rPr>
          <w:rFonts w:ascii="David" w:hAnsi="David" w:hint="cs"/>
          <w:color w:val="000000"/>
          <w:rtl/>
        </w:rPr>
        <w:t>ה</w:t>
      </w:r>
      <w:r>
        <w:rPr>
          <w:rFonts w:ascii="David" w:hAnsi="David"/>
          <w:color w:val="000000"/>
          <w:rtl/>
        </w:rPr>
        <w:t>חזיק בנשק מסוג רובה תת מקלע מאולתר ומחסנית המכילה 10 קליעים בקוטר 9 מ"מ</w:t>
      </w:r>
      <w:r w:rsidRPr="008C339E">
        <w:rPr>
          <w:rFonts w:ascii="David" w:hAnsi="David"/>
          <w:color w:val="000000"/>
          <w:rtl/>
        </w:rPr>
        <w:t xml:space="preserve"> </w:t>
      </w:r>
      <w:r>
        <w:rPr>
          <w:rFonts w:ascii="David" w:hAnsi="David" w:hint="cs"/>
          <w:color w:val="000000"/>
          <w:rtl/>
        </w:rPr>
        <w:t>וה</w:t>
      </w:r>
      <w:r w:rsidRPr="008C339E">
        <w:rPr>
          <w:rFonts w:ascii="David" w:hAnsi="David"/>
          <w:color w:val="000000"/>
          <w:rtl/>
        </w:rPr>
        <w:t>ורשע על פי הודאתו בעבירה של החזקת נשק שלא כדין בהתאם להוראת</w:t>
      </w:r>
      <w:r w:rsidR="00715BEE">
        <w:rPr>
          <w:rFonts w:ascii="David" w:hAnsi="David"/>
          <w:color w:val="000000"/>
          <w:rtl/>
        </w:rPr>
        <w:t xml:space="preserve"> </w:t>
      </w:r>
      <w:hyperlink r:id="rId50" w:history="1">
        <w:r w:rsidR="008C74D2" w:rsidRPr="008C74D2">
          <w:rPr>
            <w:rStyle w:val="Hyperlink"/>
            <w:rtl/>
          </w:rPr>
          <w:t>סעיף 144(א)</w:t>
        </w:r>
      </w:hyperlink>
      <w:r w:rsidR="00715BEE">
        <w:rPr>
          <w:rFonts w:ascii="David" w:hAnsi="David"/>
        </w:rPr>
        <w:t xml:space="preserve"> </w:t>
      </w:r>
      <w:r w:rsidRPr="008C339E">
        <w:rPr>
          <w:rFonts w:ascii="David" w:hAnsi="David"/>
          <w:rtl/>
        </w:rPr>
        <w:t>רישא וסיפא ל</w:t>
      </w:r>
      <w:hyperlink r:id="rId51" w:history="1">
        <w:r w:rsidR="00715BEE" w:rsidRPr="00715BEE">
          <w:rPr>
            <w:color w:val="0000FF"/>
            <w:u w:val="single"/>
            <w:rtl/>
          </w:rPr>
          <w:t>חוק העונשין</w:t>
        </w:r>
      </w:hyperlink>
      <w:r>
        <w:rPr>
          <w:rFonts w:ascii="David" w:hAnsi="David"/>
          <w:rtl/>
        </w:rPr>
        <w:t>.</w:t>
      </w:r>
      <w:r w:rsidRPr="008C339E">
        <w:rPr>
          <w:rFonts w:ascii="David" w:hAnsi="David"/>
          <w:rtl/>
        </w:rPr>
        <w:t xml:space="preserve">בית משפט השלום </w:t>
      </w:r>
      <w:r w:rsidRPr="008C339E">
        <w:rPr>
          <w:rFonts w:ascii="David" w:hAnsi="David" w:hint="cs"/>
          <w:rtl/>
        </w:rPr>
        <w:t xml:space="preserve">קבע כי </w:t>
      </w:r>
      <w:r w:rsidRPr="008C339E">
        <w:rPr>
          <w:rFonts w:ascii="David" w:hAnsi="David"/>
          <w:b/>
          <w:bCs/>
          <w:rtl/>
        </w:rPr>
        <w:t xml:space="preserve">מתחם </w:t>
      </w:r>
      <w:r w:rsidRPr="008C339E">
        <w:rPr>
          <w:rFonts w:ascii="David" w:hAnsi="David" w:hint="cs"/>
          <w:b/>
          <w:bCs/>
          <w:rtl/>
        </w:rPr>
        <w:t>העונש ההולם נע בין</w:t>
      </w:r>
      <w:r w:rsidRPr="008C339E">
        <w:rPr>
          <w:rFonts w:ascii="David" w:hAnsi="David"/>
          <w:b/>
          <w:bCs/>
          <w:rtl/>
        </w:rPr>
        <w:t xml:space="preserve"> 13 </w:t>
      </w:r>
      <w:r w:rsidRPr="008C339E">
        <w:rPr>
          <w:rFonts w:ascii="David" w:hAnsi="David" w:hint="cs"/>
          <w:b/>
          <w:bCs/>
          <w:rtl/>
        </w:rPr>
        <w:t>ו</w:t>
      </w:r>
      <w:r w:rsidRPr="008C339E">
        <w:rPr>
          <w:rFonts w:ascii="David" w:hAnsi="David"/>
          <w:b/>
          <w:bCs/>
          <w:rtl/>
        </w:rPr>
        <w:t>עד 36 ח</w:t>
      </w:r>
      <w:r w:rsidRPr="008C339E">
        <w:rPr>
          <w:rFonts w:ascii="David" w:hAnsi="David" w:hint="cs"/>
          <w:b/>
          <w:bCs/>
          <w:rtl/>
        </w:rPr>
        <w:t>ו</w:t>
      </w:r>
      <w:r w:rsidRPr="008C339E">
        <w:rPr>
          <w:rFonts w:ascii="David" w:hAnsi="David"/>
          <w:b/>
          <w:bCs/>
          <w:rtl/>
        </w:rPr>
        <w:t>דשי מאסר בפועל בגין החזקת כלי נשק מאולתר אחד מסוג תת מקלע בצירוף מחסנית ובה 10 כדורים</w:t>
      </w:r>
      <w:r w:rsidRPr="008C339E">
        <w:rPr>
          <w:rFonts w:ascii="David" w:hAnsi="David"/>
          <w:rtl/>
        </w:rPr>
        <w:t xml:space="preserve">. על הנאשם, בעל עבר פלילי שאינו מכביד, </w:t>
      </w:r>
      <w:r w:rsidRPr="008C339E">
        <w:rPr>
          <w:rFonts w:ascii="David" w:hAnsi="David" w:hint="cs"/>
          <w:rtl/>
        </w:rPr>
        <w:t xml:space="preserve">הושת </w:t>
      </w:r>
      <w:r w:rsidRPr="008C339E">
        <w:rPr>
          <w:rFonts w:ascii="David" w:hAnsi="David"/>
          <w:rtl/>
        </w:rPr>
        <w:t>עונש מאסר בפועל בן 21 חדשים. ערעור שהוגש על גזר הדין – נדחה</w:t>
      </w:r>
      <w:r w:rsidRPr="008C339E">
        <w:rPr>
          <w:rFonts w:ascii="David" w:hAnsi="David" w:hint="cs"/>
          <w:rtl/>
        </w:rPr>
        <w:t xml:space="preserve"> כאשר </w:t>
      </w:r>
      <w:r w:rsidRPr="008C339E">
        <w:rPr>
          <w:rFonts w:ascii="David" w:hAnsi="David"/>
          <w:rtl/>
        </w:rPr>
        <w:t xml:space="preserve">בית המשפט המחוזי, </w:t>
      </w:r>
      <w:r w:rsidRPr="008C339E">
        <w:rPr>
          <w:rFonts w:ascii="David" w:hAnsi="David" w:hint="cs"/>
          <w:rtl/>
        </w:rPr>
        <w:t>קבע</w:t>
      </w:r>
      <w:r w:rsidRPr="008C339E">
        <w:rPr>
          <w:rFonts w:ascii="David" w:hAnsi="David"/>
          <w:rtl/>
        </w:rPr>
        <w:t xml:space="preserve"> כי העונש עומד במתחם ענישה ראוי. </w:t>
      </w:r>
    </w:p>
    <w:p w14:paraId="28D072FE" w14:textId="77777777" w:rsidR="004F560D" w:rsidRPr="008C339E" w:rsidRDefault="004F560D" w:rsidP="004F560D">
      <w:pPr>
        <w:pStyle w:val="a9"/>
        <w:numPr>
          <w:ilvl w:val="0"/>
          <w:numId w:val="1"/>
        </w:numPr>
        <w:spacing w:line="360" w:lineRule="auto"/>
        <w:jc w:val="both"/>
        <w:rPr>
          <w:rFonts w:ascii="David" w:hAnsi="David"/>
          <w:rtl/>
        </w:rPr>
      </w:pPr>
      <w:r>
        <w:rPr>
          <w:rFonts w:ascii="David" w:hAnsi="David" w:hint="cs"/>
          <w:rtl/>
        </w:rPr>
        <w:t>ב</w:t>
      </w:r>
      <w:hyperlink r:id="rId52" w:history="1">
        <w:r w:rsidR="00715BEE" w:rsidRPr="00715BEE">
          <w:rPr>
            <w:rFonts w:ascii="David" w:hAnsi="David"/>
            <w:color w:val="0000FF"/>
            <w:u w:val="single"/>
            <w:rtl/>
          </w:rPr>
          <w:t>עפ"ג 26133-06-22</w:t>
        </w:r>
      </w:hyperlink>
      <w:r>
        <w:rPr>
          <w:rFonts w:ascii="David" w:hAnsi="David" w:hint="cs"/>
          <w:rtl/>
        </w:rPr>
        <w:t xml:space="preserve"> </w:t>
      </w:r>
      <w:r w:rsidRPr="003B7B6F">
        <w:rPr>
          <w:rFonts w:ascii="David" w:hAnsi="David" w:hint="cs"/>
          <w:b/>
          <w:bCs/>
          <w:rtl/>
        </w:rPr>
        <w:t>מ"י נ' כחלול</w:t>
      </w:r>
      <w:r>
        <w:rPr>
          <w:rFonts w:ascii="David" w:hAnsi="David" w:hint="cs"/>
          <w:rtl/>
        </w:rPr>
        <w:t xml:space="preserve"> (3.10.22), המשיב הורשע בהחזקת תת מקלע מאלתר דמוי קרלו, 2 מחסניות ו- 44 כדורים בתוך תיק שהוחבא מתחת לגרוטאת רכב נטוש סמוך לביתו. בית משפט השלום קבע כי מתחם העונש ההולם נע בין 10- 24 חודשי מאסר בפועל לצד עונשים נלווים. על המשיב נגזר, לאור גילו הצעיר, העדר עבר פלילי והמלצת שירות המבחן עונש של 10 חודשי מאסר בפועל וענישה נלוות. בית המשפט המחוזי קיבל את ערעור המדינה על קולת העונש, וגזר על המשיב 18 חודשי מאסר בפועל לצד ענישה נלוות. </w:t>
      </w:r>
    </w:p>
    <w:p w14:paraId="5FD85190" w14:textId="77777777" w:rsidR="004F560D" w:rsidRPr="00D50AC3" w:rsidRDefault="004F560D" w:rsidP="004F560D">
      <w:pPr>
        <w:pStyle w:val="a9"/>
        <w:numPr>
          <w:ilvl w:val="0"/>
          <w:numId w:val="1"/>
        </w:numPr>
        <w:spacing w:line="360" w:lineRule="auto"/>
        <w:jc w:val="both"/>
        <w:rPr>
          <w:rFonts w:ascii="David" w:hAnsi="David"/>
          <w:rtl/>
        </w:rPr>
      </w:pPr>
      <w:r w:rsidRPr="00D50AC3">
        <w:rPr>
          <w:rFonts w:ascii="David" w:hAnsi="David" w:hint="cs"/>
          <w:rtl/>
        </w:rPr>
        <w:t>ב</w:t>
      </w:r>
      <w:hyperlink r:id="rId53" w:history="1">
        <w:r w:rsidR="00715BEE" w:rsidRPr="00715BEE">
          <w:rPr>
            <w:rFonts w:ascii="David" w:hAnsi="David"/>
            <w:color w:val="0000FF"/>
            <w:u w:val="single"/>
            <w:rtl/>
          </w:rPr>
          <w:t>ת"פ (מחוזי – לוד) 52256-03-20</w:t>
        </w:r>
      </w:hyperlink>
      <w:r w:rsidRPr="00D50AC3">
        <w:rPr>
          <w:rFonts w:ascii="David" w:hAnsi="David" w:hint="cs"/>
          <w:rtl/>
        </w:rPr>
        <w:t xml:space="preserve"> </w:t>
      </w:r>
      <w:r w:rsidRPr="00D50AC3">
        <w:rPr>
          <w:rFonts w:ascii="David" w:hAnsi="David" w:hint="cs"/>
          <w:b/>
          <w:bCs/>
          <w:rtl/>
        </w:rPr>
        <w:t>מדינת ישראל נ' אזברגה</w:t>
      </w:r>
      <w:r w:rsidRPr="00D50AC3">
        <w:rPr>
          <w:rFonts w:ascii="David" w:hAnsi="David" w:hint="cs"/>
          <w:rtl/>
        </w:rPr>
        <w:t xml:space="preserve"> (12.4.22) </w:t>
      </w:r>
      <w:r w:rsidRPr="00D50AC3">
        <w:rPr>
          <w:rFonts w:ascii="David" w:hAnsi="David"/>
          <w:rtl/>
        </w:rPr>
        <w:t>הנאשם הורשע, על פי הודאתו,</w:t>
      </w:r>
      <w:r>
        <w:rPr>
          <w:rFonts w:ascii="David" w:hAnsi="David" w:hint="cs"/>
          <w:rtl/>
        </w:rPr>
        <w:t xml:space="preserve"> במסגרת הסדר טיעון,</w:t>
      </w:r>
      <w:r w:rsidRPr="00D50AC3">
        <w:rPr>
          <w:rFonts w:ascii="David" w:hAnsi="David"/>
          <w:rtl/>
        </w:rPr>
        <w:t xml:space="preserve"> בעבירה של</w:t>
      </w:r>
      <w:r w:rsidR="00715BEE">
        <w:rPr>
          <w:rFonts w:ascii="David" w:hAnsi="David"/>
          <w:rtl/>
        </w:rPr>
        <w:t xml:space="preserve"> </w:t>
      </w:r>
      <w:r w:rsidRPr="00D50AC3">
        <w:rPr>
          <w:rFonts w:ascii="David" w:hAnsi="David"/>
          <w:rtl/>
        </w:rPr>
        <w:t>החזקת נשק ותחמושת</w:t>
      </w:r>
      <w:r w:rsidR="00715BEE">
        <w:rPr>
          <w:rFonts w:ascii="David" w:hAnsi="David"/>
          <w:rtl/>
        </w:rPr>
        <w:t xml:space="preserve"> </w:t>
      </w:r>
      <w:r>
        <w:rPr>
          <w:rFonts w:ascii="David" w:hAnsi="David" w:hint="cs"/>
          <w:rtl/>
        </w:rPr>
        <w:t>לאחר ש</w:t>
      </w:r>
      <w:r>
        <w:rPr>
          <w:rFonts w:ascii="David" w:hAnsi="David"/>
          <w:rtl/>
        </w:rPr>
        <w:t>החזיק</w:t>
      </w:r>
      <w:r>
        <w:rPr>
          <w:rFonts w:ascii="David" w:hAnsi="David" w:hint="cs"/>
          <w:rtl/>
        </w:rPr>
        <w:t xml:space="preserve"> </w:t>
      </w:r>
      <w:r w:rsidRPr="00D50AC3">
        <w:rPr>
          <w:rFonts w:ascii="David" w:hAnsi="David"/>
          <w:rtl/>
        </w:rPr>
        <w:t>ברכבו אקדח מסוג</w:t>
      </w:r>
      <w:r w:rsidR="00715BEE">
        <w:rPr>
          <w:rFonts w:ascii="David" w:hAnsi="David"/>
          <w:rtl/>
        </w:rPr>
        <w:t xml:space="preserve"> </w:t>
      </w:r>
      <w:r w:rsidRPr="00D50AC3">
        <w:rPr>
          <w:rFonts w:ascii="David" w:hAnsi="David"/>
        </w:rPr>
        <w:t>BERSA</w:t>
      </w:r>
      <w:r w:rsidR="00715BEE">
        <w:rPr>
          <w:rFonts w:ascii="David" w:hAnsi="David"/>
          <w:rtl/>
        </w:rPr>
        <w:t xml:space="preserve"> </w:t>
      </w:r>
      <w:r w:rsidRPr="00D50AC3">
        <w:rPr>
          <w:rFonts w:ascii="David" w:hAnsi="David"/>
          <w:rtl/>
        </w:rPr>
        <w:t>ובמחסנית ריקה, אשר נמצאו בדלת הנוסע שליד הנהג, הסמוכה למקום בו ישב הנאשם.</w:t>
      </w:r>
      <w:r>
        <w:rPr>
          <w:rFonts w:ascii="David" w:hAnsi="David" w:hint="cs"/>
          <w:rtl/>
        </w:rPr>
        <w:t xml:space="preserve"> </w:t>
      </w:r>
      <w:r>
        <w:rPr>
          <w:rFonts w:ascii="David" w:hAnsi="David"/>
          <w:rtl/>
        </w:rPr>
        <w:t xml:space="preserve">במסגרת </w:t>
      </w:r>
      <w:r w:rsidRPr="00D50AC3">
        <w:rPr>
          <w:rFonts w:ascii="David" w:hAnsi="David"/>
          <w:rtl/>
        </w:rPr>
        <w:t>הסדר</w:t>
      </w:r>
      <w:r>
        <w:rPr>
          <w:rFonts w:ascii="David" w:hAnsi="David" w:hint="cs"/>
          <w:rtl/>
        </w:rPr>
        <w:t xml:space="preserve"> הטיעון</w:t>
      </w:r>
      <w:r w:rsidRPr="00D50AC3">
        <w:rPr>
          <w:rFonts w:ascii="David" w:hAnsi="David"/>
          <w:rtl/>
        </w:rPr>
        <w:t xml:space="preserve"> שגובש בין הצדדים, הוסכם כי הנאשם יופנה לקבלת תסקיר וכי המאשימה תעתור לעונש של 12 חודשי מאסר בפועל, לצד מאסר על תנאי, קנס וחילוט הרכב, ואילו ההגנה תהא חופשיה בטיעוניה.</w:t>
      </w:r>
      <w:r>
        <w:rPr>
          <w:rFonts w:ascii="David" w:hAnsi="David" w:hint="cs"/>
          <w:rtl/>
        </w:rPr>
        <w:t xml:space="preserve"> בית המשפט המחוזי קבע כי </w:t>
      </w:r>
      <w:r w:rsidRPr="00EE3571">
        <w:rPr>
          <w:rFonts w:ascii="David" w:hAnsi="David" w:hint="cs"/>
          <w:b/>
          <w:bCs/>
          <w:rtl/>
        </w:rPr>
        <w:t>מתחם העונש ההולם נע בין 10 ובין 24 חודשי מאסר בפועל</w:t>
      </w:r>
      <w:r>
        <w:rPr>
          <w:rFonts w:ascii="David" w:hAnsi="David" w:hint="cs"/>
          <w:rtl/>
        </w:rPr>
        <w:t xml:space="preserve">, לצד מאסר על תנאי וקנס. לאור הליך שיקומי שעבר הנאשם מצא בית המשפט לסטות ממתחם העונש ההולם משיקולי שיקום, ולהשית על הנאשם 9 חודשי מאסר שירוצו בעבודות שירות בצירוף ענישה נלווית. </w:t>
      </w:r>
    </w:p>
    <w:p w14:paraId="08BDF29C" w14:textId="77777777" w:rsidR="004F560D" w:rsidRPr="00D50AC3" w:rsidRDefault="004F560D" w:rsidP="004F560D">
      <w:pPr>
        <w:spacing w:line="360" w:lineRule="auto"/>
        <w:ind w:left="360"/>
        <w:jc w:val="both"/>
        <w:rPr>
          <w:rFonts w:ascii="David" w:hAnsi="David"/>
        </w:rPr>
      </w:pPr>
    </w:p>
    <w:p w14:paraId="7A10F05C" w14:textId="77777777" w:rsidR="004F560D" w:rsidRDefault="004F560D" w:rsidP="004F560D">
      <w:pPr>
        <w:spacing w:line="360" w:lineRule="auto"/>
        <w:jc w:val="both"/>
        <w:rPr>
          <w:rFonts w:ascii="Arial" w:hAnsi="Arial"/>
          <w:rtl/>
        </w:rPr>
      </w:pPr>
      <w:r>
        <w:rPr>
          <w:rFonts w:ascii="Arial" w:hAnsi="Arial" w:hint="cs"/>
          <w:rtl/>
        </w:rPr>
        <w:t xml:space="preserve">לאחר ששקלתי את מכלול השיקולים המעוגנים </w:t>
      </w:r>
      <w:hyperlink r:id="rId54" w:history="1">
        <w:r w:rsidR="008C74D2" w:rsidRPr="008C74D2">
          <w:rPr>
            <w:rStyle w:val="Hyperlink"/>
            <w:rFonts w:ascii="Arial" w:hAnsi="Arial" w:hint="eastAsia"/>
            <w:rtl/>
          </w:rPr>
          <w:t>בסעיף</w:t>
        </w:r>
        <w:r w:rsidR="008C74D2" w:rsidRPr="008C74D2">
          <w:rPr>
            <w:rStyle w:val="Hyperlink"/>
            <w:rFonts w:ascii="Arial" w:hAnsi="Arial"/>
            <w:rtl/>
          </w:rPr>
          <w:t xml:space="preserve"> 40ג(א)</w:t>
        </w:r>
      </w:hyperlink>
      <w:r>
        <w:rPr>
          <w:rFonts w:ascii="Arial" w:hAnsi="Arial" w:hint="cs"/>
          <w:rtl/>
        </w:rPr>
        <w:t xml:space="preserve"> ל</w:t>
      </w:r>
      <w:hyperlink r:id="rId55" w:history="1">
        <w:r w:rsidR="00715BEE" w:rsidRPr="00715BEE">
          <w:rPr>
            <w:rFonts w:ascii="Arial" w:hAnsi="Arial"/>
            <w:color w:val="0000FF"/>
            <w:u w:val="single"/>
            <w:rtl/>
          </w:rPr>
          <w:t>חוק העונשין</w:t>
        </w:r>
      </w:hyperlink>
      <w:r>
        <w:rPr>
          <w:rFonts w:ascii="Arial" w:hAnsi="Arial" w:hint="cs"/>
          <w:rtl/>
        </w:rPr>
        <w:t xml:space="preserve">, מצאתי כי מתחם העונש ההולם נע בין 18 ובין 30 חודשי מאסר בפועל, בצירוף ענישה נלווית. </w:t>
      </w:r>
    </w:p>
    <w:p w14:paraId="76E1E145" w14:textId="77777777" w:rsidR="004F560D" w:rsidRDefault="004F560D" w:rsidP="004F560D">
      <w:pPr>
        <w:spacing w:line="360" w:lineRule="auto"/>
        <w:jc w:val="both"/>
        <w:rPr>
          <w:rFonts w:ascii="Arial" w:hAnsi="Arial"/>
          <w:rtl/>
        </w:rPr>
      </w:pPr>
    </w:p>
    <w:p w14:paraId="528C0AFA" w14:textId="77777777" w:rsidR="004F560D" w:rsidRPr="00C643EE" w:rsidRDefault="004F560D" w:rsidP="004F560D">
      <w:pPr>
        <w:spacing w:before="120" w:line="360" w:lineRule="auto"/>
        <w:jc w:val="both"/>
        <w:rPr>
          <w:rFonts w:ascii="Arial" w:hAnsi="Arial"/>
          <w:b/>
          <w:bCs/>
          <w:rtl/>
        </w:rPr>
      </w:pPr>
      <w:r w:rsidRPr="00C643EE">
        <w:rPr>
          <w:rFonts w:ascii="Arial" w:hAnsi="Arial" w:hint="cs"/>
          <w:b/>
          <w:bCs/>
          <w:rtl/>
        </w:rPr>
        <w:t>מתחם העונש ההולם באישום השני:</w:t>
      </w:r>
    </w:p>
    <w:p w14:paraId="618DFCD9" w14:textId="77777777" w:rsidR="004F560D" w:rsidRDefault="004F560D" w:rsidP="004F560D">
      <w:pPr>
        <w:spacing w:before="120" w:line="360" w:lineRule="auto"/>
        <w:jc w:val="both"/>
        <w:rPr>
          <w:rFonts w:ascii="Arial" w:hAnsi="Arial"/>
          <w:rtl/>
        </w:rPr>
      </w:pPr>
      <w:r>
        <w:rPr>
          <w:rFonts w:hint="cs"/>
          <w:rtl/>
        </w:rPr>
        <w:t>נאשם 1 הורשע בעבירות של ניסיון השמדת ראיה ושיבוש הליכי משפט.</w:t>
      </w:r>
    </w:p>
    <w:p w14:paraId="1F29FD7B" w14:textId="77777777" w:rsidR="004F560D" w:rsidRDefault="004F560D" w:rsidP="004F560D">
      <w:pPr>
        <w:spacing w:before="120" w:line="360" w:lineRule="auto"/>
        <w:jc w:val="both"/>
        <w:rPr>
          <w:rFonts w:ascii="Arial" w:hAnsi="Arial"/>
          <w:rtl/>
        </w:rPr>
      </w:pPr>
      <w:r>
        <w:rPr>
          <w:rFonts w:ascii="Calibri" w:hAnsi="Calibri"/>
          <w:rtl/>
        </w:rPr>
        <w:t>הער</w:t>
      </w:r>
      <w:r>
        <w:rPr>
          <w:rFonts w:ascii="Calibri" w:hAnsi="Calibri" w:hint="cs"/>
          <w:rtl/>
        </w:rPr>
        <w:t>כים</w:t>
      </w:r>
      <w:r>
        <w:rPr>
          <w:rFonts w:ascii="Calibri" w:hAnsi="Calibri"/>
          <w:rtl/>
        </w:rPr>
        <w:t xml:space="preserve"> המוג</w:t>
      </w:r>
      <w:r>
        <w:rPr>
          <w:rFonts w:ascii="Calibri" w:hAnsi="Calibri" w:hint="cs"/>
          <w:rtl/>
        </w:rPr>
        <w:t>נים</w:t>
      </w:r>
      <w:r>
        <w:rPr>
          <w:rFonts w:ascii="Calibri" w:hAnsi="Calibri"/>
          <w:rtl/>
        </w:rPr>
        <w:t xml:space="preserve"> </w:t>
      </w:r>
      <w:r>
        <w:rPr>
          <w:rFonts w:ascii="Calibri" w:hAnsi="Calibri" w:hint="cs"/>
          <w:rtl/>
        </w:rPr>
        <w:t xml:space="preserve">שנפגעו מביצוע </w:t>
      </w:r>
      <w:r>
        <w:rPr>
          <w:rFonts w:ascii="Calibri" w:hAnsi="Calibri"/>
          <w:rtl/>
        </w:rPr>
        <w:t>עביר</w:t>
      </w:r>
      <w:r>
        <w:rPr>
          <w:rFonts w:ascii="Calibri" w:hAnsi="Calibri" w:hint="cs"/>
          <w:rtl/>
        </w:rPr>
        <w:t>ות אלו</w:t>
      </w:r>
      <w:r>
        <w:rPr>
          <w:rFonts w:ascii="Calibri" w:hAnsi="Calibri"/>
          <w:rtl/>
        </w:rPr>
        <w:t xml:space="preserve"> ה</w:t>
      </w:r>
      <w:r>
        <w:rPr>
          <w:rFonts w:ascii="Calibri" w:hAnsi="Calibri" w:hint="cs"/>
          <w:rtl/>
        </w:rPr>
        <w:t>ם ה</w:t>
      </w:r>
      <w:r>
        <w:rPr>
          <w:rFonts w:ascii="Calibri" w:hAnsi="Calibri"/>
          <w:rtl/>
        </w:rPr>
        <w:t>צורך לשמור על הניהול התקין של המשפט</w:t>
      </w:r>
      <w:r>
        <w:rPr>
          <w:rFonts w:ascii="Calibri" w:hAnsi="Calibri" w:hint="cs"/>
          <w:rtl/>
        </w:rPr>
        <w:t xml:space="preserve">, </w:t>
      </w:r>
      <w:r>
        <w:rPr>
          <w:rFonts w:ascii="Calibri" w:hAnsi="Calibri"/>
          <w:rtl/>
        </w:rPr>
        <w:t>וקודם לכן החקירה</w:t>
      </w:r>
      <w:r>
        <w:rPr>
          <w:rFonts w:ascii="Calibri" w:hAnsi="Calibri" w:hint="cs"/>
          <w:rtl/>
        </w:rPr>
        <w:t xml:space="preserve">, </w:t>
      </w:r>
      <w:r>
        <w:rPr>
          <w:rFonts w:ascii="Calibri" w:hAnsi="Calibri"/>
          <w:rtl/>
        </w:rPr>
        <w:t xml:space="preserve">מתוך מטרה </w:t>
      </w:r>
      <w:r>
        <w:rPr>
          <w:rFonts w:ascii="Calibri" w:hAnsi="Calibri" w:hint="cs"/>
          <w:rtl/>
        </w:rPr>
        <w:t>להגיע לחקר האמת</w:t>
      </w:r>
      <w:r>
        <w:rPr>
          <w:rFonts w:ascii="Calibri" w:hAnsi="Calibri"/>
          <w:rtl/>
        </w:rPr>
        <w:t>.</w:t>
      </w:r>
    </w:p>
    <w:p w14:paraId="28EE19B2" w14:textId="77777777" w:rsidR="004F560D" w:rsidRDefault="004F560D" w:rsidP="004F560D">
      <w:pPr>
        <w:spacing w:before="120" w:line="360" w:lineRule="auto"/>
        <w:jc w:val="both"/>
        <w:rPr>
          <w:rtl/>
        </w:rPr>
      </w:pPr>
      <w:r>
        <w:rPr>
          <w:rFonts w:hint="cs"/>
          <w:rtl/>
        </w:rPr>
        <w:t xml:space="preserve">הנאשם במעשיו ניסה לפגוע בניהול תקין של החקירה וניסה להשמיד ראיה בכך שהטיח את הטלפונים הסלולאריים בחדר החקירות, בעוד החוקר מקליד את גרסתו. בשים לב לעובדה כי בפועל לא נגרם נזק לחקירה, מידת הפגיעה בערכים המוגנים היא בינונית. </w:t>
      </w:r>
    </w:p>
    <w:p w14:paraId="515C9C7A" w14:textId="77777777" w:rsidR="004F560D" w:rsidRDefault="004F560D" w:rsidP="004F560D">
      <w:pPr>
        <w:spacing w:before="120" w:line="360" w:lineRule="auto"/>
        <w:jc w:val="both"/>
        <w:rPr>
          <w:rtl/>
        </w:rPr>
      </w:pPr>
      <w:r>
        <w:rPr>
          <w:rFonts w:ascii="Calibri" w:hAnsi="Calibri"/>
          <w:rtl/>
        </w:rPr>
        <w:t>באשר למדיניות הענישה הנוהגת, מדובר במנעד רחב של עונשים, על קשת רחבה של חומרת מעשים והכל כאמור בנסיבותיו של המקרה הקונקרטי</w:t>
      </w:r>
      <w:r>
        <w:rPr>
          <w:rFonts w:hint="cs"/>
          <w:rtl/>
        </w:rPr>
        <w:t>.</w:t>
      </w:r>
    </w:p>
    <w:p w14:paraId="68EBD3DA" w14:textId="77777777" w:rsidR="004F560D" w:rsidRDefault="004F560D" w:rsidP="004F560D">
      <w:pPr>
        <w:spacing w:before="120" w:line="360" w:lineRule="auto"/>
        <w:jc w:val="both"/>
        <w:rPr>
          <w:rFonts w:ascii="Calibri" w:hAnsi="Calibri"/>
          <w:rtl/>
        </w:rPr>
      </w:pPr>
      <w:r>
        <w:rPr>
          <w:rFonts w:ascii="Calibri" w:hAnsi="Calibri" w:hint="cs"/>
          <w:rtl/>
        </w:rPr>
        <w:t>ב</w:t>
      </w:r>
      <w:hyperlink r:id="rId56" w:history="1">
        <w:r w:rsidR="00715BEE" w:rsidRPr="00715BEE">
          <w:rPr>
            <w:color w:val="0000FF"/>
            <w:u w:val="single"/>
            <w:rtl/>
          </w:rPr>
          <w:t>ת.פ. (ב"ש) 6773-01-14</w:t>
        </w:r>
      </w:hyperlink>
      <w:r>
        <w:rPr>
          <w:rFonts w:ascii="Calibri" w:hAnsi="Calibri" w:hint="cs"/>
          <w:rtl/>
        </w:rPr>
        <w:t xml:space="preserve"> </w:t>
      </w:r>
      <w:r w:rsidRPr="007A106E">
        <w:rPr>
          <w:rFonts w:ascii="Calibri" w:hAnsi="Calibri" w:hint="cs"/>
          <w:b/>
          <w:bCs/>
          <w:rtl/>
        </w:rPr>
        <w:t>מדינת ישראל נ' תראבין</w:t>
      </w:r>
      <w:r>
        <w:rPr>
          <w:rFonts w:ascii="Calibri" w:hAnsi="Calibri" w:hint="cs"/>
          <w:rtl/>
        </w:rPr>
        <w:t xml:space="preserve"> (23.4.2014) הורשע הנאשם בשיבוש הליכי חקירה ונקבע מתחם עונש הולם שנע בין מאסר על תנאי ועד 6 חודשי מאסר בגין עבירה זו.</w:t>
      </w:r>
    </w:p>
    <w:p w14:paraId="3A2B42BD" w14:textId="77777777" w:rsidR="004F560D" w:rsidRPr="007A106E" w:rsidRDefault="004F560D" w:rsidP="004F560D">
      <w:pPr>
        <w:spacing w:before="120" w:line="360" w:lineRule="auto"/>
        <w:jc w:val="both"/>
        <w:rPr>
          <w:rFonts w:ascii="Calibri" w:hAnsi="Calibri"/>
          <w:rtl/>
        </w:rPr>
      </w:pPr>
      <w:r>
        <w:rPr>
          <w:rFonts w:hint="cs"/>
          <w:rtl/>
        </w:rPr>
        <w:t>ב</w:t>
      </w:r>
      <w:hyperlink r:id="rId57" w:history="1">
        <w:r w:rsidR="00715BEE" w:rsidRPr="00715BEE">
          <w:rPr>
            <w:color w:val="0000FF"/>
            <w:u w:val="single"/>
            <w:rtl/>
          </w:rPr>
          <w:t>ת.פ (כ"ס) 40507-01-11</w:t>
        </w:r>
      </w:hyperlink>
      <w:r>
        <w:rPr>
          <w:rFonts w:hint="cs"/>
          <w:rtl/>
        </w:rPr>
        <w:t xml:space="preserve"> </w:t>
      </w:r>
      <w:r w:rsidRPr="008A45EF">
        <w:rPr>
          <w:rFonts w:hint="cs"/>
          <w:b/>
          <w:bCs/>
          <w:rtl/>
        </w:rPr>
        <w:t xml:space="preserve">מדינת ישראל נ' ברעם </w:t>
      </w:r>
      <w:r>
        <w:rPr>
          <w:rFonts w:hint="cs"/>
          <w:rtl/>
        </w:rPr>
        <w:t xml:space="preserve">(31.5.15) דובר על נאשם שהורשע במספר עבירות ביניהן גם בעבירה של השמדת ראייה ושיבוש מהלכי משפט. הנאשם מחק ממחשבו האישי חומרי גלם, החליף את מספר הטלפון שברשותו ויצר סרטון בדוי. בית משפט השלום קבע כי </w:t>
      </w:r>
      <w:r>
        <w:rPr>
          <w:rtl/>
        </w:rPr>
        <w:t xml:space="preserve">מתחם העונש ההולם </w:t>
      </w:r>
      <w:r w:rsidRPr="008A45EF">
        <w:rPr>
          <w:rtl/>
        </w:rPr>
        <w:t xml:space="preserve">בעבירות שיבוש מהלכי משפט והשמדת ראיות, </w:t>
      </w:r>
      <w:r>
        <w:rPr>
          <w:rtl/>
        </w:rPr>
        <w:t>הגם שעל פי רוב עבירות מסוג זה נלוות לעבירות נוספות</w:t>
      </w:r>
      <w:r>
        <w:rPr>
          <w:rFonts w:hint="cs"/>
          <w:rtl/>
        </w:rPr>
        <w:t>,</w:t>
      </w:r>
      <w:r>
        <w:rPr>
          <w:rtl/>
        </w:rPr>
        <w:t xml:space="preserve"> ואינן מהוות את ליבת כתב האישום, </w:t>
      </w:r>
      <w:r w:rsidRPr="008A45EF">
        <w:rPr>
          <w:rtl/>
        </w:rPr>
        <w:t xml:space="preserve">נע בין </w:t>
      </w:r>
      <w:r>
        <w:rPr>
          <w:rFonts w:hint="cs"/>
          <w:rtl/>
        </w:rPr>
        <w:t>5 ל-15</w:t>
      </w:r>
      <w:r w:rsidRPr="008A45EF">
        <w:rPr>
          <w:rtl/>
        </w:rPr>
        <w:t xml:space="preserve"> חודשי מאסר</w:t>
      </w:r>
      <w:r w:rsidRPr="008A45EF">
        <w:rPr>
          <w:rFonts w:ascii="Calibri" w:hAnsi="Calibri" w:hint="cs"/>
          <w:rtl/>
        </w:rPr>
        <w:t>.</w:t>
      </w:r>
      <w:r>
        <w:rPr>
          <w:rFonts w:ascii="Calibri" w:hAnsi="Calibri" w:hint="cs"/>
          <w:rtl/>
        </w:rPr>
        <w:t xml:space="preserve"> יצוין כי מדובר במקרה חמור יותר מהמקרה שבפניי.</w:t>
      </w:r>
    </w:p>
    <w:p w14:paraId="28AC1FC2" w14:textId="77777777" w:rsidR="004F560D" w:rsidRDefault="004F560D" w:rsidP="004F560D">
      <w:pPr>
        <w:spacing w:before="120" w:line="360" w:lineRule="auto"/>
        <w:jc w:val="both"/>
        <w:rPr>
          <w:rFonts w:ascii="Calibri" w:hAnsi="Calibri"/>
        </w:rPr>
      </w:pPr>
      <w:r>
        <w:rPr>
          <w:rFonts w:ascii="Calibri" w:hAnsi="Calibri" w:hint="cs"/>
          <w:rtl/>
        </w:rPr>
        <w:t xml:space="preserve">אשר על כן, בנסיבות המקרה דנן, אני קובעת כי מתחם העונש ההולם באישום השני נע בין מאסר מותנה ל- 6 חודשי מאסר בפועל. </w:t>
      </w:r>
    </w:p>
    <w:p w14:paraId="6E4B19CF" w14:textId="77777777" w:rsidR="004F560D" w:rsidRPr="007A106E" w:rsidRDefault="004F560D" w:rsidP="004F560D">
      <w:pPr>
        <w:spacing w:before="120" w:line="360" w:lineRule="auto"/>
        <w:jc w:val="both"/>
        <w:rPr>
          <w:rFonts w:ascii="Calibri" w:hAnsi="Calibri"/>
          <w:rtl/>
        </w:rPr>
      </w:pPr>
    </w:p>
    <w:p w14:paraId="522A0D37" w14:textId="77777777" w:rsidR="004F560D" w:rsidRPr="007A106E" w:rsidRDefault="004F560D" w:rsidP="004F560D">
      <w:pPr>
        <w:spacing w:line="360" w:lineRule="auto"/>
        <w:jc w:val="both"/>
        <w:rPr>
          <w:rFonts w:ascii="Arial" w:hAnsi="Arial"/>
          <w:b/>
          <w:bCs/>
          <w:rtl/>
        </w:rPr>
      </w:pPr>
      <w:r w:rsidRPr="007A106E">
        <w:rPr>
          <w:rFonts w:ascii="Arial" w:hAnsi="Arial" w:hint="cs"/>
          <w:b/>
          <w:bCs/>
          <w:rtl/>
        </w:rPr>
        <w:t>חריגה ממתחם העונש ההולם:</w:t>
      </w:r>
    </w:p>
    <w:p w14:paraId="3249C9ED" w14:textId="77777777" w:rsidR="004F560D" w:rsidRDefault="004F560D" w:rsidP="004F560D">
      <w:pPr>
        <w:spacing w:line="360" w:lineRule="auto"/>
        <w:jc w:val="both"/>
        <w:rPr>
          <w:rFonts w:ascii="Arial" w:hAnsi="Arial"/>
          <w:rtl/>
        </w:rPr>
      </w:pPr>
      <w:r>
        <w:rPr>
          <w:rFonts w:ascii="Arial" w:hAnsi="Arial" w:hint="cs"/>
          <w:rtl/>
        </w:rPr>
        <w:t xml:space="preserve">בעניינם של הנאשמים לא מצאתי נסיבות המצדיקות סטייה ממתחם העונש ההולם לא לחומרא ולא לקולא. </w:t>
      </w:r>
    </w:p>
    <w:p w14:paraId="53D465DC" w14:textId="77777777" w:rsidR="004F560D" w:rsidRDefault="004F560D" w:rsidP="004F560D">
      <w:pPr>
        <w:spacing w:line="360" w:lineRule="auto"/>
        <w:jc w:val="both"/>
        <w:rPr>
          <w:rFonts w:ascii="Arial" w:hAnsi="Arial"/>
          <w:rtl/>
        </w:rPr>
      </w:pPr>
      <w:r>
        <w:rPr>
          <w:rFonts w:ascii="Arial" w:hAnsi="Arial" w:hint="cs"/>
          <w:rtl/>
        </w:rPr>
        <w:t xml:space="preserve">לא התעלמתי מהאמור בתסקיר שירות המבחן לגבי נאשם 2. יחד עם זאת איני סבורה כי מדובר בדרך שיקומית יוצאת דופן המצדיקה סטייה ממתחם העונש ההולם. </w:t>
      </w:r>
    </w:p>
    <w:p w14:paraId="16547DD2" w14:textId="77777777" w:rsidR="004F560D" w:rsidRPr="004F560D" w:rsidRDefault="004F560D" w:rsidP="004F560D">
      <w:pPr>
        <w:spacing w:before="120" w:after="160" w:line="360" w:lineRule="auto"/>
        <w:jc w:val="both"/>
        <w:rPr>
          <w:rFonts w:ascii="Calibri" w:eastAsia="Calibri" w:hAnsi="Calibri"/>
        </w:rPr>
      </w:pPr>
      <w:r w:rsidRPr="004F560D">
        <w:rPr>
          <w:rFonts w:ascii="Calibri" w:eastAsia="Calibri" w:hAnsi="Calibri"/>
          <w:rtl/>
        </w:rPr>
        <w:t xml:space="preserve">כפי שכבר נקבע לא פעם, שיקולי שיקום אינם חזות הכל ומולם ניצבים אינטרסים חשובים אחרים כגון גמול והרתעה. ובמקרה זה לא מצאתי כי יש להעדיף שיקולי שיקום על פני האינטרסים האחרים ולסטות ממתחם העונש ההולם לקולא, ולמאמצי השיקום יינתן משקל במהלך קביעת העונש בתוך המתחם. </w:t>
      </w:r>
    </w:p>
    <w:p w14:paraId="426B8D0C" w14:textId="77777777" w:rsidR="004F560D" w:rsidRPr="004F560D" w:rsidRDefault="004F560D" w:rsidP="004F560D">
      <w:pPr>
        <w:spacing w:before="120" w:after="160" w:line="360" w:lineRule="auto"/>
        <w:jc w:val="both"/>
        <w:rPr>
          <w:rFonts w:ascii="Calibri" w:eastAsia="Calibri" w:hAnsi="Calibri"/>
          <w:rtl/>
        </w:rPr>
      </w:pPr>
      <w:r w:rsidRPr="004F560D">
        <w:rPr>
          <w:rFonts w:ascii="Calibri" w:eastAsia="Calibri" w:hAnsi="Calibri"/>
          <w:rtl/>
        </w:rPr>
        <w:t>בהקשר זה מצאתי להפנות ל</w:t>
      </w:r>
      <w:hyperlink r:id="rId58" w:history="1">
        <w:r w:rsidR="00715BEE" w:rsidRPr="00715BEE">
          <w:rPr>
            <w:rFonts w:ascii="Calibri" w:eastAsia="Calibri" w:hAnsi="Calibri" w:hint="cs"/>
            <w:color w:val="0000FF"/>
            <w:u w:val="single"/>
            <w:rtl/>
          </w:rPr>
          <w:t>ע</w:t>
        </w:r>
        <w:r w:rsidR="00715BEE" w:rsidRPr="00715BEE">
          <w:rPr>
            <w:rFonts w:ascii="Calibri" w:eastAsia="Calibri" w:hAnsi="Calibri"/>
            <w:color w:val="0000FF"/>
            <w:u w:val="single"/>
            <w:rtl/>
          </w:rPr>
          <w:t>"</w:t>
        </w:r>
        <w:r w:rsidR="00715BEE" w:rsidRPr="00715BEE">
          <w:rPr>
            <w:rFonts w:ascii="Calibri" w:eastAsia="Calibri" w:hAnsi="Calibri" w:hint="cs"/>
            <w:color w:val="0000FF"/>
            <w:u w:val="single"/>
            <w:rtl/>
          </w:rPr>
          <w:t>פ</w:t>
        </w:r>
        <w:r w:rsidR="00715BEE" w:rsidRPr="00715BEE">
          <w:rPr>
            <w:rFonts w:ascii="Calibri" w:eastAsia="Calibri" w:hAnsi="Calibri"/>
            <w:color w:val="0000FF"/>
            <w:u w:val="single"/>
            <w:rtl/>
          </w:rPr>
          <w:t xml:space="preserve"> 2441-15</w:t>
        </w:r>
      </w:hyperlink>
      <w:r w:rsidRPr="004F560D">
        <w:rPr>
          <w:rFonts w:ascii="Calibri" w:eastAsia="Calibri" w:hAnsi="Calibri"/>
          <w:rtl/>
        </w:rPr>
        <w:t xml:space="preserve"> </w:t>
      </w:r>
      <w:r w:rsidRPr="004F560D">
        <w:rPr>
          <w:rFonts w:ascii="Calibri" w:eastAsia="Calibri" w:hAnsi="Calibri"/>
          <w:b/>
          <w:bCs/>
          <w:rtl/>
        </w:rPr>
        <w:t>ראובן חכם נ' מדינת ישראל</w:t>
      </w:r>
      <w:r w:rsidRPr="004F560D">
        <w:rPr>
          <w:rFonts w:ascii="Calibri" w:eastAsia="Calibri" w:hAnsi="Calibri"/>
          <w:rtl/>
        </w:rPr>
        <w:t xml:space="preserve"> (7.6.16) שם נקבע בנוגע לשיקולי השיקום כדלקמן:</w:t>
      </w:r>
    </w:p>
    <w:p w14:paraId="330EE232" w14:textId="77777777" w:rsidR="004F560D" w:rsidRPr="004F560D" w:rsidRDefault="004F560D" w:rsidP="004F560D">
      <w:pPr>
        <w:spacing w:before="120" w:after="160" w:line="360" w:lineRule="auto"/>
        <w:ind w:left="720"/>
        <w:jc w:val="both"/>
        <w:rPr>
          <w:rFonts w:ascii="David" w:eastAsia="Calibri" w:hAnsi="David"/>
          <w:b/>
          <w:bCs/>
          <w:rtl/>
        </w:rPr>
      </w:pPr>
      <w:r w:rsidRPr="004F560D">
        <w:rPr>
          <w:rFonts w:ascii="David" w:eastAsia="Calibri" w:hAnsi="David"/>
          <w:b/>
          <w:bCs/>
          <w:rtl/>
        </w:rPr>
        <w:t xml:space="preserve">"טרם סיום, נתייחס בקצרה לעניין ההליך הטיפולי שעבר המערער, שבגינו הוא סבור כי היה מקום לסטות לקולה ממתחם הענישה, משיקולי שיקום. </w:t>
      </w:r>
      <w:r w:rsidRPr="004F560D">
        <w:rPr>
          <w:rFonts w:ascii="David" w:eastAsia="Calibri" w:hAnsi="David"/>
          <w:b/>
          <w:bCs/>
          <w:u w:val="single"/>
          <w:rtl/>
        </w:rPr>
        <w:t xml:space="preserve">ראשית לכל, יש להבהיר כי האינטרס השיקומי איננו חזות הכל, ולצידו ניצבים שיקולים חשובים לא פחות, ובהם עקרונות הגמול וההרתעה (ראו, בהקשר זה, </w:t>
      </w:r>
      <w:hyperlink r:id="rId59" w:history="1">
        <w:r w:rsidR="00715BEE" w:rsidRPr="00715BEE">
          <w:rPr>
            <w:rFonts w:ascii="David" w:eastAsia="Calibri" w:hAnsi="David"/>
            <w:b/>
            <w:bCs/>
            <w:color w:val="0000FF"/>
            <w:u w:val="single"/>
            <w:rtl/>
          </w:rPr>
          <w:t>ע"פ 8404/11</w:t>
        </w:r>
      </w:hyperlink>
      <w:r w:rsidRPr="004F560D">
        <w:rPr>
          <w:rFonts w:ascii="David" w:eastAsia="Calibri" w:hAnsi="David"/>
          <w:b/>
          <w:bCs/>
          <w:u w:val="single"/>
          <w:rtl/>
        </w:rPr>
        <w:t xml:space="preserve"> אסיאטוב נ' מדינת ישראל [פורסם בנבו] (12.6.2012); </w:t>
      </w:r>
      <w:hyperlink r:id="rId60" w:history="1">
        <w:r w:rsidR="00715BEE" w:rsidRPr="00715BEE">
          <w:rPr>
            <w:rFonts w:ascii="David" w:eastAsia="Calibri" w:hAnsi="David"/>
            <w:b/>
            <w:bCs/>
            <w:color w:val="0000FF"/>
            <w:u w:val="single"/>
            <w:rtl/>
          </w:rPr>
          <w:t>ע"פ 5576/10</w:t>
        </w:r>
      </w:hyperlink>
      <w:r w:rsidRPr="004F560D">
        <w:rPr>
          <w:rFonts w:ascii="David" w:eastAsia="Calibri" w:hAnsi="David"/>
          <w:b/>
          <w:bCs/>
          <w:u w:val="single"/>
          <w:rtl/>
        </w:rPr>
        <w:t xml:space="preserve"> פלוני נ' מדינת ישראל [פורסם בנבו] (14.4.2011)).</w:t>
      </w:r>
      <w:r w:rsidRPr="004F560D">
        <w:rPr>
          <w:rFonts w:ascii="David" w:eastAsia="Calibri" w:hAnsi="David"/>
          <w:b/>
          <w:bCs/>
          <w:rtl/>
        </w:rPr>
        <w:t xml:space="preserve"> שנית, גם אם עבר המערער הליך טיפולי במשך חודשים רבים, אין להתעלם מהרחקתו של המערער מן הקהילה, במסגרתה הוא טופל, כפי שמפורט לעיל. בנסיבות אלה, לא היתה הצדקה לסטות לקולה מן המתחם שנקבע, אך יש להדגיש כי השיקול השיקומי נלקח בחשבון, עת גזר בית משפט קמא את עונשו של המערער". (</w:t>
      </w:r>
      <w:r w:rsidRPr="004F560D">
        <w:rPr>
          <w:rFonts w:ascii="David" w:eastAsia="Calibri" w:hAnsi="David"/>
          <w:rtl/>
        </w:rPr>
        <w:t>הדגשה לא במקור מ.פ.ב)</w:t>
      </w:r>
    </w:p>
    <w:p w14:paraId="5D087406" w14:textId="77777777" w:rsidR="004F560D" w:rsidRPr="004F560D" w:rsidRDefault="004F560D" w:rsidP="004F560D">
      <w:pPr>
        <w:spacing w:before="120" w:line="360" w:lineRule="auto"/>
        <w:jc w:val="both"/>
        <w:rPr>
          <w:rFonts w:ascii="Calibri" w:eastAsia="Calibri" w:hAnsi="Calibri"/>
          <w:highlight w:val="yellow"/>
          <w:rtl/>
        </w:rPr>
      </w:pPr>
      <w:r>
        <w:rPr>
          <w:rFonts w:ascii="Arial" w:hAnsi="Arial" w:hint="cs"/>
          <w:rtl/>
        </w:rPr>
        <w:t xml:space="preserve"> </w:t>
      </w:r>
      <w:r w:rsidRPr="004F560D">
        <w:rPr>
          <w:rFonts w:ascii="Calibri" w:eastAsia="Calibri" w:hAnsi="Calibri"/>
          <w:rtl/>
        </w:rPr>
        <w:t xml:space="preserve">אשר על כן, לא מצאתי כי במקרה זה מתקיימות נסיבות המצדיקות סטייה מתחם העונש ההולם אותו קבעתי לעיל. </w:t>
      </w:r>
    </w:p>
    <w:p w14:paraId="2857FE8C" w14:textId="77777777" w:rsidR="004F560D" w:rsidRDefault="004F560D" w:rsidP="004F560D">
      <w:pPr>
        <w:spacing w:line="360" w:lineRule="auto"/>
        <w:jc w:val="both"/>
        <w:rPr>
          <w:rFonts w:ascii="Arial" w:hAnsi="Arial"/>
          <w:rtl/>
        </w:rPr>
      </w:pPr>
    </w:p>
    <w:p w14:paraId="52CCF7B5" w14:textId="77777777" w:rsidR="004F560D" w:rsidRDefault="004F560D" w:rsidP="004F560D">
      <w:pPr>
        <w:spacing w:before="120" w:line="360" w:lineRule="auto"/>
        <w:jc w:val="both"/>
        <w:rPr>
          <w:b/>
          <w:bCs/>
        </w:rPr>
      </w:pPr>
      <w:r>
        <w:rPr>
          <w:rFonts w:hint="cs"/>
          <w:b/>
          <w:bCs/>
          <w:rtl/>
        </w:rPr>
        <w:t>באשר לעונשם של הנאשמים בתוך מתחם העונש ההולם:</w:t>
      </w:r>
    </w:p>
    <w:p w14:paraId="1C47B319" w14:textId="77777777" w:rsidR="004F560D" w:rsidRDefault="004F560D" w:rsidP="004F560D">
      <w:pPr>
        <w:spacing w:before="120" w:line="360" w:lineRule="auto"/>
        <w:jc w:val="both"/>
        <w:rPr>
          <w:rtl/>
        </w:rPr>
      </w:pPr>
      <w:r>
        <w:rPr>
          <w:rFonts w:hint="cs"/>
          <w:rtl/>
        </w:rPr>
        <w:t xml:space="preserve">לקולא שקלתי את העובדה, כי הנאשמים הודו, הגם שההודאה ניתנה בסוף פרשת התביעה, ונטלו אחריות על מעשיהם. </w:t>
      </w:r>
    </w:p>
    <w:p w14:paraId="05AE7F7B" w14:textId="77777777" w:rsidR="004F560D" w:rsidRDefault="004F560D" w:rsidP="004F560D">
      <w:pPr>
        <w:spacing w:line="360" w:lineRule="auto"/>
        <w:jc w:val="both"/>
        <w:rPr>
          <w:rtl/>
        </w:rPr>
      </w:pPr>
    </w:p>
    <w:p w14:paraId="125D4A68" w14:textId="77777777" w:rsidR="004F560D" w:rsidRDefault="004F560D" w:rsidP="004F560D">
      <w:pPr>
        <w:spacing w:line="360" w:lineRule="auto"/>
        <w:jc w:val="both"/>
        <w:rPr>
          <w:rtl/>
        </w:rPr>
      </w:pPr>
      <w:r w:rsidRPr="00EF2ABC">
        <w:rPr>
          <w:rFonts w:hint="cs"/>
          <w:b/>
          <w:bCs/>
          <w:rtl/>
        </w:rPr>
        <w:t>בנוגע לנאשם 1,</w:t>
      </w:r>
      <w:r>
        <w:rPr>
          <w:rFonts w:hint="cs"/>
          <w:rtl/>
        </w:rPr>
        <w:t xml:space="preserve"> נתתי את דעתי כי אין זו פעם הראשונה שהנאשם עומד לדין בגין עבירות בנשק. בעבר הנאשם הורשע בגין ביצוע עבירת שוד, פציעה והחזקת נשק, והוטל עליו עונש מאסר ממושך. כך גם קיימת לחובתו הרשעה נוספת משנת 2019, שם הורשע הן בעבירות תעבורה, הן בעבירה של החזקת סכין והן בעבירה של הפרעה לשוטר. מכאן ניתן ללמוד כי הנאשם לא מורתע ממרות הדין, מהליכים פליליים הקודמים ומהענישה המוטלת עליו. </w:t>
      </w:r>
    </w:p>
    <w:p w14:paraId="1FFC3E84" w14:textId="77777777" w:rsidR="004F560D" w:rsidRDefault="004F560D" w:rsidP="004F560D">
      <w:pPr>
        <w:spacing w:line="360" w:lineRule="auto"/>
        <w:jc w:val="both"/>
        <w:rPr>
          <w:rFonts w:ascii="Arial" w:hAnsi="Arial"/>
          <w:b/>
          <w:bCs/>
          <w:rtl/>
        </w:rPr>
      </w:pPr>
    </w:p>
    <w:p w14:paraId="2AF7136A" w14:textId="77777777" w:rsidR="004F560D" w:rsidRDefault="004F560D" w:rsidP="004F560D">
      <w:pPr>
        <w:spacing w:line="360" w:lineRule="auto"/>
        <w:jc w:val="both"/>
        <w:rPr>
          <w:rFonts w:ascii="Arial" w:hAnsi="Arial"/>
          <w:rtl/>
        </w:rPr>
      </w:pPr>
      <w:r>
        <w:rPr>
          <w:rFonts w:ascii="Arial" w:hAnsi="Arial" w:hint="cs"/>
          <w:b/>
          <w:bCs/>
          <w:rtl/>
        </w:rPr>
        <w:t xml:space="preserve">לגבי נאשם 2, </w:t>
      </w:r>
      <w:r w:rsidRPr="00FB7096">
        <w:rPr>
          <w:rFonts w:ascii="Arial" w:hAnsi="Arial" w:hint="cs"/>
          <w:rtl/>
        </w:rPr>
        <w:t>נתתי דעתי</w:t>
      </w:r>
      <w:r>
        <w:rPr>
          <w:rFonts w:ascii="Arial" w:hAnsi="Arial" w:hint="cs"/>
          <w:rtl/>
        </w:rPr>
        <w:t xml:space="preserve"> לגילו של הנאשם וכי אין לחובתו עבר פלילי. יחד עם זאת, מתסקיר שירות המבחן עולה נטילת אחריות חלקית על המעשים וניסיון למזער אותם. כך גם נתתי את דעתי להמלצת שירות המבחן, ולהתרשמותו כי שילובו של הנאשם בטיפול עלול להפחית סיכון להישנות ביצוע עבירות בעתיד. </w:t>
      </w:r>
    </w:p>
    <w:p w14:paraId="63B08B98" w14:textId="77777777" w:rsidR="004F560D" w:rsidRDefault="004F560D" w:rsidP="004F560D">
      <w:pPr>
        <w:spacing w:line="360" w:lineRule="auto"/>
        <w:jc w:val="both"/>
        <w:rPr>
          <w:rFonts w:ascii="Arial" w:hAnsi="Arial"/>
          <w:rtl/>
        </w:rPr>
      </w:pPr>
    </w:p>
    <w:p w14:paraId="06E82801" w14:textId="77777777" w:rsidR="004F560D" w:rsidRDefault="004F560D" w:rsidP="004F560D">
      <w:pPr>
        <w:spacing w:line="360" w:lineRule="auto"/>
        <w:jc w:val="both"/>
        <w:rPr>
          <w:rFonts w:ascii="Arial" w:hAnsi="Arial"/>
          <w:rtl/>
        </w:rPr>
      </w:pPr>
      <w:r>
        <w:rPr>
          <w:rFonts w:ascii="Arial" w:hAnsi="Arial" w:hint="cs"/>
          <w:rtl/>
        </w:rPr>
        <w:t xml:space="preserve">אמנם </w:t>
      </w:r>
      <w:r>
        <w:rPr>
          <w:rFonts w:ascii="Arial" w:hAnsi="Arial"/>
          <w:rtl/>
        </w:rPr>
        <w:t xml:space="preserve">תסקיר שירות המבחן משמש כלי עזר חשוב לבית המשפט, אך עם זאת, </w:t>
      </w:r>
      <w:r>
        <w:rPr>
          <w:rFonts w:ascii="Arial" w:hAnsi="Arial" w:hint="cs"/>
          <w:rtl/>
        </w:rPr>
        <w:t xml:space="preserve">ההלכה היא </w:t>
      </w:r>
      <w:r>
        <w:rPr>
          <w:rFonts w:ascii="Arial" w:hAnsi="Arial"/>
          <w:rtl/>
        </w:rPr>
        <w:t>כי תסקיר שירות המבחן איננו מחייב את בית המשפט, אשר בוחן מגוון שיקולים רחב יותר מאלו אותם בוחן שירות המבחן (</w:t>
      </w:r>
      <w:hyperlink r:id="rId61" w:history="1">
        <w:r w:rsidR="00715BEE" w:rsidRPr="00715BEE">
          <w:rPr>
            <w:rFonts w:ascii="Arial" w:hAnsi="Arial"/>
            <w:color w:val="0000FF"/>
            <w:u w:val="single"/>
            <w:rtl/>
          </w:rPr>
          <w:t>רע"פ 2208/16</w:t>
        </w:r>
      </w:hyperlink>
      <w:r>
        <w:rPr>
          <w:rFonts w:ascii="Arial" w:hAnsi="Arial"/>
          <w:rtl/>
        </w:rPr>
        <w:t xml:space="preserve"> </w:t>
      </w:r>
      <w:r>
        <w:rPr>
          <w:rFonts w:ascii="Arial" w:hAnsi="Arial"/>
          <w:b/>
          <w:bCs/>
          <w:rtl/>
        </w:rPr>
        <w:t>יוסף גוהר נ' מדינת ישראל</w:t>
      </w:r>
      <w:r>
        <w:rPr>
          <w:rFonts w:ascii="Arial" w:hAnsi="Arial"/>
          <w:rtl/>
        </w:rPr>
        <w:t xml:space="preserve"> (17.5.16))</w:t>
      </w:r>
      <w:r>
        <w:rPr>
          <w:rFonts w:ascii="Arial" w:hAnsi="Arial" w:hint="cs"/>
          <w:rtl/>
        </w:rPr>
        <w:t>, ובמקרה זה לא אוכל לקבל את המלצתו אשר אינה נותנת משקל ראוי לשיקולי הרתעת היחיד והרבים והאינטרס הציבורי הרחב להילחם בתופעה של החזקת כלי נשק ללא רשות על פי דין על ידי האזרחים</w:t>
      </w:r>
      <w:r>
        <w:rPr>
          <w:rFonts w:ascii="Arial" w:hAnsi="Arial"/>
          <w:rtl/>
        </w:rPr>
        <w:t>.</w:t>
      </w:r>
    </w:p>
    <w:p w14:paraId="1353636A" w14:textId="77777777" w:rsidR="004F560D" w:rsidRDefault="004F560D" w:rsidP="004F560D">
      <w:pPr>
        <w:spacing w:line="360" w:lineRule="auto"/>
        <w:jc w:val="both"/>
        <w:rPr>
          <w:rFonts w:ascii="Arial" w:hAnsi="Arial"/>
          <w:rtl/>
        </w:rPr>
      </w:pPr>
    </w:p>
    <w:p w14:paraId="0119A411" w14:textId="77777777" w:rsidR="004F560D" w:rsidRDefault="004F560D" w:rsidP="004F560D">
      <w:pPr>
        <w:spacing w:line="360" w:lineRule="auto"/>
        <w:jc w:val="both"/>
        <w:rPr>
          <w:rFonts w:ascii="Arial" w:hAnsi="Arial"/>
          <w:rtl/>
        </w:rPr>
      </w:pPr>
      <w:r>
        <w:rPr>
          <w:rFonts w:ascii="Arial" w:hAnsi="Arial" w:hint="cs"/>
          <w:rtl/>
        </w:rPr>
        <w:t xml:space="preserve">יודגש כי בתיקים מסוג זה, ישנה חשיבות לא רק להרתעת היחיד, אלא גם להרתעת הרבים, בשים לב לעובדה כי עבירות בנשק הפכו למכת המדינה, והנשק שמוחזק באופן לא חוקי מתגלגל בסופו של דבר לידיים עברייניות וגובה חיי אדם. </w:t>
      </w:r>
    </w:p>
    <w:p w14:paraId="4FB7C963" w14:textId="77777777" w:rsidR="004F560D" w:rsidRDefault="004F560D" w:rsidP="004F560D">
      <w:pPr>
        <w:spacing w:line="360" w:lineRule="auto"/>
        <w:jc w:val="both"/>
        <w:rPr>
          <w:rFonts w:ascii="Arial" w:hAnsi="Arial"/>
          <w:rtl/>
        </w:rPr>
      </w:pPr>
    </w:p>
    <w:p w14:paraId="58B5B10F" w14:textId="77777777" w:rsidR="004F560D" w:rsidRDefault="004F560D" w:rsidP="004F560D">
      <w:pPr>
        <w:spacing w:line="360" w:lineRule="auto"/>
        <w:jc w:val="both"/>
        <w:rPr>
          <w:rFonts w:ascii="Arial" w:hAnsi="Arial"/>
          <w:b/>
          <w:bCs/>
          <w:rtl/>
        </w:rPr>
      </w:pPr>
      <w:r>
        <w:rPr>
          <w:rFonts w:ascii="Arial" w:hAnsi="Arial" w:hint="cs"/>
          <w:b/>
          <w:bCs/>
          <w:rtl/>
        </w:rPr>
        <w:t>לאחר ששקלתי את כלל השיקולים המפורטים לעיל מצאתי לגזור על הנאשם 1 עו</w:t>
      </w:r>
      <w:r w:rsidRPr="00250986">
        <w:rPr>
          <w:rFonts w:ascii="Arial" w:hAnsi="Arial" w:hint="cs"/>
          <w:b/>
          <w:bCs/>
          <w:rtl/>
        </w:rPr>
        <w:t>נש כולל בגין שני האירועים</w:t>
      </w:r>
      <w:r>
        <w:rPr>
          <w:rFonts w:ascii="Arial" w:hAnsi="Arial" w:hint="cs"/>
          <w:b/>
          <w:bCs/>
          <w:rtl/>
        </w:rPr>
        <w:t xml:space="preserve"> ברף הבינוני של המתחם אותו קבעתי לעיל ועל הנאשם 2 עונש ברף הנמוך של המתחם כדלהלן: </w:t>
      </w:r>
    </w:p>
    <w:p w14:paraId="4D566670" w14:textId="77777777" w:rsidR="004F560D" w:rsidRDefault="004F560D" w:rsidP="004F560D">
      <w:pPr>
        <w:spacing w:line="360" w:lineRule="auto"/>
        <w:jc w:val="both"/>
        <w:rPr>
          <w:rFonts w:ascii="Arial" w:hAnsi="Arial"/>
          <w:b/>
          <w:bCs/>
          <w:rtl/>
        </w:rPr>
      </w:pPr>
    </w:p>
    <w:p w14:paraId="06A4B64D" w14:textId="77777777" w:rsidR="004F560D" w:rsidRPr="00EF2ABC" w:rsidRDefault="004F560D" w:rsidP="004F560D">
      <w:pPr>
        <w:spacing w:line="360" w:lineRule="auto"/>
        <w:jc w:val="both"/>
        <w:rPr>
          <w:rFonts w:ascii="Arial" w:hAnsi="Arial"/>
          <w:b/>
          <w:bCs/>
          <w:u w:val="single"/>
          <w:rtl/>
        </w:rPr>
      </w:pPr>
      <w:r w:rsidRPr="00EF2ABC">
        <w:rPr>
          <w:rFonts w:ascii="Arial" w:hAnsi="Arial" w:hint="cs"/>
          <w:b/>
          <w:bCs/>
          <w:u w:val="single"/>
          <w:rtl/>
        </w:rPr>
        <w:t>אני גוזרת על נאשם 1 את העונשים הבאים:</w:t>
      </w:r>
    </w:p>
    <w:p w14:paraId="77F252C1" w14:textId="77777777" w:rsidR="004F560D" w:rsidRDefault="004F560D" w:rsidP="004F560D">
      <w:pPr>
        <w:pStyle w:val="a9"/>
        <w:numPr>
          <w:ilvl w:val="0"/>
          <w:numId w:val="2"/>
        </w:numPr>
        <w:spacing w:line="360" w:lineRule="auto"/>
        <w:jc w:val="both"/>
        <w:rPr>
          <w:rFonts w:ascii="Arial" w:hAnsi="Arial"/>
        </w:rPr>
      </w:pPr>
      <w:r>
        <w:rPr>
          <w:rFonts w:ascii="Arial" w:hAnsi="Arial" w:hint="cs"/>
          <w:rtl/>
        </w:rPr>
        <w:t>24 חודשי מאסר בפועל, בניכוי ימי מעצרו מיום 24.1.22.</w:t>
      </w:r>
    </w:p>
    <w:p w14:paraId="265DAB74" w14:textId="77777777" w:rsidR="004F560D" w:rsidRDefault="004F560D" w:rsidP="004F560D">
      <w:pPr>
        <w:pStyle w:val="a9"/>
        <w:numPr>
          <w:ilvl w:val="0"/>
          <w:numId w:val="2"/>
        </w:numPr>
        <w:spacing w:line="360" w:lineRule="auto"/>
        <w:jc w:val="both"/>
        <w:rPr>
          <w:rFonts w:ascii="Arial" w:hAnsi="Arial"/>
        </w:rPr>
      </w:pPr>
      <w:r>
        <w:rPr>
          <w:rFonts w:ascii="Arial" w:hAnsi="Arial" w:hint="cs"/>
          <w:rtl/>
        </w:rPr>
        <w:t>9 חודשי מאסר על תנאי למשך 3 שנים מיום שחרורו, והתנאי הוא שהנאשם לא יעבור בתקופת התנאי עבירה בגין החזקת נשק או תחמושת, ויורשע בגינה.</w:t>
      </w:r>
    </w:p>
    <w:p w14:paraId="728745FF" w14:textId="77777777" w:rsidR="004F560D" w:rsidRDefault="004F560D" w:rsidP="004F560D">
      <w:pPr>
        <w:pStyle w:val="a9"/>
        <w:numPr>
          <w:ilvl w:val="0"/>
          <w:numId w:val="2"/>
        </w:numPr>
        <w:spacing w:line="360" w:lineRule="auto"/>
        <w:jc w:val="both"/>
        <w:rPr>
          <w:rFonts w:ascii="Arial" w:hAnsi="Arial"/>
        </w:rPr>
      </w:pPr>
      <w:r>
        <w:rPr>
          <w:rFonts w:ascii="Arial" w:hAnsi="Arial" w:hint="cs"/>
          <w:rtl/>
        </w:rPr>
        <w:t xml:space="preserve">3 חודשי מאסר על תנאי למשך 3 שנים מיום שחרורו, והתנאי הוא כי הנאשם לא יעבור בתקופת התנאי אחת מהעבירות בהן הורשע בגין אישום 2, ויורשע בגינה. </w:t>
      </w:r>
    </w:p>
    <w:p w14:paraId="4A954511" w14:textId="77777777" w:rsidR="004F560D" w:rsidRDefault="004F560D" w:rsidP="004F560D">
      <w:pPr>
        <w:pStyle w:val="a9"/>
        <w:numPr>
          <w:ilvl w:val="0"/>
          <w:numId w:val="2"/>
        </w:numPr>
        <w:spacing w:line="360" w:lineRule="auto"/>
        <w:jc w:val="both"/>
        <w:rPr>
          <w:rFonts w:ascii="Arial" w:hAnsi="Arial"/>
        </w:rPr>
      </w:pPr>
      <w:r>
        <w:rPr>
          <w:rFonts w:ascii="Arial" w:hAnsi="Arial" w:hint="cs"/>
          <w:rtl/>
        </w:rPr>
        <w:t xml:space="preserve">קנס בסך 4,000 ₪ או 30 ימי מאסר תחתיו.  </w:t>
      </w:r>
    </w:p>
    <w:p w14:paraId="5B8779B6" w14:textId="77777777" w:rsidR="004F560D" w:rsidRDefault="004F560D" w:rsidP="004F560D">
      <w:pPr>
        <w:spacing w:line="360" w:lineRule="auto"/>
        <w:jc w:val="both"/>
        <w:rPr>
          <w:b/>
          <w:bCs/>
          <w:rtl/>
        </w:rPr>
      </w:pPr>
    </w:p>
    <w:p w14:paraId="77552177" w14:textId="77777777" w:rsidR="004F560D" w:rsidRPr="00A14A04" w:rsidRDefault="004F560D" w:rsidP="004F560D">
      <w:pPr>
        <w:spacing w:line="360" w:lineRule="auto"/>
        <w:jc w:val="both"/>
        <w:rPr>
          <w:b/>
          <w:bCs/>
        </w:rPr>
      </w:pPr>
      <w:r w:rsidRPr="00A14A04">
        <w:rPr>
          <w:rFonts w:hint="cs"/>
          <w:b/>
          <w:bCs/>
          <w:rtl/>
        </w:rPr>
        <w:t xml:space="preserve">הקנס ישולם לחשבון המרכז לגביית קנסות, אגרות והוצאות ברשות האכיפה והגבייה, </w:t>
      </w:r>
      <w:r w:rsidRPr="00A14A04">
        <w:rPr>
          <w:rFonts w:ascii="Arial" w:hAnsi="Arial" w:hint="cs"/>
          <w:b/>
          <w:bCs/>
          <w:rtl/>
        </w:rPr>
        <w:t>עד לתאריך 1.1.24.</w:t>
      </w:r>
    </w:p>
    <w:p w14:paraId="17F1D715" w14:textId="77777777" w:rsidR="004F560D" w:rsidRDefault="004F560D" w:rsidP="004F560D">
      <w:pPr>
        <w:spacing w:line="360" w:lineRule="auto"/>
        <w:jc w:val="both"/>
        <w:rPr>
          <w:b/>
          <w:bCs/>
        </w:rPr>
      </w:pPr>
      <w:r>
        <w:rPr>
          <w:rFonts w:hint="cs"/>
          <w:b/>
          <w:bCs/>
          <w:rtl/>
        </w:rPr>
        <w:t>ניתן לשלם את הקנס באחת הדרכים הבאות:</w:t>
      </w:r>
    </w:p>
    <w:p w14:paraId="33D4F60E" w14:textId="77777777" w:rsidR="004F560D" w:rsidRDefault="004F560D" w:rsidP="004F560D">
      <w:pPr>
        <w:spacing w:line="360" w:lineRule="auto"/>
        <w:jc w:val="both"/>
        <w:rPr>
          <w:b/>
          <w:bCs/>
          <w:rtl/>
        </w:rPr>
      </w:pPr>
      <w:r>
        <w:rPr>
          <w:rFonts w:hint="cs"/>
          <w:b/>
          <w:bCs/>
          <w:rtl/>
        </w:rPr>
        <w:t xml:space="preserve">בכרטיס אשראי – באתר המקוון של רשות האכיפה והגבייה, </w:t>
      </w:r>
      <w:r>
        <w:rPr>
          <w:b/>
          <w:bCs/>
        </w:rPr>
        <w:t>www.eca.gov.il</w:t>
      </w:r>
      <w:r>
        <w:rPr>
          <w:b/>
          <w:bCs/>
          <w:rtl/>
        </w:rPr>
        <w:t xml:space="preserve"> </w:t>
      </w:r>
      <w:r>
        <w:rPr>
          <w:rFonts w:hint="cs"/>
          <w:b/>
          <w:bCs/>
          <w:rtl/>
        </w:rPr>
        <w:t xml:space="preserve"> </w:t>
      </w:r>
    </w:p>
    <w:p w14:paraId="0BF03E1F" w14:textId="77777777" w:rsidR="004F560D" w:rsidRDefault="004F560D" w:rsidP="004F560D">
      <w:pPr>
        <w:spacing w:line="360" w:lineRule="auto"/>
        <w:jc w:val="both"/>
        <w:rPr>
          <w:b/>
          <w:bCs/>
        </w:rPr>
      </w:pPr>
      <w:r>
        <w:rPr>
          <w:rFonts w:hint="cs"/>
          <w:b/>
          <w:bCs/>
          <w:rtl/>
        </w:rPr>
        <w:t>במזומן בכל סניף של בנק הדואר – בהצגת תעודת זהות בלבד (אין צורך בשוברי תשלום).</w:t>
      </w:r>
    </w:p>
    <w:p w14:paraId="1A8BE63C" w14:textId="77777777" w:rsidR="004F560D" w:rsidRPr="00613F0D" w:rsidRDefault="004F560D" w:rsidP="004F560D"/>
    <w:p w14:paraId="040C3D67" w14:textId="77777777" w:rsidR="004F560D" w:rsidRPr="00EF2ABC" w:rsidRDefault="004F560D" w:rsidP="004F560D">
      <w:pPr>
        <w:spacing w:line="360" w:lineRule="auto"/>
        <w:jc w:val="both"/>
        <w:rPr>
          <w:rFonts w:ascii="Arial" w:hAnsi="Arial"/>
          <w:b/>
          <w:bCs/>
          <w:u w:val="single"/>
          <w:rtl/>
        </w:rPr>
      </w:pPr>
      <w:r w:rsidRPr="00EF2ABC">
        <w:rPr>
          <w:rFonts w:ascii="Arial" w:hAnsi="Arial" w:hint="cs"/>
          <w:b/>
          <w:bCs/>
          <w:u w:val="single"/>
          <w:rtl/>
        </w:rPr>
        <w:t xml:space="preserve">אני גוזרת על נאשם 2 את העונשים </w:t>
      </w:r>
      <w:r>
        <w:rPr>
          <w:rFonts w:ascii="Arial" w:hAnsi="Arial" w:hint="cs"/>
          <w:b/>
          <w:bCs/>
          <w:u w:val="single"/>
          <w:rtl/>
        </w:rPr>
        <w:t>הבאים</w:t>
      </w:r>
      <w:r w:rsidRPr="00EF2ABC">
        <w:rPr>
          <w:rFonts w:ascii="Arial" w:hAnsi="Arial" w:hint="cs"/>
          <w:b/>
          <w:bCs/>
          <w:u w:val="single"/>
          <w:rtl/>
        </w:rPr>
        <w:t>:</w:t>
      </w:r>
    </w:p>
    <w:p w14:paraId="649C5555" w14:textId="77777777" w:rsidR="004F560D" w:rsidRDefault="004F560D" w:rsidP="004F560D">
      <w:pPr>
        <w:pStyle w:val="a9"/>
        <w:numPr>
          <w:ilvl w:val="0"/>
          <w:numId w:val="3"/>
        </w:numPr>
        <w:spacing w:before="120" w:line="360" w:lineRule="auto"/>
        <w:jc w:val="both"/>
        <w:rPr>
          <w:rFonts w:ascii="Arial" w:hAnsi="Arial"/>
        </w:rPr>
      </w:pPr>
      <w:r>
        <w:rPr>
          <w:rFonts w:ascii="Arial" w:hAnsi="Arial" w:hint="cs"/>
          <w:rtl/>
        </w:rPr>
        <w:t>18 חודשי מאסר בפועל, בניכוי ימי מעצרו מיום 24.1.22 ועד ליום 17.3.22.</w:t>
      </w:r>
    </w:p>
    <w:p w14:paraId="5C829191" w14:textId="77777777" w:rsidR="004F560D" w:rsidRDefault="004F560D" w:rsidP="004F560D">
      <w:pPr>
        <w:pStyle w:val="a9"/>
        <w:numPr>
          <w:ilvl w:val="0"/>
          <w:numId w:val="3"/>
        </w:numPr>
        <w:spacing w:before="120" w:line="360" w:lineRule="auto"/>
        <w:jc w:val="both"/>
        <w:rPr>
          <w:rFonts w:ascii="Arial" w:hAnsi="Arial"/>
        </w:rPr>
      </w:pPr>
      <w:r>
        <w:rPr>
          <w:rFonts w:ascii="Arial" w:hAnsi="Arial" w:hint="cs"/>
          <w:rtl/>
        </w:rPr>
        <w:t>7 חודשי מאסר על תנאי למשך 3 שנים מיום שחרורו, והתנאי הוא שהנאשם לא יעבור בתקופת התנאי עבירת החזקת נשק או תחמושת, ויורשע בגינה.</w:t>
      </w:r>
    </w:p>
    <w:p w14:paraId="181752E7" w14:textId="77777777" w:rsidR="004F560D" w:rsidRDefault="004F560D" w:rsidP="004F560D">
      <w:pPr>
        <w:pStyle w:val="a9"/>
        <w:numPr>
          <w:ilvl w:val="0"/>
          <w:numId w:val="3"/>
        </w:numPr>
        <w:spacing w:before="120" w:line="360" w:lineRule="auto"/>
        <w:jc w:val="both"/>
        <w:rPr>
          <w:rFonts w:ascii="Arial" w:hAnsi="Arial"/>
        </w:rPr>
      </w:pPr>
      <w:r>
        <w:rPr>
          <w:rFonts w:ascii="Arial" w:hAnsi="Arial" w:hint="cs"/>
          <w:rtl/>
        </w:rPr>
        <w:t xml:space="preserve">קנס בסך 3,000 ₪ או 20 ימי מאסר תחתיו. </w:t>
      </w:r>
    </w:p>
    <w:p w14:paraId="51D4189F" w14:textId="77777777" w:rsidR="004F560D" w:rsidRDefault="004F560D" w:rsidP="004F560D">
      <w:pPr>
        <w:spacing w:line="360" w:lineRule="auto"/>
        <w:ind w:left="720"/>
        <w:jc w:val="both"/>
        <w:rPr>
          <w:b/>
          <w:bCs/>
          <w:rtl/>
        </w:rPr>
      </w:pPr>
    </w:p>
    <w:p w14:paraId="50C16826" w14:textId="77777777" w:rsidR="004F560D" w:rsidRPr="00F1666F" w:rsidRDefault="004F560D" w:rsidP="004F560D">
      <w:pPr>
        <w:spacing w:line="360" w:lineRule="auto"/>
        <w:ind w:left="720"/>
        <w:jc w:val="both"/>
        <w:rPr>
          <w:b/>
          <w:bCs/>
        </w:rPr>
      </w:pPr>
      <w:r w:rsidRPr="00F1666F">
        <w:rPr>
          <w:rFonts w:hint="cs"/>
          <w:b/>
          <w:bCs/>
          <w:rtl/>
        </w:rPr>
        <w:t xml:space="preserve">הקנס ישולם לחשבון המרכז לגביית קנסות, אגרות והוצאות ברשות האכיפה והגבייה, </w:t>
      </w:r>
      <w:r w:rsidRPr="00F1666F">
        <w:rPr>
          <w:rFonts w:ascii="Arial" w:hAnsi="Arial" w:hint="cs"/>
          <w:b/>
          <w:bCs/>
          <w:rtl/>
        </w:rPr>
        <w:t>עד לתאריך 1.1.24.</w:t>
      </w:r>
    </w:p>
    <w:p w14:paraId="26C55239" w14:textId="77777777" w:rsidR="004F560D" w:rsidRPr="00F1666F" w:rsidRDefault="004F560D" w:rsidP="004F560D">
      <w:pPr>
        <w:spacing w:line="360" w:lineRule="auto"/>
        <w:ind w:left="720"/>
        <w:jc w:val="both"/>
        <w:rPr>
          <w:b/>
          <w:bCs/>
        </w:rPr>
      </w:pPr>
      <w:r w:rsidRPr="00F1666F">
        <w:rPr>
          <w:rFonts w:hint="cs"/>
          <w:b/>
          <w:bCs/>
          <w:rtl/>
        </w:rPr>
        <w:t>ניתן לשלם את הקנס באחת הדרכים הבאות:</w:t>
      </w:r>
    </w:p>
    <w:p w14:paraId="7AF01511" w14:textId="77777777" w:rsidR="004F560D" w:rsidRPr="00F1666F" w:rsidRDefault="004F560D" w:rsidP="004F560D">
      <w:pPr>
        <w:spacing w:line="360" w:lineRule="auto"/>
        <w:ind w:left="720"/>
        <w:jc w:val="both"/>
        <w:rPr>
          <w:b/>
          <w:bCs/>
          <w:rtl/>
        </w:rPr>
      </w:pPr>
      <w:r w:rsidRPr="00F1666F">
        <w:rPr>
          <w:rFonts w:hint="cs"/>
          <w:b/>
          <w:bCs/>
          <w:rtl/>
        </w:rPr>
        <w:t xml:space="preserve">בכרטיס אשראי – באתר המקוון של רשות האכיפה והגבייה, </w:t>
      </w:r>
      <w:r w:rsidRPr="00F1666F">
        <w:rPr>
          <w:b/>
          <w:bCs/>
        </w:rPr>
        <w:t>www.eca.gov.il</w:t>
      </w:r>
      <w:r>
        <w:rPr>
          <w:b/>
          <w:bCs/>
          <w:rtl/>
        </w:rPr>
        <w:t xml:space="preserve"> </w:t>
      </w:r>
      <w:r w:rsidRPr="00F1666F">
        <w:rPr>
          <w:rFonts w:hint="cs"/>
          <w:b/>
          <w:bCs/>
          <w:rtl/>
        </w:rPr>
        <w:t xml:space="preserve"> </w:t>
      </w:r>
    </w:p>
    <w:p w14:paraId="67652E80" w14:textId="77777777" w:rsidR="004F560D" w:rsidRPr="00F1666F" w:rsidRDefault="004F560D" w:rsidP="004F560D">
      <w:pPr>
        <w:spacing w:line="360" w:lineRule="auto"/>
        <w:ind w:left="720"/>
        <w:jc w:val="both"/>
        <w:rPr>
          <w:b/>
          <w:bCs/>
        </w:rPr>
      </w:pPr>
      <w:r w:rsidRPr="00F1666F">
        <w:rPr>
          <w:rFonts w:hint="cs"/>
          <w:b/>
          <w:bCs/>
          <w:rtl/>
        </w:rPr>
        <w:t>במזומן בכל סניף של בנק הדואר – בהצגת תעודת זהות בלבד (אין צורך בשוברי תשלום).</w:t>
      </w:r>
    </w:p>
    <w:p w14:paraId="2FB5D21F" w14:textId="77777777" w:rsidR="004F560D" w:rsidRPr="00F1666F" w:rsidRDefault="004F560D" w:rsidP="004F560D">
      <w:pPr>
        <w:spacing w:before="120" w:line="360" w:lineRule="auto"/>
        <w:jc w:val="both"/>
        <w:rPr>
          <w:rFonts w:ascii="Arial" w:hAnsi="Arial"/>
          <w:rtl/>
        </w:rPr>
      </w:pPr>
    </w:p>
    <w:p w14:paraId="6D4ABF22" w14:textId="77777777" w:rsidR="004F560D" w:rsidRPr="00F1666F" w:rsidRDefault="004F560D" w:rsidP="004F560D">
      <w:pPr>
        <w:spacing w:line="360" w:lineRule="auto"/>
        <w:jc w:val="both"/>
        <w:rPr>
          <w:rFonts w:ascii="Arial" w:hAnsi="Arial"/>
          <w:b/>
          <w:bCs/>
          <w:rtl/>
        </w:rPr>
      </w:pPr>
      <w:r w:rsidRPr="00F1666F">
        <w:rPr>
          <w:rFonts w:ascii="Arial" w:hAnsi="Arial" w:hint="cs"/>
          <w:b/>
          <w:bCs/>
          <w:rtl/>
        </w:rPr>
        <w:t>אני מעכבת ביצוע רכיב המאסר</w:t>
      </w:r>
      <w:r>
        <w:rPr>
          <w:rFonts w:ascii="Arial" w:hAnsi="Arial" w:hint="cs"/>
          <w:b/>
          <w:bCs/>
          <w:rtl/>
        </w:rPr>
        <w:t xml:space="preserve"> בפועל</w:t>
      </w:r>
      <w:r w:rsidRPr="00F1666F">
        <w:rPr>
          <w:rFonts w:ascii="Arial" w:hAnsi="Arial" w:hint="cs"/>
          <w:b/>
          <w:bCs/>
          <w:rtl/>
        </w:rPr>
        <w:t xml:space="preserve"> לגבי נאשם 2 ב- 30 יום על מנת לאפשר לו מיון מוקדם בשב"ס. על הנאשם 2 להתייצב לריצוי מאסר בפועל בתאריך </w:t>
      </w:r>
      <w:r>
        <w:rPr>
          <w:rFonts w:ascii="Arial" w:hAnsi="Arial" w:hint="cs"/>
          <w:b/>
          <w:bCs/>
          <w:rtl/>
        </w:rPr>
        <w:t xml:space="preserve">16.2.23 בשעה 9:00 בבית מעצר קישון. </w:t>
      </w:r>
    </w:p>
    <w:p w14:paraId="67936D51" w14:textId="77777777" w:rsidR="004F560D" w:rsidRDefault="004F560D" w:rsidP="004F560D">
      <w:pPr>
        <w:spacing w:line="360" w:lineRule="auto"/>
        <w:jc w:val="both"/>
        <w:rPr>
          <w:rFonts w:ascii="Arial" w:hAnsi="Arial"/>
          <w:b/>
          <w:bCs/>
          <w:u w:val="single"/>
          <w:rtl/>
        </w:rPr>
      </w:pPr>
    </w:p>
    <w:p w14:paraId="1DD5A0E8" w14:textId="77777777" w:rsidR="004F560D" w:rsidRDefault="004F560D" w:rsidP="004F560D">
      <w:pPr>
        <w:spacing w:line="360" w:lineRule="auto"/>
        <w:jc w:val="both"/>
        <w:rPr>
          <w:rFonts w:ascii="Arial" w:hAnsi="Arial"/>
          <w:rtl/>
        </w:rPr>
      </w:pPr>
    </w:p>
    <w:p w14:paraId="278AAE03" w14:textId="77777777" w:rsidR="004F560D" w:rsidRPr="0061085B" w:rsidRDefault="00715BEE" w:rsidP="004F560D">
      <w:pPr>
        <w:spacing w:line="360" w:lineRule="auto"/>
        <w:jc w:val="both"/>
        <w:rPr>
          <w:rFonts w:ascii="Arial" w:hAnsi="Arial"/>
          <w:b/>
          <w:bCs/>
          <w:u w:val="single"/>
          <w:rtl/>
        </w:rPr>
      </w:pPr>
      <w:r w:rsidRPr="00715BEE">
        <w:rPr>
          <w:rFonts w:ascii="Arial" w:hAnsi="Arial"/>
          <w:b/>
          <w:bCs/>
          <w:color w:val="FFFFFF"/>
          <w:sz w:val="2"/>
          <w:szCs w:val="2"/>
          <w:u w:val="single"/>
          <w:rtl/>
        </w:rPr>
        <w:t>5129371</w:t>
      </w:r>
      <w:r w:rsidR="004F560D" w:rsidRPr="0061085B">
        <w:rPr>
          <w:rFonts w:ascii="Arial" w:hAnsi="Arial" w:hint="cs"/>
          <w:b/>
          <w:bCs/>
          <w:u w:val="single"/>
          <w:rtl/>
        </w:rPr>
        <w:t>זכות ערעור לבית המשפט המחוזי תוך 45 יום מהיום.</w:t>
      </w:r>
      <w:r w:rsidR="004F560D">
        <w:rPr>
          <w:rFonts w:ascii="Arial" w:hAnsi="Arial" w:hint="cs"/>
          <w:b/>
          <w:bCs/>
          <w:u w:val="single"/>
          <w:rtl/>
        </w:rPr>
        <w:t xml:space="preserve"> </w:t>
      </w:r>
    </w:p>
    <w:p w14:paraId="0E4278BE" w14:textId="77777777" w:rsidR="004F560D" w:rsidRPr="00715BEE" w:rsidRDefault="00715BEE" w:rsidP="004F560D">
      <w:pPr>
        <w:spacing w:line="360" w:lineRule="auto"/>
        <w:jc w:val="both"/>
        <w:rPr>
          <w:rFonts w:ascii="Arial" w:hAnsi="Arial"/>
          <w:color w:val="FFFFFF"/>
          <w:sz w:val="2"/>
          <w:szCs w:val="2"/>
          <w:rtl/>
        </w:rPr>
      </w:pPr>
      <w:r w:rsidRPr="00715BEE">
        <w:rPr>
          <w:rFonts w:ascii="Arial" w:hAnsi="Arial"/>
          <w:color w:val="FFFFFF"/>
          <w:sz w:val="2"/>
          <w:szCs w:val="2"/>
          <w:rtl/>
        </w:rPr>
        <w:t>54678313</w:t>
      </w:r>
    </w:p>
    <w:p w14:paraId="271EC7B9" w14:textId="77777777" w:rsidR="004F560D" w:rsidRDefault="004F560D" w:rsidP="004F560D">
      <w:pPr>
        <w:spacing w:line="360" w:lineRule="auto"/>
        <w:jc w:val="both"/>
        <w:rPr>
          <w:rFonts w:ascii="Arial" w:hAnsi="Arial"/>
          <w:rtl/>
        </w:rPr>
      </w:pPr>
    </w:p>
    <w:p w14:paraId="62E0CE9C" w14:textId="77777777" w:rsidR="004F560D" w:rsidRPr="004072FD" w:rsidRDefault="00715BEE" w:rsidP="004F560D">
      <w:pPr>
        <w:rPr>
          <w:rFonts w:ascii="Arial" w:hAnsi="Arial"/>
          <w:rtl/>
        </w:rPr>
      </w:pPr>
      <w:bookmarkStart w:id="7" w:name="Nitan"/>
      <w:r>
        <w:rPr>
          <w:rFonts w:ascii="Arial" w:hAnsi="Arial"/>
          <w:rtl/>
        </w:rPr>
        <w:t xml:space="preserve">ניתן היום, כ"ד טבת תשפ"ג, 17 ינואר 2023, במעמד הצדדים. </w:t>
      </w:r>
      <w:bookmarkEnd w:id="7"/>
    </w:p>
    <w:p w14:paraId="65631EAC" w14:textId="77777777" w:rsidR="004F560D" w:rsidRPr="004072FD" w:rsidRDefault="004F560D" w:rsidP="00715BEE">
      <w:pPr>
        <w:jc w:val="center"/>
      </w:pPr>
      <w:r>
        <w:rPr>
          <w:rFonts w:ascii="Arial" w:hAnsi="Arial"/>
          <w:rtl/>
        </w:rPr>
        <w:t xml:space="preserve"> </w:t>
      </w:r>
      <w:r w:rsidRPr="004072FD">
        <w:rPr>
          <w:rFonts w:ascii="Arial" w:hAnsi="Arial"/>
          <w:rtl/>
        </w:rPr>
        <w:t xml:space="preserve"> </w:t>
      </w:r>
      <w:r w:rsidRPr="004072FD">
        <w:rPr>
          <w:rFonts w:ascii="Arial" w:hAnsi="Arial"/>
          <w:rtl/>
        </w:rPr>
        <w:tab/>
      </w:r>
      <w:r w:rsidRPr="004072FD">
        <w:rPr>
          <w:rFonts w:ascii="Arial" w:hAnsi="Arial"/>
          <w:rtl/>
        </w:rPr>
        <w:tab/>
      </w:r>
      <w:r w:rsidRPr="004072FD">
        <w:rPr>
          <w:rFonts w:ascii="Arial" w:hAnsi="Arial"/>
          <w:rtl/>
        </w:rPr>
        <w:tab/>
      </w:r>
      <w:r w:rsidRPr="004072FD">
        <w:rPr>
          <w:rFonts w:ascii="Arial" w:hAnsi="Arial"/>
          <w:rtl/>
        </w:rPr>
        <w:tab/>
      </w:r>
      <w:r w:rsidRPr="004072FD">
        <w:rPr>
          <w:rFonts w:ascii="Arial" w:hAnsi="Arial"/>
          <w:rtl/>
        </w:rPr>
        <w:tab/>
      </w:r>
    </w:p>
    <w:p w14:paraId="269C8AD2" w14:textId="77777777" w:rsidR="004F560D" w:rsidRPr="004072FD" w:rsidRDefault="004F560D" w:rsidP="004F560D">
      <w:pPr>
        <w:jc w:val="center"/>
        <w:rPr>
          <w:rFonts w:ascii="Arial" w:hAnsi="Arial"/>
          <w:rtl/>
        </w:rPr>
      </w:pPr>
    </w:p>
    <w:p w14:paraId="5E866810" w14:textId="77777777" w:rsidR="006762E9" w:rsidRPr="00715BEE" w:rsidRDefault="006762E9" w:rsidP="00715BEE">
      <w:pPr>
        <w:keepNext/>
        <w:rPr>
          <w:rFonts w:ascii="David" w:hAnsi="David"/>
          <w:color w:val="000000"/>
          <w:sz w:val="22"/>
          <w:szCs w:val="22"/>
          <w:rtl/>
        </w:rPr>
      </w:pPr>
    </w:p>
    <w:p w14:paraId="65531C7B" w14:textId="77777777" w:rsidR="00715BEE" w:rsidRPr="00715BEE" w:rsidRDefault="00715BEE" w:rsidP="00715BEE">
      <w:pPr>
        <w:keepNext/>
        <w:rPr>
          <w:rFonts w:ascii="David" w:hAnsi="David"/>
          <w:color w:val="000000"/>
          <w:sz w:val="22"/>
          <w:szCs w:val="22"/>
          <w:rtl/>
        </w:rPr>
      </w:pPr>
      <w:r w:rsidRPr="00715BEE">
        <w:rPr>
          <w:rFonts w:ascii="David" w:hAnsi="David"/>
          <w:color w:val="000000"/>
          <w:sz w:val="22"/>
          <w:szCs w:val="22"/>
          <w:rtl/>
        </w:rPr>
        <w:t>מריה פיקוס בוגדאנוב 54678313</w:t>
      </w:r>
    </w:p>
    <w:p w14:paraId="40787F63" w14:textId="77777777" w:rsidR="00715BEE" w:rsidRDefault="00715BEE" w:rsidP="00715BEE">
      <w:r w:rsidRPr="00715BEE">
        <w:rPr>
          <w:color w:val="000000"/>
          <w:rtl/>
        </w:rPr>
        <w:t>נוסח מסמך זה כפוף לשינויי ניסוח ועריכה</w:t>
      </w:r>
    </w:p>
    <w:p w14:paraId="69BBD799" w14:textId="77777777" w:rsidR="00715BEE" w:rsidRDefault="00715BEE" w:rsidP="00715BEE">
      <w:pPr>
        <w:rPr>
          <w:rtl/>
        </w:rPr>
      </w:pPr>
    </w:p>
    <w:p w14:paraId="664AF23B" w14:textId="77777777" w:rsidR="00715BEE" w:rsidRDefault="00715BEE" w:rsidP="00715BEE">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643B9F9E" w14:textId="77777777" w:rsidR="00715BEE" w:rsidRPr="00715BEE" w:rsidRDefault="00715BEE" w:rsidP="00715BEE">
      <w:pPr>
        <w:jc w:val="center"/>
        <w:rPr>
          <w:color w:val="0000FF"/>
          <w:u w:val="single"/>
        </w:rPr>
      </w:pPr>
    </w:p>
    <w:sectPr w:rsidR="00715BEE" w:rsidRPr="00715BEE" w:rsidSect="00715BEE">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F9B0A" w14:textId="77777777" w:rsidR="00E5437C" w:rsidRDefault="00E5437C" w:rsidP="00700BD0">
      <w:r>
        <w:separator/>
      </w:r>
    </w:p>
  </w:endnote>
  <w:endnote w:type="continuationSeparator" w:id="0">
    <w:p w14:paraId="3CEC8BB9" w14:textId="77777777" w:rsidR="00E5437C" w:rsidRDefault="00E5437C" w:rsidP="00700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A6BE0" w14:textId="77777777" w:rsidR="00715BEE" w:rsidRDefault="00715BEE" w:rsidP="00715B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7939A7" w14:textId="77777777" w:rsidR="000326BF" w:rsidRPr="00715BEE" w:rsidRDefault="00715BEE" w:rsidP="00715B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A034C" w14:textId="77777777" w:rsidR="00715BEE" w:rsidRDefault="00715BEE" w:rsidP="00715B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798B">
      <w:rPr>
        <w:rFonts w:ascii="FrankRuehl" w:hAnsi="FrankRuehl" w:cs="FrankRuehl"/>
        <w:noProof/>
        <w:rtl/>
      </w:rPr>
      <w:t>1</w:t>
    </w:r>
    <w:r>
      <w:rPr>
        <w:rFonts w:ascii="FrankRuehl" w:hAnsi="FrankRuehl" w:cs="FrankRuehl"/>
        <w:rtl/>
      </w:rPr>
      <w:fldChar w:fldCharType="end"/>
    </w:r>
  </w:p>
  <w:p w14:paraId="3FFD49BC" w14:textId="77777777" w:rsidR="000326BF" w:rsidRPr="00715BEE" w:rsidRDefault="00715BEE" w:rsidP="00715B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741E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2227E" w14:textId="77777777" w:rsidR="00E5437C" w:rsidRDefault="00E5437C" w:rsidP="00700BD0">
      <w:r>
        <w:separator/>
      </w:r>
    </w:p>
  </w:footnote>
  <w:footnote w:type="continuationSeparator" w:id="0">
    <w:p w14:paraId="0CA80840" w14:textId="77777777" w:rsidR="00E5437C" w:rsidRDefault="00E5437C" w:rsidP="00700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B96E8" w14:textId="77777777" w:rsidR="00715BEE" w:rsidRPr="00715BEE" w:rsidRDefault="00715BEE" w:rsidP="00715B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9986-02-22</w:t>
    </w:r>
    <w:r>
      <w:rPr>
        <w:rFonts w:ascii="David" w:hAnsi="David"/>
        <w:color w:val="000000"/>
        <w:sz w:val="22"/>
        <w:szCs w:val="22"/>
        <w:rtl/>
      </w:rPr>
      <w:tab/>
      <w:t xml:space="preserve"> מדינת ישראל נ' טארק חמדאן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FEE85" w14:textId="77777777" w:rsidR="00715BEE" w:rsidRPr="00715BEE" w:rsidRDefault="00715BEE" w:rsidP="00715B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9986-02-22</w:t>
    </w:r>
    <w:r>
      <w:rPr>
        <w:rFonts w:ascii="David" w:hAnsi="David"/>
        <w:color w:val="000000"/>
        <w:sz w:val="22"/>
        <w:szCs w:val="22"/>
        <w:rtl/>
      </w:rPr>
      <w:tab/>
      <w:t xml:space="preserve"> מדינת ישראל נ' טארק חמדאן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E3DDE"/>
    <w:multiLevelType w:val="hybridMultilevel"/>
    <w:tmpl w:val="88E2CFDC"/>
    <w:lvl w:ilvl="0" w:tplc="2E6A186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32E20"/>
    <w:multiLevelType w:val="hybridMultilevel"/>
    <w:tmpl w:val="77C05EE8"/>
    <w:lvl w:ilvl="0" w:tplc="8244E8B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0800B7"/>
    <w:multiLevelType w:val="hybridMultilevel"/>
    <w:tmpl w:val="3B6A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4195497">
    <w:abstractNumId w:val="2"/>
  </w:num>
  <w:num w:numId="2" w16cid:durableId="85081148">
    <w:abstractNumId w:val="0"/>
  </w:num>
  <w:num w:numId="3" w16cid:durableId="315033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560D"/>
    <w:rsid w:val="000326BF"/>
    <w:rsid w:val="000B56B7"/>
    <w:rsid w:val="001B5A3B"/>
    <w:rsid w:val="00394AE5"/>
    <w:rsid w:val="0047566F"/>
    <w:rsid w:val="0048798B"/>
    <w:rsid w:val="004F560D"/>
    <w:rsid w:val="005960F8"/>
    <w:rsid w:val="005F680D"/>
    <w:rsid w:val="006762E9"/>
    <w:rsid w:val="00700BD0"/>
    <w:rsid w:val="00715BEE"/>
    <w:rsid w:val="008C74D2"/>
    <w:rsid w:val="009B429F"/>
    <w:rsid w:val="00A87DB7"/>
    <w:rsid w:val="00C75E9F"/>
    <w:rsid w:val="00E543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7F0BA2"/>
  <w15:chartTrackingRefBased/>
  <w15:docId w15:val="{D5E4C2B1-3523-4D85-ABCA-8E024BF8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560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F560D"/>
    <w:pPr>
      <w:tabs>
        <w:tab w:val="center" w:pos="4153"/>
        <w:tab w:val="right" w:pos="8306"/>
      </w:tabs>
    </w:pPr>
  </w:style>
  <w:style w:type="character" w:customStyle="1" w:styleId="a4">
    <w:name w:val="כותרת עליונה תו"/>
    <w:link w:val="a3"/>
    <w:rsid w:val="004F560D"/>
    <w:rPr>
      <w:rFonts w:ascii="Times New Roman" w:eastAsia="Times New Roman" w:hAnsi="Times New Roman" w:cs="David"/>
      <w:sz w:val="24"/>
      <w:szCs w:val="24"/>
    </w:rPr>
  </w:style>
  <w:style w:type="paragraph" w:styleId="a5">
    <w:name w:val="footer"/>
    <w:basedOn w:val="a"/>
    <w:link w:val="a6"/>
    <w:rsid w:val="004F560D"/>
    <w:pPr>
      <w:tabs>
        <w:tab w:val="center" w:pos="4153"/>
        <w:tab w:val="right" w:pos="8306"/>
      </w:tabs>
    </w:pPr>
  </w:style>
  <w:style w:type="character" w:customStyle="1" w:styleId="a6">
    <w:name w:val="כותרת תחתונה תו"/>
    <w:link w:val="a5"/>
    <w:rsid w:val="004F560D"/>
    <w:rPr>
      <w:rFonts w:ascii="Times New Roman" w:eastAsia="Times New Roman" w:hAnsi="Times New Roman" w:cs="David"/>
      <w:sz w:val="24"/>
      <w:szCs w:val="24"/>
    </w:rPr>
  </w:style>
  <w:style w:type="table" w:styleId="a7">
    <w:name w:val="Table Grid"/>
    <w:basedOn w:val="a1"/>
    <w:rsid w:val="004F560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F560D"/>
  </w:style>
  <w:style w:type="character" w:styleId="Hyperlink">
    <w:name w:val="Hyperlink"/>
    <w:rsid w:val="004F560D"/>
    <w:rPr>
      <w:color w:val="0000FF"/>
      <w:u w:val="single"/>
    </w:rPr>
  </w:style>
  <w:style w:type="paragraph" w:styleId="a9">
    <w:name w:val="List Paragraph"/>
    <w:basedOn w:val="a"/>
    <w:link w:val="aa"/>
    <w:qFormat/>
    <w:rsid w:val="004F560D"/>
    <w:pPr>
      <w:ind w:left="720"/>
      <w:contextualSpacing/>
    </w:pPr>
  </w:style>
  <w:style w:type="character" w:customStyle="1" w:styleId="aa">
    <w:name w:val="פיסקת רשימה תו"/>
    <w:link w:val="a9"/>
    <w:locked/>
    <w:rsid w:val="004F560D"/>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573417"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law/70301/29" TargetMode="External"/><Relationship Id="rId42" Type="http://schemas.openxmlformats.org/officeDocument/2006/relationships/hyperlink" Target="http://www.nevo.co.il/case/27502726"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28513828" TargetMode="External"/><Relationship Id="rId37" Type="http://schemas.openxmlformats.org/officeDocument/2006/relationships/hyperlink" Target="http://www.nevo.co.il/law/70301/144.a"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 TargetMode="External"/><Relationship Id="rId53" Type="http://schemas.openxmlformats.org/officeDocument/2006/relationships/hyperlink" Target="http://www.nevo.co.il/case/26568237" TargetMode="External"/><Relationship Id="rId58" Type="http://schemas.openxmlformats.org/officeDocument/2006/relationships/hyperlink" Target="http://www.nevo.co.il/case/20160073"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21044603" TargetMode="External"/><Relationship Id="rId19" Type="http://schemas.openxmlformats.org/officeDocument/2006/relationships/hyperlink" Target="http://www.nevo.co.il/law/70301/25"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834904" TargetMode="External"/><Relationship Id="rId30" Type="http://schemas.openxmlformats.org/officeDocument/2006/relationships/hyperlink" Target="http://www.nevo.co.il/case/27734980"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11220629" TargetMode="External"/><Relationship Id="rId64" Type="http://schemas.openxmlformats.org/officeDocument/2006/relationships/header" Target="header2.xml"/><Relationship Id="rId8" Type="http://schemas.openxmlformats.org/officeDocument/2006/relationships/hyperlink" Target="http://www.nevo.co.il/law/70301/25"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242"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5923515" TargetMode="External"/><Relationship Id="rId59" Type="http://schemas.openxmlformats.org/officeDocument/2006/relationships/hyperlink" Target="http://www.nevo.co.il/case/5607783" TargetMode="External"/><Relationship Id="rId67" Type="http://schemas.openxmlformats.org/officeDocument/2006/relationships/fontTable" Target="fontTable.xml"/><Relationship Id="rId20" Type="http://schemas.openxmlformats.org/officeDocument/2006/relationships/hyperlink" Target="http://www.nevo.co.il/law/70301/244"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40c.a"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case/28513828" TargetMode="External"/><Relationship Id="rId36" Type="http://schemas.openxmlformats.org/officeDocument/2006/relationships/hyperlink" Target="http://www.nevo.co.il/case/27721185" TargetMode="External"/><Relationship Id="rId49" Type="http://schemas.openxmlformats.org/officeDocument/2006/relationships/hyperlink" Target="http://www.nevo.co.il/case/22607175" TargetMode="External"/><Relationship Id="rId57" Type="http://schemas.openxmlformats.org/officeDocument/2006/relationships/hyperlink" Target="http://www.nevo.co.il/case/4991454"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case/5762686"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case/28684447" TargetMode="External"/><Relationship Id="rId60" Type="http://schemas.openxmlformats.org/officeDocument/2006/relationships/hyperlink" Target="http://www.nevo.co.il/case/6246447"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70301/242" TargetMode="External"/><Relationship Id="rId39" Type="http://schemas.openxmlformats.org/officeDocument/2006/relationships/hyperlink" Target="http://www.nevo.co.il/case/269869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4153</Words>
  <Characters>20768</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24872</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3539063</vt:i4>
      </vt:variant>
      <vt:variant>
        <vt:i4>162</vt:i4>
      </vt:variant>
      <vt:variant>
        <vt:i4>0</vt:i4>
      </vt:variant>
      <vt:variant>
        <vt:i4>5</vt:i4>
      </vt:variant>
      <vt:variant>
        <vt:lpwstr>http://www.nevo.co.il/case/21044603</vt:lpwstr>
      </vt:variant>
      <vt:variant>
        <vt:lpwstr/>
      </vt:variant>
      <vt:variant>
        <vt:i4>3211380</vt:i4>
      </vt:variant>
      <vt:variant>
        <vt:i4>159</vt:i4>
      </vt:variant>
      <vt:variant>
        <vt:i4>0</vt:i4>
      </vt:variant>
      <vt:variant>
        <vt:i4>5</vt:i4>
      </vt:variant>
      <vt:variant>
        <vt:lpwstr>http://www.nevo.co.il/case/6246447</vt:lpwstr>
      </vt:variant>
      <vt:variant>
        <vt:lpwstr/>
      </vt:variant>
      <vt:variant>
        <vt:i4>3211389</vt:i4>
      </vt:variant>
      <vt:variant>
        <vt:i4>156</vt:i4>
      </vt:variant>
      <vt:variant>
        <vt:i4>0</vt:i4>
      </vt:variant>
      <vt:variant>
        <vt:i4>5</vt:i4>
      </vt:variant>
      <vt:variant>
        <vt:lpwstr>http://www.nevo.co.il/case/5607783</vt:lpwstr>
      </vt:variant>
      <vt:variant>
        <vt:lpwstr/>
      </vt:variant>
      <vt:variant>
        <vt:i4>3407986</vt:i4>
      </vt:variant>
      <vt:variant>
        <vt:i4>153</vt:i4>
      </vt:variant>
      <vt:variant>
        <vt:i4>0</vt:i4>
      </vt:variant>
      <vt:variant>
        <vt:i4>5</vt:i4>
      </vt:variant>
      <vt:variant>
        <vt:lpwstr>http://www.nevo.co.il/case/20160073</vt:lpwstr>
      </vt:variant>
      <vt:variant>
        <vt:lpwstr/>
      </vt:variant>
      <vt:variant>
        <vt:i4>3997817</vt:i4>
      </vt:variant>
      <vt:variant>
        <vt:i4>150</vt:i4>
      </vt:variant>
      <vt:variant>
        <vt:i4>0</vt:i4>
      </vt:variant>
      <vt:variant>
        <vt:i4>5</vt:i4>
      </vt:variant>
      <vt:variant>
        <vt:lpwstr>http://www.nevo.co.il/case/4991454</vt:lpwstr>
      </vt:variant>
      <vt:variant>
        <vt:lpwstr/>
      </vt:variant>
      <vt:variant>
        <vt:i4>3211377</vt:i4>
      </vt:variant>
      <vt:variant>
        <vt:i4>147</vt:i4>
      </vt:variant>
      <vt:variant>
        <vt:i4>0</vt:i4>
      </vt:variant>
      <vt:variant>
        <vt:i4>5</vt:i4>
      </vt:variant>
      <vt:variant>
        <vt:lpwstr>http://www.nevo.co.il/case/11220629</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4915202</vt:i4>
      </vt:variant>
      <vt:variant>
        <vt:i4>141</vt:i4>
      </vt:variant>
      <vt:variant>
        <vt:i4>0</vt:i4>
      </vt:variant>
      <vt:variant>
        <vt:i4>5</vt:i4>
      </vt:variant>
      <vt:variant>
        <vt:lpwstr>http://www.nevo.co.il/law/70301/40c.a</vt:lpwstr>
      </vt:variant>
      <vt:variant>
        <vt:lpwstr/>
      </vt:variant>
      <vt:variant>
        <vt:i4>3932278</vt:i4>
      </vt:variant>
      <vt:variant>
        <vt:i4>138</vt:i4>
      </vt:variant>
      <vt:variant>
        <vt:i4>0</vt:i4>
      </vt:variant>
      <vt:variant>
        <vt:i4>5</vt:i4>
      </vt:variant>
      <vt:variant>
        <vt:lpwstr>http://www.nevo.co.il/case/26568237</vt:lpwstr>
      </vt:variant>
      <vt:variant>
        <vt:lpwstr/>
      </vt:variant>
      <vt:variant>
        <vt:i4>3407984</vt:i4>
      </vt:variant>
      <vt:variant>
        <vt:i4>135</vt:i4>
      </vt:variant>
      <vt:variant>
        <vt:i4>0</vt:i4>
      </vt:variant>
      <vt:variant>
        <vt:i4>5</vt:i4>
      </vt:variant>
      <vt:variant>
        <vt:lpwstr>http://www.nevo.co.il/case/28684447</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3407991</vt:i4>
      </vt:variant>
      <vt:variant>
        <vt:i4>126</vt:i4>
      </vt:variant>
      <vt:variant>
        <vt:i4>0</vt:i4>
      </vt:variant>
      <vt:variant>
        <vt:i4>5</vt:i4>
      </vt:variant>
      <vt:variant>
        <vt:lpwstr>http://www.nevo.co.il/case/22607175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3735670</vt:i4>
      </vt:variant>
      <vt:variant>
        <vt:i4>117</vt:i4>
      </vt:variant>
      <vt:variant>
        <vt:i4>0</vt:i4>
      </vt:variant>
      <vt:variant>
        <vt:i4>5</vt:i4>
      </vt:variant>
      <vt:variant>
        <vt:lpwstr>http://www.nevo.co.il/case/25923515</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3604596</vt:i4>
      </vt:variant>
      <vt:variant>
        <vt:i4>105</vt:i4>
      </vt:variant>
      <vt:variant>
        <vt:i4>0</vt:i4>
      </vt:variant>
      <vt:variant>
        <vt:i4>5</vt:i4>
      </vt:variant>
      <vt:variant>
        <vt:lpwstr>http://www.nevo.co.il/case/27502726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3801203</vt:i4>
      </vt:variant>
      <vt:variant>
        <vt:i4>96</vt:i4>
      </vt:variant>
      <vt:variant>
        <vt:i4>0</vt:i4>
      </vt:variant>
      <vt:variant>
        <vt:i4>5</vt:i4>
      </vt:variant>
      <vt:variant>
        <vt:lpwstr>http://www.nevo.co.il/case/26986974</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3932272</vt:i4>
      </vt:variant>
      <vt:variant>
        <vt:i4>87</vt:i4>
      </vt:variant>
      <vt:variant>
        <vt:i4>0</vt:i4>
      </vt:variant>
      <vt:variant>
        <vt:i4>5</vt:i4>
      </vt:variant>
      <vt:variant>
        <vt:lpwstr>http://www.nevo.co.il/case/27721185</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3539061</vt:i4>
      </vt:variant>
      <vt:variant>
        <vt:i4>75</vt:i4>
      </vt:variant>
      <vt:variant>
        <vt:i4>0</vt:i4>
      </vt:variant>
      <vt:variant>
        <vt:i4>5</vt:i4>
      </vt:variant>
      <vt:variant>
        <vt:lpwstr>http://www.nevo.co.il/case/28513828</vt:lpwstr>
      </vt:variant>
      <vt:variant>
        <vt:lpwstr/>
      </vt:variant>
      <vt:variant>
        <vt:i4>3342457</vt:i4>
      </vt:variant>
      <vt:variant>
        <vt:i4>72</vt:i4>
      </vt:variant>
      <vt:variant>
        <vt:i4>0</vt:i4>
      </vt:variant>
      <vt:variant>
        <vt:i4>5</vt:i4>
      </vt:variant>
      <vt:variant>
        <vt:lpwstr>http://www.nevo.co.il/case/5762686</vt:lpwstr>
      </vt:variant>
      <vt:variant>
        <vt:lpwstr/>
      </vt:variant>
      <vt:variant>
        <vt:i4>3735673</vt:i4>
      </vt:variant>
      <vt:variant>
        <vt:i4>69</vt:i4>
      </vt:variant>
      <vt:variant>
        <vt:i4>0</vt:i4>
      </vt:variant>
      <vt:variant>
        <vt:i4>5</vt:i4>
      </vt:variant>
      <vt:variant>
        <vt:lpwstr>http://www.nevo.co.il/case/27734980</vt:lpwstr>
      </vt:variant>
      <vt:variant>
        <vt:lpwstr/>
      </vt:variant>
      <vt:variant>
        <vt:i4>7995492</vt:i4>
      </vt:variant>
      <vt:variant>
        <vt:i4>66</vt:i4>
      </vt:variant>
      <vt:variant>
        <vt:i4>0</vt:i4>
      </vt:variant>
      <vt:variant>
        <vt:i4>5</vt:i4>
      </vt:variant>
      <vt:variant>
        <vt:lpwstr>http://www.nevo.co.il/law/70301</vt:lpwstr>
      </vt:variant>
      <vt:variant>
        <vt:lpwstr/>
      </vt:variant>
      <vt:variant>
        <vt:i4>3539061</vt:i4>
      </vt:variant>
      <vt:variant>
        <vt:i4>63</vt:i4>
      </vt:variant>
      <vt:variant>
        <vt:i4>0</vt:i4>
      </vt:variant>
      <vt:variant>
        <vt:i4>5</vt:i4>
      </vt:variant>
      <vt:variant>
        <vt:lpwstr>http://www.nevo.co.il/case/28513828</vt:lpwstr>
      </vt:variant>
      <vt:variant>
        <vt:lpwstr/>
      </vt:variant>
      <vt:variant>
        <vt:i4>3670136</vt:i4>
      </vt:variant>
      <vt:variant>
        <vt:i4>60</vt:i4>
      </vt:variant>
      <vt:variant>
        <vt:i4>0</vt:i4>
      </vt:variant>
      <vt:variant>
        <vt:i4>5</vt:i4>
      </vt:variant>
      <vt:variant>
        <vt:lpwstr>http://www.nevo.co.il/case/6834904</vt:lpwstr>
      </vt:variant>
      <vt:variant>
        <vt:lpwstr/>
      </vt:variant>
      <vt:variant>
        <vt:i4>3211379</vt:i4>
      </vt:variant>
      <vt:variant>
        <vt:i4>57</vt:i4>
      </vt:variant>
      <vt:variant>
        <vt:i4>0</vt:i4>
      </vt:variant>
      <vt:variant>
        <vt:i4>5</vt:i4>
      </vt:variant>
      <vt:variant>
        <vt:lpwstr>http://www.nevo.co.il/case/5573417</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6357095</vt:i4>
      </vt:variant>
      <vt:variant>
        <vt:i4>33</vt:i4>
      </vt:variant>
      <vt:variant>
        <vt:i4>0</vt:i4>
      </vt:variant>
      <vt:variant>
        <vt:i4>5</vt:i4>
      </vt:variant>
      <vt:variant>
        <vt:lpwstr>http://www.nevo.co.il/law/70301/242</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6357095</vt:i4>
      </vt:variant>
      <vt:variant>
        <vt:i4>15</vt:i4>
      </vt:variant>
      <vt:variant>
        <vt:i4>0</vt:i4>
      </vt:variant>
      <vt:variant>
        <vt:i4>5</vt:i4>
      </vt:variant>
      <vt:variant>
        <vt:lpwstr>http://www.nevo.co.il/law/70301/242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9986</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טארק חמדאן;ענאד כרום</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20230117</vt:lpwstr>
  </property>
  <property fmtid="{D5CDD505-2E9C-101B-9397-08002B2CF9AE}" pid="13" name="TYPE_N_DATE">
    <vt:lpwstr>38020230117</vt:lpwstr>
  </property>
  <property fmtid="{D5CDD505-2E9C-101B-9397-08002B2CF9AE}" pid="14" name="WORDNUMPAGES">
    <vt:lpwstr>12</vt:lpwstr>
  </property>
  <property fmtid="{D5CDD505-2E9C-101B-9397-08002B2CF9AE}" pid="15" name="TYPE_ABS_DATE">
    <vt:lpwstr>380020230117</vt:lpwstr>
  </property>
  <property fmtid="{D5CDD505-2E9C-101B-9397-08002B2CF9AE}" pid="16" name="ISABSTRACT">
    <vt:lpwstr>Y</vt:lpwstr>
  </property>
  <property fmtid="{D5CDD505-2E9C-101B-9397-08002B2CF9AE}" pid="17" name="CASESLISTTMP1">
    <vt:lpwstr>13093721;5573417;6834904;28513828:2;27734980;5762686;27721185;26986974;27502726;25923515;22607175;28684447;26568237;11220629;4991454;20160073;5607783;6246447;21044603</vt:lpwstr>
  </property>
  <property fmtid="{D5CDD505-2E9C-101B-9397-08002B2CF9AE}" pid="18" name="LAWLISTTMP1">
    <vt:lpwstr>70301/144.a:11;029:3;242;025;244;040c.a</vt:lpwstr>
  </property>
</Properties>
</file>