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4126"/>
        <w:gridCol w:w="7"/>
        <w:gridCol w:w="3665"/>
        <w:gridCol w:w="99"/>
      </w:tblGrid>
      <w:tr w:rsidR="00C15182" w:rsidRPr="00FA0E13" w14:paraId="24FA9478" w14:textId="77777777" w:rsidTr="004119E2">
        <w:trPr>
          <w:gridAfter w:val="1"/>
          <w:wAfter w:w="99" w:type="dxa"/>
          <w:trHeight w:hRule="exact" w:val="418"/>
          <w:jc w:val="center"/>
        </w:trPr>
        <w:tc>
          <w:tcPr>
            <w:tcW w:w="8721" w:type="dxa"/>
            <w:gridSpan w:val="4"/>
          </w:tcPr>
          <w:p w14:paraId="2C2F130D" w14:textId="77777777" w:rsidR="00C15182" w:rsidRPr="00FA0E13" w:rsidRDefault="00C15182" w:rsidP="00457816">
            <w:pPr>
              <w:pStyle w:val="a3"/>
              <w:jc w:val="center"/>
              <w:rPr>
                <w:rFonts w:ascii="Tahoma" w:hAnsi="Tahoma" w:cs="Tahoma"/>
                <w:color w:val="000080"/>
                <w:rtl/>
              </w:rPr>
            </w:pPr>
            <w:bookmarkStart w:id="0" w:name="FirstLawyer"/>
            <w:bookmarkStart w:id="1" w:name="LastJudge"/>
            <w:r w:rsidRPr="00FA0E13">
              <w:rPr>
                <w:rFonts w:ascii="Tahoma" w:hAnsi="Tahoma" w:cs="Tahoma"/>
                <w:b/>
                <w:bCs/>
                <w:color w:val="000080"/>
                <w:rtl/>
              </w:rPr>
              <w:t>בית משפט השלום בירושלים</w:t>
            </w:r>
          </w:p>
        </w:tc>
      </w:tr>
      <w:tr w:rsidR="00C15182" w:rsidRPr="00FA0E13" w14:paraId="2A82B534" w14:textId="77777777" w:rsidTr="004119E2">
        <w:trPr>
          <w:gridAfter w:val="1"/>
          <w:wAfter w:w="99" w:type="dxa"/>
          <w:trHeight w:val="337"/>
          <w:jc w:val="center"/>
        </w:trPr>
        <w:tc>
          <w:tcPr>
            <w:tcW w:w="5056" w:type="dxa"/>
            <w:gridSpan w:val="3"/>
          </w:tcPr>
          <w:p w14:paraId="3C1E82A8" w14:textId="77777777" w:rsidR="00C15182" w:rsidRPr="00FA0E13" w:rsidRDefault="00C15182" w:rsidP="00457816">
            <w:pPr>
              <w:rPr>
                <w:rFonts w:cs="FrankRuehl"/>
                <w:sz w:val="28"/>
                <w:szCs w:val="28"/>
                <w:rtl/>
              </w:rPr>
            </w:pPr>
            <w:r w:rsidRPr="00FA0E13">
              <w:rPr>
                <w:rFonts w:cs="FrankRuehl"/>
                <w:sz w:val="28"/>
                <w:szCs w:val="28"/>
                <w:rtl/>
              </w:rPr>
              <w:t>ת"פ</w:t>
            </w:r>
            <w:r w:rsidRPr="00FA0E13">
              <w:rPr>
                <w:rFonts w:cs="FrankRuehl" w:hint="cs"/>
                <w:sz w:val="28"/>
                <w:szCs w:val="28"/>
                <w:rtl/>
              </w:rPr>
              <w:t xml:space="preserve"> </w:t>
            </w:r>
            <w:r w:rsidRPr="00FA0E13">
              <w:rPr>
                <w:rFonts w:cs="FrankRuehl"/>
                <w:sz w:val="28"/>
                <w:szCs w:val="28"/>
                <w:rtl/>
              </w:rPr>
              <w:t>13044-03-22</w:t>
            </w:r>
            <w:r w:rsidRPr="00FA0E13">
              <w:rPr>
                <w:rFonts w:cs="FrankRuehl" w:hint="cs"/>
                <w:sz w:val="28"/>
                <w:szCs w:val="28"/>
                <w:rtl/>
              </w:rPr>
              <w:t xml:space="preserve"> </w:t>
            </w:r>
            <w:r w:rsidRPr="00FA0E13">
              <w:rPr>
                <w:rFonts w:cs="FrankRuehl"/>
                <w:sz w:val="28"/>
                <w:szCs w:val="28"/>
                <w:rtl/>
              </w:rPr>
              <w:t>מדינת ישראל נ' אבו רגב(עציר)</w:t>
            </w:r>
          </w:p>
          <w:p w14:paraId="7987304F" w14:textId="77777777" w:rsidR="00C15182" w:rsidRPr="00FA0E13" w:rsidRDefault="00C15182" w:rsidP="00457816">
            <w:pPr>
              <w:pStyle w:val="a3"/>
              <w:rPr>
                <w:rFonts w:cs="FrankRuehl"/>
                <w:sz w:val="28"/>
                <w:szCs w:val="28"/>
                <w:rtl/>
              </w:rPr>
            </w:pPr>
          </w:p>
        </w:tc>
        <w:tc>
          <w:tcPr>
            <w:tcW w:w="3665" w:type="dxa"/>
          </w:tcPr>
          <w:p w14:paraId="52553944" w14:textId="77777777" w:rsidR="00C15182" w:rsidRPr="00FA0E13" w:rsidRDefault="00C15182" w:rsidP="00457816">
            <w:pPr>
              <w:pStyle w:val="a3"/>
              <w:jc w:val="right"/>
              <w:rPr>
                <w:rFonts w:cs="FrankRuehl"/>
                <w:sz w:val="28"/>
                <w:szCs w:val="28"/>
                <w:rtl/>
              </w:rPr>
            </w:pPr>
          </w:p>
        </w:tc>
      </w:tr>
      <w:tr w:rsidR="00C15182" w:rsidRPr="00FA0E13" w14:paraId="1C526334" w14:textId="77777777" w:rsidTr="004119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736E5B03" w14:textId="77777777" w:rsidR="00C15182" w:rsidRPr="00FA0E13" w:rsidRDefault="00C15182" w:rsidP="00C15182">
            <w:pPr>
              <w:jc w:val="both"/>
              <w:rPr>
                <w:rFonts w:ascii="Arial" w:hAnsi="Arial" w:cs="FrankRuehl"/>
                <w:sz w:val="28"/>
                <w:szCs w:val="28"/>
              </w:rPr>
            </w:pPr>
            <w:r w:rsidRPr="00FA0E13">
              <w:rPr>
                <w:rFonts w:hint="cs"/>
                <w:rtl/>
              </w:rPr>
              <w:t xml:space="preserve"> </w:t>
            </w:r>
            <w:r w:rsidRPr="00FA0E13">
              <w:rPr>
                <w:rFonts w:ascii="Arial" w:hAnsi="Arial" w:cs="FrankRuehl" w:hint="cs"/>
                <w:sz w:val="28"/>
                <w:szCs w:val="28"/>
                <w:rtl/>
              </w:rPr>
              <w:t>ב</w:t>
            </w:r>
            <w:r w:rsidRPr="00FA0E13">
              <w:rPr>
                <w:rFonts w:ascii="Arial" w:hAnsi="Arial" w:cs="FrankRuehl"/>
                <w:sz w:val="28"/>
                <w:szCs w:val="28"/>
                <w:rtl/>
              </w:rPr>
              <w:t xml:space="preserve">פני </w:t>
            </w:r>
          </w:p>
        </w:tc>
        <w:tc>
          <w:tcPr>
            <w:tcW w:w="7897" w:type="dxa"/>
            <w:gridSpan w:val="4"/>
            <w:tcBorders>
              <w:top w:val="nil"/>
              <w:left w:val="nil"/>
              <w:bottom w:val="nil"/>
              <w:right w:val="nil"/>
            </w:tcBorders>
            <w:shd w:val="clear" w:color="auto" w:fill="auto"/>
          </w:tcPr>
          <w:p w14:paraId="6BA67B19" w14:textId="77777777" w:rsidR="00C15182" w:rsidRPr="00FA0E13" w:rsidRDefault="00C15182" w:rsidP="00C15182">
            <w:pPr>
              <w:jc w:val="both"/>
              <w:rPr>
                <w:rFonts w:ascii="Arial" w:hAnsi="Arial" w:cs="FrankRuehl"/>
                <w:sz w:val="28"/>
                <w:szCs w:val="28"/>
                <w:rtl/>
              </w:rPr>
            </w:pPr>
            <w:r w:rsidRPr="00FA0E13">
              <w:rPr>
                <w:rFonts w:ascii="Arial" w:hAnsi="Arial" w:cs="FrankRuehl" w:hint="cs"/>
                <w:sz w:val="28"/>
                <w:szCs w:val="28"/>
                <w:rtl/>
              </w:rPr>
              <w:t>כבוד סגן הנשיא ירון מינטקביץ</w:t>
            </w:r>
          </w:p>
          <w:p w14:paraId="6CCD5568" w14:textId="77777777" w:rsidR="00C15182" w:rsidRPr="00FA0E13" w:rsidRDefault="00C15182" w:rsidP="00C15182">
            <w:pPr>
              <w:jc w:val="both"/>
              <w:rPr>
                <w:rFonts w:ascii="Arial" w:hAnsi="Arial" w:cs="FrankRuehl"/>
                <w:sz w:val="28"/>
                <w:szCs w:val="28"/>
              </w:rPr>
            </w:pPr>
          </w:p>
        </w:tc>
      </w:tr>
      <w:tr w:rsidR="00C15182" w:rsidRPr="00FA0E13" w14:paraId="18750D4C" w14:textId="77777777" w:rsidTr="004119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FB49570" w14:textId="77777777" w:rsidR="00C15182" w:rsidRPr="00FA0E13" w:rsidRDefault="00C15182" w:rsidP="00C15182">
            <w:pPr>
              <w:jc w:val="both"/>
              <w:rPr>
                <w:rFonts w:ascii="Arial" w:hAnsi="Arial" w:cs="FrankRuehl"/>
                <w:sz w:val="28"/>
                <w:szCs w:val="28"/>
              </w:rPr>
            </w:pPr>
            <w:bookmarkStart w:id="2" w:name="FirstAppellant"/>
            <w:r w:rsidRPr="00FA0E13">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6DD5B177" w14:textId="77777777" w:rsidR="00C15182" w:rsidRPr="00FA0E13" w:rsidRDefault="00C15182" w:rsidP="00457816">
            <w:r w:rsidRPr="00FA0E13">
              <w:rPr>
                <w:rFonts w:ascii="Arial" w:hAnsi="Arial" w:cs="FrankRuehl"/>
                <w:sz w:val="28"/>
                <w:szCs w:val="28"/>
                <w:rtl/>
              </w:rPr>
              <w:t>מדינת ישראל</w:t>
            </w:r>
            <w:r w:rsidRPr="00FA0E13">
              <w:rPr>
                <w:rFonts w:ascii="Arial" w:hAnsi="Arial" w:cs="FrankRuehl"/>
                <w:sz w:val="28"/>
                <w:szCs w:val="28"/>
                <w:rtl/>
              </w:rPr>
              <w:br/>
            </w:r>
            <w:r w:rsidRPr="00FA0E13">
              <w:rPr>
                <w:rFonts w:hint="cs"/>
                <w:rtl/>
              </w:rPr>
              <w:t>ע"י עו"ד זוהר גיאת</w:t>
            </w:r>
          </w:p>
        </w:tc>
        <w:tc>
          <w:tcPr>
            <w:tcW w:w="3771" w:type="dxa"/>
            <w:gridSpan w:val="3"/>
            <w:tcBorders>
              <w:top w:val="nil"/>
              <w:left w:val="nil"/>
              <w:bottom w:val="nil"/>
              <w:right w:val="nil"/>
            </w:tcBorders>
            <w:shd w:val="clear" w:color="auto" w:fill="auto"/>
          </w:tcPr>
          <w:p w14:paraId="3A0622E2" w14:textId="77777777" w:rsidR="00C15182" w:rsidRPr="00FA0E13" w:rsidRDefault="00C15182" w:rsidP="00C15182">
            <w:pPr>
              <w:jc w:val="both"/>
              <w:rPr>
                <w:rFonts w:ascii="Arial" w:hAnsi="Arial" w:cs="FrankRuehl"/>
                <w:sz w:val="28"/>
                <w:szCs w:val="28"/>
              </w:rPr>
            </w:pPr>
          </w:p>
        </w:tc>
      </w:tr>
      <w:bookmarkEnd w:id="2"/>
      <w:tr w:rsidR="00C15182" w:rsidRPr="00FA0E13" w14:paraId="65CBC292" w14:textId="77777777" w:rsidTr="004119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D8BE43D" w14:textId="77777777" w:rsidR="00C15182" w:rsidRPr="00FA0E13" w:rsidRDefault="00C15182" w:rsidP="00C15182">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5ABFEAE0" w14:textId="77777777" w:rsidR="00C15182" w:rsidRPr="00FA0E13" w:rsidRDefault="00C15182" w:rsidP="00C15182">
            <w:pPr>
              <w:jc w:val="both"/>
              <w:rPr>
                <w:rtl/>
              </w:rPr>
            </w:pPr>
          </w:p>
        </w:tc>
        <w:tc>
          <w:tcPr>
            <w:tcW w:w="3771" w:type="dxa"/>
            <w:gridSpan w:val="3"/>
            <w:tcBorders>
              <w:top w:val="nil"/>
              <w:left w:val="nil"/>
              <w:bottom w:val="nil"/>
              <w:right w:val="nil"/>
            </w:tcBorders>
            <w:shd w:val="clear" w:color="auto" w:fill="auto"/>
          </w:tcPr>
          <w:p w14:paraId="0FA270BD" w14:textId="77777777" w:rsidR="00C15182" w:rsidRPr="00FA0E13" w:rsidRDefault="00C15182" w:rsidP="00C15182">
            <w:pPr>
              <w:jc w:val="right"/>
              <w:rPr>
                <w:rFonts w:ascii="Arial" w:hAnsi="Arial" w:cs="FrankRuehl"/>
                <w:sz w:val="28"/>
                <w:szCs w:val="28"/>
                <w:rtl/>
              </w:rPr>
            </w:pPr>
            <w:r w:rsidRPr="00FA0E13">
              <w:rPr>
                <w:rFonts w:ascii="Arial" w:hAnsi="Arial" w:cs="FrankRuehl" w:hint="cs"/>
                <w:sz w:val="28"/>
                <w:szCs w:val="28"/>
                <w:rtl/>
              </w:rPr>
              <w:t>ה</w:t>
            </w:r>
            <w:r w:rsidRPr="00FA0E13">
              <w:rPr>
                <w:rFonts w:ascii="Arial" w:hAnsi="Arial" w:cs="FrankRuehl"/>
                <w:sz w:val="28"/>
                <w:szCs w:val="28"/>
                <w:rtl/>
              </w:rPr>
              <w:t>מאשימה</w:t>
            </w:r>
          </w:p>
        </w:tc>
      </w:tr>
      <w:tr w:rsidR="00C15182" w:rsidRPr="00FA0E13" w14:paraId="55CEA9E0" w14:textId="77777777" w:rsidTr="004119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4F458EB" w14:textId="77777777" w:rsidR="00C15182" w:rsidRPr="00FA0E13" w:rsidRDefault="00C15182" w:rsidP="00C15182">
            <w:pPr>
              <w:jc w:val="both"/>
              <w:rPr>
                <w:rFonts w:ascii="Arial" w:hAnsi="Arial" w:cs="FrankRuehl"/>
                <w:sz w:val="28"/>
                <w:szCs w:val="28"/>
                <w:rtl/>
              </w:rPr>
            </w:pPr>
          </w:p>
        </w:tc>
        <w:tc>
          <w:tcPr>
            <w:tcW w:w="7897" w:type="dxa"/>
            <w:gridSpan w:val="4"/>
            <w:tcBorders>
              <w:top w:val="nil"/>
              <w:left w:val="nil"/>
              <w:bottom w:val="nil"/>
              <w:right w:val="nil"/>
            </w:tcBorders>
            <w:shd w:val="clear" w:color="auto" w:fill="auto"/>
          </w:tcPr>
          <w:p w14:paraId="3D040F34" w14:textId="77777777" w:rsidR="00C15182" w:rsidRPr="00FA0E13" w:rsidRDefault="00C15182" w:rsidP="00C15182">
            <w:pPr>
              <w:jc w:val="center"/>
              <w:rPr>
                <w:rFonts w:ascii="Arial" w:hAnsi="Arial" w:cs="FrankRuehl"/>
                <w:b/>
                <w:bCs/>
                <w:sz w:val="28"/>
                <w:szCs w:val="28"/>
                <w:rtl/>
              </w:rPr>
            </w:pPr>
          </w:p>
          <w:p w14:paraId="5FC823F1" w14:textId="77777777" w:rsidR="00C15182" w:rsidRPr="00FA0E13" w:rsidRDefault="00C15182" w:rsidP="00C15182">
            <w:pPr>
              <w:jc w:val="center"/>
              <w:rPr>
                <w:rFonts w:ascii="Arial" w:hAnsi="Arial" w:cs="FrankRuehl"/>
                <w:b/>
                <w:bCs/>
                <w:sz w:val="28"/>
                <w:szCs w:val="28"/>
                <w:rtl/>
              </w:rPr>
            </w:pPr>
            <w:r w:rsidRPr="00FA0E13">
              <w:rPr>
                <w:rFonts w:ascii="Arial" w:hAnsi="Arial" w:cs="FrankRuehl"/>
                <w:b/>
                <w:bCs/>
                <w:sz w:val="28"/>
                <w:szCs w:val="28"/>
                <w:rtl/>
              </w:rPr>
              <w:t>נגד</w:t>
            </w:r>
          </w:p>
          <w:p w14:paraId="1C17BD87" w14:textId="77777777" w:rsidR="00C15182" w:rsidRPr="00FA0E13" w:rsidRDefault="00C15182" w:rsidP="00C15182">
            <w:pPr>
              <w:jc w:val="both"/>
              <w:rPr>
                <w:rFonts w:ascii="Arial" w:hAnsi="Arial" w:cs="FrankRuehl"/>
                <w:sz w:val="28"/>
                <w:szCs w:val="28"/>
              </w:rPr>
            </w:pPr>
          </w:p>
        </w:tc>
      </w:tr>
      <w:tr w:rsidR="00C15182" w:rsidRPr="00FA0E13" w14:paraId="5008626D" w14:textId="77777777" w:rsidTr="004119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457DB4D" w14:textId="77777777" w:rsidR="00C15182" w:rsidRPr="00FA0E13" w:rsidRDefault="00C15182" w:rsidP="00457816">
            <w:pPr>
              <w:rPr>
                <w:rFonts w:ascii="Arial" w:hAnsi="Arial" w:cs="FrankRuehl"/>
                <w:sz w:val="28"/>
                <w:szCs w:val="28"/>
                <w:rtl/>
              </w:rPr>
            </w:pPr>
          </w:p>
        </w:tc>
        <w:tc>
          <w:tcPr>
            <w:tcW w:w="4126" w:type="dxa"/>
            <w:tcBorders>
              <w:top w:val="nil"/>
              <w:left w:val="nil"/>
              <w:bottom w:val="nil"/>
              <w:right w:val="nil"/>
            </w:tcBorders>
            <w:shd w:val="clear" w:color="auto" w:fill="auto"/>
          </w:tcPr>
          <w:p w14:paraId="69850C83" w14:textId="77777777" w:rsidR="00C15182" w:rsidRPr="00FA0E13" w:rsidRDefault="00C15182" w:rsidP="00457816">
            <w:pPr>
              <w:rPr>
                <w:rtl/>
              </w:rPr>
            </w:pPr>
            <w:r w:rsidRPr="00FA0E13">
              <w:rPr>
                <w:rFonts w:ascii="Arial" w:hAnsi="Arial" w:cs="FrankRuehl"/>
                <w:sz w:val="28"/>
                <w:szCs w:val="28"/>
                <w:rtl/>
              </w:rPr>
              <w:t>מהדי אבו רגב</w:t>
            </w:r>
            <w:r w:rsidRPr="00FA0E13">
              <w:rPr>
                <w:rFonts w:ascii="Arial" w:hAnsi="Arial" w:cs="FrankRuehl"/>
                <w:sz w:val="28"/>
                <w:szCs w:val="28"/>
                <w:rtl/>
              </w:rPr>
              <w:br/>
            </w:r>
            <w:r w:rsidRPr="00FA0E13">
              <w:rPr>
                <w:rFonts w:hint="cs"/>
                <w:rtl/>
              </w:rPr>
              <w:t>ע"י עו"ד יהודה שושן</w:t>
            </w:r>
          </w:p>
        </w:tc>
        <w:tc>
          <w:tcPr>
            <w:tcW w:w="3771" w:type="dxa"/>
            <w:gridSpan w:val="3"/>
            <w:tcBorders>
              <w:top w:val="nil"/>
              <w:left w:val="nil"/>
              <w:bottom w:val="nil"/>
              <w:right w:val="nil"/>
            </w:tcBorders>
            <w:shd w:val="clear" w:color="auto" w:fill="auto"/>
          </w:tcPr>
          <w:p w14:paraId="303DDB07" w14:textId="77777777" w:rsidR="00C15182" w:rsidRPr="00FA0E13" w:rsidRDefault="00C15182" w:rsidP="00C15182">
            <w:pPr>
              <w:jc w:val="right"/>
              <w:rPr>
                <w:rFonts w:ascii="Arial" w:hAnsi="Arial" w:cs="FrankRuehl"/>
                <w:sz w:val="28"/>
                <w:szCs w:val="28"/>
              </w:rPr>
            </w:pPr>
          </w:p>
        </w:tc>
      </w:tr>
      <w:tr w:rsidR="00C15182" w:rsidRPr="00FA0E13" w14:paraId="5EC1B96C" w14:textId="77777777" w:rsidTr="004119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CB4C2FE" w14:textId="77777777" w:rsidR="00C15182" w:rsidRPr="00FA0E13" w:rsidRDefault="00C15182" w:rsidP="00C15182">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6DA96A7B" w14:textId="77777777" w:rsidR="00C15182" w:rsidRPr="00FA0E13" w:rsidRDefault="00C15182" w:rsidP="00C15182">
            <w:pPr>
              <w:jc w:val="both"/>
              <w:rPr>
                <w:rtl/>
              </w:rPr>
            </w:pPr>
          </w:p>
        </w:tc>
        <w:tc>
          <w:tcPr>
            <w:tcW w:w="3771" w:type="dxa"/>
            <w:gridSpan w:val="3"/>
            <w:tcBorders>
              <w:top w:val="nil"/>
              <w:left w:val="nil"/>
              <w:bottom w:val="nil"/>
              <w:right w:val="nil"/>
            </w:tcBorders>
            <w:shd w:val="clear" w:color="auto" w:fill="auto"/>
          </w:tcPr>
          <w:p w14:paraId="1766D338" w14:textId="77777777" w:rsidR="00C15182" w:rsidRPr="00FA0E13" w:rsidRDefault="00C15182" w:rsidP="00C15182">
            <w:pPr>
              <w:jc w:val="right"/>
              <w:rPr>
                <w:rFonts w:ascii="Arial" w:hAnsi="Arial" w:cs="FrankRuehl"/>
                <w:sz w:val="28"/>
                <w:szCs w:val="28"/>
              </w:rPr>
            </w:pPr>
            <w:r w:rsidRPr="00FA0E13">
              <w:rPr>
                <w:rFonts w:ascii="Arial" w:hAnsi="Arial" w:cs="FrankRuehl" w:hint="cs"/>
                <w:sz w:val="28"/>
                <w:szCs w:val="28"/>
                <w:rtl/>
              </w:rPr>
              <w:t>ה</w:t>
            </w:r>
            <w:r w:rsidRPr="00FA0E13">
              <w:rPr>
                <w:rFonts w:ascii="Arial" w:hAnsi="Arial" w:cs="FrankRuehl"/>
                <w:sz w:val="28"/>
                <w:szCs w:val="28"/>
                <w:rtl/>
              </w:rPr>
              <w:t>נאשם</w:t>
            </w:r>
          </w:p>
        </w:tc>
      </w:tr>
    </w:tbl>
    <w:p w14:paraId="48F35946" w14:textId="77777777" w:rsidR="004119E2" w:rsidRDefault="004119E2" w:rsidP="00C15182">
      <w:pPr>
        <w:rPr>
          <w:rtl/>
        </w:rPr>
      </w:pPr>
    </w:p>
    <w:p w14:paraId="3AB4A1A1" w14:textId="77777777" w:rsidR="004119E2" w:rsidRPr="004119E2" w:rsidRDefault="004119E2" w:rsidP="004119E2">
      <w:pPr>
        <w:spacing w:after="120" w:line="240" w:lineRule="exact"/>
        <w:ind w:left="283" w:hanging="283"/>
        <w:jc w:val="both"/>
        <w:rPr>
          <w:rFonts w:ascii="FrankRuehl" w:hAnsi="FrankRuehl" w:cs="FrankRuehl"/>
          <w:rtl/>
        </w:rPr>
      </w:pPr>
    </w:p>
    <w:p w14:paraId="3EA9771A" w14:textId="77777777" w:rsidR="00F33B39" w:rsidRPr="00F33B39" w:rsidRDefault="00F33B39" w:rsidP="00F33B39">
      <w:pPr>
        <w:spacing w:before="120" w:after="120" w:line="240" w:lineRule="exact"/>
        <w:ind w:left="283" w:hanging="283"/>
        <w:jc w:val="both"/>
        <w:rPr>
          <w:rFonts w:ascii="FrankRuehl" w:hAnsi="FrankRuehl" w:cs="FrankRuehl"/>
          <w:rtl/>
        </w:rPr>
      </w:pPr>
    </w:p>
    <w:p w14:paraId="064B0394" w14:textId="77777777" w:rsidR="00F33B39" w:rsidRPr="00F33B39" w:rsidRDefault="00F33B39" w:rsidP="00F33B39">
      <w:pPr>
        <w:spacing w:before="120" w:after="120" w:line="240" w:lineRule="exact"/>
        <w:ind w:left="283" w:hanging="283"/>
        <w:jc w:val="both"/>
        <w:rPr>
          <w:rFonts w:ascii="FrankRuehl" w:hAnsi="FrankRuehl" w:cs="FrankRuehl"/>
          <w:rtl/>
        </w:rPr>
      </w:pPr>
    </w:p>
    <w:p w14:paraId="06D50429" w14:textId="77777777" w:rsidR="00920434" w:rsidRDefault="00920434" w:rsidP="00920434">
      <w:pPr>
        <w:spacing w:after="120" w:line="360" w:lineRule="auto"/>
        <w:jc w:val="both"/>
        <w:rPr>
          <w:rFonts w:ascii="Arial" w:hAnsi="Arial"/>
          <w:rtl/>
        </w:rPr>
      </w:pPr>
      <w:bookmarkStart w:id="3" w:name="LawTable"/>
      <w:bookmarkEnd w:id="3"/>
    </w:p>
    <w:p w14:paraId="350D3FA2" w14:textId="77777777" w:rsidR="00920434" w:rsidRPr="00920434" w:rsidRDefault="00920434" w:rsidP="00920434">
      <w:pPr>
        <w:spacing w:before="120" w:after="120" w:line="240" w:lineRule="exact"/>
        <w:ind w:left="283" w:hanging="283"/>
        <w:jc w:val="both"/>
        <w:rPr>
          <w:rFonts w:ascii="FrankRuehl" w:hAnsi="FrankRuehl" w:cs="FrankRuehl"/>
          <w:rtl/>
        </w:rPr>
      </w:pPr>
    </w:p>
    <w:p w14:paraId="584F002B" w14:textId="77777777" w:rsidR="00920434" w:rsidRPr="00920434" w:rsidRDefault="00920434" w:rsidP="00920434">
      <w:pPr>
        <w:spacing w:before="120" w:after="120" w:line="240" w:lineRule="exact"/>
        <w:ind w:left="283" w:hanging="283"/>
        <w:jc w:val="both"/>
        <w:rPr>
          <w:rFonts w:ascii="FrankRuehl" w:hAnsi="FrankRuehl" w:cs="FrankRuehl"/>
          <w:rtl/>
        </w:rPr>
      </w:pPr>
    </w:p>
    <w:p w14:paraId="69C6550C" w14:textId="77777777" w:rsidR="00920434" w:rsidRPr="00920434" w:rsidRDefault="00920434" w:rsidP="00920434">
      <w:pPr>
        <w:spacing w:before="120" w:after="120" w:line="240" w:lineRule="exact"/>
        <w:ind w:left="283" w:hanging="283"/>
        <w:jc w:val="both"/>
        <w:rPr>
          <w:rFonts w:ascii="FrankRuehl" w:hAnsi="FrankRuehl" w:cs="FrankRuehl"/>
          <w:rtl/>
        </w:rPr>
      </w:pPr>
      <w:r w:rsidRPr="00920434">
        <w:rPr>
          <w:rFonts w:ascii="FrankRuehl" w:hAnsi="FrankRuehl" w:cs="FrankRuehl"/>
          <w:rtl/>
        </w:rPr>
        <w:t xml:space="preserve">חקיקה שאוזכרה: </w:t>
      </w:r>
    </w:p>
    <w:p w14:paraId="78B9AEFB" w14:textId="77777777" w:rsidR="00920434" w:rsidRPr="00920434" w:rsidRDefault="00920434" w:rsidP="00920434">
      <w:pPr>
        <w:spacing w:before="120" w:after="120" w:line="240" w:lineRule="exact"/>
        <w:ind w:left="283" w:hanging="283"/>
        <w:jc w:val="both"/>
        <w:rPr>
          <w:rFonts w:ascii="FrankRuehl" w:hAnsi="FrankRuehl" w:cs="FrankRuehl"/>
          <w:rtl/>
        </w:rPr>
      </w:pPr>
      <w:hyperlink r:id="rId7" w:history="1">
        <w:r w:rsidRPr="00920434">
          <w:rPr>
            <w:rFonts w:ascii="FrankRuehl" w:hAnsi="FrankRuehl" w:cs="FrankRuehl"/>
            <w:color w:val="0000FF"/>
            <w:rtl/>
          </w:rPr>
          <w:t>חוק העונשין, תשל"ז-1977</w:t>
        </w:r>
      </w:hyperlink>
      <w:r w:rsidRPr="00920434">
        <w:rPr>
          <w:rFonts w:ascii="FrankRuehl" w:hAnsi="FrankRuehl" w:cs="FrankRuehl"/>
          <w:rtl/>
        </w:rPr>
        <w:t xml:space="preserve">: סע'  </w:t>
      </w:r>
      <w:hyperlink r:id="rId8" w:history="1">
        <w:r w:rsidRPr="00920434">
          <w:rPr>
            <w:rFonts w:ascii="FrankRuehl" w:hAnsi="FrankRuehl" w:cs="FrankRuehl"/>
            <w:color w:val="0000FF"/>
            <w:rtl/>
          </w:rPr>
          <w:t>144</w:t>
        </w:r>
      </w:hyperlink>
      <w:r w:rsidRPr="00920434">
        <w:rPr>
          <w:rFonts w:ascii="FrankRuehl" w:hAnsi="FrankRuehl" w:cs="FrankRuehl"/>
          <w:rtl/>
        </w:rPr>
        <w:t xml:space="preserve">, </w:t>
      </w:r>
      <w:hyperlink r:id="rId9" w:history="1">
        <w:r w:rsidRPr="00920434">
          <w:rPr>
            <w:rFonts w:ascii="FrankRuehl" w:hAnsi="FrankRuehl" w:cs="FrankRuehl"/>
            <w:color w:val="0000FF"/>
            <w:rtl/>
          </w:rPr>
          <w:t>144(ז)</w:t>
        </w:r>
      </w:hyperlink>
      <w:r w:rsidRPr="00920434">
        <w:rPr>
          <w:rFonts w:ascii="FrankRuehl" w:hAnsi="FrankRuehl" w:cs="FrankRuehl"/>
          <w:rtl/>
        </w:rPr>
        <w:t xml:space="preserve">, </w:t>
      </w:r>
      <w:hyperlink r:id="rId10" w:history="1">
        <w:r w:rsidRPr="00920434">
          <w:rPr>
            <w:rFonts w:ascii="FrankRuehl" w:hAnsi="FrankRuehl" w:cs="FrankRuehl"/>
            <w:color w:val="0000FF"/>
            <w:rtl/>
          </w:rPr>
          <w:t>355</w:t>
        </w:r>
      </w:hyperlink>
    </w:p>
    <w:p w14:paraId="067ADC88" w14:textId="77777777" w:rsidR="00920434" w:rsidRPr="00920434" w:rsidRDefault="00920434" w:rsidP="00920434">
      <w:pPr>
        <w:spacing w:after="120" w:line="360" w:lineRule="auto"/>
        <w:jc w:val="both"/>
        <w:rPr>
          <w:rFonts w:ascii="Arial" w:hAnsi="Arial"/>
          <w:rtl/>
        </w:rPr>
      </w:pPr>
      <w:bookmarkStart w:id="4" w:name="LawTable_End"/>
      <w:bookmarkEnd w:id="4"/>
    </w:p>
    <w:p w14:paraId="326AFEEF" w14:textId="77777777" w:rsidR="00C15182" w:rsidRPr="00F33B39" w:rsidRDefault="00C15182" w:rsidP="00F33B39">
      <w:pPr>
        <w:spacing w:after="120" w:line="360" w:lineRule="auto"/>
        <w:jc w:val="both"/>
        <w:rPr>
          <w:rFonts w:ascii="Arial" w:hAnsi="Arial"/>
          <w:rtl/>
        </w:rPr>
      </w:pPr>
    </w:p>
    <w:p w14:paraId="4DC2F323" w14:textId="77777777" w:rsidR="004119E2" w:rsidRPr="00FA0E13" w:rsidRDefault="004119E2" w:rsidP="00FA0E13">
      <w:pPr>
        <w:spacing w:after="120" w:line="360" w:lineRule="auto"/>
        <w:jc w:val="center"/>
        <w:rPr>
          <w:rFonts w:ascii="Arial" w:hAnsi="Arial" w:cs="FrankRuehl"/>
          <w:b/>
          <w:bCs/>
          <w:sz w:val="32"/>
          <w:szCs w:val="32"/>
          <w:u w:val="single"/>
          <w:rtl/>
        </w:rPr>
      </w:pPr>
      <w:bookmarkStart w:id="5" w:name="PsakDin" w:colFirst="0" w:colLast="0"/>
      <w:bookmarkEnd w:id="0"/>
      <w:bookmarkEnd w:id="1"/>
      <w:r w:rsidRPr="00FA0E13">
        <w:rPr>
          <w:rFonts w:ascii="Arial" w:hAnsi="Arial" w:cs="FrankRuehl"/>
          <w:b/>
          <w:bCs/>
          <w:sz w:val="32"/>
          <w:szCs w:val="32"/>
          <w:u w:val="single"/>
          <w:rtl/>
        </w:rPr>
        <w:t>גזר דין</w:t>
      </w:r>
    </w:p>
    <w:p w14:paraId="4AF65729" w14:textId="77777777" w:rsidR="004119E2" w:rsidRPr="00FA0E13" w:rsidRDefault="004119E2" w:rsidP="00FA0E13">
      <w:pPr>
        <w:spacing w:after="120" w:line="360" w:lineRule="auto"/>
        <w:jc w:val="center"/>
        <w:rPr>
          <w:rFonts w:ascii="Arial" w:hAnsi="Arial" w:cs="FrankRuehl"/>
          <w:bCs/>
          <w:sz w:val="32"/>
          <w:szCs w:val="32"/>
          <w:u w:val="single"/>
          <w:rtl/>
        </w:rPr>
      </w:pPr>
    </w:p>
    <w:bookmarkEnd w:id="5"/>
    <w:p w14:paraId="677AAABD" w14:textId="77777777" w:rsidR="00C15182" w:rsidRDefault="00C15182" w:rsidP="00C15182">
      <w:pPr>
        <w:spacing w:after="120" w:line="360" w:lineRule="auto"/>
        <w:jc w:val="both"/>
        <w:rPr>
          <w:rFonts w:ascii="Arial" w:hAnsi="Arial"/>
          <w:b/>
          <w:bCs/>
        </w:rPr>
      </w:pPr>
      <w:r>
        <w:rPr>
          <w:rFonts w:ascii="Arial" w:hAnsi="Arial"/>
          <w:b/>
          <w:bCs/>
          <w:rtl/>
        </w:rPr>
        <w:t>רקע</w:t>
      </w:r>
    </w:p>
    <w:p w14:paraId="67F5159C" w14:textId="77777777" w:rsidR="00C15182" w:rsidRDefault="00C15182" w:rsidP="00C15182">
      <w:pPr>
        <w:spacing w:after="120" w:line="360" w:lineRule="auto"/>
        <w:jc w:val="both"/>
        <w:rPr>
          <w:rFonts w:ascii="Arial" w:hAnsi="Arial"/>
          <w:rtl/>
        </w:rPr>
      </w:pPr>
      <w:bookmarkStart w:id="6" w:name="ABSTRACT_START"/>
      <w:bookmarkEnd w:id="6"/>
      <w:r>
        <w:rPr>
          <w:rFonts w:ascii="Arial" w:hAnsi="Arial"/>
          <w:rtl/>
        </w:rPr>
        <w:t xml:space="preserve">הנאשם הורשע על פי הודאתו, כי </w:t>
      </w:r>
      <w:r>
        <w:rPr>
          <w:rFonts w:ascii="Arial" w:hAnsi="Arial" w:hint="cs"/>
          <w:rtl/>
        </w:rPr>
        <w:t>בתקופה שקדמה ליום 22.2.22 החזיק יחד עם אחר בתוך מאפיה, תת מקלע מאולתר ומחסנית ובה 11 כדורים.</w:t>
      </w:r>
    </w:p>
    <w:p w14:paraId="404AF2AA" w14:textId="77777777" w:rsidR="00C15182" w:rsidRDefault="00C15182" w:rsidP="00C15182">
      <w:pPr>
        <w:spacing w:after="120" w:line="360" w:lineRule="auto"/>
        <w:jc w:val="both"/>
        <w:rPr>
          <w:rFonts w:ascii="Arial" w:hAnsi="Arial"/>
          <w:rtl/>
        </w:rPr>
      </w:pPr>
      <w:r>
        <w:rPr>
          <w:rFonts w:ascii="Arial" w:hAnsi="Arial"/>
          <w:rtl/>
        </w:rPr>
        <w:t>הודאת הנאשם באה במסגרתו של הסדר דיוני, אשר כלל תיקונים בכתב האישום, ללא הסכמה בעניין העונש.</w:t>
      </w:r>
      <w:r>
        <w:rPr>
          <w:rFonts w:ascii="Arial" w:hAnsi="Arial" w:hint="cs"/>
          <w:rtl/>
        </w:rPr>
        <w:t xml:space="preserve"> להשלמת התמונה אציין, כי הסדר הטיעון גובש בעזרת בית המשפט, לאחר שעיין בתיק מוצגים שהוגש.</w:t>
      </w:r>
    </w:p>
    <w:p w14:paraId="164C3A4E" w14:textId="77777777" w:rsidR="00C15182" w:rsidRDefault="00C15182" w:rsidP="00C15182">
      <w:pPr>
        <w:spacing w:after="120" w:line="360" w:lineRule="auto"/>
        <w:jc w:val="both"/>
        <w:rPr>
          <w:b/>
          <w:bCs/>
          <w:rtl/>
        </w:rPr>
      </w:pPr>
      <w:bookmarkStart w:id="7" w:name="ABSTRACT_END"/>
      <w:bookmarkEnd w:id="7"/>
      <w:r>
        <w:rPr>
          <w:b/>
          <w:bCs/>
          <w:rtl/>
        </w:rPr>
        <w:t>טיעוני הצדדים</w:t>
      </w:r>
    </w:p>
    <w:p w14:paraId="05656DF3" w14:textId="77777777" w:rsidR="00C15182" w:rsidRDefault="00C15182" w:rsidP="00C15182">
      <w:pPr>
        <w:spacing w:after="120" w:line="360" w:lineRule="auto"/>
        <w:jc w:val="both"/>
        <w:rPr>
          <w:rtl/>
        </w:rPr>
      </w:pPr>
      <w:r>
        <w:rPr>
          <w:rtl/>
        </w:rPr>
        <w:lastRenderedPageBreak/>
        <w:t>ב"כ המאשימה הפנה לחומרת מעשיו של הנאשם ופגיעתם בערכים מוגנים. כמו כן הפנה למגמת ההחמרה בעבירות נשק</w:t>
      </w:r>
      <w:r>
        <w:rPr>
          <w:rFonts w:hint="cs"/>
          <w:rtl/>
        </w:rPr>
        <w:t xml:space="preserve"> ולכך שהחזקת נשק בצוותא מהווה גורם המגביר את הסיכון לשימוש בו. </w:t>
      </w:r>
      <w:r>
        <w:rPr>
          <w:rtl/>
        </w:rPr>
        <w:t xml:space="preserve">לאור אלה ביקש לקבוע מתחם עונש הולם של מאסר לתקופה שבין </w:t>
      </w:r>
      <w:r>
        <w:rPr>
          <w:rFonts w:hint="cs"/>
          <w:rtl/>
        </w:rPr>
        <w:t>24</w:t>
      </w:r>
      <w:r>
        <w:rPr>
          <w:rtl/>
        </w:rPr>
        <w:t xml:space="preserve"> חודשים ועד </w:t>
      </w:r>
      <w:r>
        <w:rPr>
          <w:rFonts w:hint="cs"/>
          <w:rtl/>
        </w:rPr>
        <w:t>48</w:t>
      </w:r>
      <w:r>
        <w:rPr>
          <w:rtl/>
        </w:rPr>
        <w:t xml:space="preserve"> חודשים</w:t>
      </w:r>
      <w:r>
        <w:rPr>
          <w:rFonts w:hint="cs"/>
          <w:rtl/>
        </w:rPr>
        <w:t xml:space="preserve"> ולהשית על הנאשם עונש של 30 חודשי מאסר</w:t>
      </w:r>
      <w:r>
        <w:rPr>
          <w:rtl/>
        </w:rPr>
        <w:t>.</w:t>
      </w:r>
    </w:p>
    <w:p w14:paraId="1F37ABD1" w14:textId="77777777" w:rsidR="00C15182" w:rsidRPr="00F1355F" w:rsidRDefault="00C15182" w:rsidP="00C15182">
      <w:pPr>
        <w:spacing w:after="120" w:line="360" w:lineRule="auto"/>
        <w:jc w:val="both"/>
        <w:rPr>
          <w:rtl/>
        </w:rPr>
      </w:pPr>
      <w:r w:rsidRPr="00F1355F">
        <w:rPr>
          <w:rtl/>
        </w:rPr>
        <w:t xml:space="preserve">ב"כ הנאשם מנגד שם את הדגש על </w:t>
      </w:r>
      <w:r w:rsidRPr="00F1355F">
        <w:rPr>
          <w:rFonts w:hint="cs"/>
          <w:rtl/>
        </w:rPr>
        <w:t>כך שהנשק הוחזק עם אחר, אשר גם אם שמו לא נכלל בכתב האישום, זהותו ידועה. כמו כן הפנה ל</w:t>
      </w:r>
      <w:r w:rsidRPr="00F1355F">
        <w:rPr>
          <w:rtl/>
        </w:rPr>
        <w:t xml:space="preserve">נסיבותיו האישיות של הנאשם, ובהן </w:t>
      </w:r>
      <w:r w:rsidRPr="00F1355F">
        <w:rPr>
          <w:rFonts w:hint="cs"/>
          <w:rtl/>
        </w:rPr>
        <w:t xml:space="preserve">גילו הצעיר, </w:t>
      </w:r>
      <w:r w:rsidRPr="00F1355F">
        <w:rPr>
          <w:rtl/>
        </w:rPr>
        <w:t xml:space="preserve">עברו הנקי, הודאתו </w:t>
      </w:r>
      <w:r w:rsidRPr="00F1355F">
        <w:rPr>
          <w:rFonts w:hint="cs"/>
          <w:rtl/>
        </w:rPr>
        <w:t>והעובדה שניהל אורח חיים נורמטיבי עד למעצרו</w:t>
      </w:r>
      <w:r w:rsidRPr="00F1355F">
        <w:rPr>
          <w:rtl/>
        </w:rPr>
        <w:t>. לעניין העונש המזערי הפנה לכך שאין חובה שכולו יוטל בפועל, וכי ניתן להטיל את רובו על תנאי.</w:t>
      </w:r>
    </w:p>
    <w:p w14:paraId="35C72EAB" w14:textId="77777777" w:rsidR="00C15182" w:rsidRDefault="00C15182" w:rsidP="00C15182">
      <w:pPr>
        <w:spacing w:after="120" w:line="360" w:lineRule="auto"/>
        <w:jc w:val="both"/>
        <w:rPr>
          <w:rtl/>
        </w:rPr>
      </w:pPr>
      <w:r w:rsidRPr="00F1355F">
        <w:rPr>
          <w:rtl/>
        </w:rPr>
        <w:t xml:space="preserve">בשים לב לכל אלה, ביקש </w:t>
      </w:r>
      <w:r w:rsidRPr="00F1355F">
        <w:rPr>
          <w:rFonts w:hint="cs"/>
          <w:rtl/>
        </w:rPr>
        <w:t>להקל עם הנאשם ככל שניתן.</w:t>
      </w:r>
    </w:p>
    <w:p w14:paraId="35562360" w14:textId="77777777" w:rsidR="00C15182" w:rsidRDefault="00C15182" w:rsidP="00C15182">
      <w:pPr>
        <w:spacing w:after="120" w:line="360" w:lineRule="auto"/>
        <w:jc w:val="both"/>
        <w:rPr>
          <w:rtl/>
        </w:rPr>
      </w:pPr>
      <w:r>
        <w:rPr>
          <w:rFonts w:hint="cs"/>
          <w:rtl/>
        </w:rPr>
        <w:t>לתמיכה בטיעונו צירף פסיקה עדכנית בעבירות נשק.</w:t>
      </w:r>
    </w:p>
    <w:p w14:paraId="4497D7C4" w14:textId="77777777" w:rsidR="00C15182" w:rsidRDefault="00C15182" w:rsidP="00C15182">
      <w:pPr>
        <w:spacing w:after="120" w:line="360" w:lineRule="auto"/>
        <w:jc w:val="both"/>
        <w:rPr>
          <w:rtl/>
        </w:rPr>
      </w:pPr>
      <w:r>
        <w:rPr>
          <w:rtl/>
        </w:rPr>
        <w:t>הנאשם הביע צער וחרטה על הטעות אותה עשה ואמר כי מקומו אינו בבית סוהר וכי הוא מבקש שתנתן לו הזדמנות.</w:t>
      </w:r>
    </w:p>
    <w:p w14:paraId="103D5565" w14:textId="77777777" w:rsidR="00C15182" w:rsidRDefault="00C15182" w:rsidP="00C15182">
      <w:pPr>
        <w:spacing w:after="120" w:line="360" w:lineRule="auto"/>
        <w:jc w:val="both"/>
        <w:rPr>
          <w:b/>
          <w:bCs/>
          <w:rtl/>
        </w:rPr>
      </w:pPr>
      <w:r>
        <w:rPr>
          <w:b/>
          <w:bCs/>
          <w:rtl/>
        </w:rPr>
        <w:t>מתחם העונש ההולם</w:t>
      </w:r>
    </w:p>
    <w:p w14:paraId="1C01B958" w14:textId="77777777" w:rsidR="00C15182" w:rsidRDefault="00C15182" w:rsidP="00C15182">
      <w:pPr>
        <w:spacing w:after="120" w:line="360" w:lineRule="auto"/>
        <w:jc w:val="both"/>
        <w:rPr>
          <w:rtl/>
        </w:rPr>
      </w:pPr>
      <w:r>
        <w:rPr>
          <w:rtl/>
        </w:rPr>
        <w:t>הנאשם החזיק</w:t>
      </w:r>
      <w:r>
        <w:rPr>
          <w:rFonts w:hint="cs"/>
          <w:rtl/>
        </w:rPr>
        <w:t>, יחד עם אחר,</w:t>
      </w:r>
      <w:r>
        <w:rPr>
          <w:rtl/>
        </w:rPr>
        <w:t xml:space="preserve"> </w:t>
      </w:r>
      <w:r>
        <w:rPr>
          <w:rFonts w:hint="cs"/>
          <w:rtl/>
        </w:rPr>
        <w:t>תת מקלע מאולתר ומחסנית ובה תחמושת</w:t>
      </w:r>
      <w:r>
        <w:rPr>
          <w:rtl/>
        </w:rPr>
        <w:t>. מעשה זה יוצר פוטנציאל ממשי לפגיעה ב</w:t>
      </w:r>
      <w:r>
        <w:rPr>
          <w:rFonts w:ascii="Arial" w:hAnsi="Arial"/>
          <w:rtl/>
        </w:rPr>
        <w:t>ערך המוגן החשוב מכל, שמירה על חיי אדם, שהרי החזקת נשק מקפלת בתוכה סיכון ממשי כי יעשה בו שימוש לביצוע עבירות פליליות, ובכך יביא לקיפוח נפש.</w:t>
      </w:r>
    </w:p>
    <w:p w14:paraId="09301A8C" w14:textId="77777777" w:rsidR="00C15182" w:rsidRDefault="00C15182" w:rsidP="00C15182">
      <w:pPr>
        <w:spacing w:after="120" w:line="360" w:lineRule="auto"/>
        <w:jc w:val="both"/>
        <w:rPr>
          <w:rtl/>
        </w:rPr>
      </w:pPr>
      <w:r>
        <w:rPr>
          <w:rFonts w:ascii="Arial" w:hAnsi="Arial"/>
          <w:rtl/>
        </w:rPr>
        <w:t>באופן עקיף עבירה זו גם מהווה קריאת תיגר על שלטון החוק, שהרי המדינה היא הריבון והיא שרשאית לקבוע מי ישא נשק ולאיזו מטרה - כעולה ממיקום העבירה בפרק ח' ל</w:t>
      </w:r>
      <w:hyperlink r:id="rId11" w:history="1">
        <w:r w:rsidR="00FA0E13" w:rsidRPr="00FA0E13">
          <w:rPr>
            <w:rFonts w:ascii="Arial" w:hAnsi="Arial"/>
            <w:color w:val="0000FF"/>
            <w:u w:val="single"/>
            <w:rtl/>
          </w:rPr>
          <w:t>חוק העונשין</w:t>
        </w:r>
      </w:hyperlink>
      <w:r>
        <w:rPr>
          <w:rFonts w:ascii="Arial" w:hAnsi="Arial"/>
          <w:rtl/>
        </w:rPr>
        <w:t xml:space="preserve">, הדן בעבירות שעניינן  "פגיעה בסדרי </w:t>
      </w:r>
      <w:r>
        <w:rPr>
          <w:rtl/>
        </w:rPr>
        <w:t>המשטר והחברה".</w:t>
      </w:r>
    </w:p>
    <w:p w14:paraId="15771B78" w14:textId="77777777" w:rsidR="00C15182" w:rsidRDefault="00C15182" w:rsidP="00C15182">
      <w:pPr>
        <w:spacing w:after="120" w:line="360" w:lineRule="auto"/>
        <w:jc w:val="both"/>
        <w:rPr>
          <w:rtl/>
        </w:rPr>
      </w:pPr>
      <w:r>
        <w:rPr>
          <w:rtl/>
        </w:rPr>
        <w:t>בית המשפט העליון עמד בשורה ארוכה של פסקי דין על חומרתן הרבה של עבירות הנשק והסכנה הטמונה בהן ועל הצורך להחמיר עם מבצעיהן. כמו כן, לאור ריבוי מקרים בהם שימוש בנשק לא חוקי הביא לאבדן חיי אדם, ישנה בשנים האחרונות מגמת החמרה בעבירות אלו, המתבטאת גם בתיקון 140 ל</w:t>
      </w:r>
      <w:hyperlink r:id="rId12" w:history="1">
        <w:r w:rsidR="00FA0E13" w:rsidRPr="00FA0E13">
          <w:rPr>
            <w:color w:val="0000FF"/>
            <w:u w:val="single"/>
            <w:rtl/>
          </w:rPr>
          <w:t>חוק העונשין</w:t>
        </w:r>
      </w:hyperlink>
      <w:r>
        <w:rPr>
          <w:rtl/>
        </w:rPr>
        <w:t xml:space="preserve"> אשר קבע עונש מזערי בצד עבירות נשק, אליו אתייחס בהמשך. </w:t>
      </w:r>
    </w:p>
    <w:p w14:paraId="15657D53" w14:textId="77777777" w:rsidR="00C15182" w:rsidRDefault="00C15182" w:rsidP="00C15182">
      <w:pPr>
        <w:pStyle w:val="Ruller4"/>
        <w:numPr>
          <w:ilvl w:val="0"/>
          <w:numId w:val="0"/>
        </w:numPr>
        <w:spacing w:after="120"/>
        <w:rPr>
          <w:rFonts w:ascii="David" w:hAnsi="David" w:cs="David"/>
          <w:szCs w:val="24"/>
          <w:rtl/>
        </w:rPr>
      </w:pPr>
      <w:r>
        <w:rPr>
          <w:rFonts w:ascii="David" w:hAnsi="David" w:cs="David"/>
          <w:szCs w:val="24"/>
          <w:rtl/>
        </w:rPr>
        <w:t xml:space="preserve">ר' למשל </w:t>
      </w:r>
      <w:hyperlink r:id="rId13" w:history="1">
        <w:r w:rsidR="00FA0E13" w:rsidRPr="00FA0E13">
          <w:rPr>
            <w:rFonts w:ascii="David" w:hAnsi="David" w:cs="David"/>
            <w:color w:val="0000FF"/>
            <w:szCs w:val="24"/>
            <w:u w:val="single"/>
            <w:rtl/>
          </w:rPr>
          <w:t>ע"פ 309/22</w:t>
        </w:r>
      </w:hyperlink>
      <w:r>
        <w:rPr>
          <w:rFonts w:ascii="David" w:hAnsi="David" w:cs="David"/>
          <w:szCs w:val="24"/>
          <w:rtl/>
        </w:rPr>
        <w:t>, ביאדסה (10.5.22), אשר ניתן אך לפני כחודשיים, וענשו של מי שנשא שני כלי נשק הוחמר מ- 19 חודשי מאסר ל- 30 חודשים (פסקאות 6-7 לפסק הדין):</w:t>
      </w:r>
    </w:p>
    <w:p w14:paraId="71858B80" w14:textId="77777777" w:rsidR="00C15182" w:rsidRDefault="00C15182" w:rsidP="00C15182">
      <w:pPr>
        <w:pStyle w:val="Ruller4"/>
        <w:numPr>
          <w:ilvl w:val="0"/>
          <w:numId w:val="0"/>
        </w:numPr>
        <w:spacing w:after="120"/>
        <w:ind w:left="567" w:right="567"/>
        <w:rPr>
          <w:rFonts w:ascii="David" w:hAnsi="David" w:cs="David"/>
          <w:b/>
          <w:bCs/>
          <w:szCs w:val="24"/>
          <w:rtl/>
        </w:rPr>
      </w:pPr>
      <w:r>
        <w:rPr>
          <w:rFonts w:ascii="David" w:hAnsi="David" w:cs="David"/>
          <w:b/>
          <w:bCs/>
          <w:szCs w:val="24"/>
          <w:rtl/>
        </w:rPr>
        <w:t>בשורה ארוכה של פסקי דין עמד בית משפט זה על החומרה הרבה הגלומה בעבירות הנשק. ביסוד עבירות אלו עומדת פגיעה בחיי האדם ובשלמות גופו, כמו גם בביטחון הציבור ובסדר הציבורי בכללותו (</w:t>
      </w:r>
      <w:hyperlink r:id="rId14" w:history="1">
        <w:r w:rsidR="00FA0E13" w:rsidRPr="00FA0E13">
          <w:rPr>
            <w:rFonts w:ascii="David" w:hAnsi="David" w:cs="David"/>
            <w:b/>
            <w:bCs/>
            <w:color w:val="0000FF"/>
            <w:szCs w:val="24"/>
            <w:u w:val="single"/>
            <w:rtl/>
          </w:rPr>
          <w:t>ע"פ 1695/22</w:t>
        </w:r>
      </w:hyperlink>
      <w:r>
        <w:rPr>
          <w:rFonts w:ascii="David" w:hAnsi="David" w:cs="David"/>
          <w:b/>
          <w:bCs/>
          <w:szCs w:val="24"/>
          <w:rtl/>
        </w:rPr>
        <w:t xml:space="preserve"> </w:t>
      </w:r>
      <w:r>
        <w:rPr>
          <w:rFonts w:ascii="David" w:hAnsi="David" w:cs="David"/>
          <w:b/>
          <w:bCs/>
          <w:spacing w:val="0"/>
          <w:szCs w:val="24"/>
          <w:rtl/>
        </w:rPr>
        <w:t>מדינת ישראל נ' גנאים</w:t>
      </w:r>
      <w:r>
        <w:rPr>
          <w:rFonts w:ascii="David" w:hAnsi="David" w:cs="David"/>
          <w:b/>
          <w:bCs/>
          <w:szCs w:val="24"/>
          <w:rtl/>
        </w:rPr>
        <w:t xml:space="preserve">, פסקה 11 </w:t>
      </w:r>
      <w:r>
        <w:rPr>
          <w:rFonts w:ascii="David" w:hAnsi="David" w:cs="David"/>
          <w:b/>
          <w:bCs/>
          <w:spacing w:val="0"/>
          <w:szCs w:val="24"/>
          <w:rtl/>
        </w:rPr>
        <w:t xml:space="preserve">[פורסם בנבו] </w:t>
      </w:r>
      <w:r>
        <w:rPr>
          <w:rFonts w:ascii="David" w:hAnsi="David" w:cs="David"/>
          <w:b/>
          <w:bCs/>
          <w:szCs w:val="24"/>
          <w:rtl/>
        </w:rPr>
        <w:t xml:space="preserve">(29.3.2022) (להלן: עניין </w:t>
      </w:r>
      <w:r>
        <w:rPr>
          <w:rFonts w:ascii="David" w:hAnsi="David" w:cs="David"/>
          <w:b/>
          <w:bCs/>
          <w:spacing w:val="0"/>
          <w:szCs w:val="24"/>
          <w:rtl/>
        </w:rPr>
        <w:t>גנאים</w:t>
      </w:r>
      <w:r>
        <w:rPr>
          <w:rFonts w:ascii="David" w:hAnsi="David" w:cs="David"/>
          <w:b/>
          <w:bCs/>
          <w:szCs w:val="24"/>
          <w:rtl/>
        </w:rPr>
        <w:t xml:space="preserve">); </w:t>
      </w:r>
      <w:hyperlink r:id="rId15" w:history="1">
        <w:r w:rsidR="00FA0E13" w:rsidRPr="00FA0E13">
          <w:rPr>
            <w:rFonts w:ascii="David" w:hAnsi="David" w:cs="David"/>
            <w:b/>
            <w:bCs/>
            <w:color w:val="0000FF"/>
            <w:szCs w:val="24"/>
            <w:u w:val="single"/>
            <w:rtl/>
          </w:rPr>
          <w:t>ע"פ 5522/20</w:t>
        </w:r>
      </w:hyperlink>
      <w:r>
        <w:rPr>
          <w:rFonts w:ascii="David" w:hAnsi="David" w:cs="David"/>
          <w:b/>
          <w:bCs/>
          <w:szCs w:val="24"/>
          <w:rtl/>
        </w:rPr>
        <w:t xml:space="preserve"> </w:t>
      </w:r>
      <w:r>
        <w:rPr>
          <w:rFonts w:ascii="David" w:hAnsi="David" w:cs="David"/>
          <w:b/>
          <w:bCs/>
          <w:spacing w:val="0"/>
          <w:szCs w:val="24"/>
          <w:rtl/>
        </w:rPr>
        <w:t>חלייחל נ' מדינת ישראל</w:t>
      </w:r>
      <w:r>
        <w:rPr>
          <w:rFonts w:ascii="David" w:hAnsi="David" w:cs="David"/>
          <w:b/>
          <w:bCs/>
          <w:szCs w:val="24"/>
          <w:rtl/>
        </w:rPr>
        <w:t xml:space="preserve">, פסקה 7 </w:t>
      </w:r>
      <w:r>
        <w:rPr>
          <w:rFonts w:ascii="David" w:hAnsi="David" w:cs="David"/>
          <w:b/>
          <w:bCs/>
          <w:spacing w:val="0"/>
          <w:szCs w:val="24"/>
          <w:rtl/>
        </w:rPr>
        <w:t xml:space="preserve">[פורסם בנבו] </w:t>
      </w:r>
      <w:r>
        <w:rPr>
          <w:rFonts w:ascii="David" w:hAnsi="David" w:cs="David"/>
          <w:b/>
          <w:bCs/>
          <w:szCs w:val="24"/>
          <w:rtl/>
        </w:rPr>
        <w:t xml:space="preserve">(24.2.2021) (להלן: עניין </w:t>
      </w:r>
      <w:r>
        <w:rPr>
          <w:rFonts w:ascii="David" w:hAnsi="David" w:cs="David"/>
          <w:b/>
          <w:bCs/>
          <w:spacing w:val="0"/>
          <w:szCs w:val="24"/>
          <w:rtl/>
        </w:rPr>
        <w:t>חלייחל</w:t>
      </w:r>
      <w:r>
        <w:rPr>
          <w:rFonts w:ascii="David" w:hAnsi="David" w:cs="David"/>
          <w:b/>
          <w:bCs/>
          <w:szCs w:val="24"/>
          <w:rtl/>
        </w:rPr>
        <w:t xml:space="preserve">); </w:t>
      </w:r>
      <w:hyperlink r:id="rId16" w:history="1">
        <w:r w:rsidR="00FA0E13" w:rsidRPr="00FA0E13">
          <w:rPr>
            <w:rFonts w:ascii="David" w:hAnsi="David" w:cs="David"/>
            <w:b/>
            <w:bCs/>
            <w:color w:val="0000FF"/>
            <w:szCs w:val="24"/>
            <w:u w:val="single"/>
            <w:rtl/>
          </w:rPr>
          <w:t>ע"פ 4406/19</w:t>
        </w:r>
      </w:hyperlink>
      <w:r>
        <w:rPr>
          <w:rFonts w:ascii="David" w:hAnsi="David" w:cs="David"/>
          <w:b/>
          <w:bCs/>
          <w:szCs w:val="24"/>
          <w:rtl/>
        </w:rPr>
        <w:t xml:space="preserve"> </w:t>
      </w:r>
      <w:r>
        <w:rPr>
          <w:rFonts w:ascii="David" w:hAnsi="David" w:cs="David"/>
          <w:b/>
          <w:bCs/>
          <w:spacing w:val="0"/>
          <w:szCs w:val="24"/>
          <w:rtl/>
        </w:rPr>
        <w:t>סובח נ' מדינת ישראל</w:t>
      </w:r>
      <w:r>
        <w:rPr>
          <w:rFonts w:ascii="David" w:hAnsi="David" w:cs="David"/>
          <w:b/>
          <w:bCs/>
          <w:szCs w:val="24"/>
          <w:rtl/>
        </w:rPr>
        <w:t xml:space="preserve">, פסקה 17 </w:t>
      </w:r>
      <w:r>
        <w:rPr>
          <w:rFonts w:ascii="David" w:hAnsi="David" w:cs="David"/>
          <w:b/>
          <w:bCs/>
          <w:spacing w:val="0"/>
          <w:szCs w:val="24"/>
          <w:rtl/>
        </w:rPr>
        <w:t xml:space="preserve">[פורסם בנבו] </w:t>
      </w:r>
      <w:r>
        <w:rPr>
          <w:rFonts w:ascii="David" w:hAnsi="David" w:cs="David"/>
          <w:b/>
          <w:bCs/>
          <w:szCs w:val="24"/>
          <w:rtl/>
        </w:rPr>
        <w:t xml:space="preserve">(5.11.2019) (להלן: עניין </w:t>
      </w:r>
      <w:r>
        <w:rPr>
          <w:rFonts w:ascii="David" w:hAnsi="David" w:cs="David"/>
          <w:b/>
          <w:bCs/>
          <w:spacing w:val="0"/>
          <w:szCs w:val="24"/>
          <w:rtl/>
        </w:rPr>
        <w:t>סובח</w:t>
      </w:r>
      <w:r>
        <w:rPr>
          <w:rFonts w:ascii="David" w:hAnsi="David" w:cs="David"/>
          <w:b/>
          <w:bCs/>
          <w:szCs w:val="24"/>
          <w:rtl/>
        </w:rPr>
        <w:t xml:space="preserve">)). עבירות אלו חמורות במיוחד, בין היתר </w:t>
      </w:r>
      <w:r>
        <w:rPr>
          <w:rFonts w:ascii="David" w:hAnsi="David" w:cs="David"/>
          <w:b/>
          <w:bCs/>
          <w:szCs w:val="24"/>
          <w:rtl/>
        </w:rPr>
        <w:lastRenderedPageBreak/>
        <w:t>משום שהן עשויות לשמש בסיס לביצוע פעילות עבריינית או פעילות טרור (</w:t>
      </w:r>
      <w:hyperlink r:id="rId17" w:history="1">
        <w:r w:rsidR="00FA0E13" w:rsidRPr="00FA0E13">
          <w:rPr>
            <w:rFonts w:ascii="David" w:hAnsi="David" w:cs="David"/>
            <w:b/>
            <w:bCs/>
            <w:color w:val="0000FF"/>
            <w:szCs w:val="24"/>
            <w:u w:val="single"/>
            <w:rtl/>
          </w:rPr>
          <w:t>ע"פ 8017/20</w:t>
        </w:r>
      </w:hyperlink>
      <w:r>
        <w:rPr>
          <w:rFonts w:ascii="David" w:hAnsi="David" w:cs="David"/>
          <w:b/>
          <w:bCs/>
          <w:szCs w:val="24"/>
          <w:rtl/>
        </w:rPr>
        <w:t xml:space="preserve"> </w:t>
      </w:r>
      <w:r>
        <w:rPr>
          <w:rFonts w:ascii="David" w:hAnsi="David" w:cs="David"/>
          <w:b/>
          <w:bCs/>
          <w:spacing w:val="0"/>
          <w:szCs w:val="24"/>
          <w:rtl/>
        </w:rPr>
        <w:t>מדינת ישראל נ' גריפאת</w:t>
      </w:r>
      <w:r>
        <w:rPr>
          <w:rFonts w:ascii="David" w:hAnsi="David" w:cs="David"/>
          <w:b/>
          <w:bCs/>
          <w:szCs w:val="24"/>
          <w:rtl/>
        </w:rPr>
        <w:t xml:space="preserve">, פסקה 6 </w:t>
      </w:r>
      <w:r>
        <w:rPr>
          <w:rFonts w:ascii="David" w:hAnsi="David" w:cs="David"/>
          <w:b/>
          <w:bCs/>
          <w:spacing w:val="0"/>
          <w:szCs w:val="24"/>
          <w:rtl/>
        </w:rPr>
        <w:t xml:space="preserve">[פורסם בנבו] </w:t>
      </w:r>
      <w:r>
        <w:rPr>
          <w:rFonts w:ascii="David" w:hAnsi="David" w:cs="David"/>
          <w:b/>
          <w:bCs/>
          <w:szCs w:val="24"/>
          <w:rtl/>
        </w:rPr>
        <w:t xml:space="preserve">(22.12.2020); </w:t>
      </w:r>
      <w:hyperlink r:id="rId18" w:history="1">
        <w:r w:rsidR="00FA0E13" w:rsidRPr="00FA0E13">
          <w:rPr>
            <w:rFonts w:ascii="David" w:hAnsi="David" w:cs="David"/>
            <w:b/>
            <w:bCs/>
            <w:color w:val="0000FF"/>
            <w:szCs w:val="24"/>
            <w:u w:val="single"/>
            <w:rtl/>
          </w:rPr>
          <w:t>ע"פ 135/17</w:t>
        </w:r>
      </w:hyperlink>
      <w:r>
        <w:rPr>
          <w:rFonts w:ascii="David" w:hAnsi="David" w:cs="David"/>
          <w:b/>
          <w:bCs/>
          <w:szCs w:val="24"/>
          <w:rtl/>
        </w:rPr>
        <w:t xml:space="preserve"> </w:t>
      </w:r>
      <w:r>
        <w:rPr>
          <w:rFonts w:ascii="David" w:hAnsi="David" w:cs="David"/>
          <w:b/>
          <w:bCs/>
          <w:spacing w:val="0"/>
          <w:szCs w:val="24"/>
          <w:rtl/>
        </w:rPr>
        <w:t>מדינת ישראל נ' בסל</w:t>
      </w:r>
      <w:r>
        <w:rPr>
          <w:rFonts w:ascii="David" w:hAnsi="David" w:cs="David"/>
          <w:b/>
          <w:bCs/>
          <w:szCs w:val="24"/>
          <w:rtl/>
        </w:rPr>
        <w:t xml:space="preserve">, פסקה 10 </w:t>
      </w:r>
      <w:r>
        <w:rPr>
          <w:rFonts w:ascii="David" w:hAnsi="David" w:cs="David"/>
          <w:b/>
          <w:bCs/>
          <w:spacing w:val="0"/>
          <w:szCs w:val="24"/>
          <w:rtl/>
        </w:rPr>
        <w:t xml:space="preserve">[פורסם בנבו] </w:t>
      </w:r>
      <w:r>
        <w:rPr>
          <w:rFonts w:ascii="David" w:hAnsi="David" w:cs="David"/>
          <w:b/>
          <w:bCs/>
          <w:szCs w:val="24"/>
          <w:rtl/>
        </w:rPr>
        <w:t>(8.3.2017)). אך באחרונה עמד בית משפט זה על כך שעבירות אלו הן בבחינת "מכת מדינה" ועל הצורך בהחמרת הענישה בעניינן:</w:t>
      </w:r>
    </w:p>
    <w:p w14:paraId="2B45B01A" w14:textId="77777777" w:rsidR="00C15182" w:rsidRDefault="00C15182" w:rsidP="00C15182">
      <w:pPr>
        <w:pStyle w:val="Ruller50"/>
        <w:spacing w:after="120" w:line="360" w:lineRule="auto"/>
        <w:ind w:left="1134" w:right="1134"/>
        <w:rPr>
          <w:rFonts w:ascii="David" w:hAnsi="David" w:cs="David"/>
          <w:b/>
          <w:bCs/>
          <w:sz w:val="24"/>
          <w:szCs w:val="24"/>
        </w:rPr>
      </w:pPr>
      <w:r>
        <w:rPr>
          <w:rFonts w:ascii="David" w:hAnsi="David" w:cs="David"/>
          <w:b/>
          <w:bCs/>
          <w:sz w:val="24"/>
          <w:szCs w:val="24"/>
          <w:rtl/>
        </w:rPr>
        <w:t xml:space="preserve">"החזקת נשק שלא כדין מאיימת על שלום הציבור ובטחונו [...]. לנוכח היקפן המתרחב של עבירות המבוצעות בנשק, הזמינות הבלתי נסבלת של נשק בידי מי שאינו מורשה לכך, מהווה כאמור סיכון של ממש ומגבירה את הסיכון לביצוע עבירות חמורות נוספות [...] כמו גם לאסונות נוראיים. יעידו על כך ריבוי המקרים במגזר הערבי בעת האחרונה, כאשר אזרחים תמימים – כמו ילד רך בשנים ועלמה צעירה – נפגעים ואף מוצאים את מותם בביתם-מבצרם או בגן השעשועים, כל זאת כתוצאה משימוש בנשק של אחרים. מציאות קשה זו מחייבת לנקוט ביד מחמירה כלפי מעורבים בעבירות נשק, אף אם הם נעדרי עבר פלילי [...]. ענייננו ב'מכת מדינה' שהצורך להילחם בה על מנת להגן על הציבור, מצריך מענה הולם והטלת עונשי מאסר משמעותיים [...]. ידע כל מי שמחזיק בנשק בלתי חוקי כי צפוי הוא להיענש בחומרה, בבחינת 'אם מחזיקים – למאסר נשלחים'" (עניין </w:t>
      </w:r>
      <w:r>
        <w:rPr>
          <w:rFonts w:ascii="David" w:hAnsi="David" w:cs="David"/>
          <w:b/>
          <w:bCs/>
          <w:spacing w:val="0"/>
          <w:sz w:val="24"/>
          <w:szCs w:val="24"/>
          <w:rtl/>
        </w:rPr>
        <w:t>קדורה</w:t>
      </w:r>
      <w:r>
        <w:rPr>
          <w:rFonts w:ascii="David" w:hAnsi="David" w:cs="David"/>
          <w:b/>
          <w:bCs/>
          <w:sz w:val="24"/>
          <w:szCs w:val="24"/>
          <w:rtl/>
        </w:rPr>
        <w:t>, פסקה 6).</w:t>
      </w:r>
    </w:p>
    <w:p w14:paraId="2B81A000" w14:textId="77777777" w:rsidR="00C15182" w:rsidRDefault="00C15182" w:rsidP="00C15182">
      <w:pPr>
        <w:pStyle w:val="Ruller4"/>
        <w:numPr>
          <w:ilvl w:val="0"/>
          <w:numId w:val="0"/>
        </w:numPr>
        <w:spacing w:after="120"/>
        <w:ind w:left="567" w:right="567"/>
        <w:rPr>
          <w:rFonts w:ascii="David" w:hAnsi="David" w:cs="David"/>
          <w:b/>
          <w:bCs/>
          <w:szCs w:val="24"/>
        </w:rPr>
      </w:pPr>
      <w:r>
        <w:rPr>
          <w:rFonts w:ascii="David" w:hAnsi="David" w:cs="David"/>
          <w:b/>
          <w:bCs/>
          <w:szCs w:val="24"/>
          <w:rtl/>
        </w:rPr>
        <w:t>בהקשר זה אוסיף כי בחודש דצמבר 2021 קבע המחוקק עונשי מינימום בעבירות נשק, כך שהעונש שיושת בגין עבירות אלו יתחיל מרבע העונש המרבי שנקבע לעבירה, אלא אם החליט בית המשפט מטעמים מיוחדים שיירשמו להקל בעונש (</w:t>
      </w:r>
      <w:r w:rsidRPr="00FA0E13">
        <w:rPr>
          <w:rFonts w:ascii="David" w:hAnsi="David" w:cs="David"/>
          <w:b/>
          <w:bCs/>
          <w:color w:val="000000"/>
          <w:szCs w:val="24"/>
          <w:rtl/>
        </w:rPr>
        <w:t>סעיף 144(ז)</w:t>
      </w:r>
      <w:r>
        <w:rPr>
          <w:rFonts w:ascii="David" w:hAnsi="David" w:cs="David"/>
          <w:b/>
          <w:bCs/>
          <w:szCs w:val="24"/>
          <w:rtl/>
        </w:rPr>
        <w:t xml:space="preserve"> ל</w:t>
      </w:r>
      <w:hyperlink r:id="rId19" w:history="1">
        <w:r w:rsidR="00FA0E13" w:rsidRPr="00FA0E13">
          <w:rPr>
            <w:rFonts w:ascii="David" w:hAnsi="David" w:cs="David"/>
            <w:b/>
            <w:bCs/>
            <w:color w:val="0000FF"/>
            <w:szCs w:val="24"/>
            <w:u w:val="single"/>
            <w:rtl/>
          </w:rPr>
          <w:t>חוק העונשין</w:t>
        </w:r>
      </w:hyperlink>
      <w:r>
        <w:rPr>
          <w:rFonts w:ascii="David" w:hAnsi="David" w:cs="David"/>
          <w:b/>
          <w:bCs/>
          <w:szCs w:val="24"/>
          <w:rtl/>
        </w:rPr>
        <w:t xml:space="preserve">; חוק העונשין (תיקון מס' 140 – הוראת שעה), התשפ"ב-2021; עניין </w:t>
      </w:r>
      <w:r>
        <w:rPr>
          <w:rFonts w:ascii="David" w:hAnsi="David" w:cs="David"/>
          <w:b/>
          <w:bCs/>
          <w:spacing w:val="0"/>
          <w:szCs w:val="24"/>
          <w:rtl/>
        </w:rPr>
        <w:t>קדורה</w:t>
      </w:r>
      <w:r>
        <w:rPr>
          <w:rFonts w:ascii="David" w:hAnsi="David" w:cs="David"/>
          <w:b/>
          <w:bCs/>
          <w:szCs w:val="24"/>
          <w:rtl/>
        </w:rPr>
        <w:t xml:space="preserve">, פסקה 6; </w:t>
      </w:r>
      <w:hyperlink r:id="rId20" w:history="1">
        <w:r w:rsidR="00FA0E13" w:rsidRPr="00FA0E13">
          <w:rPr>
            <w:rFonts w:ascii="David" w:hAnsi="David" w:cs="David"/>
            <w:b/>
            <w:bCs/>
            <w:color w:val="0000FF"/>
            <w:szCs w:val="24"/>
            <w:u w:val="single"/>
            <w:rtl/>
          </w:rPr>
          <w:t>ע"פ 4456/21</w:t>
        </w:r>
      </w:hyperlink>
      <w:r>
        <w:rPr>
          <w:rFonts w:ascii="David" w:hAnsi="David" w:cs="David"/>
          <w:b/>
          <w:bCs/>
          <w:szCs w:val="24"/>
          <w:rtl/>
        </w:rPr>
        <w:t xml:space="preserve"> </w:t>
      </w:r>
      <w:r>
        <w:rPr>
          <w:rFonts w:ascii="David" w:hAnsi="David" w:cs="David"/>
          <w:b/>
          <w:bCs/>
          <w:spacing w:val="0"/>
          <w:szCs w:val="24"/>
          <w:rtl/>
        </w:rPr>
        <w:t>מדינת ישראל נ' אבו עבסה</w:t>
      </w:r>
      <w:r>
        <w:rPr>
          <w:rFonts w:ascii="David" w:hAnsi="David" w:cs="David"/>
          <w:b/>
          <w:bCs/>
          <w:szCs w:val="24"/>
          <w:rtl/>
        </w:rPr>
        <w:t xml:space="preserve">, פסקה 15 </w:t>
      </w:r>
      <w:r>
        <w:rPr>
          <w:rFonts w:ascii="David" w:hAnsi="David" w:cs="David"/>
          <w:b/>
          <w:bCs/>
          <w:spacing w:val="0"/>
          <w:szCs w:val="24"/>
          <w:rtl/>
        </w:rPr>
        <w:t xml:space="preserve">[פורסם בנבו] </w:t>
      </w:r>
      <w:r>
        <w:rPr>
          <w:rFonts w:ascii="David" w:hAnsi="David" w:cs="David"/>
          <w:b/>
          <w:bCs/>
          <w:szCs w:val="24"/>
          <w:rtl/>
        </w:rPr>
        <w:t xml:space="preserve">(23.1.2022)). הגם שתיקון זה אינו חל בעניינו של המשיב – שהמעשים שבהם הורשע בוצעו עובר לחקיקתו – הוא משקף את רצון המחוקק בהחמרת הענישה בעבירות נשק. </w:t>
      </w:r>
    </w:p>
    <w:p w14:paraId="26E3EF93" w14:textId="77777777" w:rsidR="00C15182" w:rsidRDefault="00C15182" w:rsidP="00C15182">
      <w:pPr>
        <w:spacing w:after="120" w:line="360" w:lineRule="auto"/>
        <w:jc w:val="both"/>
      </w:pPr>
      <w:r>
        <w:rPr>
          <w:rtl/>
        </w:rPr>
        <w:t xml:space="preserve">ר' גם </w:t>
      </w:r>
      <w:hyperlink r:id="rId21" w:history="1">
        <w:r w:rsidR="00FA0E13" w:rsidRPr="00FA0E13">
          <w:rPr>
            <w:color w:val="0000FF"/>
            <w:u w:val="single"/>
            <w:rtl/>
          </w:rPr>
          <w:t>ע"פ 147/21</w:t>
        </w:r>
      </w:hyperlink>
      <w:r>
        <w:rPr>
          <w:rtl/>
        </w:rPr>
        <w:t xml:space="preserve">, מדינת ישראל נ' ירין ביטון, שם </w:t>
      </w:r>
      <w:r>
        <w:rPr>
          <w:u w:val="single"/>
          <w:rtl/>
        </w:rPr>
        <w:t>הוכפל</w:t>
      </w:r>
      <w:r>
        <w:rPr>
          <w:rtl/>
        </w:rPr>
        <w:t xml:space="preserve"> לאחרונה ענשו של נאשם שרכש אקדח ולבנת חבלה, משנה וחצי לשלוש שנים, ונפסק:</w:t>
      </w:r>
    </w:p>
    <w:p w14:paraId="116AB080" w14:textId="77777777" w:rsidR="00C15182" w:rsidRDefault="00C15182" w:rsidP="00C15182">
      <w:pPr>
        <w:spacing w:after="120" w:line="360" w:lineRule="auto"/>
        <w:ind w:left="567" w:right="567"/>
        <w:jc w:val="both"/>
        <w:rPr>
          <w:b/>
          <w:bCs/>
          <w:rtl/>
        </w:rPr>
      </w:pPr>
      <w:r>
        <w:rPr>
          <w:b/>
          <w:bCs/>
          <w:rtl/>
        </w:rPr>
        <w:t xml:space="preserve">עבירות נשק לסוגיהן היו זה מכבר למכת מדינה. האיסורים על עבירות כאמור באים להגן על ערכים חברתיים שכוללים שמירה על חיי אדם ועל שלמות גופו, וכן שמירה על סדרי חיים תקינים ושלווים שאינם מופרעים על ידי איש האוחז באקדח, ברובה, או בתת-מקלע. יתירה מכך: עסקינן באיסורים על מעשי הכנה לקראת ביצועם של מעשים פליליים חמורים ומסוכנים עד-מאד, אשר נעשים באמצעות כלי ירייה ואשר כוללים איומים, תקיפה, ירי במקום מגורים, גרימת חבלה והמתה. בדרך כלל, מעשי הכנה שאינם מגיעים כדי ניסיון לעבור עבירה פלילית אינם בני עונשין; ואולם, לא כך הוא כאשר מדובר במעשי הכנה שחומרתם מגיעה כדי סיכון ממשי וחמור לפרט ולחברה כאחד (ראו: ש"ז </w:t>
      </w:r>
      <w:hyperlink w:history="1">
        <w:r w:rsidRPr="00FA0E13">
          <w:rPr>
            <w:b/>
            <w:bCs/>
            <w:color w:val="000000"/>
            <w:rtl/>
          </w:rPr>
          <w:t>פלר יסודות בדיני עונשין</w:t>
        </w:r>
      </w:hyperlink>
      <w:r>
        <w:rPr>
          <w:b/>
          <w:bCs/>
          <w:rtl/>
        </w:rPr>
        <w:t xml:space="preserve"> 52-48 (כרך ב', תשמ"ז)). על מעשי הכנה כאלה נענשים בחומרה, ואין זה מקרי שעצם הרכישה או ההחזקה של כלי נשק בלא רשות על פי דין להחזקתו גוררת אחריה עונש מרבי של שבע שנות מאסר, כאמור </w:t>
      </w:r>
      <w:hyperlink w:history="1">
        <w:r w:rsidRPr="00FA0E13">
          <w:rPr>
            <w:b/>
            <w:bCs/>
            <w:color w:val="000000"/>
            <w:rtl/>
          </w:rPr>
          <w:t>בסעיף 144(א)</w:t>
        </w:r>
      </w:hyperlink>
      <w:r>
        <w:rPr>
          <w:b/>
          <w:bCs/>
          <w:rtl/>
        </w:rPr>
        <w:t xml:space="preserve"> ל</w:t>
      </w:r>
      <w:hyperlink w:history="1">
        <w:r w:rsidRPr="00FA0E13">
          <w:rPr>
            <w:b/>
            <w:bCs/>
            <w:color w:val="000000"/>
            <w:rtl/>
          </w:rPr>
          <w:t>חוק העונשין</w:t>
        </w:r>
      </w:hyperlink>
      <w:r>
        <w:rPr>
          <w:b/>
          <w:bCs/>
          <w:rtl/>
        </w:rPr>
        <w:t>. עונש זה ועונשים אחרים, שחלקם חמורים אף יותר, אשר מוטלים על עברייני נשק, מהווים חלק ממלחמתה הבלתי מתפשרת של החברה בנגע ששמו זילות חיי אדם והקלות הבלתי נסבלת של הלחיצה על ההדק (ראו דברי השופט י' אלרון ב</w:t>
      </w:r>
      <w:hyperlink w:history="1">
        <w:r w:rsidRPr="00FA0E13">
          <w:rPr>
            <w:b/>
            <w:bCs/>
            <w:color w:val="000000"/>
            <w:rtl/>
          </w:rPr>
          <w:t>ע"פ 4406/19</w:t>
        </w:r>
      </w:hyperlink>
      <w:r>
        <w:rPr>
          <w:b/>
          <w:bCs/>
          <w:rtl/>
        </w:rPr>
        <w:t xml:space="preserve"> מדינת ישראל נ' סובח [פורסם בנבו] (5.11.2019) (להלן: עניין סובח)). </w:t>
      </w:r>
    </w:p>
    <w:p w14:paraId="4501C6A9" w14:textId="77777777" w:rsidR="00C15182" w:rsidRDefault="00C15182" w:rsidP="00C15182">
      <w:pPr>
        <w:spacing w:after="120" w:line="360" w:lineRule="auto"/>
        <w:ind w:left="567" w:right="567"/>
        <w:jc w:val="both"/>
        <w:rPr>
          <w:b/>
          <w:bCs/>
          <w:rtl/>
        </w:rPr>
      </w:pPr>
      <w:r>
        <w:rPr>
          <w:b/>
          <w:bCs/>
          <w:rtl/>
        </w:rPr>
        <w:t>לזאת אוסיף, כי עונשי מאסר מרביים אינם באים לקבוע אך ורק את גבולה העליון של סמכות הענישה שבידי בתי המשפט. עונשים כאמור מבטאים את רמת הענישה הראויה במקרים החמורים ביותר של ביצוע העבירה שבה עסקינן, ומהם ניתן וראוי לגזור את מתחם העונשים עבור מקרים פחות חמורים (ראו פסקה 16 לפסק דיני ב</w:t>
      </w:r>
      <w:hyperlink w:history="1">
        <w:r w:rsidRPr="00FA0E13">
          <w:rPr>
            <w:b/>
            <w:bCs/>
            <w:color w:val="000000"/>
            <w:rtl/>
          </w:rPr>
          <w:t>ע"פ 3124/18</w:t>
        </w:r>
      </w:hyperlink>
      <w:r>
        <w:rPr>
          <w:b/>
          <w:bCs/>
          <w:rtl/>
        </w:rPr>
        <w:t xml:space="preserve"> פלוני נ' מדינת ישראל [פורסם בנבו] (14.8.2019), והאסמכתאות שם (להלן: עניין פלוני)). מובן מאליו הוא, שגזירה כאמור אינה נעשית בדרך של התאמה מתמטית. מדובר אך ורק בזיקה עניינית לחומרת העבירה, כפי שנקבעה על ידי המחוקק שאת דברו אנו מקיימים. הקפדה על זיקה כאמור היא חלק מהבניית שיקול הדעת השיפוטי בענישה, אשר נעשתה בגדרו של תיקון 113 ל</w:t>
      </w:r>
      <w:hyperlink w:history="1">
        <w:r w:rsidRPr="00FA0E13">
          <w:rPr>
            <w:b/>
            <w:bCs/>
            <w:color w:val="000000"/>
            <w:rtl/>
          </w:rPr>
          <w:t>חוק העונשין</w:t>
        </w:r>
      </w:hyperlink>
      <w:r>
        <w:rPr>
          <w:b/>
          <w:bCs/>
          <w:rtl/>
        </w:rPr>
        <w:t xml:space="preserve"> (ראו: </w:t>
      </w:r>
      <w:hyperlink w:history="1">
        <w:r w:rsidRPr="00FA0E13">
          <w:rPr>
            <w:b/>
            <w:bCs/>
            <w:color w:val="000000"/>
            <w:rtl/>
          </w:rPr>
          <w:t>ע"פ 8641/12 סעד נ' מדינת ישראל, פ"ד סו</w:t>
        </w:r>
      </w:hyperlink>
      <w:r>
        <w:rPr>
          <w:b/>
          <w:bCs/>
          <w:rtl/>
        </w:rPr>
        <w:t xml:space="preserve">(2) 772 (2013)). </w:t>
      </w:r>
    </w:p>
    <w:p w14:paraId="702F2905" w14:textId="77777777" w:rsidR="00C15182" w:rsidRDefault="00C15182" w:rsidP="00C15182">
      <w:pPr>
        <w:spacing w:after="120" w:line="360" w:lineRule="auto"/>
        <w:jc w:val="both"/>
        <w:rPr>
          <w:rtl/>
        </w:rPr>
      </w:pPr>
      <w:r>
        <w:rPr>
          <w:rtl/>
        </w:rPr>
        <w:t>ור' גם את פסק דינו של בית המשפט המחוזי בחיפה, ב</w:t>
      </w:r>
      <w:hyperlink r:id="rId22" w:history="1">
        <w:r w:rsidR="00FA0E13" w:rsidRPr="00FA0E13">
          <w:rPr>
            <w:color w:val="0000FF"/>
            <w:u w:val="single"/>
            <w:rtl/>
          </w:rPr>
          <w:t>עפ"ג 50840-03-22</w:t>
        </w:r>
      </w:hyperlink>
      <w:r>
        <w:rPr>
          <w:rtl/>
        </w:rPr>
        <w:t xml:space="preserve"> מדינת ישראל נ' סלאמה, שם נדון אך לאחרונה עניינו של נאשם שהורשע בהחזקת שני תתי מקלע (לא תקניים) ותקיפת שוטר (במהלך החיפוש בו נמצא הנשק), וענשו הוחמר מ- 15 חודשי מאסר בפועל ל- 28 חודשים, והדברים הנוקבים אשר נאמרו שם בדבר הצורך להחמיר בעבירות נשק.</w:t>
      </w:r>
    </w:p>
    <w:p w14:paraId="5C4586AC" w14:textId="77777777" w:rsidR="00C15182" w:rsidRDefault="00C15182" w:rsidP="00C15182">
      <w:pPr>
        <w:spacing w:after="120" w:line="360" w:lineRule="auto"/>
        <w:jc w:val="both"/>
        <w:rPr>
          <w:rtl/>
        </w:rPr>
      </w:pPr>
      <w:r>
        <w:rPr>
          <w:rtl/>
        </w:rPr>
        <w:t xml:space="preserve">נתון משמעותי נוסף אותו אביא בחשבון הוא, כי הנאשם שלפני החזיק בנשק </w:t>
      </w:r>
      <w:r>
        <w:rPr>
          <w:u w:val="single"/>
          <w:rtl/>
        </w:rPr>
        <w:t>לאחר</w:t>
      </w:r>
      <w:r>
        <w:rPr>
          <w:rtl/>
        </w:rPr>
        <w:t xml:space="preserve"> שנכנס לתוקף תיקון 140 ל</w:t>
      </w:r>
      <w:hyperlink r:id="rId23" w:history="1">
        <w:r w:rsidR="00FA0E13" w:rsidRPr="00FA0E13">
          <w:rPr>
            <w:color w:val="0000FF"/>
            <w:u w:val="single"/>
            <w:rtl/>
          </w:rPr>
          <w:t>חוק העונשין</w:t>
        </w:r>
      </w:hyperlink>
      <w:r>
        <w:rPr>
          <w:rtl/>
        </w:rPr>
        <w:t xml:space="preserve">, הקובע עונש מזערי של 21 חודשי מאסר בצד עבירת החזקת נשק (רבע העונש המירבי). אכן, כפי שציין ב"כ הנאשם, ניתן להטיל חלק מהעונש המזערי גם בדרך של מאסר מותנה, אך הוראת המחוקק היא להחמיר עם מבצעיהן של עבירות נשק, והדרך ליישם הוראה זו איננה בהטלת עונש שעיקרו מותנה. ר' בהקשר זה ע"פ </w:t>
      </w:r>
      <w:hyperlink r:id="rId24" w:history="1">
        <w:r w:rsidR="00F33B39" w:rsidRPr="00F33B39">
          <w:rPr>
            <w:color w:val="0000FF"/>
            <w:u w:val="single"/>
            <w:rtl/>
          </w:rPr>
          <w:t>207/14</w:t>
        </w:r>
      </w:hyperlink>
      <w:r>
        <w:rPr>
          <w:rtl/>
        </w:rPr>
        <w:t xml:space="preserve">, פלוני נ' מדינת ישראל, 1.2.15, הש' ג'בראן, שם נפסק (ביחס </w:t>
      </w:r>
      <w:hyperlink r:id="rId25" w:history="1">
        <w:r w:rsidR="004119E2" w:rsidRPr="004119E2">
          <w:rPr>
            <w:rStyle w:val="Hyperlink"/>
            <w:rtl/>
          </w:rPr>
          <w:t>לסע' 355</w:t>
        </w:r>
      </w:hyperlink>
      <w:r>
        <w:rPr>
          <w:rtl/>
        </w:rPr>
        <w:t xml:space="preserve"> ל</w:t>
      </w:r>
      <w:hyperlink r:id="rId26" w:history="1">
        <w:r w:rsidR="00FA0E13" w:rsidRPr="00FA0E13">
          <w:rPr>
            <w:color w:val="0000FF"/>
            <w:u w:val="single"/>
            <w:rtl/>
          </w:rPr>
          <w:t>חוק העונשין</w:t>
        </w:r>
      </w:hyperlink>
      <w:r>
        <w:rPr>
          <w:rtl/>
        </w:rPr>
        <w:t xml:space="preserve">, הקובע עונש מזערי ביחס לעבירות מין, וניסוחו דומה לזה של </w:t>
      </w:r>
      <w:hyperlink r:id="rId27" w:history="1">
        <w:r w:rsidR="004119E2" w:rsidRPr="004119E2">
          <w:rPr>
            <w:rStyle w:val="Hyperlink"/>
            <w:rtl/>
          </w:rPr>
          <w:t>סע' 144(ז)</w:t>
        </w:r>
      </w:hyperlink>
      <w:r>
        <w:rPr>
          <w:rtl/>
        </w:rPr>
        <w:t xml:space="preserve"> לחוק העונשין:</w:t>
      </w:r>
    </w:p>
    <w:p w14:paraId="724C5703" w14:textId="77777777" w:rsidR="00C15182" w:rsidRDefault="00C15182" w:rsidP="00C15182">
      <w:pPr>
        <w:spacing w:after="120" w:line="360" w:lineRule="auto"/>
        <w:ind w:left="567" w:right="567"/>
        <w:jc w:val="both"/>
        <w:rPr>
          <w:rFonts w:ascii="Arial" w:hAnsi="Arial"/>
          <w:b/>
          <w:bCs/>
          <w:rtl/>
        </w:rPr>
      </w:pPr>
      <w:r>
        <w:rPr>
          <w:rFonts w:ascii="Arial" w:hAnsi="Arial"/>
          <w:b/>
          <w:bCs/>
          <w:rtl/>
        </w:rPr>
        <w:t>14.</w:t>
      </w:r>
      <w:r>
        <w:rPr>
          <w:rFonts w:ascii="Arial" w:hAnsi="Arial"/>
          <w:b/>
          <w:bCs/>
          <w:rtl/>
        </w:rPr>
        <w:tab/>
        <w:t xml:space="preserve">אשר לטענת המערער בדבר היחס שבין תיקון 113 לחוק ובין העונשים המזעריים בחוק, הרי שאף ללא העונש המזערי הקבוע בחוק לעבירת מעשה מגונה, בנסיבות המקרה ראוי היה לקבוע מתחם ענישה חמור, כפי שקבע בית המשפט המחוזי. שני הצדדים הפנו לפסיקות בהן נקבעו מתחמים נמוכים וגבוהים כאחד, ובסופו של יום, קביעת המתחם תלויה בנסיבות המקרה הספציפי. על אף שאני סבור כי די בנסיבות המקרה כדי לקבוע את המתחם אשר נקבע, אדרש לשאלת היחס הראוי שבין תיקון 113 לחוק ובין העונשים המזעריים הקבועים בו. </w:t>
      </w:r>
      <w:r w:rsidRPr="00FA0E13">
        <w:rPr>
          <w:rFonts w:ascii="Arial" w:hAnsi="Arial"/>
          <w:b/>
          <w:bCs/>
          <w:color w:val="000000"/>
          <w:rtl/>
        </w:rPr>
        <w:t>סעיף 355(א)</w:t>
      </w:r>
      <w:r>
        <w:rPr>
          <w:rFonts w:ascii="Arial" w:hAnsi="Arial"/>
          <w:b/>
          <w:bCs/>
          <w:rtl/>
        </w:rPr>
        <w:t xml:space="preserve"> </w:t>
      </w:r>
      <w:r>
        <w:rPr>
          <w:rFonts w:ascii="Arial" w:hAnsi="Arial" w:hint="cs"/>
          <w:b/>
          <w:bCs/>
          <w:rtl/>
        </w:rPr>
        <w:t xml:space="preserve">לחוק קובע עונש מרבי לעבירת המעשה המגונה של עשר שנות מאסר. לצד זאת, נקבע עונש מזערי של רבע מהעונש המרבי, אשר לא יפחת למעט בשל טעמים מיוחדים שיירשמו. תיקון 113 לחוק מנחה את בית המשפט לקבוע מתחם עונש הולם ובתוכו למקם את הנאשם בהתאם לנסיבותיו. חברי השופט נ' הנדל התייחס לא מזמן להתנגשות האפשרית בין קביעת המתחם לפי תיקון 113 לחוק לבין קיומי של עונש מזערי לפי </w:t>
      </w:r>
      <w:r w:rsidRPr="00FA0E13">
        <w:rPr>
          <w:rFonts w:ascii="Arial" w:hAnsi="Arial"/>
          <w:b/>
          <w:bCs/>
          <w:color w:val="000000"/>
          <w:rtl/>
        </w:rPr>
        <w:t>סעיף 355(א)</w:t>
      </w:r>
      <w:r>
        <w:rPr>
          <w:rFonts w:ascii="Arial" w:hAnsi="Arial"/>
          <w:b/>
          <w:bCs/>
          <w:rtl/>
        </w:rPr>
        <w:t xml:space="preserve"> </w:t>
      </w:r>
      <w:r>
        <w:rPr>
          <w:rFonts w:ascii="Arial" w:hAnsi="Arial" w:hint="cs"/>
          <w:b/>
          <w:bCs/>
          <w:rtl/>
        </w:rPr>
        <w:t>לחוק (</w:t>
      </w:r>
      <w:r w:rsidRPr="00FA0E13">
        <w:rPr>
          <w:rFonts w:ascii="Arial" w:hAnsi="Arial"/>
          <w:b/>
          <w:bCs/>
          <w:color w:val="000000"/>
          <w:rtl/>
        </w:rPr>
        <w:t>ע"פ 337/13</w:t>
      </w:r>
      <w:r>
        <w:rPr>
          <w:rFonts w:ascii="Arial" w:hAnsi="Arial"/>
          <w:b/>
          <w:bCs/>
          <w:rtl/>
        </w:rPr>
        <w:t xml:space="preserve"> </w:t>
      </w:r>
      <w:r>
        <w:rPr>
          <w:rFonts w:ascii="Arial" w:hAnsi="Arial" w:hint="cs"/>
          <w:b/>
          <w:bCs/>
          <w:rtl/>
        </w:rPr>
        <w:t>פלוני נ' מדינת ישראל, [פורסם בנבו] פסקה 13 (9.9.2013) (להלן: עניין פלוני)). השופט נ' הנדל קבע כי ברובד הכללי, ידו של העונש המזערי על העליונה. עם זאת צוין, כי גם ברובד הכללי קיים ריכוך בקביעה זו, שכן, על-פי החוק, במקרה הפרטני ניתן לחרוג לקולה הן מהמתחם והן מהעונש המזערי, ככל שישנן נסיבות מיוחדות.</w:t>
      </w:r>
    </w:p>
    <w:p w14:paraId="75B308D2" w14:textId="77777777" w:rsidR="00C15182" w:rsidRDefault="00C15182" w:rsidP="00C15182">
      <w:pPr>
        <w:spacing w:after="120" w:line="360" w:lineRule="auto"/>
        <w:ind w:left="567" w:right="567"/>
        <w:jc w:val="both"/>
        <w:rPr>
          <w:rFonts w:ascii="Arial" w:hAnsi="Arial"/>
          <w:b/>
          <w:bCs/>
          <w:rtl/>
        </w:rPr>
      </w:pPr>
      <w:r>
        <w:rPr>
          <w:rFonts w:ascii="Arial" w:hAnsi="Arial"/>
          <w:b/>
          <w:bCs/>
          <w:rtl/>
        </w:rPr>
        <w:t>15.</w:t>
      </w:r>
      <w:r>
        <w:rPr>
          <w:rFonts w:ascii="Arial" w:hAnsi="Arial"/>
          <w:b/>
          <w:bCs/>
          <w:rtl/>
        </w:rPr>
        <w:tab/>
        <w:t xml:space="preserve">אכן, אני סבור כי העונשים המזעריים מהווים מדד לחשיבותו של הערך הנפגע ולמידת הפגיעה בו, ועל כן יש לתת להם משקל בכורה בקביעת מתחם העונש ההולם. רק במקרים חריגים, בהם מתעוררים טעמים מיוחדים להקל עם הרף התחתון של המתחם, יהיה ראוי לסטות מהעונש המזערי. כאמור, איני סבור כי במקרה שלפנינו מתעוררים טעמים מיוחדים, ואדרבא, לנוכח תסקירי שירות המבחן ניכר כי מצבו של המערער אינו מצדיק הקלה בקביעת המתחם, או בעונשו. </w:t>
      </w:r>
    </w:p>
    <w:p w14:paraId="70664E82" w14:textId="77777777" w:rsidR="00C15182" w:rsidRDefault="00C15182" w:rsidP="00C15182">
      <w:pPr>
        <w:spacing w:after="120" w:line="360" w:lineRule="auto"/>
        <w:jc w:val="both"/>
        <w:rPr>
          <w:rtl/>
        </w:rPr>
      </w:pPr>
      <w:r>
        <w:rPr>
          <w:rtl/>
        </w:rPr>
        <w:t xml:space="preserve">בקביעת מתחם העונש אביא בחשבון את חומרת מעשיו של הנאשם, </w:t>
      </w:r>
      <w:r>
        <w:rPr>
          <w:rFonts w:hint="cs"/>
          <w:rtl/>
        </w:rPr>
        <w:t xml:space="preserve">פוטנציאל הנזק הטמון בהם, </w:t>
      </w:r>
      <w:r>
        <w:rPr>
          <w:rtl/>
        </w:rPr>
        <w:t xml:space="preserve">הצורך החיוני להרתיע מפני ביצוע עבירות דומות, רמת הענישה הנוהגת אליה התייחסתי למעלה, </w:t>
      </w:r>
      <w:r>
        <w:rPr>
          <w:u w:val="single"/>
          <w:rtl/>
        </w:rPr>
        <w:t>שקדמה</w:t>
      </w:r>
      <w:r>
        <w:rPr>
          <w:rtl/>
        </w:rPr>
        <w:t xml:space="preserve"> לחקיקת תיקון 140 ל</w:t>
      </w:r>
      <w:hyperlink r:id="rId28" w:history="1">
        <w:r w:rsidR="00FA0E13" w:rsidRPr="00FA0E13">
          <w:rPr>
            <w:color w:val="0000FF"/>
            <w:u w:val="single"/>
            <w:rtl/>
          </w:rPr>
          <w:t>חוק העונשין</w:t>
        </w:r>
      </w:hyperlink>
      <w:r>
        <w:rPr>
          <w:rtl/>
        </w:rPr>
        <w:t xml:space="preserve"> ואת העונש המזערי שבצידה של העבירה.</w:t>
      </w:r>
      <w:r>
        <w:rPr>
          <w:rFonts w:hint="cs"/>
          <w:rtl/>
        </w:rPr>
        <w:t xml:space="preserve"> כמו כן אבטא את העובדה שהנשק הוחזק יחד עם אדם נוסף.</w:t>
      </w:r>
    </w:p>
    <w:p w14:paraId="1FDEB290" w14:textId="77777777" w:rsidR="00C15182" w:rsidRDefault="00C15182" w:rsidP="00C15182">
      <w:pPr>
        <w:spacing w:after="120" w:line="360" w:lineRule="auto"/>
        <w:jc w:val="both"/>
        <w:rPr>
          <w:rtl/>
        </w:rPr>
      </w:pPr>
      <w:r>
        <w:rPr>
          <w:rtl/>
        </w:rPr>
        <w:t>בשים לב לכל אלה, מתחם העונש ההולם את מעשיו של הנאשם הוא מאסר בפועל לתקופה שבין שנה וחצי ועד שלוש שנים ועונשים נלווים.</w:t>
      </w:r>
    </w:p>
    <w:p w14:paraId="3D74EFFE" w14:textId="77777777" w:rsidR="00C15182" w:rsidRDefault="00C15182" w:rsidP="00C15182">
      <w:pPr>
        <w:spacing w:after="120" w:line="360" w:lineRule="auto"/>
        <w:jc w:val="both"/>
        <w:rPr>
          <w:b/>
          <w:bCs/>
          <w:rtl/>
        </w:rPr>
      </w:pPr>
      <w:r>
        <w:rPr>
          <w:b/>
          <w:bCs/>
          <w:rtl/>
        </w:rPr>
        <w:t>נסיבות שאינן קשורות לעבירה</w:t>
      </w:r>
    </w:p>
    <w:p w14:paraId="4A27A728" w14:textId="77777777" w:rsidR="00C15182" w:rsidRDefault="00C15182" w:rsidP="00C15182">
      <w:pPr>
        <w:spacing w:after="120" w:line="360" w:lineRule="auto"/>
        <w:jc w:val="both"/>
        <w:rPr>
          <w:rtl/>
        </w:rPr>
      </w:pPr>
      <w:r>
        <w:rPr>
          <w:rtl/>
        </w:rPr>
        <w:t xml:space="preserve">הנאשם יליד </w:t>
      </w:r>
      <w:r>
        <w:rPr>
          <w:rFonts w:hint="cs"/>
          <w:rtl/>
        </w:rPr>
        <w:t>2002</w:t>
      </w:r>
      <w:r>
        <w:rPr>
          <w:rtl/>
        </w:rPr>
        <w:t xml:space="preserve">, </w:t>
      </w:r>
      <w:r>
        <w:rPr>
          <w:rFonts w:hint="cs"/>
          <w:rtl/>
        </w:rPr>
        <w:t>רווק ואין לחובתו הרשעות קודמות.</w:t>
      </w:r>
    </w:p>
    <w:p w14:paraId="6E449919" w14:textId="77777777" w:rsidR="00C15182" w:rsidRDefault="00C15182" w:rsidP="00C15182">
      <w:pPr>
        <w:spacing w:after="120" w:line="360" w:lineRule="auto"/>
        <w:jc w:val="both"/>
        <w:rPr>
          <w:rtl/>
        </w:rPr>
      </w:pPr>
      <w:r>
        <w:rPr>
          <w:rFonts w:hint="cs"/>
          <w:rtl/>
        </w:rPr>
        <w:t>מתסקיר שירות המבחן עולה, כי הנאשם הפסיק את לימודיו לאחר עשר שנים על מנת לסייע בפרנסת משפחתו, המתמודדת עם קשיים כלכליים ניכרים. עוד עולה, כי הנאשם לא קיבל אחריות למעשיו בפני שירות המבחן.</w:t>
      </w:r>
    </w:p>
    <w:p w14:paraId="58B23FAE" w14:textId="77777777" w:rsidR="00C15182" w:rsidRDefault="00C15182" w:rsidP="00C15182">
      <w:pPr>
        <w:spacing w:after="120" w:line="360" w:lineRule="auto"/>
        <w:jc w:val="both"/>
        <w:rPr>
          <w:rtl/>
        </w:rPr>
      </w:pPr>
      <w:r>
        <w:rPr>
          <w:rFonts w:hint="cs"/>
          <w:rtl/>
        </w:rPr>
        <w:t>שירות המבחן העריך, כי ברקע המעשה קווי אישיות לא בשלים וקושי בהפנמת משמעות העבירה וחומרתה, וכי נתונים אלו מהווים גורמי סיכון להשנות מעשים דומים בעתיד. מנגד העדיך השירות, כי חרף העדר קבלת האחריות, ההליך הפלילי הבהיר לנאשם את חומרת המעשה ומהווה גורם מרתיע, ואף בעל פוטנציאל שיקומי.</w:t>
      </w:r>
    </w:p>
    <w:p w14:paraId="4941C9C1" w14:textId="77777777" w:rsidR="00C15182" w:rsidRDefault="00C15182" w:rsidP="00C15182">
      <w:pPr>
        <w:spacing w:after="120" w:line="360" w:lineRule="auto"/>
        <w:jc w:val="both"/>
        <w:rPr>
          <w:rtl/>
        </w:rPr>
      </w:pPr>
      <w:r>
        <w:rPr>
          <w:rFonts w:hint="cs"/>
          <w:rtl/>
        </w:rPr>
        <w:t>לסיכום התסקיר, שירות המבחן נמנע מהמלצה טיפולית בעניינו של הנאשם.</w:t>
      </w:r>
    </w:p>
    <w:p w14:paraId="7BE5DF41" w14:textId="77777777" w:rsidR="00C15182" w:rsidRDefault="00C15182" w:rsidP="00C15182">
      <w:pPr>
        <w:spacing w:after="120" w:line="360" w:lineRule="auto"/>
        <w:jc w:val="both"/>
        <w:rPr>
          <w:b/>
          <w:bCs/>
          <w:rtl/>
        </w:rPr>
      </w:pPr>
      <w:r>
        <w:rPr>
          <w:b/>
          <w:bCs/>
          <w:rtl/>
        </w:rPr>
        <w:t>דיון והכרעה</w:t>
      </w:r>
    </w:p>
    <w:p w14:paraId="3CB2C144" w14:textId="77777777" w:rsidR="00C15182" w:rsidRDefault="00C15182" w:rsidP="00C15182">
      <w:pPr>
        <w:spacing w:after="120" w:line="360" w:lineRule="auto"/>
        <w:jc w:val="both"/>
        <w:rPr>
          <w:rtl/>
        </w:rPr>
      </w:pPr>
      <w:r>
        <w:rPr>
          <w:rFonts w:hint="cs"/>
          <w:rtl/>
        </w:rPr>
        <w:t xml:space="preserve">מכלול שיקולי הענישה פועלים לזכותו של הנאשם: מדובר באדם צעיר, שהיה כבן 19 בעת ביצוע המעשים, אשר הודה </w:t>
      </w:r>
      <w:r>
        <w:rPr>
          <w:rtl/>
        </w:rPr>
        <w:t xml:space="preserve">במיוחס לו, </w:t>
      </w:r>
      <w:r>
        <w:rPr>
          <w:rFonts w:hint="cs"/>
          <w:rtl/>
        </w:rPr>
        <w:t>אין לחובתו</w:t>
      </w:r>
      <w:r>
        <w:rPr>
          <w:rtl/>
        </w:rPr>
        <w:t xml:space="preserve"> הרשעות קודמות ו</w:t>
      </w:r>
      <w:r>
        <w:rPr>
          <w:rFonts w:hint="cs"/>
          <w:rtl/>
        </w:rPr>
        <w:t xml:space="preserve">קודם למעצרו </w:t>
      </w:r>
      <w:r>
        <w:rPr>
          <w:rtl/>
        </w:rPr>
        <w:t>ניהל אורח חיים נורמטיבי ויצרני</w:t>
      </w:r>
      <w:r>
        <w:rPr>
          <w:rFonts w:hint="cs"/>
          <w:rtl/>
        </w:rPr>
        <w:t>, ואף נאלץ לעזוב את הלימודים על מנת לסייע בפרנסת משפחתו.</w:t>
      </w:r>
    </w:p>
    <w:p w14:paraId="30AD22E6" w14:textId="77777777" w:rsidR="00C15182" w:rsidRDefault="00C15182" w:rsidP="00C15182">
      <w:pPr>
        <w:spacing w:after="120" w:line="360" w:lineRule="auto"/>
        <w:jc w:val="both"/>
        <w:rPr>
          <w:rtl/>
        </w:rPr>
      </w:pPr>
      <w:r>
        <w:rPr>
          <w:rFonts w:hint="cs"/>
          <w:rtl/>
        </w:rPr>
        <w:t>אני ער לכך שקבלת האחריות של הנאשם למעשיו בפני שירות המבחן לא היתה מלאה, אך לא ראיתי כי משקלו של נתון זה מצדיק החמרה עימו.</w:t>
      </w:r>
    </w:p>
    <w:p w14:paraId="7D20992F" w14:textId="77777777" w:rsidR="00C15182" w:rsidRDefault="00C15182" w:rsidP="00C15182">
      <w:pPr>
        <w:spacing w:after="120" w:line="360" w:lineRule="auto"/>
        <w:jc w:val="both"/>
        <w:rPr>
          <w:rtl/>
        </w:rPr>
      </w:pPr>
      <w:r>
        <w:rPr>
          <w:rFonts w:hint="cs"/>
          <w:rtl/>
        </w:rPr>
        <w:t>ב</w:t>
      </w:r>
      <w:r>
        <w:rPr>
          <w:rtl/>
        </w:rPr>
        <w:t xml:space="preserve">שים לב לאלה, </w:t>
      </w:r>
      <w:r>
        <w:rPr>
          <w:rFonts w:hint="cs"/>
          <w:rtl/>
        </w:rPr>
        <w:t xml:space="preserve">ובעיקר לאור גילו של הנאשם והעובדה כי זו מעורבותו הראשונה בפלילים, </w:t>
      </w:r>
      <w:r>
        <w:rPr>
          <w:rtl/>
        </w:rPr>
        <w:t>אטיל על</w:t>
      </w:r>
      <w:r>
        <w:rPr>
          <w:rFonts w:hint="cs"/>
          <w:rtl/>
        </w:rPr>
        <w:t>יו עונש ב</w:t>
      </w:r>
      <w:r>
        <w:rPr>
          <w:rtl/>
        </w:rPr>
        <w:t>תחתית המתחם</w:t>
      </w:r>
      <w:r>
        <w:rPr>
          <w:rFonts w:hint="cs"/>
          <w:rtl/>
        </w:rPr>
        <w:t>, בתקווה שיפנים את המסר.</w:t>
      </w:r>
    </w:p>
    <w:p w14:paraId="66A192CA" w14:textId="77777777" w:rsidR="00C15182" w:rsidRDefault="00C15182" w:rsidP="00C15182">
      <w:pPr>
        <w:spacing w:after="120" w:line="360" w:lineRule="auto"/>
        <w:jc w:val="both"/>
        <w:rPr>
          <w:b/>
          <w:bCs/>
          <w:rtl/>
        </w:rPr>
      </w:pPr>
      <w:r>
        <w:rPr>
          <w:b/>
          <w:bCs/>
          <w:rtl/>
        </w:rPr>
        <w:t>לפיכך גוזר על הנאשם את העונשים הבאים:</w:t>
      </w:r>
    </w:p>
    <w:p w14:paraId="5F892CD1" w14:textId="77777777" w:rsidR="00C15182" w:rsidRDefault="00C15182" w:rsidP="00C15182">
      <w:pPr>
        <w:numPr>
          <w:ilvl w:val="0"/>
          <w:numId w:val="2"/>
        </w:numPr>
        <w:spacing w:after="120" w:line="360" w:lineRule="auto"/>
        <w:jc w:val="both"/>
        <w:rPr>
          <w:rtl/>
        </w:rPr>
      </w:pPr>
      <w:r>
        <w:rPr>
          <w:rFonts w:hint="cs"/>
          <w:rtl/>
        </w:rPr>
        <w:t>18</w:t>
      </w:r>
      <w:r>
        <w:rPr>
          <w:rtl/>
        </w:rPr>
        <w:t xml:space="preserve"> חודשי מאסר בפועל שימנו מיום מעצרו של הנאשם, </w:t>
      </w:r>
      <w:r>
        <w:rPr>
          <w:rFonts w:hint="cs"/>
          <w:rtl/>
        </w:rPr>
        <w:t>22</w:t>
      </w:r>
      <w:r>
        <w:rPr>
          <w:rtl/>
        </w:rPr>
        <w:t>.</w:t>
      </w:r>
      <w:r>
        <w:rPr>
          <w:rFonts w:hint="cs"/>
          <w:rtl/>
        </w:rPr>
        <w:t>2</w:t>
      </w:r>
      <w:r>
        <w:rPr>
          <w:rtl/>
        </w:rPr>
        <w:t>.22, גם אם רישומי שב"ס יראו אחרת.</w:t>
      </w:r>
    </w:p>
    <w:p w14:paraId="2C893B2C" w14:textId="77777777" w:rsidR="00C15182" w:rsidRDefault="00C15182" w:rsidP="00C15182">
      <w:pPr>
        <w:numPr>
          <w:ilvl w:val="0"/>
          <w:numId w:val="2"/>
        </w:numPr>
        <w:spacing w:after="120" w:line="360" w:lineRule="auto"/>
        <w:jc w:val="both"/>
        <w:rPr>
          <w:rtl/>
        </w:rPr>
      </w:pPr>
      <w:r>
        <w:rPr>
          <w:rtl/>
        </w:rPr>
        <w:t xml:space="preserve">ששה חודשי מאסר בו לא יישא, אלא אם יעבור תוך שלוש שנים מיום שחרורו מהמאסר כל עבירה על </w:t>
      </w:r>
      <w:hyperlink r:id="rId29" w:history="1">
        <w:r w:rsidR="004119E2" w:rsidRPr="004119E2">
          <w:rPr>
            <w:rStyle w:val="Hyperlink"/>
            <w:rtl/>
          </w:rPr>
          <w:t>סע' 144</w:t>
        </w:r>
      </w:hyperlink>
      <w:r>
        <w:rPr>
          <w:rtl/>
        </w:rPr>
        <w:t xml:space="preserve"> ל</w:t>
      </w:r>
      <w:hyperlink r:id="rId30" w:history="1">
        <w:r w:rsidR="00FA0E13" w:rsidRPr="00FA0E13">
          <w:rPr>
            <w:color w:val="0000FF"/>
            <w:u w:val="single"/>
            <w:rtl/>
          </w:rPr>
          <w:t>חוק העונשין</w:t>
        </w:r>
      </w:hyperlink>
      <w:r>
        <w:rPr>
          <w:rtl/>
        </w:rPr>
        <w:t xml:space="preserve"> או כל עבירה אחרת הכרוכה בשימוש בנשק.</w:t>
      </w:r>
    </w:p>
    <w:p w14:paraId="27AFDA62" w14:textId="77777777" w:rsidR="00C15182" w:rsidRDefault="00C15182" w:rsidP="00C15182">
      <w:pPr>
        <w:spacing w:after="120" w:line="360" w:lineRule="auto"/>
        <w:jc w:val="both"/>
      </w:pPr>
    </w:p>
    <w:p w14:paraId="20599B73" w14:textId="77777777" w:rsidR="00C15182" w:rsidRDefault="00C15182" w:rsidP="00C15182">
      <w:pPr>
        <w:spacing w:after="120" w:line="360" w:lineRule="auto"/>
        <w:jc w:val="both"/>
      </w:pPr>
      <w:r>
        <w:rPr>
          <w:rtl/>
        </w:rPr>
        <w:t>הנשק יחולט והמאשימה רשאית להשמידו, על פי החלטת פרקליט מחוז או קצין חקירות.</w:t>
      </w:r>
    </w:p>
    <w:p w14:paraId="28AD46F2" w14:textId="77777777" w:rsidR="00C15182" w:rsidRDefault="00C15182" w:rsidP="00C15182">
      <w:pPr>
        <w:spacing w:after="120" w:line="360" w:lineRule="auto"/>
        <w:jc w:val="both"/>
      </w:pPr>
    </w:p>
    <w:p w14:paraId="1A878649" w14:textId="77777777" w:rsidR="00C15182" w:rsidRDefault="00C15182" w:rsidP="00C15182">
      <w:pPr>
        <w:spacing w:after="120" w:line="360" w:lineRule="auto"/>
        <w:ind w:left="720" w:hanging="720"/>
        <w:jc w:val="both"/>
        <w:rPr>
          <w:b/>
          <w:bCs/>
        </w:rPr>
      </w:pPr>
      <w:r>
        <w:rPr>
          <w:b/>
          <w:bCs/>
          <w:rtl/>
        </w:rPr>
        <w:t>זכות ערעור לבית המשפט המחוזי בירושלים תוך 45 יום.</w:t>
      </w:r>
    </w:p>
    <w:p w14:paraId="5C376639" w14:textId="77777777" w:rsidR="00C15182" w:rsidRPr="00FA0E13" w:rsidRDefault="00FA0E13" w:rsidP="00C15182">
      <w:pPr>
        <w:spacing w:after="120" w:line="360" w:lineRule="auto"/>
        <w:rPr>
          <w:rFonts w:ascii="Arial" w:hAnsi="Arial"/>
          <w:color w:val="FFFFFF"/>
          <w:sz w:val="2"/>
          <w:szCs w:val="2"/>
          <w:rtl/>
        </w:rPr>
      </w:pPr>
      <w:r w:rsidRPr="00FA0E13">
        <w:rPr>
          <w:rFonts w:ascii="Arial" w:hAnsi="Arial"/>
          <w:color w:val="FFFFFF"/>
          <w:sz w:val="2"/>
          <w:szCs w:val="2"/>
          <w:rtl/>
        </w:rPr>
        <w:t>5129371</w:t>
      </w:r>
    </w:p>
    <w:p w14:paraId="54599264" w14:textId="77777777" w:rsidR="00C15182" w:rsidRDefault="00FA0E13" w:rsidP="00C15182">
      <w:pPr>
        <w:rPr>
          <w:rFonts w:cs="FrankRuehl"/>
          <w:sz w:val="28"/>
          <w:szCs w:val="28"/>
          <w:rtl/>
        </w:rPr>
      </w:pPr>
      <w:bookmarkStart w:id="8" w:name="Nitan"/>
      <w:r w:rsidRPr="00FA0E13">
        <w:rPr>
          <w:rFonts w:ascii="Arial" w:hAnsi="Arial"/>
          <w:color w:val="FFFFFF"/>
          <w:sz w:val="2"/>
          <w:szCs w:val="2"/>
          <w:rtl/>
        </w:rPr>
        <w:t>54678313</w:t>
      </w:r>
      <w:r>
        <w:rPr>
          <w:rFonts w:ascii="Arial" w:hAnsi="Arial"/>
          <w:rtl/>
        </w:rPr>
        <w:t xml:space="preserve">ניתן היום,  כ"ה טבת תשפ"ג, 18 ינואר 2023, בנוכחות הצדדים. </w:t>
      </w:r>
      <w:bookmarkEnd w:id="8"/>
    </w:p>
    <w:p w14:paraId="0B51DF92" w14:textId="77777777" w:rsidR="00C15182" w:rsidRDefault="00C15182" w:rsidP="00FA0E13">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5EFAA453" w14:textId="77777777" w:rsidR="00C15182" w:rsidRDefault="00C15182" w:rsidP="00C15182">
      <w:pPr>
        <w:jc w:val="center"/>
        <w:rPr>
          <w:rFonts w:ascii="Arial" w:hAnsi="Arial" w:cs="FrankRuehl"/>
          <w:sz w:val="28"/>
          <w:szCs w:val="28"/>
          <w:rtl/>
        </w:rPr>
      </w:pPr>
    </w:p>
    <w:p w14:paraId="507EFE82" w14:textId="77777777" w:rsidR="00FA0E13" w:rsidRDefault="00FA0E13" w:rsidP="00FA0E13">
      <w:pPr>
        <w:rPr>
          <w:rtl/>
        </w:rPr>
      </w:pPr>
    </w:p>
    <w:p w14:paraId="32F6B2D2" w14:textId="77777777" w:rsidR="00FA0E13" w:rsidRDefault="00FA0E13" w:rsidP="00FA0E13">
      <w:pPr>
        <w:jc w:val="center"/>
        <w:rPr>
          <w:color w:val="0000FF"/>
          <w:u w:val="single"/>
        </w:rPr>
      </w:pPr>
      <w:hyperlink r:id="rId31" w:history="1">
        <w:r>
          <w:rPr>
            <w:color w:val="0000FF"/>
            <w:u w:val="single"/>
            <w:rtl/>
          </w:rPr>
          <w:t>בעניין עריכה ושינויים במסמכי פסיקה, חקיקה ועוד באתר נבו – הקש כאן</w:t>
        </w:r>
      </w:hyperlink>
    </w:p>
    <w:p w14:paraId="3D36E3DA" w14:textId="77777777" w:rsidR="004119E2" w:rsidRPr="004119E2" w:rsidRDefault="004119E2" w:rsidP="004119E2">
      <w:pPr>
        <w:keepNext/>
        <w:rPr>
          <w:rFonts w:ascii="David" w:hAnsi="David"/>
          <w:color w:val="000000"/>
          <w:sz w:val="22"/>
          <w:szCs w:val="22"/>
          <w:rtl/>
        </w:rPr>
      </w:pPr>
    </w:p>
    <w:p w14:paraId="7DCFF98F" w14:textId="77777777" w:rsidR="004119E2" w:rsidRPr="004119E2" w:rsidRDefault="004119E2" w:rsidP="004119E2">
      <w:pPr>
        <w:keepNext/>
        <w:rPr>
          <w:rFonts w:ascii="David" w:hAnsi="David"/>
          <w:color w:val="000000"/>
          <w:sz w:val="22"/>
          <w:szCs w:val="22"/>
          <w:rtl/>
        </w:rPr>
      </w:pPr>
      <w:r w:rsidRPr="004119E2">
        <w:rPr>
          <w:rFonts w:ascii="David" w:hAnsi="David"/>
          <w:color w:val="000000"/>
          <w:sz w:val="22"/>
          <w:szCs w:val="22"/>
          <w:rtl/>
        </w:rPr>
        <w:t>ירון מינטקביץ 54678313-/</w:t>
      </w:r>
    </w:p>
    <w:p w14:paraId="2EA5DB36" w14:textId="77777777" w:rsidR="00FA0E13" w:rsidRPr="00FA0E13" w:rsidRDefault="004119E2" w:rsidP="004119E2">
      <w:pPr>
        <w:rPr>
          <w:color w:val="0000FF"/>
          <w:u w:val="single"/>
        </w:rPr>
      </w:pPr>
      <w:r w:rsidRPr="004119E2">
        <w:rPr>
          <w:color w:val="000000"/>
          <w:u w:val="single"/>
          <w:rtl/>
        </w:rPr>
        <w:t>נוסח מסמך זה כפוף לשינויי ניסוח ועריכה</w:t>
      </w:r>
    </w:p>
    <w:sectPr w:rsidR="00FA0E13" w:rsidRPr="00FA0E13" w:rsidSect="004119E2">
      <w:headerReference w:type="even" r:id="rId32"/>
      <w:headerReference w:type="default" r:id="rId33"/>
      <w:footerReference w:type="even" r:id="rId34"/>
      <w:footerReference w:type="default" r:id="rId3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1CF1C1" w14:textId="77777777" w:rsidR="002A0926" w:rsidRDefault="002A0926" w:rsidP="00437038">
      <w:r>
        <w:separator/>
      </w:r>
    </w:p>
  </w:endnote>
  <w:endnote w:type="continuationSeparator" w:id="0">
    <w:p w14:paraId="19FF8CD6" w14:textId="77777777" w:rsidR="002A0926" w:rsidRDefault="002A0926" w:rsidP="004370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512905" w14:textId="77777777" w:rsidR="004119E2" w:rsidRDefault="004119E2" w:rsidP="004119E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59F5AD7" w14:textId="77777777" w:rsidR="00457816" w:rsidRPr="004119E2" w:rsidRDefault="004119E2" w:rsidP="004119E2">
    <w:pPr>
      <w:pStyle w:val="a5"/>
      <w:pBdr>
        <w:top w:val="single" w:sz="4" w:space="1" w:color="auto"/>
        <w:between w:val="single" w:sz="4" w:space="0" w:color="auto"/>
      </w:pBdr>
      <w:spacing w:after="60"/>
      <w:jc w:val="center"/>
      <w:rPr>
        <w:rFonts w:ascii="FrankRuehl" w:hAnsi="FrankRuehl" w:cs="FrankRuehl"/>
        <w:color w:val="000000"/>
      </w:rPr>
    </w:pPr>
    <w:r w:rsidRPr="004119E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6F4F0C" w14:textId="77777777" w:rsidR="004119E2" w:rsidRDefault="004119E2" w:rsidP="004119E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678E9">
      <w:rPr>
        <w:rFonts w:ascii="FrankRuehl" w:hAnsi="FrankRuehl" w:cs="FrankRuehl"/>
        <w:noProof/>
        <w:rtl/>
      </w:rPr>
      <w:t>1</w:t>
    </w:r>
    <w:r>
      <w:rPr>
        <w:rFonts w:ascii="FrankRuehl" w:hAnsi="FrankRuehl" w:cs="FrankRuehl"/>
        <w:rtl/>
      </w:rPr>
      <w:fldChar w:fldCharType="end"/>
    </w:r>
  </w:p>
  <w:p w14:paraId="193833F6" w14:textId="77777777" w:rsidR="00457816" w:rsidRPr="004119E2" w:rsidRDefault="004119E2" w:rsidP="004119E2">
    <w:pPr>
      <w:pStyle w:val="a5"/>
      <w:pBdr>
        <w:top w:val="single" w:sz="4" w:space="1" w:color="auto"/>
        <w:between w:val="single" w:sz="4" w:space="0" w:color="auto"/>
      </w:pBdr>
      <w:spacing w:after="60"/>
      <w:jc w:val="center"/>
      <w:rPr>
        <w:rFonts w:ascii="FrankRuehl" w:hAnsi="FrankRuehl" w:cs="FrankRuehl"/>
        <w:color w:val="000000"/>
      </w:rPr>
    </w:pPr>
    <w:r w:rsidRPr="004119E2">
      <w:rPr>
        <w:rFonts w:ascii="FrankRuehl" w:hAnsi="FrankRuehl" w:cs="FrankRuehl"/>
        <w:color w:val="000000"/>
      </w:rPr>
      <w:pict w14:anchorId="5BD81C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BBB8F6" w14:textId="77777777" w:rsidR="002A0926" w:rsidRDefault="002A0926" w:rsidP="00437038">
      <w:r>
        <w:separator/>
      </w:r>
    </w:p>
  </w:footnote>
  <w:footnote w:type="continuationSeparator" w:id="0">
    <w:p w14:paraId="593A95A1" w14:textId="77777777" w:rsidR="002A0926" w:rsidRDefault="002A0926" w:rsidP="004370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5B55BC" w14:textId="77777777" w:rsidR="00FA0E13" w:rsidRPr="004119E2" w:rsidRDefault="004119E2" w:rsidP="004119E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13044-03-22</w:t>
    </w:r>
    <w:r>
      <w:rPr>
        <w:rFonts w:ascii="David" w:hAnsi="David"/>
        <w:color w:val="000000"/>
        <w:sz w:val="22"/>
        <w:szCs w:val="22"/>
        <w:rtl/>
      </w:rPr>
      <w:tab/>
      <w:t xml:space="preserve"> מדינת ישראל נ' מהדי אבו רגב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FE6D4E" w14:textId="77777777" w:rsidR="00FA0E13" w:rsidRPr="004119E2" w:rsidRDefault="004119E2" w:rsidP="004119E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13044-03-22</w:t>
    </w:r>
    <w:r>
      <w:rPr>
        <w:rFonts w:ascii="David" w:hAnsi="David"/>
        <w:color w:val="000000"/>
        <w:sz w:val="22"/>
        <w:szCs w:val="22"/>
        <w:rtl/>
      </w:rPr>
      <w:tab/>
      <w:t xml:space="preserve"> מדינת ישראל נ' מהדי אבו רגב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6001B"/>
    <w:multiLevelType w:val="hybridMultilevel"/>
    <w:tmpl w:val="0DCEFDA6"/>
    <w:lvl w:ilvl="0" w:tplc="5674FCB0">
      <w:start w:val="1"/>
      <w:numFmt w:val="decimal"/>
      <w:pStyle w:val="Ruller4"/>
      <w:lvlText w:val="%1."/>
      <w:lvlJc w:val="left"/>
      <w:pPr>
        <w:tabs>
          <w:tab w:val="num" w:pos="907"/>
        </w:tabs>
        <w:ind w:left="0" w:firstLine="0"/>
      </w:pPr>
      <w:rPr>
        <w:color w:val="auto"/>
        <w:sz w:val="22"/>
        <w:szCs w:val="24"/>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12D821E0"/>
    <w:multiLevelType w:val="hybridMultilevel"/>
    <w:tmpl w:val="7B40DBD0"/>
    <w:lvl w:ilvl="0" w:tplc="04090013">
      <w:start w:val="1"/>
      <w:numFmt w:val="hebrew1"/>
      <w:lvlText w:val="%1."/>
      <w:lvlJc w:val="center"/>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16cid:durableId="10098671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826314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15182"/>
    <w:rsid w:val="0007411B"/>
    <w:rsid w:val="00141F09"/>
    <w:rsid w:val="00220A58"/>
    <w:rsid w:val="002A0926"/>
    <w:rsid w:val="004119E2"/>
    <w:rsid w:val="00437038"/>
    <w:rsid w:val="00457816"/>
    <w:rsid w:val="00671B62"/>
    <w:rsid w:val="007678E9"/>
    <w:rsid w:val="00813397"/>
    <w:rsid w:val="00920434"/>
    <w:rsid w:val="009A4E4C"/>
    <w:rsid w:val="00C15182"/>
    <w:rsid w:val="00EB77C6"/>
    <w:rsid w:val="00F33B39"/>
    <w:rsid w:val="00FA0E1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D2A18B9"/>
  <w15:chartTrackingRefBased/>
  <w15:docId w15:val="{E1244CF4-03B3-400C-ACFB-F0C68F1EF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15182"/>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15182"/>
    <w:pPr>
      <w:tabs>
        <w:tab w:val="center" w:pos="4153"/>
        <w:tab w:val="right" w:pos="8306"/>
      </w:tabs>
    </w:pPr>
  </w:style>
  <w:style w:type="character" w:customStyle="1" w:styleId="a4">
    <w:name w:val="כותרת עליונה תו"/>
    <w:link w:val="a3"/>
    <w:rsid w:val="00C15182"/>
    <w:rPr>
      <w:rFonts w:ascii="Times New Roman" w:eastAsia="Times New Roman" w:hAnsi="Times New Roman" w:cs="David"/>
      <w:sz w:val="24"/>
      <w:szCs w:val="24"/>
    </w:rPr>
  </w:style>
  <w:style w:type="paragraph" w:styleId="a5">
    <w:name w:val="footer"/>
    <w:basedOn w:val="a"/>
    <w:link w:val="a6"/>
    <w:rsid w:val="00C15182"/>
    <w:pPr>
      <w:tabs>
        <w:tab w:val="center" w:pos="4153"/>
        <w:tab w:val="right" w:pos="8306"/>
      </w:tabs>
    </w:pPr>
  </w:style>
  <w:style w:type="character" w:customStyle="1" w:styleId="a6">
    <w:name w:val="כותרת תחתונה תו"/>
    <w:link w:val="a5"/>
    <w:rsid w:val="00C15182"/>
    <w:rPr>
      <w:rFonts w:ascii="Times New Roman" w:eastAsia="Times New Roman" w:hAnsi="Times New Roman" w:cs="David"/>
      <w:sz w:val="24"/>
      <w:szCs w:val="24"/>
    </w:rPr>
  </w:style>
  <w:style w:type="table" w:styleId="a7">
    <w:name w:val="Table Grid"/>
    <w:basedOn w:val="a1"/>
    <w:rsid w:val="00C1518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C15182"/>
  </w:style>
  <w:style w:type="character" w:styleId="Hyperlink">
    <w:name w:val="Hyperlink"/>
    <w:rsid w:val="00C15182"/>
    <w:rPr>
      <w:color w:val="0000FF"/>
      <w:u w:val="single"/>
    </w:rPr>
  </w:style>
  <w:style w:type="character" w:customStyle="1" w:styleId="Ruller5">
    <w:name w:val="Ruller5 תו"/>
    <w:link w:val="Ruller50"/>
    <w:locked/>
    <w:rsid w:val="00C15182"/>
    <w:rPr>
      <w:rFonts w:ascii="Arial TUR" w:hAnsi="Arial TUR" w:cs="FrankRuehl"/>
      <w:spacing w:val="10"/>
      <w:szCs w:val="28"/>
    </w:rPr>
  </w:style>
  <w:style w:type="paragraph" w:customStyle="1" w:styleId="Ruller50">
    <w:name w:val="Ruller5"/>
    <w:basedOn w:val="a"/>
    <w:link w:val="Ruller5"/>
    <w:rsid w:val="00C15182"/>
    <w:pPr>
      <w:overflowPunct w:val="0"/>
      <w:autoSpaceDE w:val="0"/>
      <w:autoSpaceDN w:val="0"/>
      <w:adjustRightInd w:val="0"/>
      <w:ind w:left="1642" w:right="1282"/>
      <w:jc w:val="both"/>
    </w:pPr>
    <w:rPr>
      <w:rFonts w:ascii="Arial TUR" w:eastAsia="Calibri" w:hAnsi="Arial TUR" w:cs="FrankRuehl"/>
      <w:spacing w:val="10"/>
      <w:sz w:val="22"/>
      <w:szCs w:val="28"/>
    </w:rPr>
  </w:style>
  <w:style w:type="character" w:customStyle="1" w:styleId="Ruller40">
    <w:name w:val="Ruller 4 ממוספר תו"/>
    <w:link w:val="Ruller4"/>
    <w:locked/>
    <w:rsid w:val="00C15182"/>
    <w:rPr>
      <w:rFonts w:ascii="Garamond" w:hAnsi="Garamond" w:cs="FrankRuehl"/>
      <w:spacing w:val="10"/>
      <w:sz w:val="24"/>
      <w:szCs w:val="28"/>
    </w:rPr>
  </w:style>
  <w:style w:type="paragraph" w:customStyle="1" w:styleId="Ruller4">
    <w:name w:val="Ruller 4 ממוספר"/>
    <w:basedOn w:val="a"/>
    <w:next w:val="a"/>
    <w:link w:val="Ruller40"/>
    <w:rsid w:val="00C15182"/>
    <w:pPr>
      <w:numPr>
        <w:numId w:val="1"/>
      </w:numPr>
      <w:tabs>
        <w:tab w:val="left" w:pos="800"/>
      </w:tabs>
      <w:overflowPunct w:val="0"/>
      <w:autoSpaceDE w:val="0"/>
      <w:autoSpaceDN w:val="0"/>
      <w:adjustRightInd w:val="0"/>
      <w:spacing w:line="360" w:lineRule="auto"/>
      <w:jc w:val="both"/>
    </w:pPr>
    <w:rPr>
      <w:rFonts w:ascii="Garamond" w:eastAsia="Calibri" w:hAnsi="Garamond" w:cs="FrankRuehl"/>
      <w:spacing w:val="10"/>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28243273" TargetMode="External"/><Relationship Id="rId18" Type="http://schemas.openxmlformats.org/officeDocument/2006/relationships/hyperlink" Target="http://www.nevo.co.il/case/22006503" TargetMode="External"/><Relationship Id="rId26" Type="http://schemas.openxmlformats.org/officeDocument/2006/relationships/hyperlink" Target="http://www.nevo.co.il/law/70301" TargetMode="External"/><Relationship Id="rId21" Type="http://schemas.openxmlformats.org/officeDocument/2006/relationships/hyperlink" Target="http://www.nevo.co.il/case/27309272" TargetMode="External"/><Relationship Id="rId34" Type="http://schemas.openxmlformats.org/officeDocument/2006/relationships/footer" Target="footer1.xml"/><Relationship Id="rId7" Type="http://schemas.openxmlformats.org/officeDocument/2006/relationships/hyperlink" Target="http://www.nevo.co.il/law/70301" TargetMode="External"/><Relationship Id="rId12" Type="http://schemas.openxmlformats.org/officeDocument/2006/relationships/hyperlink" Target="http://www.nevo.co.il/law/70301" TargetMode="External"/><Relationship Id="rId17" Type="http://schemas.openxmlformats.org/officeDocument/2006/relationships/hyperlink" Target="http://www.nevo.co.il/case/27171364" TargetMode="External"/><Relationship Id="rId25" Type="http://schemas.openxmlformats.org/officeDocument/2006/relationships/hyperlink" Target="http://www.nevo.co.il/law/70301/355" TargetMode="External"/><Relationship Id="rId33"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case/25824863" TargetMode="External"/><Relationship Id="rId20" Type="http://schemas.openxmlformats.org/officeDocument/2006/relationships/hyperlink" Target="http://www.nevo.co.il/case/27734980" TargetMode="External"/><Relationship Id="rId29" Type="http://schemas.openxmlformats.org/officeDocument/2006/relationships/hyperlink" Target="http://www.nevo.co.il/law/70301/14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case/20007123"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case/26905927"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0301" TargetMode="External"/><Relationship Id="rId36" Type="http://schemas.openxmlformats.org/officeDocument/2006/relationships/fontTable" Target="fontTable.xml"/><Relationship Id="rId10" Type="http://schemas.openxmlformats.org/officeDocument/2006/relationships/hyperlink" Target="http://www.nevo.co.il/law/70301/355" TargetMode="External"/><Relationship Id="rId19" Type="http://schemas.openxmlformats.org/officeDocument/2006/relationships/hyperlink" Target="http://www.nevo.co.il/law/70301" TargetMode="External"/><Relationship Id="rId31"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70301/144.g" TargetMode="External"/><Relationship Id="rId14" Type="http://schemas.openxmlformats.org/officeDocument/2006/relationships/hyperlink" Target="http://www.nevo.co.il/case/28384637" TargetMode="External"/><Relationship Id="rId22" Type="http://schemas.openxmlformats.org/officeDocument/2006/relationships/hyperlink" Target="http://www.nevo.co.il/case/28424228" TargetMode="External"/><Relationship Id="rId27" Type="http://schemas.openxmlformats.org/officeDocument/2006/relationships/hyperlink" Target="http://www.nevo.co.il/law/70301/144.g" TargetMode="External"/><Relationship Id="rId30" Type="http://schemas.openxmlformats.org/officeDocument/2006/relationships/hyperlink" Target="http://www.nevo.co.il/law/70301" TargetMode="External"/><Relationship Id="rId35" Type="http://schemas.openxmlformats.org/officeDocument/2006/relationships/footer" Target="footer2.xml"/><Relationship Id="rId8" Type="http://schemas.openxmlformats.org/officeDocument/2006/relationships/hyperlink" Target="http://www.nevo.co.il/law/70301/144"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2043</Words>
  <Characters>10218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12237</CharactersWithSpaces>
  <SharedDoc>false</SharedDoc>
  <HLinks>
    <vt:vector size="150" baseType="variant">
      <vt:variant>
        <vt:i4>393283</vt:i4>
      </vt:variant>
      <vt:variant>
        <vt:i4>93</vt:i4>
      </vt:variant>
      <vt:variant>
        <vt:i4>0</vt:i4>
      </vt:variant>
      <vt:variant>
        <vt:i4>5</vt:i4>
      </vt:variant>
      <vt:variant>
        <vt:lpwstr>http://www.nevo.co.il/advertisements/nevo-100.doc</vt:lpwstr>
      </vt:variant>
      <vt:variant>
        <vt:lpwstr/>
      </vt:variant>
      <vt:variant>
        <vt:i4>7995492</vt:i4>
      </vt:variant>
      <vt:variant>
        <vt:i4>90</vt:i4>
      </vt:variant>
      <vt:variant>
        <vt:i4>0</vt:i4>
      </vt:variant>
      <vt:variant>
        <vt:i4>5</vt:i4>
      </vt:variant>
      <vt:variant>
        <vt:lpwstr>http://www.nevo.co.il/law/70301</vt:lpwstr>
      </vt:variant>
      <vt:variant>
        <vt:lpwstr/>
      </vt:variant>
      <vt:variant>
        <vt:i4>6357092</vt:i4>
      </vt:variant>
      <vt:variant>
        <vt:i4>87</vt:i4>
      </vt:variant>
      <vt:variant>
        <vt:i4>0</vt:i4>
      </vt:variant>
      <vt:variant>
        <vt:i4>5</vt:i4>
      </vt:variant>
      <vt:variant>
        <vt:lpwstr>http://www.nevo.co.il/law/70301/144</vt:lpwstr>
      </vt:variant>
      <vt:variant>
        <vt:lpwstr/>
      </vt:variant>
      <vt:variant>
        <vt:i4>7995492</vt:i4>
      </vt:variant>
      <vt:variant>
        <vt:i4>84</vt:i4>
      </vt:variant>
      <vt:variant>
        <vt:i4>0</vt:i4>
      </vt:variant>
      <vt:variant>
        <vt:i4>5</vt:i4>
      </vt:variant>
      <vt:variant>
        <vt:lpwstr>http://www.nevo.co.il/law/70301</vt:lpwstr>
      </vt:variant>
      <vt:variant>
        <vt:lpwstr/>
      </vt:variant>
      <vt:variant>
        <vt:i4>5177424</vt:i4>
      </vt:variant>
      <vt:variant>
        <vt:i4>81</vt:i4>
      </vt:variant>
      <vt:variant>
        <vt:i4>0</vt:i4>
      </vt:variant>
      <vt:variant>
        <vt:i4>5</vt:i4>
      </vt:variant>
      <vt:variant>
        <vt:lpwstr>http://www.nevo.co.il/law/70301/144.g</vt:lpwstr>
      </vt:variant>
      <vt:variant>
        <vt:lpwstr/>
      </vt:variant>
      <vt:variant>
        <vt:i4>7995492</vt:i4>
      </vt:variant>
      <vt:variant>
        <vt:i4>78</vt:i4>
      </vt:variant>
      <vt:variant>
        <vt:i4>0</vt:i4>
      </vt:variant>
      <vt:variant>
        <vt:i4>5</vt:i4>
      </vt:variant>
      <vt:variant>
        <vt:lpwstr>http://www.nevo.co.il/law/70301</vt:lpwstr>
      </vt:variant>
      <vt:variant>
        <vt:lpwstr/>
      </vt:variant>
      <vt:variant>
        <vt:i4>6291558</vt:i4>
      </vt:variant>
      <vt:variant>
        <vt:i4>75</vt:i4>
      </vt:variant>
      <vt:variant>
        <vt:i4>0</vt:i4>
      </vt:variant>
      <vt:variant>
        <vt:i4>5</vt:i4>
      </vt:variant>
      <vt:variant>
        <vt:lpwstr>http://www.nevo.co.il/law/70301/355</vt:lpwstr>
      </vt:variant>
      <vt:variant>
        <vt:lpwstr/>
      </vt:variant>
      <vt:variant>
        <vt:i4>3604597</vt:i4>
      </vt:variant>
      <vt:variant>
        <vt:i4>72</vt:i4>
      </vt:variant>
      <vt:variant>
        <vt:i4>0</vt:i4>
      </vt:variant>
      <vt:variant>
        <vt:i4>5</vt:i4>
      </vt:variant>
      <vt:variant>
        <vt:lpwstr>http://www.nevo.co.il/case/20007123</vt:lpwstr>
      </vt:variant>
      <vt:variant>
        <vt:lpwstr/>
      </vt:variant>
      <vt:variant>
        <vt:i4>7995492</vt:i4>
      </vt:variant>
      <vt:variant>
        <vt:i4>69</vt:i4>
      </vt:variant>
      <vt:variant>
        <vt:i4>0</vt:i4>
      </vt:variant>
      <vt:variant>
        <vt:i4>5</vt:i4>
      </vt:variant>
      <vt:variant>
        <vt:lpwstr>http://www.nevo.co.il/law/70301</vt:lpwstr>
      </vt:variant>
      <vt:variant>
        <vt:lpwstr/>
      </vt:variant>
      <vt:variant>
        <vt:i4>3145852</vt:i4>
      </vt:variant>
      <vt:variant>
        <vt:i4>66</vt:i4>
      </vt:variant>
      <vt:variant>
        <vt:i4>0</vt:i4>
      </vt:variant>
      <vt:variant>
        <vt:i4>5</vt:i4>
      </vt:variant>
      <vt:variant>
        <vt:lpwstr>http://www.nevo.co.il/case/28424228</vt:lpwstr>
      </vt:variant>
      <vt:variant>
        <vt:lpwstr/>
      </vt:variant>
      <vt:variant>
        <vt:i4>4128881</vt:i4>
      </vt:variant>
      <vt:variant>
        <vt:i4>42</vt:i4>
      </vt:variant>
      <vt:variant>
        <vt:i4>0</vt:i4>
      </vt:variant>
      <vt:variant>
        <vt:i4>5</vt:i4>
      </vt:variant>
      <vt:variant>
        <vt:lpwstr>http://www.nevo.co.il/case/27309272</vt:lpwstr>
      </vt:variant>
      <vt:variant>
        <vt:lpwstr/>
      </vt:variant>
      <vt:variant>
        <vt:i4>3735673</vt:i4>
      </vt:variant>
      <vt:variant>
        <vt:i4>39</vt:i4>
      </vt:variant>
      <vt:variant>
        <vt:i4>0</vt:i4>
      </vt:variant>
      <vt:variant>
        <vt:i4>5</vt:i4>
      </vt:variant>
      <vt:variant>
        <vt:lpwstr>http://www.nevo.co.il/case/27734980</vt:lpwstr>
      </vt:variant>
      <vt:variant>
        <vt:lpwstr/>
      </vt:variant>
      <vt:variant>
        <vt:i4>7995492</vt:i4>
      </vt:variant>
      <vt:variant>
        <vt:i4>36</vt:i4>
      </vt:variant>
      <vt:variant>
        <vt:i4>0</vt:i4>
      </vt:variant>
      <vt:variant>
        <vt:i4>5</vt:i4>
      </vt:variant>
      <vt:variant>
        <vt:lpwstr>http://www.nevo.co.il/law/70301</vt:lpwstr>
      </vt:variant>
      <vt:variant>
        <vt:lpwstr/>
      </vt:variant>
      <vt:variant>
        <vt:i4>3407987</vt:i4>
      </vt:variant>
      <vt:variant>
        <vt:i4>33</vt:i4>
      </vt:variant>
      <vt:variant>
        <vt:i4>0</vt:i4>
      </vt:variant>
      <vt:variant>
        <vt:i4>5</vt:i4>
      </vt:variant>
      <vt:variant>
        <vt:lpwstr>http://www.nevo.co.il/case/22006503</vt:lpwstr>
      </vt:variant>
      <vt:variant>
        <vt:lpwstr/>
      </vt:variant>
      <vt:variant>
        <vt:i4>3407991</vt:i4>
      </vt:variant>
      <vt:variant>
        <vt:i4>30</vt:i4>
      </vt:variant>
      <vt:variant>
        <vt:i4>0</vt:i4>
      </vt:variant>
      <vt:variant>
        <vt:i4>5</vt:i4>
      </vt:variant>
      <vt:variant>
        <vt:lpwstr>http://www.nevo.co.il/case/27171364</vt:lpwstr>
      </vt:variant>
      <vt:variant>
        <vt:lpwstr/>
      </vt:variant>
      <vt:variant>
        <vt:i4>3670139</vt:i4>
      </vt:variant>
      <vt:variant>
        <vt:i4>27</vt:i4>
      </vt:variant>
      <vt:variant>
        <vt:i4>0</vt:i4>
      </vt:variant>
      <vt:variant>
        <vt:i4>5</vt:i4>
      </vt:variant>
      <vt:variant>
        <vt:lpwstr>http://www.nevo.co.il/case/25824863</vt:lpwstr>
      </vt:variant>
      <vt:variant>
        <vt:lpwstr/>
      </vt:variant>
      <vt:variant>
        <vt:i4>3932283</vt:i4>
      </vt:variant>
      <vt:variant>
        <vt:i4>24</vt:i4>
      </vt:variant>
      <vt:variant>
        <vt:i4>0</vt:i4>
      </vt:variant>
      <vt:variant>
        <vt:i4>5</vt:i4>
      </vt:variant>
      <vt:variant>
        <vt:lpwstr>http://www.nevo.co.il/case/26905927</vt:lpwstr>
      </vt:variant>
      <vt:variant>
        <vt:lpwstr/>
      </vt:variant>
      <vt:variant>
        <vt:i4>3539058</vt:i4>
      </vt:variant>
      <vt:variant>
        <vt:i4>21</vt:i4>
      </vt:variant>
      <vt:variant>
        <vt:i4>0</vt:i4>
      </vt:variant>
      <vt:variant>
        <vt:i4>5</vt:i4>
      </vt:variant>
      <vt:variant>
        <vt:lpwstr>http://www.nevo.co.il/case/28384637</vt:lpwstr>
      </vt:variant>
      <vt:variant>
        <vt:lpwstr/>
      </vt:variant>
      <vt:variant>
        <vt:i4>3407994</vt:i4>
      </vt:variant>
      <vt:variant>
        <vt:i4>18</vt:i4>
      </vt:variant>
      <vt:variant>
        <vt:i4>0</vt:i4>
      </vt:variant>
      <vt:variant>
        <vt:i4>5</vt:i4>
      </vt:variant>
      <vt:variant>
        <vt:lpwstr>http://www.nevo.co.il/case/28243273</vt:lpwstr>
      </vt:variant>
      <vt:variant>
        <vt:lpwstr/>
      </vt:variant>
      <vt:variant>
        <vt:i4>7995492</vt:i4>
      </vt:variant>
      <vt:variant>
        <vt:i4>15</vt:i4>
      </vt:variant>
      <vt:variant>
        <vt:i4>0</vt:i4>
      </vt:variant>
      <vt:variant>
        <vt:i4>5</vt:i4>
      </vt:variant>
      <vt:variant>
        <vt:lpwstr>http://www.nevo.co.il/law/70301</vt:lpwstr>
      </vt:variant>
      <vt:variant>
        <vt:lpwstr/>
      </vt:variant>
      <vt:variant>
        <vt:i4>7995492</vt:i4>
      </vt:variant>
      <vt:variant>
        <vt:i4>12</vt:i4>
      </vt:variant>
      <vt:variant>
        <vt:i4>0</vt:i4>
      </vt:variant>
      <vt:variant>
        <vt:i4>5</vt:i4>
      </vt:variant>
      <vt:variant>
        <vt:lpwstr>http://www.nevo.co.il/law/70301</vt:lpwstr>
      </vt:variant>
      <vt:variant>
        <vt:lpwstr/>
      </vt:variant>
      <vt:variant>
        <vt:i4>6291558</vt:i4>
      </vt:variant>
      <vt:variant>
        <vt:i4>9</vt:i4>
      </vt:variant>
      <vt:variant>
        <vt:i4>0</vt:i4>
      </vt:variant>
      <vt:variant>
        <vt:i4>5</vt:i4>
      </vt:variant>
      <vt:variant>
        <vt:lpwstr>http://www.nevo.co.il/law/70301/355</vt:lpwstr>
      </vt:variant>
      <vt:variant>
        <vt:lpwstr/>
      </vt:variant>
      <vt:variant>
        <vt:i4>5177424</vt:i4>
      </vt:variant>
      <vt:variant>
        <vt:i4>6</vt:i4>
      </vt:variant>
      <vt:variant>
        <vt:i4>0</vt:i4>
      </vt:variant>
      <vt:variant>
        <vt:i4>5</vt:i4>
      </vt:variant>
      <vt:variant>
        <vt:lpwstr>http://www.nevo.co.il/law/70301/144.g</vt:lpwstr>
      </vt:variant>
      <vt:variant>
        <vt:lpwstr/>
      </vt:variant>
      <vt:variant>
        <vt:i4>6357092</vt:i4>
      </vt:variant>
      <vt:variant>
        <vt:i4>3</vt:i4>
      </vt:variant>
      <vt:variant>
        <vt:i4>0</vt:i4>
      </vt:variant>
      <vt:variant>
        <vt:i4>5</vt:i4>
      </vt:variant>
      <vt:variant>
        <vt:lpwstr>http://www.nevo.co.il/law/70301/144</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2025-01-19T17:49:00Z</dcterms:created>
  <dcterms:modified xsi:type="dcterms:W3CDTF">2025-01-19T17:49:00Z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13044</vt:lpwstr>
  </property>
  <property fmtid="{D5CDD505-2E9C-101B-9397-08002B2CF9AE}" pid="6" name="NEWPARTB">
    <vt:lpwstr>03</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מהדי אבו רגב</vt:lpwstr>
  </property>
  <property fmtid="{D5CDD505-2E9C-101B-9397-08002B2CF9AE}" pid="10" name="LAWYER">
    <vt:lpwstr>זוהר גיאת;יהודה שושן</vt:lpwstr>
  </property>
  <property fmtid="{D5CDD505-2E9C-101B-9397-08002B2CF9AE}" pid="11" name="JUDGE">
    <vt:lpwstr>ירון מינטקביץ</vt:lpwstr>
  </property>
  <property fmtid="{D5CDD505-2E9C-101B-9397-08002B2CF9AE}" pid="12" name="CITY">
    <vt:lpwstr>י-ם</vt:lpwstr>
  </property>
  <property fmtid="{D5CDD505-2E9C-101B-9397-08002B2CF9AE}" pid="13" name="DATE">
    <vt:lpwstr>20230118</vt:lpwstr>
  </property>
  <property fmtid="{D5CDD505-2E9C-101B-9397-08002B2CF9AE}" pid="14" name="TYPE_N_DATE">
    <vt:lpwstr>38020230118</vt:lpwstr>
  </property>
  <property fmtid="{D5CDD505-2E9C-101B-9397-08002B2CF9AE}" pid="15" name="WORDNUMPAGES">
    <vt:lpwstr>6</vt:lpwstr>
  </property>
  <property fmtid="{D5CDD505-2E9C-101B-9397-08002B2CF9AE}" pid="16" name="TYPE_ABS_DATE">
    <vt:lpwstr>380020230118</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28243273;28384637;26905927;25824863;27171364;22006503;27734980;27309272;28424228;20007123</vt:lpwstr>
  </property>
  <property fmtid="{D5CDD505-2E9C-101B-9397-08002B2CF9AE}" pid="36" name="LAWLISTTMP1">
    <vt:lpwstr>70301/355;144.g;144</vt:lpwstr>
  </property>
</Properties>
</file>