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08"/>
        <w:gridCol w:w="3671"/>
        <w:gridCol w:w="99"/>
      </w:tblGrid>
      <w:tr w:rsidR="00064151" w:rsidRPr="00CF2CA7" w14:paraId="69F64FA6" w14:textId="77777777" w:rsidTr="00B15BDA">
        <w:trPr>
          <w:gridAfter w:val="1"/>
          <w:wAfter w:w="99" w:type="dxa"/>
          <w:trHeight w:hRule="exact" w:val="418"/>
          <w:jc w:val="center"/>
        </w:trPr>
        <w:tc>
          <w:tcPr>
            <w:tcW w:w="8721" w:type="dxa"/>
            <w:gridSpan w:val="4"/>
          </w:tcPr>
          <w:p w14:paraId="08100757" w14:textId="77777777" w:rsidR="00064151" w:rsidRPr="00CF2CA7" w:rsidRDefault="00064151" w:rsidP="00E12CEA">
            <w:pPr>
              <w:pStyle w:val="a3"/>
              <w:jc w:val="center"/>
              <w:rPr>
                <w:rFonts w:ascii="Tahoma" w:hAnsi="Tahoma" w:cs="Tahoma"/>
                <w:color w:val="000080"/>
                <w:rtl/>
              </w:rPr>
            </w:pPr>
            <w:bookmarkStart w:id="0" w:name="LastJudge"/>
            <w:r w:rsidRPr="00CF2CA7">
              <w:rPr>
                <w:rFonts w:ascii="Tahoma" w:hAnsi="Tahoma" w:cs="Tahoma"/>
                <w:b/>
                <w:bCs/>
                <w:color w:val="000080"/>
                <w:rtl/>
              </w:rPr>
              <w:t>בית משפט השלום בעכו</w:t>
            </w:r>
          </w:p>
        </w:tc>
      </w:tr>
      <w:tr w:rsidR="00064151" w:rsidRPr="00CF2CA7" w14:paraId="5BFA931C" w14:textId="77777777" w:rsidTr="00B15BDA">
        <w:trPr>
          <w:gridAfter w:val="1"/>
          <w:wAfter w:w="99" w:type="dxa"/>
          <w:trHeight w:val="337"/>
          <w:jc w:val="center"/>
        </w:trPr>
        <w:tc>
          <w:tcPr>
            <w:tcW w:w="5050" w:type="dxa"/>
            <w:gridSpan w:val="3"/>
          </w:tcPr>
          <w:p w14:paraId="295A723E" w14:textId="77777777" w:rsidR="00064151" w:rsidRPr="00CF2CA7" w:rsidRDefault="00064151" w:rsidP="00E12CEA">
            <w:pPr>
              <w:rPr>
                <w:rFonts w:cs="FrankRuehl"/>
                <w:sz w:val="28"/>
                <w:szCs w:val="28"/>
                <w:rtl/>
              </w:rPr>
            </w:pPr>
            <w:r w:rsidRPr="00CF2CA7">
              <w:rPr>
                <w:rFonts w:cs="FrankRuehl"/>
                <w:sz w:val="28"/>
                <w:szCs w:val="28"/>
                <w:rtl/>
              </w:rPr>
              <w:t>ת"פ</w:t>
            </w:r>
            <w:r w:rsidRPr="00CF2CA7">
              <w:rPr>
                <w:rFonts w:cs="FrankRuehl" w:hint="cs"/>
                <w:sz w:val="28"/>
                <w:szCs w:val="28"/>
                <w:rtl/>
              </w:rPr>
              <w:t xml:space="preserve"> </w:t>
            </w:r>
            <w:r w:rsidRPr="00CF2CA7">
              <w:rPr>
                <w:rFonts w:cs="FrankRuehl"/>
                <w:sz w:val="28"/>
                <w:szCs w:val="28"/>
                <w:rtl/>
              </w:rPr>
              <w:t>16129-03-22</w:t>
            </w:r>
            <w:r w:rsidRPr="00CF2CA7">
              <w:rPr>
                <w:rFonts w:cs="FrankRuehl" w:hint="cs"/>
                <w:sz w:val="28"/>
                <w:szCs w:val="28"/>
                <w:rtl/>
              </w:rPr>
              <w:t xml:space="preserve"> </w:t>
            </w:r>
            <w:r w:rsidRPr="00CF2CA7">
              <w:rPr>
                <w:rFonts w:cs="FrankRuehl"/>
                <w:sz w:val="28"/>
                <w:szCs w:val="28"/>
                <w:rtl/>
              </w:rPr>
              <w:t>מדינת ישראל נ' שי'ח מוחמד</w:t>
            </w:r>
            <w:r w:rsidRPr="00CF2CA7">
              <w:rPr>
                <w:rFonts w:hint="cs"/>
                <w:rtl/>
              </w:rPr>
              <w:t xml:space="preserve">                                    </w:t>
            </w:r>
          </w:p>
          <w:p w14:paraId="0DDD6D53" w14:textId="77777777" w:rsidR="00064151" w:rsidRPr="00CF2CA7" w:rsidRDefault="00064151" w:rsidP="00E12CEA">
            <w:pPr>
              <w:pStyle w:val="a3"/>
              <w:rPr>
                <w:rFonts w:cs="FrankRuehl"/>
                <w:sz w:val="28"/>
                <w:szCs w:val="28"/>
                <w:rtl/>
              </w:rPr>
            </w:pPr>
          </w:p>
        </w:tc>
        <w:tc>
          <w:tcPr>
            <w:tcW w:w="3671" w:type="dxa"/>
          </w:tcPr>
          <w:p w14:paraId="02B7B07E" w14:textId="77777777" w:rsidR="00064151" w:rsidRPr="00CF2CA7" w:rsidRDefault="00064151" w:rsidP="00E12CEA">
            <w:pPr>
              <w:pStyle w:val="a3"/>
              <w:rPr>
                <w:rFonts w:cs="FrankRuehl"/>
                <w:sz w:val="28"/>
                <w:szCs w:val="28"/>
                <w:rtl/>
              </w:rPr>
            </w:pPr>
            <w:r w:rsidRPr="00CF2CA7">
              <w:rPr>
                <w:rFonts w:cs="FrankRuehl" w:hint="cs"/>
                <w:sz w:val="28"/>
                <w:szCs w:val="28"/>
                <w:rtl/>
              </w:rPr>
              <w:t xml:space="preserve">                                26 מאי 2024</w:t>
            </w:r>
          </w:p>
        </w:tc>
      </w:tr>
      <w:tr w:rsidR="00064151" w:rsidRPr="00CF2CA7" w14:paraId="160ED933" w14:textId="77777777" w:rsidTr="00B15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6EA8200" w14:textId="77777777" w:rsidR="00064151" w:rsidRPr="00CF2CA7" w:rsidRDefault="00064151" w:rsidP="00064151">
            <w:pPr>
              <w:jc w:val="both"/>
              <w:rPr>
                <w:rFonts w:ascii="David" w:hAnsi="David"/>
                <w:sz w:val="26"/>
                <w:szCs w:val="26"/>
              </w:rPr>
            </w:pPr>
            <w:r w:rsidRPr="00CF2CA7">
              <w:rPr>
                <w:rFonts w:hint="cs"/>
                <w:rtl/>
              </w:rPr>
              <w:t xml:space="preserve"> </w:t>
            </w:r>
            <w:r w:rsidRPr="00CF2CA7">
              <w:rPr>
                <w:rFonts w:ascii="David" w:hAnsi="David" w:hint="cs"/>
                <w:sz w:val="26"/>
                <w:szCs w:val="26"/>
                <w:rtl/>
              </w:rPr>
              <w:t>ל</w:t>
            </w:r>
            <w:r w:rsidRPr="00CF2CA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D8A08E6" w14:textId="77777777" w:rsidR="00064151" w:rsidRPr="00CF2CA7" w:rsidRDefault="00064151" w:rsidP="00E12CEA">
            <w:pPr>
              <w:rPr>
                <w:rFonts w:ascii="David" w:hAnsi="David"/>
                <w:b/>
                <w:bCs/>
                <w:sz w:val="26"/>
                <w:szCs w:val="26"/>
                <w:rtl/>
              </w:rPr>
            </w:pPr>
            <w:r w:rsidRPr="00CF2CA7">
              <w:rPr>
                <w:rFonts w:ascii="David" w:hAnsi="David"/>
                <w:b/>
                <w:bCs/>
                <w:sz w:val="26"/>
                <w:szCs w:val="26"/>
                <w:rtl/>
              </w:rPr>
              <w:t>כבוד השופטת  ג'ני טנוס</w:t>
            </w:r>
          </w:p>
          <w:p w14:paraId="138443A9" w14:textId="77777777" w:rsidR="00064151" w:rsidRPr="00CF2CA7" w:rsidRDefault="00064151" w:rsidP="00E12CEA">
            <w:pPr>
              <w:rPr>
                <w:rFonts w:ascii="David" w:hAnsi="David"/>
                <w:sz w:val="26"/>
                <w:szCs w:val="26"/>
                <w:rtl/>
              </w:rPr>
            </w:pPr>
          </w:p>
          <w:p w14:paraId="542477A5" w14:textId="77777777" w:rsidR="00064151" w:rsidRPr="00CF2CA7" w:rsidRDefault="00064151" w:rsidP="00064151">
            <w:pPr>
              <w:jc w:val="both"/>
              <w:rPr>
                <w:rFonts w:ascii="David" w:hAnsi="David"/>
                <w:sz w:val="26"/>
                <w:szCs w:val="26"/>
              </w:rPr>
            </w:pPr>
          </w:p>
        </w:tc>
      </w:tr>
      <w:tr w:rsidR="00064151" w:rsidRPr="00CF2CA7" w14:paraId="450693E8" w14:textId="77777777" w:rsidTr="00B15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AF2E5A" w14:textId="77777777" w:rsidR="00064151" w:rsidRPr="00CF2CA7" w:rsidRDefault="00064151" w:rsidP="00064151">
            <w:pPr>
              <w:jc w:val="both"/>
              <w:rPr>
                <w:rFonts w:ascii="David" w:hAnsi="David"/>
                <w:sz w:val="26"/>
                <w:szCs w:val="26"/>
              </w:rPr>
            </w:pPr>
            <w:bookmarkStart w:id="1" w:name="FirstAppellant"/>
            <w:r w:rsidRPr="00CF2CA7">
              <w:rPr>
                <w:rFonts w:ascii="David" w:hAnsi="David"/>
                <w:sz w:val="26"/>
                <w:szCs w:val="26"/>
                <w:rtl/>
              </w:rPr>
              <w:t>בעניין:</w:t>
            </w:r>
          </w:p>
        </w:tc>
        <w:tc>
          <w:tcPr>
            <w:tcW w:w="3219" w:type="dxa"/>
            <w:tcBorders>
              <w:top w:val="nil"/>
              <w:left w:val="nil"/>
              <w:bottom w:val="nil"/>
              <w:right w:val="nil"/>
            </w:tcBorders>
            <w:shd w:val="clear" w:color="auto" w:fill="auto"/>
          </w:tcPr>
          <w:p w14:paraId="25920EB6" w14:textId="77777777" w:rsidR="00064151" w:rsidRPr="00CF2CA7" w:rsidRDefault="00064151" w:rsidP="00064151">
            <w:pPr>
              <w:suppressLineNumbers/>
            </w:pPr>
            <w:r w:rsidRPr="00CF2CA7">
              <w:rPr>
                <w:rFonts w:ascii="Arial" w:hAnsi="Arial" w:hint="cs"/>
                <w:b/>
                <w:bCs/>
                <w:sz w:val="26"/>
                <w:szCs w:val="26"/>
                <w:rtl/>
              </w:rPr>
              <w:t>ה</w:t>
            </w:r>
            <w:r w:rsidRPr="00CF2CA7">
              <w:rPr>
                <w:rFonts w:ascii="Arial" w:hAnsi="Arial"/>
                <w:b/>
                <w:bCs/>
                <w:sz w:val="26"/>
                <w:szCs w:val="26"/>
                <w:rtl/>
              </w:rPr>
              <w:t>מאשימה</w:t>
            </w:r>
          </w:p>
          <w:p w14:paraId="6F4B11B0" w14:textId="77777777" w:rsidR="00064151" w:rsidRPr="00CF2CA7" w:rsidRDefault="00064151" w:rsidP="00E12CE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DF28845" w14:textId="77777777" w:rsidR="00064151" w:rsidRPr="00CF2CA7" w:rsidRDefault="00064151" w:rsidP="00064151">
            <w:pPr>
              <w:suppressLineNumbers/>
              <w:rPr>
                <w:rFonts w:ascii="Arial" w:hAnsi="Arial"/>
                <w:rtl/>
              </w:rPr>
            </w:pPr>
            <w:r w:rsidRPr="00CF2CA7">
              <w:rPr>
                <w:rFonts w:ascii="Arial" w:hAnsi="Arial"/>
                <w:b/>
                <w:bCs/>
                <w:sz w:val="26"/>
                <w:szCs w:val="26"/>
                <w:rtl/>
              </w:rPr>
              <w:t>מדינת ישראל</w:t>
            </w:r>
            <w:r w:rsidRPr="00CF2CA7">
              <w:rPr>
                <w:rFonts w:ascii="Arial" w:hAnsi="Arial" w:hint="cs"/>
                <w:b/>
                <w:bCs/>
                <w:rtl/>
              </w:rPr>
              <w:t xml:space="preserve"> </w:t>
            </w:r>
          </w:p>
          <w:p w14:paraId="4C62984E" w14:textId="77777777" w:rsidR="00064151" w:rsidRPr="00CF2CA7" w:rsidRDefault="00064151" w:rsidP="00064151">
            <w:pPr>
              <w:suppressLineNumbers/>
            </w:pPr>
            <w:r w:rsidRPr="00CF2CA7">
              <w:rPr>
                <w:rFonts w:ascii="Arial" w:hAnsi="Arial"/>
                <w:rtl/>
              </w:rPr>
              <w:t xml:space="preserve">ע"י </w:t>
            </w:r>
            <w:r w:rsidRPr="00CF2CA7">
              <w:rPr>
                <w:rFonts w:ascii="Arial" w:hAnsi="Arial" w:hint="cs"/>
                <w:rtl/>
              </w:rPr>
              <w:t>שלוחת תביעות גליל</w:t>
            </w:r>
            <w:r w:rsidRPr="00CF2CA7">
              <w:rPr>
                <w:rFonts w:ascii="Arial" w:hAnsi="Arial" w:hint="cs"/>
                <w:sz w:val="26"/>
                <w:szCs w:val="26"/>
                <w:rtl/>
              </w:rPr>
              <w:t xml:space="preserve"> </w:t>
            </w:r>
            <w:r w:rsidRPr="00CF2CA7">
              <w:rPr>
                <w:rFonts w:hint="cs"/>
                <w:rtl/>
              </w:rPr>
              <w:t>צפון</w:t>
            </w:r>
          </w:p>
          <w:p w14:paraId="7D79CEFC" w14:textId="77777777" w:rsidR="00064151" w:rsidRPr="00CF2CA7" w:rsidRDefault="00064151" w:rsidP="00E12CEA">
            <w:pPr>
              <w:rPr>
                <w:rFonts w:ascii="David" w:hAnsi="David"/>
                <w:sz w:val="26"/>
                <w:szCs w:val="26"/>
              </w:rPr>
            </w:pPr>
          </w:p>
        </w:tc>
      </w:tr>
      <w:bookmarkEnd w:id="1"/>
      <w:tr w:rsidR="00064151" w:rsidRPr="00CF2CA7" w14:paraId="5559C092" w14:textId="77777777" w:rsidTr="00B15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64F696" w14:textId="77777777" w:rsidR="00064151" w:rsidRPr="00CF2CA7" w:rsidRDefault="00064151" w:rsidP="0006415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454A106" w14:textId="77777777" w:rsidR="00064151" w:rsidRPr="00CF2CA7" w:rsidRDefault="00064151" w:rsidP="00064151">
            <w:pPr>
              <w:jc w:val="center"/>
              <w:rPr>
                <w:rFonts w:ascii="David" w:hAnsi="David"/>
                <w:b/>
                <w:bCs/>
                <w:sz w:val="26"/>
                <w:szCs w:val="26"/>
                <w:rtl/>
              </w:rPr>
            </w:pPr>
          </w:p>
          <w:p w14:paraId="7DB2366C" w14:textId="77777777" w:rsidR="00064151" w:rsidRPr="00CF2CA7" w:rsidRDefault="00064151" w:rsidP="00064151">
            <w:pPr>
              <w:jc w:val="center"/>
              <w:rPr>
                <w:rFonts w:ascii="David" w:hAnsi="David"/>
                <w:b/>
                <w:bCs/>
                <w:sz w:val="26"/>
                <w:szCs w:val="26"/>
                <w:rtl/>
              </w:rPr>
            </w:pPr>
            <w:r w:rsidRPr="00CF2CA7">
              <w:rPr>
                <w:rFonts w:ascii="David" w:hAnsi="David"/>
                <w:b/>
                <w:bCs/>
                <w:sz w:val="26"/>
                <w:szCs w:val="26"/>
                <w:rtl/>
              </w:rPr>
              <w:t>נגד</w:t>
            </w:r>
          </w:p>
          <w:p w14:paraId="38DEC5DF" w14:textId="77777777" w:rsidR="00064151" w:rsidRPr="00CF2CA7" w:rsidRDefault="00064151" w:rsidP="00064151">
            <w:pPr>
              <w:jc w:val="both"/>
              <w:rPr>
                <w:rFonts w:ascii="David" w:hAnsi="David"/>
                <w:sz w:val="26"/>
                <w:szCs w:val="26"/>
              </w:rPr>
            </w:pPr>
          </w:p>
        </w:tc>
      </w:tr>
      <w:tr w:rsidR="00064151" w:rsidRPr="00CF2CA7" w14:paraId="49E345E0" w14:textId="77777777" w:rsidTr="00B15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3D8298" w14:textId="77777777" w:rsidR="00064151" w:rsidRPr="00CF2CA7" w:rsidRDefault="00064151" w:rsidP="00E12CE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5C7EE17" w14:textId="77777777" w:rsidR="00064151" w:rsidRPr="00CF2CA7" w:rsidRDefault="00064151" w:rsidP="00E12CEA">
            <w:pPr>
              <w:rPr>
                <w:rFonts w:ascii="Arial" w:hAnsi="Arial"/>
                <w:b/>
                <w:bCs/>
                <w:sz w:val="26"/>
                <w:szCs w:val="26"/>
                <w:rtl/>
              </w:rPr>
            </w:pPr>
            <w:r w:rsidRPr="00CF2CA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205BF5A" w14:textId="77777777" w:rsidR="00064151" w:rsidRPr="00CF2CA7" w:rsidRDefault="00064151" w:rsidP="00064151">
            <w:pPr>
              <w:suppressLineNumbers/>
              <w:rPr>
                <w:rFonts w:ascii="Arial" w:hAnsi="Arial"/>
                <w:b/>
                <w:bCs/>
                <w:sz w:val="26"/>
                <w:szCs w:val="26"/>
                <w:rtl/>
              </w:rPr>
            </w:pPr>
            <w:r w:rsidRPr="00CF2CA7">
              <w:rPr>
                <w:rFonts w:ascii="Arial" w:hAnsi="Arial"/>
                <w:b/>
                <w:bCs/>
                <w:sz w:val="26"/>
                <w:szCs w:val="26"/>
                <w:rtl/>
              </w:rPr>
              <w:t>בהא שי'ח מוחמד</w:t>
            </w:r>
            <w:r w:rsidRPr="00CF2CA7">
              <w:rPr>
                <w:rFonts w:ascii="Arial" w:hAnsi="Arial" w:hint="cs"/>
                <w:b/>
                <w:bCs/>
                <w:sz w:val="26"/>
                <w:szCs w:val="26"/>
                <w:rtl/>
              </w:rPr>
              <w:t xml:space="preserve"> </w:t>
            </w:r>
          </w:p>
          <w:p w14:paraId="318A8EC0" w14:textId="77777777" w:rsidR="00064151" w:rsidRPr="00CF2CA7" w:rsidRDefault="00064151" w:rsidP="00064151">
            <w:pPr>
              <w:suppressLineNumbers/>
            </w:pPr>
            <w:r w:rsidRPr="00CF2CA7">
              <w:rPr>
                <w:rFonts w:ascii="Arial" w:hAnsi="Arial"/>
                <w:rtl/>
              </w:rPr>
              <w:t>ע"י ב"כ עוה"ד</w:t>
            </w:r>
            <w:r w:rsidRPr="00CF2CA7">
              <w:rPr>
                <w:rFonts w:hint="cs"/>
                <w:rtl/>
              </w:rPr>
              <w:t xml:space="preserve"> חוסין מנאע</w:t>
            </w:r>
          </w:p>
          <w:p w14:paraId="2B93384A" w14:textId="77777777" w:rsidR="00064151" w:rsidRPr="00CF2CA7" w:rsidRDefault="00064151" w:rsidP="00E12CEA">
            <w:pPr>
              <w:rPr>
                <w:rFonts w:ascii="David" w:hAnsi="David"/>
                <w:sz w:val="26"/>
                <w:szCs w:val="26"/>
              </w:rPr>
            </w:pPr>
          </w:p>
        </w:tc>
      </w:tr>
    </w:tbl>
    <w:p w14:paraId="2EFC77CB" w14:textId="77777777" w:rsidR="00B15BDA" w:rsidRPr="00B15BDA" w:rsidRDefault="00B15BDA" w:rsidP="00B15BDA">
      <w:pPr>
        <w:spacing w:before="120" w:after="120" w:line="240" w:lineRule="exact"/>
        <w:ind w:left="283" w:hanging="283"/>
        <w:jc w:val="both"/>
        <w:rPr>
          <w:rFonts w:ascii="FrankRuehl" w:hAnsi="FrankRuehl" w:cs="FrankRuehl"/>
          <w:rtl/>
        </w:rPr>
      </w:pPr>
      <w:bookmarkStart w:id="3" w:name="LawTable"/>
      <w:bookmarkEnd w:id="2"/>
      <w:bookmarkEnd w:id="3"/>
    </w:p>
    <w:p w14:paraId="268C8349" w14:textId="77777777" w:rsidR="00B15BDA" w:rsidRPr="00B15BDA" w:rsidRDefault="00B15BDA" w:rsidP="00B15BDA">
      <w:pPr>
        <w:spacing w:before="120" w:after="120" w:line="240" w:lineRule="exact"/>
        <w:ind w:left="283" w:hanging="283"/>
        <w:jc w:val="both"/>
        <w:rPr>
          <w:rFonts w:ascii="FrankRuehl" w:hAnsi="FrankRuehl" w:cs="FrankRuehl"/>
          <w:rtl/>
        </w:rPr>
      </w:pPr>
      <w:r w:rsidRPr="00B15BDA">
        <w:rPr>
          <w:rFonts w:ascii="FrankRuehl" w:hAnsi="FrankRuehl" w:cs="FrankRuehl"/>
          <w:rtl/>
        </w:rPr>
        <w:t xml:space="preserve">חקיקה שאוזכרה: </w:t>
      </w:r>
    </w:p>
    <w:p w14:paraId="77954781" w14:textId="77777777" w:rsidR="00B15BDA" w:rsidRPr="00B15BDA" w:rsidRDefault="00B15BDA" w:rsidP="00B15BDA">
      <w:pPr>
        <w:spacing w:before="120" w:after="120" w:line="240" w:lineRule="exact"/>
        <w:ind w:left="283" w:hanging="283"/>
        <w:jc w:val="both"/>
        <w:rPr>
          <w:rFonts w:ascii="FrankRuehl" w:hAnsi="FrankRuehl" w:cs="FrankRuehl"/>
          <w:color w:val="0000FF"/>
          <w:rtl/>
        </w:rPr>
      </w:pPr>
      <w:hyperlink r:id="rId7" w:history="1">
        <w:r w:rsidRPr="00B15BDA">
          <w:rPr>
            <w:rStyle w:val="Hyperlink"/>
            <w:rFonts w:ascii="FrankRuehl" w:hAnsi="FrankRuehl" w:cs="FrankRuehl"/>
            <w:u w:val="none"/>
            <w:rtl/>
          </w:rPr>
          <w:t>חוק העונשין, תשל"ז-1977</w:t>
        </w:r>
      </w:hyperlink>
      <w:r w:rsidRPr="00B15BDA">
        <w:rPr>
          <w:rFonts w:ascii="FrankRuehl" w:hAnsi="FrankRuehl" w:cs="FrankRuehl"/>
          <w:color w:val="0000FF"/>
          <w:rtl/>
        </w:rPr>
        <w:t xml:space="preserve">: סע'  </w:t>
      </w:r>
      <w:hyperlink r:id="rId8" w:history="1">
        <w:r w:rsidRPr="00B15BDA">
          <w:rPr>
            <w:rStyle w:val="Hyperlink"/>
            <w:rFonts w:ascii="FrankRuehl" w:hAnsi="FrankRuehl" w:cs="FrankRuehl"/>
            <w:u w:val="none"/>
          </w:rPr>
          <w:t>144</w:t>
        </w:r>
      </w:hyperlink>
      <w:r w:rsidRPr="00B15BDA">
        <w:rPr>
          <w:rFonts w:ascii="FrankRuehl" w:hAnsi="FrankRuehl" w:cs="FrankRuehl"/>
          <w:color w:val="0000FF"/>
          <w:rtl/>
        </w:rPr>
        <w:t>(א)</w:t>
      </w:r>
    </w:p>
    <w:p w14:paraId="34E524B6" w14:textId="77777777" w:rsidR="00064151" w:rsidRPr="00B15BDA" w:rsidRDefault="00064151" w:rsidP="00B15BDA">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4151" w14:paraId="5478FA65" w14:textId="77777777" w:rsidTr="00064151">
        <w:trPr>
          <w:trHeight w:val="355"/>
          <w:jc w:val="center"/>
        </w:trPr>
        <w:tc>
          <w:tcPr>
            <w:tcW w:w="8820" w:type="dxa"/>
            <w:tcBorders>
              <w:top w:val="nil"/>
              <w:left w:val="nil"/>
              <w:bottom w:val="nil"/>
              <w:right w:val="nil"/>
            </w:tcBorders>
            <w:shd w:val="clear" w:color="auto" w:fill="auto"/>
          </w:tcPr>
          <w:p w14:paraId="55BE35E7" w14:textId="77777777" w:rsidR="00CF2CA7" w:rsidRPr="00CF2CA7" w:rsidRDefault="00CF2CA7" w:rsidP="00CF2CA7">
            <w:pPr>
              <w:jc w:val="center"/>
              <w:rPr>
                <w:rFonts w:ascii="David" w:hAnsi="David"/>
                <w:b/>
                <w:bCs/>
                <w:sz w:val="32"/>
                <w:szCs w:val="32"/>
                <w:u w:val="single"/>
                <w:rtl/>
              </w:rPr>
            </w:pPr>
            <w:bookmarkStart w:id="5" w:name="PsakDin" w:colFirst="0" w:colLast="0"/>
            <w:bookmarkEnd w:id="0"/>
            <w:r w:rsidRPr="00CF2CA7">
              <w:rPr>
                <w:rFonts w:ascii="David" w:hAnsi="David"/>
                <w:b/>
                <w:bCs/>
                <w:sz w:val="32"/>
                <w:szCs w:val="32"/>
                <w:u w:val="single"/>
                <w:rtl/>
              </w:rPr>
              <w:t>גזר דין</w:t>
            </w:r>
          </w:p>
          <w:p w14:paraId="7D26CC4F" w14:textId="77777777" w:rsidR="00064151" w:rsidRPr="00CF2CA7" w:rsidRDefault="00064151" w:rsidP="00CF2CA7">
            <w:pPr>
              <w:jc w:val="center"/>
              <w:rPr>
                <w:rFonts w:ascii="David" w:hAnsi="David"/>
                <w:bCs/>
                <w:sz w:val="32"/>
                <w:szCs w:val="32"/>
                <w:u w:val="single"/>
                <w:rtl/>
              </w:rPr>
            </w:pPr>
          </w:p>
        </w:tc>
      </w:tr>
      <w:bookmarkEnd w:id="5"/>
    </w:tbl>
    <w:p w14:paraId="402ACCBC" w14:textId="77777777" w:rsidR="00064151" w:rsidRPr="000F2247" w:rsidRDefault="00064151" w:rsidP="00064151">
      <w:pPr>
        <w:rPr>
          <w:rFonts w:ascii="Arial" w:hAnsi="Arial"/>
          <w:b/>
          <w:bCs/>
          <w:sz w:val="26"/>
          <w:szCs w:val="26"/>
          <w:rtl/>
        </w:rPr>
      </w:pPr>
    </w:p>
    <w:p w14:paraId="44FD0C2F" w14:textId="77777777" w:rsidR="00064151" w:rsidRDefault="00064151" w:rsidP="00064151">
      <w:pPr>
        <w:spacing w:line="360" w:lineRule="auto"/>
        <w:jc w:val="both"/>
        <w:rPr>
          <w:rFonts w:ascii="Arial" w:hAnsi="Arial"/>
        </w:rPr>
      </w:pPr>
      <w:bookmarkStart w:id="6" w:name="ABSTRACT_START"/>
      <w:bookmarkEnd w:id="6"/>
      <w:r>
        <w:rPr>
          <w:rFonts w:ascii="Arial" w:hAnsi="Arial"/>
          <w:rtl/>
        </w:rPr>
        <w:t xml:space="preserve">הנאשם הורשע על פי הודאתו ברכישת/החזקת נשק שלא כדין, עבירה לפי </w:t>
      </w:r>
      <w:hyperlink r:id="rId9" w:history="1">
        <w:r w:rsidR="00B15BDA" w:rsidRPr="00B15BDA">
          <w:rPr>
            <w:rStyle w:val="Hyperlink"/>
            <w:rFonts w:ascii="Arial" w:hAnsi="Arial"/>
            <w:color w:val="0000FF"/>
            <w:rtl/>
          </w:rPr>
          <w:t>סעיף 144(א)</w:t>
        </w:r>
      </w:hyperlink>
      <w:r>
        <w:rPr>
          <w:rFonts w:ascii="Arial" w:hAnsi="Arial"/>
          <w:rtl/>
        </w:rPr>
        <w:t xml:space="preserve"> רישא ל</w:t>
      </w:r>
      <w:hyperlink r:id="rId10" w:history="1">
        <w:r w:rsidR="00CF2CA7" w:rsidRPr="00CF2CA7">
          <w:rPr>
            <w:rFonts w:ascii="Arial" w:hAnsi="Arial"/>
            <w:color w:val="0000FF"/>
            <w:u w:val="single"/>
            <w:rtl/>
          </w:rPr>
          <w:t>חוק העונשין</w:t>
        </w:r>
      </w:hyperlink>
      <w:r>
        <w:rPr>
          <w:rFonts w:ascii="Arial" w:hAnsi="Arial"/>
          <w:rtl/>
        </w:rPr>
        <w:t>, תשל"ז-1977 (להלן: "</w:t>
      </w:r>
      <w:r>
        <w:rPr>
          <w:rFonts w:ascii="Arial" w:hAnsi="Arial"/>
          <w:b/>
          <w:bCs/>
          <w:rtl/>
        </w:rPr>
        <w:t>חוק העונשין</w:t>
      </w:r>
      <w:r>
        <w:rPr>
          <w:rFonts w:ascii="Arial" w:hAnsi="Arial"/>
          <w:rtl/>
        </w:rPr>
        <w:t xml:space="preserve">"), וברכישת/החזקת חלק של נשק או תחמושת, עבירה לפי </w:t>
      </w:r>
      <w:hyperlink r:id="rId11" w:history="1">
        <w:r w:rsidR="00B15BDA" w:rsidRPr="00B15BDA">
          <w:rPr>
            <w:rStyle w:val="Hyperlink"/>
            <w:rFonts w:ascii="Arial" w:hAnsi="Arial"/>
            <w:color w:val="0000FF"/>
            <w:rtl/>
          </w:rPr>
          <w:t>סעיף 144(א)</w:t>
        </w:r>
      </w:hyperlink>
      <w:r>
        <w:rPr>
          <w:rFonts w:ascii="Arial" w:hAnsi="Arial"/>
          <w:rtl/>
        </w:rPr>
        <w:t xml:space="preserve"> סיפא לחוק העונשין.</w:t>
      </w:r>
    </w:p>
    <w:p w14:paraId="3AC93048" w14:textId="77777777" w:rsidR="00064151" w:rsidRDefault="00064151" w:rsidP="00064151">
      <w:pPr>
        <w:spacing w:line="360" w:lineRule="auto"/>
        <w:jc w:val="both"/>
        <w:rPr>
          <w:rFonts w:ascii="Arial" w:hAnsi="Arial"/>
          <w:rtl/>
        </w:rPr>
      </w:pPr>
    </w:p>
    <w:p w14:paraId="534DFF64" w14:textId="77777777" w:rsidR="00064151" w:rsidRDefault="00064151" w:rsidP="00064151">
      <w:pPr>
        <w:spacing w:line="360" w:lineRule="auto"/>
        <w:jc w:val="both"/>
        <w:rPr>
          <w:rFonts w:ascii="Arial" w:hAnsi="Arial"/>
          <w:rtl/>
        </w:rPr>
      </w:pPr>
      <w:bookmarkStart w:id="7" w:name="ABSTRACT_END"/>
      <w:bookmarkEnd w:id="7"/>
      <w:r>
        <w:rPr>
          <w:rFonts w:ascii="Arial" w:hAnsi="Arial"/>
          <w:rtl/>
        </w:rPr>
        <w:t>בהתאם לעובדות כתב האישום המתוקן, ביום 22.2.2022 נערך חיפוש בבית הנאשם בכפר מג'ד אלכרום לפי צו בית משפט, ובעקבות החיפוש מצאו השוטרים כי הנאשם החזיק בגג ביתו אקדח חצי אוטומטי מסוג גלוק (</w:t>
      </w:r>
      <w:r>
        <w:rPr>
          <w:rFonts w:ascii="Arial" w:hAnsi="Arial"/>
        </w:rPr>
        <w:t>GLOCK</w:t>
      </w:r>
      <w:r>
        <w:rPr>
          <w:rFonts w:ascii="Arial" w:hAnsi="Arial"/>
          <w:rtl/>
        </w:rPr>
        <w:t>) ובו מחסנית ריקה מכדורים יחד עם מחסנית ריקה נוספת עטופים בבד לבן, וזאת ללא רשות על פי דין להחזקתם. כמו כן, החזיק הנאשם במוסך בו עבד  בעמעם - משתיק קול - בצבע שחור עטוף בדבק צהוב.</w:t>
      </w:r>
    </w:p>
    <w:p w14:paraId="724B72DF" w14:textId="77777777" w:rsidR="00064151" w:rsidRDefault="00064151" w:rsidP="00064151">
      <w:pPr>
        <w:spacing w:line="360" w:lineRule="auto"/>
        <w:jc w:val="both"/>
        <w:rPr>
          <w:rFonts w:ascii="Arial" w:hAnsi="Arial"/>
          <w:rtl/>
        </w:rPr>
      </w:pPr>
    </w:p>
    <w:p w14:paraId="5382C328" w14:textId="77777777" w:rsidR="00064151" w:rsidRDefault="00064151" w:rsidP="00064151">
      <w:pPr>
        <w:spacing w:line="360" w:lineRule="auto"/>
        <w:jc w:val="both"/>
        <w:rPr>
          <w:rFonts w:ascii="Arial" w:hAnsi="Arial"/>
          <w:rtl/>
        </w:rPr>
      </w:pPr>
      <w:r>
        <w:rPr>
          <w:rFonts w:ascii="Arial" w:hAnsi="Arial"/>
          <w:rtl/>
        </w:rPr>
        <w:t>כשלושה שבועות לפני כן, קיבל הנאשם מאדם אחר את הנשק ומשתיק הקול והחביאם במקומות בהם נמצאו בבית ובמוסך.</w:t>
      </w:r>
    </w:p>
    <w:p w14:paraId="5A85AFF8" w14:textId="77777777" w:rsidR="00064151" w:rsidRDefault="00064151" w:rsidP="00064151">
      <w:pPr>
        <w:spacing w:line="360" w:lineRule="auto"/>
        <w:jc w:val="both"/>
        <w:rPr>
          <w:rFonts w:ascii="Arial" w:hAnsi="Arial"/>
          <w:rtl/>
        </w:rPr>
      </w:pPr>
    </w:p>
    <w:p w14:paraId="55BCA026" w14:textId="77777777" w:rsidR="00064151" w:rsidRDefault="00064151" w:rsidP="00064151">
      <w:pPr>
        <w:spacing w:line="360" w:lineRule="auto"/>
        <w:jc w:val="both"/>
        <w:rPr>
          <w:rFonts w:ascii="Arial" w:hAnsi="Arial"/>
          <w:b/>
          <w:bCs/>
          <w:u w:val="single"/>
          <w:rtl/>
        </w:rPr>
      </w:pPr>
      <w:r>
        <w:rPr>
          <w:rFonts w:ascii="Arial" w:hAnsi="Arial"/>
          <w:b/>
          <w:bCs/>
          <w:u w:val="single"/>
          <w:rtl/>
        </w:rPr>
        <w:t>תסקירי שירות המבחן:</w:t>
      </w:r>
    </w:p>
    <w:p w14:paraId="4058B097" w14:textId="77777777" w:rsidR="00064151" w:rsidRDefault="00064151" w:rsidP="00064151">
      <w:pPr>
        <w:spacing w:line="360" w:lineRule="auto"/>
        <w:jc w:val="both"/>
        <w:rPr>
          <w:rFonts w:ascii="Arial" w:hAnsi="Arial"/>
          <w:rtl/>
        </w:rPr>
      </w:pPr>
      <w:r>
        <w:rPr>
          <w:rFonts w:ascii="Arial" w:hAnsi="Arial"/>
          <w:rtl/>
        </w:rPr>
        <w:t xml:space="preserve">בעניינו של הנאשם הוגשו שני תסקירים מטעם שירות המבחן. התסקיר הראשון סקר את נסיבות חייו האישיים וממנו עולה כי הנאשם בן 46 שנים, נשוי ואב לשני ילדים ועבד עד למעצרו כמכונאי רכב במוסך במג'ד אל כרום. </w:t>
      </w:r>
    </w:p>
    <w:p w14:paraId="257B6214" w14:textId="77777777" w:rsidR="00064151" w:rsidRDefault="00064151" w:rsidP="00064151">
      <w:pPr>
        <w:spacing w:line="360" w:lineRule="auto"/>
        <w:jc w:val="both"/>
        <w:rPr>
          <w:rFonts w:ascii="Arial" w:hAnsi="Arial"/>
          <w:rtl/>
        </w:rPr>
      </w:pPr>
    </w:p>
    <w:p w14:paraId="096E6F36" w14:textId="77777777" w:rsidR="00064151" w:rsidRDefault="00064151" w:rsidP="00064151">
      <w:pPr>
        <w:spacing w:line="360" w:lineRule="auto"/>
        <w:jc w:val="both"/>
        <w:rPr>
          <w:rFonts w:ascii="Arial" w:hAnsi="Arial"/>
          <w:rtl/>
        </w:rPr>
      </w:pPr>
      <w:r>
        <w:rPr>
          <w:rFonts w:ascii="Arial" w:hAnsi="Arial"/>
          <w:rtl/>
        </w:rPr>
        <w:t>עובר לאירוע בנו הבכור של הנאשם היה סטודנט להנדסת מכונות שלמד בטורקיה, אולם לימודיו הושעו על רקע הסתבכות הנאשם בפלילים והקושי הכלכלי אליו נקלעה המשפחה.</w:t>
      </w:r>
    </w:p>
    <w:p w14:paraId="6CAD2B34" w14:textId="77777777" w:rsidR="00064151" w:rsidRDefault="00064151" w:rsidP="00064151">
      <w:pPr>
        <w:spacing w:line="360" w:lineRule="auto"/>
        <w:jc w:val="both"/>
        <w:rPr>
          <w:rFonts w:ascii="Arial" w:hAnsi="Arial"/>
          <w:rtl/>
        </w:rPr>
      </w:pPr>
      <w:r>
        <w:rPr>
          <w:rFonts w:ascii="Arial" w:hAnsi="Arial"/>
          <w:rtl/>
        </w:rPr>
        <w:t>קצינת המבחן ציינה בתסקיר כי לנאשם אין הרשעות קודמות אך הוא מוכר לשירות המבחן ממעורבות בתחום האלימות במשפחה.</w:t>
      </w:r>
    </w:p>
    <w:p w14:paraId="4A5F59C2" w14:textId="77777777" w:rsidR="00064151" w:rsidRDefault="00064151" w:rsidP="00064151">
      <w:pPr>
        <w:spacing w:line="360" w:lineRule="auto"/>
        <w:jc w:val="both"/>
        <w:rPr>
          <w:rFonts w:ascii="Arial" w:hAnsi="Arial"/>
          <w:rtl/>
        </w:rPr>
      </w:pPr>
    </w:p>
    <w:p w14:paraId="470348A9" w14:textId="77777777" w:rsidR="00064151" w:rsidRDefault="00064151" w:rsidP="00064151">
      <w:pPr>
        <w:spacing w:line="360" w:lineRule="auto"/>
        <w:jc w:val="both"/>
        <w:rPr>
          <w:rFonts w:ascii="Arial" w:hAnsi="Arial"/>
          <w:rtl/>
        </w:rPr>
      </w:pPr>
      <w:r>
        <w:rPr>
          <w:rFonts w:ascii="Arial" w:hAnsi="Arial"/>
          <w:rtl/>
        </w:rPr>
        <w:t>באשר להערכת המסוכנות והסיכוי לשיקום, קצינת המבחן התרשמה מנטילת אחריות פורמאלית וראשונית בלבד מצד הנאשם לביצוע העבירות וציינה כי הנאשם לא שלל אפשרות שילובו בטיפול אך התקשה לגלות מוקדי קושי ולהביע נזקקות טיפולית באופן מחובר רגשי ואותנטי. לאור כך, קצינת המבחן הגיעה למסקנה כי קיימת הערכת סיכון בינונית להישנות עבירות ברמת חומרת נמוכה ולאור המסקנה אליה הגיעה המליצה על בחינת התאמתו לקבוצה טיפולית בתחום עבירות הנשק.</w:t>
      </w:r>
    </w:p>
    <w:p w14:paraId="6407456C" w14:textId="77777777" w:rsidR="00064151" w:rsidRDefault="00064151" w:rsidP="00064151">
      <w:pPr>
        <w:spacing w:line="360" w:lineRule="auto"/>
        <w:jc w:val="both"/>
        <w:rPr>
          <w:rFonts w:ascii="Arial" w:hAnsi="Arial"/>
          <w:rtl/>
        </w:rPr>
      </w:pPr>
    </w:p>
    <w:p w14:paraId="05FF2BC3" w14:textId="77777777" w:rsidR="00064151" w:rsidRDefault="00064151" w:rsidP="00064151">
      <w:pPr>
        <w:spacing w:line="360" w:lineRule="auto"/>
        <w:jc w:val="both"/>
        <w:rPr>
          <w:rFonts w:ascii="Arial" w:hAnsi="Arial"/>
          <w:rtl/>
        </w:rPr>
      </w:pPr>
      <w:r>
        <w:rPr>
          <w:rFonts w:ascii="Arial" w:hAnsi="Arial"/>
          <w:rtl/>
        </w:rPr>
        <w:t>התסקיר המשלים בעניינו של הנאשם הוגש לאחר עריכת ראיון היכרות וקבלה לקבוצה טיפולית ייעודית בתחום עבירות נשק. קצינת המבחן ציינה כי מהתרשמותה ומסיכום הפגישה של מנחות הקבוצה עולה ההערכה כי בהיעדר הליך טיפולי הסיכון להישנות ביצוע עבירות בעתיד מתקיים, ובשל העדר מוטיבציה פנימית וחיבור אותנטי מצדו של הנאשם לנזקקות טיפולית אין באפשרותה לבוא בהמלצה כלשהי בעניינו.</w:t>
      </w:r>
    </w:p>
    <w:p w14:paraId="293E7E0E" w14:textId="77777777" w:rsidR="00064151" w:rsidRDefault="00064151" w:rsidP="00064151">
      <w:pPr>
        <w:spacing w:line="360" w:lineRule="auto"/>
        <w:jc w:val="both"/>
        <w:rPr>
          <w:rFonts w:ascii="Arial" w:hAnsi="Arial"/>
          <w:rtl/>
        </w:rPr>
      </w:pPr>
    </w:p>
    <w:p w14:paraId="5D76AAFD" w14:textId="77777777" w:rsidR="00064151" w:rsidRDefault="00064151" w:rsidP="00064151">
      <w:pPr>
        <w:spacing w:line="360" w:lineRule="auto"/>
        <w:jc w:val="both"/>
        <w:rPr>
          <w:rFonts w:ascii="Arial" w:hAnsi="Arial"/>
          <w:b/>
          <w:bCs/>
          <w:u w:val="single"/>
          <w:rtl/>
        </w:rPr>
      </w:pPr>
      <w:r>
        <w:rPr>
          <w:rFonts w:ascii="Arial" w:hAnsi="Arial"/>
          <w:b/>
          <w:bCs/>
          <w:u w:val="single"/>
          <w:rtl/>
        </w:rPr>
        <w:t>טיעוני ב"כ המאשימה לעונש:</w:t>
      </w:r>
    </w:p>
    <w:p w14:paraId="2C8A85D3" w14:textId="77777777" w:rsidR="00064151" w:rsidRDefault="00064151" w:rsidP="00064151">
      <w:pPr>
        <w:spacing w:line="360" w:lineRule="auto"/>
        <w:jc w:val="both"/>
        <w:rPr>
          <w:rFonts w:ascii="Arial" w:hAnsi="Arial"/>
          <w:rtl/>
        </w:rPr>
      </w:pPr>
      <w:r>
        <w:rPr>
          <w:rFonts w:ascii="Arial" w:hAnsi="Arial"/>
          <w:rtl/>
        </w:rPr>
        <w:t>ב"כ המאשימה הגישה טיעונים בכתב ובהם הפנתה לערכים המוגנים שנפגעו ולמידת הפגיעה בהם.</w:t>
      </w:r>
    </w:p>
    <w:p w14:paraId="593CC84B" w14:textId="77777777" w:rsidR="00064151" w:rsidRDefault="00064151" w:rsidP="00064151">
      <w:pPr>
        <w:spacing w:line="360" w:lineRule="auto"/>
        <w:jc w:val="both"/>
        <w:rPr>
          <w:rFonts w:ascii="Arial" w:hAnsi="Arial"/>
          <w:rtl/>
        </w:rPr>
      </w:pPr>
    </w:p>
    <w:p w14:paraId="0BDCBA85" w14:textId="77777777" w:rsidR="00064151" w:rsidRDefault="00064151" w:rsidP="00064151">
      <w:pPr>
        <w:spacing w:line="360" w:lineRule="auto"/>
        <w:jc w:val="both"/>
        <w:rPr>
          <w:rFonts w:ascii="Arial" w:hAnsi="Arial"/>
          <w:rtl/>
        </w:rPr>
      </w:pPr>
      <w:r>
        <w:rPr>
          <w:rFonts w:ascii="Arial" w:hAnsi="Arial"/>
          <w:rtl/>
        </w:rPr>
        <w:t>באשר לנסיבות הקשורות בביצוע העבירה- טענה ב"כ המאשימה שהנאשם החזיק במחסניות ובמשתיק קול דבר המצביע על החזקת נשק למטרות פליליות ועובדה זו מהווה שיקול לחומרה במיוחד כשאין לנאשם רישיון להחזקת נשק.</w:t>
      </w:r>
    </w:p>
    <w:p w14:paraId="2DEC288E" w14:textId="77777777" w:rsidR="00064151" w:rsidRDefault="00064151" w:rsidP="00064151">
      <w:pPr>
        <w:spacing w:line="360" w:lineRule="auto"/>
        <w:jc w:val="both"/>
        <w:rPr>
          <w:rFonts w:ascii="Arial" w:hAnsi="Arial"/>
          <w:rtl/>
        </w:rPr>
      </w:pPr>
    </w:p>
    <w:p w14:paraId="57DC97D1" w14:textId="77777777" w:rsidR="00064151" w:rsidRDefault="00064151" w:rsidP="00064151">
      <w:pPr>
        <w:spacing w:line="360" w:lineRule="auto"/>
        <w:jc w:val="both"/>
        <w:rPr>
          <w:rFonts w:ascii="Arial" w:hAnsi="Arial"/>
          <w:rtl/>
        </w:rPr>
      </w:pPr>
      <w:r>
        <w:rPr>
          <w:rFonts w:ascii="Arial" w:hAnsi="Arial"/>
          <w:rtl/>
        </w:rPr>
        <w:t>באשר למתחם העונש ההולם - לאחר שב"כ המאשימה הפנתה לפסיקה לעניין מדיניות הענישה וטענה לנסיבות ביצוע העבירה, היא עתרה לקביעת מתחם ענישה שנע בין 24-36 חודשי מאסר בפועל.</w:t>
      </w:r>
    </w:p>
    <w:p w14:paraId="44B90AA9" w14:textId="77777777" w:rsidR="00064151" w:rsidRDefault="00064151" w:rsidP="00064151">
      <w:pPr>
        <w:spacing w:line="360" w:lineRule="auto"/>
        <w:jc w:val="both"/>
        <w:rPr>
          <w:rFonts w:ascii="Arial" w:hAnsi="Arial"/>
          <w:rtl/>
        </w:rPr>
      </w:pPr>
    </w:p>
    <w:p w14:paraId="09DAD827" w14:textId="77777777" w:rsidR="00064151" w:rsidRDefault="00064151" w:rsidP="00064151">
      <w:pPr>
        <w:spacing w:line="360" w:lineRule="auto"/>
        <w:jc w:val="both"/>
        <w:rPr>
          <w:rFonts w:ascii="Arial" w:hAnsi="Arial"/>
          <w:rtl/>
        </w:rPr>
      </w:pPr>
      <w:r>
        <w:rPr>
          <w:rFonts w:ascii="Arial" w:hAnsi="Arial"/>
          <w:rtl/>
        </w:rPr>
        <w:t>לעניין הנסיבות שאינן קשורות בביצוע העבירה, טענה ב"כ המאשימה  כי הנאשם נעדר עבר פלילי והיא הפנתה למסקנות העולות מתסקירי שירות המבחן.</w:t>
      </w:r>
    </w:p>
    <w:p w14:paraId="2BA31315" w14:textId="77777777" w:rsidR="00064151" w:rsidRDefault="00064151" w:rsidP="00064151">
      <w:pPr>
        <w:spacing w:line="360" w:lineRule="auto"/>
        <w:jc w:val="both"/>
        <w:rPr>
          <w:rFonts w:ascii="Arial" w:hAnsi="Arial"/>
          <w:rtl/>
        </w:rPr>
      </w:pPr>
    </w:p>
    <w:p w14:paraId="2A1FC7F9" w14:textId="77777777" w:rsidR="00064151" w:rsidRDefault="00064151" w:rsidP="00064151">
      <w:pPr>
        <w:spacing w:line="360" w:lineRule="auto"/>
        <w:jc w:val="both"/>
        <w:rPr>
          <w:rFonts w:ascii="Arial" w:hAnsi="Arial"/>
          <w:rtl/>
        </w:rPr>
      </w:pPr>
      <w:r>
        <w:rPr>
          <w:rFonts w:ascii="Arial" w:hAnsi="Arial"/>
          <w:rtl/>
        </w:rPr>
        <w:t>לאור טענותיה לעיל, עותרת ב"כ המאשימה להשית על הנאשם העונשים הבאים: מאסר בפועל ברף הבינוני נמוך של המתחם, מאסר על תנאי ארוך ומרתיע וקנס כספי משמעותי.</w:t>
      </w:r>
    </w:p>
    <w:p w14:paraId="20476FE7" w14:textId="77777777" w:rsidR="00064151" w:rsidRDefault="00064151" w:rsidP="00064151">
      <w:pPr>
        <w:spacing w:line="360" w:lineRule="auto"/>
        <w:jc w:val="both"/>
        <w:rPr>
          <w:rFonts w:ascii="Arial" w:hAnsi="Arial"/>
          <w:rtl/>
        </w:rPr>
      </w:pPr>
    </w:p>
    <w:p w14:paraId="6F9CBF97" w14:textId="77777777" w:rsidR="00064151" w:rsidRDefault="00064151" w:rsidP="00064151">
      <w:pPr>
        <w:spacing w:line="360" w:lineRule="auto"/>
        <w:jc w:val="both"/>
        <w:rPr>
          <w:rFonts w:ascii="Arial" w:hAnsi="Arial"/>
          <w:b/>
          <w:bCs/>
          <w:u w:val="single"/>
          <w:rtl/>
        </w:rPr>
      </w:pPr>
    </w:p>
    <w:p w14:paraId="6B6EF96A" w14:textId="77777777" w:rsidR="00064151" w:rsidRDefault="00064151" w:rsidP="00064151">
      <w:pPr>
        <w:spacing w:line="360" w:lineRule="auto"/>
        <w:jc w:val="both"/>
        <w:rPr>
          <w:rFonts w:ascii="Arial" w:hAnsi="Arial"/>
          <w:b/>
          <w:bCs/>
          <w:u w:val="single"/>
          <w:rtl/>
        </w:rPr>
      </w:pPr>
    </w:p>
    <w:p w14:paraId="1B635790" w14:textId="77777777" w:rsidR="00064151" w:rsidRDefault="00064151" w:rsidP="00064151">
      <w:pPr>
        <w:spacing w:line="360" w:lineRule="auto"/>
        <w:jc w:val="both"/>
        <w:rPr>
          <w:rFonts w:ascii="Arial" w:hAnsi="Arial"/>
          <w:b/>
          <w:bCs/>
          <w:u w:val="single"/>
          <w:rtl/>
        </w:rPr>
      </w:pPr>
      <w:r>
        <w:rPr>
          <w:rFonts w:ascii="Arial" w:hAnsi="Arial"/>
          <w:b/>
          <w:bCs/>
          <w:u w:val="single"/>
          <w:rtl/>
        </w:rPr>
        <w:t>טיעוני הסנגור לעונש:</w:t>
      </w:r>
    </w:p>
    <w:p w14:paraId="4D22F31F" w14:textId="77777777" w:rsidR="00064151" w:rsidRDefault="00064151" w:rsidP="00064151">
      <w:pPr>
        <w:spacing w:line="360" w:lineRule="auto"/>
        <w:jc w:val="both"/>
        <w:rPr>
          <w:rFonts w:ascii="Arial" w:hAnsi="Arial"/>
          <w:rtl/>
        </w:rPr>
      </w:pPr>
      <w:r>
        <w:rPr>
          <w:rFonts w:ascii="Arial" w:hAnsi="Arial"/>
          <w:rtl/>
        </w:rPr>
        <w:t>לעניין הנסיבות הקשורות בביצוע העבירה, טען הסנגור, כי אין שום אינדיקציה לכך כי הנאשם התכוון להשתמש בנשק או כי התכוון להעבירו לאדם אחר, ובפרט שהנשק שייך לאדם אחר בכלל.</w:t>
      </w:r>
    </w:p>
    <w:p w14:paraId="50D5D4DC" w14:textId="77777777" w:rsidR="00064151" w:rsidRDefault="00064151" w:rsidP="00064151">
      <w:pPr>
        <w:spacing w:line="360" w:lineRule="auto"/>
        <w:jc w:val="both"/>
        <w:rPr>
          <w:rFonts w:ascii="Arial" w:hAnsi="Arial"/>
          <w:rtl/>
        </w:rPr>
      </w:pPr>
    </w:p>
    <w:p w14:paraId="3653EBA4" w14:textId="77777777" w:rsidR="00064151" w:rsidRDefault="00064151" w:rsidP="00064151">
      <w:pPr>
        <w:spacing w:line="360" w:lineRule="auto"/>
        <w:jc w:val="both"/>
        <w:rPr>
          <w:rFonts w:ascii="Arial" w:hAnsi="Arial"/>
          <w:rtl/>
        </w:rPr>
      </w:pPr>
      <w:r>
        <w:rPr>
          <w:rFonts w:ascii="Arial" w:hAnsi="Arial"/>
          <w:rtl/>
        </w:rPr>
        <w:t>לעניין מתחם העונש ההולם, טען הסנגור כי לצורך קביעת מתחם העונש יש לעשות אבחנה בין מי שמחזיק בנשק ולא מתכוון להשתמש בו לבין מי שמשתייך לארגוני פשיעה. לדבריו, הנאשם לא קשור לעולם הפשע אלא עשה טעות ושילם בגינה מחיר יקר. הוא קיבל את הנשק והפריטים מאדם אחר המזוהה עם ארגון עובר חוק אשר לחץ עליו לשמור אותם אצלו, ובעקבות החיפוש של השוטרים הנאשם שיתף פעולה עם חוקריו ומסר להם מידע שהוביל לגילוי אמצעי לחימה נוספים מעבר לאלה שנתפסו אצלו. לפיכך ובהתאם לפסיקה אליה הפנה, טען כי מתחם העונש ההולם נע בין 6-24 חודשי מאסר.</w:t>
      </w:r>
    </w:p>
    <w:p w14:paraId="4C83C5C0" w14:textId="77777777" w:rsidR="00064151" w:rsidRDefault="00064151" w:rsidP="00064151">
      <w:pPr>
        <w:spacing w:line="360" w:lineRule="auto"/>
        <w:jc w:val="both"/>
        <w:rPr>
          <w:rFonts w:ascii="Arial" w:hAnsi="Arial"/>
          <w:rtl/>
        </w:rPr>
      </w:pPr>
    </w:p>
    <w:p w14:paraId="7646220D" w14:textId="77777777" w:rsidR="00064151" w:rsidRDefault="00064151" w:rsidP="00064151">
      <w:pPr>
        <w:spacing w:line="360" w:lineRule="auto"/>
        <w:jc w:val="both"/>
        <w:rPr>
          <w:rFonts w:ascii="Arial" w:hAnsi="Arial"/>
          <w:rtl/>
        </w:rPr>
      </w:pPr>
      <w:r>
        <w:rPr>
          <w:rFonts w:ascii="Arial" w:hAnsi="Arial"/>
          <w:rtl/>
        </w:rPr>
        <w:t>באשר לנסיבות שאינן קשורות בביצוע העבירה, טען הסנגור כי הנאשם הודה בהזדמנות הראשונה וחסך זמן שיפוטי יקר. בנוסף, לנאשם אין עבר פלילי ולא נפתחו נגדו תיקים.</w:t>
      </w:r>
    </w:p>
    <w:p w14:paraId="7B953B9D" w14:textId="77777777" w:rsidR="00064151" w:rsidRDefault="00064151" w:rsidP="00064151">
      <w:pPr>
        <w:spacing w:line="360" w:lineRule="auto"/>
        <w:jc w:val="both"/>
        <w:rPr>
          <w:rFonts w:ascii="Arial" w:hAnsi="Arial"/>
          <w:rtl/>
        </w:rPr>
      </w:pPr>
    </w:p>
    <w:p w14:paraId="271CEFA5" w14:textId="77777777" w:rsidR="00064151" w:rsidRDefault="00064151" w:rsidP="00064151">
      <w:pPr>
        <w:spacing w:line="360" w:lineRule="auto"/>
        <w:jc w:val="both"/>
        <w:rPr>
          <w:rFonts w:ascii="Arial" w:hAnsi="Arial"/>
          <w:rtl/>
        </w:rPr>
      </w:pPr>
      <w:r>
        <w:rPr>
          <w:rFonts w:ascii="Arial" w:hAnsi="Arial"/>
          <w:rtl/>
        </w:rPr>
        <w:t xml:space="preserve">הסנגור הוסיף, כי הנאשם פתח מאפייה ולצורך כך נטל הלוואה גדולה. הנאשם נשוי ואב לשני ילדים שאחד מהם לומד רפואה והוא ממן את לימודיו. כמו כן, הנאשם תורם באופן יומי לעמותת בית חם בכרמיאל וכן לחיילים. </w:t>
      </w:r>
    </w:p>
    <w:p w14:paraId="1C225F4A" w14:textId="77777777" w:rsidR="00064151" w:rsidRDefault="00064151" w:rsidP="00064151">
      <w:pPr>
        <w:spacing w:line="360" w:lineRule="auto"/>
        <w:jc w:val="both"/>
        <w:rPr>
          <w:rFonts w:ascii="Arial" w:hAnsi="Arial"/>
          <w:rtl/>
        </w:rPr>
      </w:pPr>
    </w:p>
    <w:p w14:paraId="6DAE6542" w14:textId="77777777" w:rsidR="00064151" w:rsidRDefault="00064151" w:rsidP="00064151">
      <w:pPr>
        <w:spacing w:line="360" w:lineRule="auto"/>
        <w:jc w:val="both"/>
        <w:rPr>
          <w:rFonts w:ascii="Arial" w:hAnsi="Arial"/>
          <w:rtl/>
        </w:rPr>
      </w:pPr>
      <w:r>
        <w:rPr>
          <w:rFonts w:ascii="Arial" w:hAnsi="Arial"/>
          <w:rtl/>
        </w:rPr>
        <w:t>זאת ועוד, אומנם שירות המבחן לא המליץ על תוכנית שיקומית אך אורח חייו של הנאשם מדבר בעד עצמו.</w:t>
      </w:r>
    </w:p>
    <w:p w14:paraId="566F8AD6" w14:textId="77777777" w:rsidR="00064151" w:rsidRDefault="00064151" w:rsidP="00064151">
      <w:pPr>
        <w:spacing w:line="360" w:lineRule="auto"/>
        <w:jc w:val="both"/>
        <w:rPr>
          <w:rFonts w:ascii="Arial" w:hAnsi="Arial"/>
          <w:rtl/>
        </w:rPr>
      </w:pPr>
    </w:p>
    <w:p w14:paraId="102E294F" w14:textId="77777777" w:rsidR="00064151" w:rsidRDefault="00064151" w:rsidP="00064151">
      <w:pPr>
        <w:spacing w:line="360" w:lineRule="auto"/>
        <w:jc w:val="both"/>
        <w:rPr>
          <w:rFonts w:ascii="Arial" w:hAnsi="Arial"/>
          <w:rtl/>
        </w:rPr>
      </w:pPr>
      <w:r>
        <w:rPr>
          <w:rFonts w:ascii="Arial" w:hAnsi="Arial"/>
          <w:rtl/>
        </w:rPr>
        <w:t>לאור הנסיבות שתוארו לעיל, טען הסנגור שיש הצדקה לחרוג לקולה ממתחם העונש ההולם ולמקם את העונש ברף הנמוך של המתחם וביקש להטיל עליו עונש לריצוי בעבודות שירות.</w:t>
      </w:r>
    </w:p>
    <w:p w14:paraId="55F36EF3" w14:textId="77777777" w:rsidR="00064151" w:rsidRDefault="00064151" w:rsidP="00064151">
      <w:pPr>
        <w:spacing w:line="360" w:lineRule="auto"/>
        <w:jc w:val="both"/>
        <w:rPr>
          <w:rFonts w:ascii="Arial" w:hAnsi="Arial"/>
          <w:rtl/>
        </w:rPr>
      </w:pPr>
    </w:p>
    <w:p w14:paraId="76F44368" w14:textId="77777777" w:rsidR="00064151" w:rsidRDefault="00064151" w:rsidP="00064151">
      <w:pPr>
        <w:spacing w:line="360" w:lineRule="auto"/>
        <w:jc w:val="both"/>
        <w:rPr>
          <w:rFonts w:ascii="Arial" w:hAnsi="Arial"/>
          <w:b/>
          <w:bCs/>
          <w:u w:val="single"/>
          <w:rtl/>
        </w:rPr>
      </w:pPr>
      <w:r>
        <w:rPr>
          <w:rFonts w:ascii="Arial" w:hAnsi="Arial"/>
          <w:b/>
          <w:bCs/>
          <w:u w:val="single"/>
          <w:rtl/>
        </w:rPr>
        <w:t>הנאשם:</w:t>
      </w:r>
    </w:p>
    <w:p w14:paraId="13CAD289" w14:textId="77777777" w:rsidR="00064151" w:rsidRDefault="00064151" w:rsidP="00064151">
      <w:pPr>
        <w:spacing w:line="360" w:lineRule="auto"/>
        <w:jc w:val="both"/>
        <w:rPr>
          <w:rFonts w:ascii="Arial" w:hAnsi="Arial"/>
          <w:rtl/>
        </w:rPr>
      </w:pPr>
      <w:r>
        <w:rPr>
          <w:rFonts w:ascii="Arial" w:hAnsi="Arial"/>
          <w:rtl/>
        </w:rPr>
        <w:t>הנאשם טען בפניי כי הוא הבין שעשה טעות ומתחרט על כך. הוא ביקש מבית המשפט לעזור לו, להתחשב במצבו ולהקל בעונשו. הנאשם הוסיף שלא הייתה לו כל כוונה לעשות שימוש בנשק ולראיה הוא עזר לגורמי החקירה לאתר את הנשק ואמצעי לחימה נוספים.</w:t>
      </w:r>
    </w:p>
    <w:p w14:paraId="66FB9F05" w14:textId="77777777" w:rsidR="00064151" w:rsidRDefault="00064151" w:rsidP="00064151">
      <w:pPr>
        <w:spacing w:line="360" w:lineRule="auto"/>
        <w:jc w:val="both"/>
        <w:rPr>
          <w:rFonts w:ascii="Arial" w:hAnsi="Arial"/>
          <w:rtl/>
        </w:rPr>
      </w:pPr>
    </w:p>
    <w:p w14:paraId="5E106712" w14:textId="77777777" w:rsidR="00064151" w:rsidRDefault="00064151" w:rsidP="00064151">
      <w:pPr>
        <w:spacing w:line="360" w:lineRule="auto"/>
        <w:jc w:val="both"/>
        <w:rPr>
          <w:rFonts w:ascii="Arial" w:hAnsi="Arial"/>
          <w:b/>
          <w:bCs/>
          <w:u w:val="single"/>
          <w:rtl/>
        </w:rPr>
      </w:pPr>
      <w:r>
        <w:rPr>
          <w:rFonts w:ascii="Arial" w:hAnsi="Arial"/>
          <w:b/>
          <w:bCs/>
          <w:u w:val="single"/>
          <w:rtl/>
        </w:rPr>
        <w:t>דיון:</w:t>
      </w:r>
    </w:p>
    <w:p w14:paraId="364EF8BA" w14:textId="77777777" w:rsidR="00064151" w:rsidRDefault="00064151" w:rsidP="00064151">
      <w:pPr>
        <w:pStyle w:val="a9"/>
        <w:spacing w:line="360" w:lineRule="auto"/>
        <w:jc w:val="both"/>
        <w:rPr>
          <w:noProof/>
        </w:rPr>
      </w:pPr>
      <w:r>
        <w:rPr>
          <w:rFonts w:hint="cs"/>
          <w:rtl/>
          <w:lang w:eastAsia="he-IL"/>
        </w:rPr>
        <w:t>הנאשם חטא בביצוע עבירות חמורות. הוא החזיק שלא כדין באקדח חצי אוטומטי שמסוגל לירות ובכוחו להמית אדם ובתוכו מחסנית ריקה, במחסנית נוספת ובמשתיק קול.</w:t>
      </w:r>
    </w:p>
    <w:p w14:paraId="0EA8D396" w14:textId="77777777" w:rsidR="00064151" w:rsidRDefault="00064151" w:rsidP="00064151">
      <w:pPr>
        <w:pStyle w:val="a9"/>
        <w:spacing w:line="360" w:lineRule="auto"/>
        <w:jc w:val="both"/>
        <w:rPr>
          <w:rtl/>
        </w:rPr>
      </w:pPr>
      <w:r>
        <w:rPr>
          <w:rFonts w:hint="cs"/>
          <w:noProof/>
          <w:rtl/>
        </w:rPr>
        <w:t xml:space="preserve"> </w:t>
      </w:r>
      <w:r>
        <w:rPr>
          <w:rFonts w:hint="cs"/>
          <w:rtl/>
        </w:rPr>
        <w:t xml:space="preserve">הערכים המוגנים שנפגעו כתוצאה מביצוע העבירות הם שלום הציבור וביטחונו, שכן שימוש בנשק שלא כדין עלול להוביל לתוצאות הרות אסון. לצערנו, אנו עדים לאלימות גואה מדי יום תוך שימוש בנשק חם באופן שפוגע בשלום גופם ושלוות נפשם של הציבור, ולצערנו אף לקיפוח חיי אדם. </w:t>
      </w:r>
      <w:r>
        <w:rPr>
          <w:rFonts w:hint="cs"/>
          <w:b/>
          <w:bCs/>
          <w:rtl/>
          <w:lang w:eastAsia="he-IL"/>
        </w:rPr>
        <w:t xml:space="preserve"> </w:t>
      </w:r>
      <w:r>
        <w:rPr>
          <w:rFonts w:hint="cs"/>
          <w:rtl/>
        </w:rPr>
        <w:t>הפסיקה התייחסה לא אחת לכך כי שיקולי ההלימה מחייבים העדפת האינטרס הציבורי על פני האינטרס האישי והאינדיווידואלי של הנאשם, וכי הענישה הראויה כוללת מאסר לריצוי בפועל גם כשמדובר במי שזו לו עבירתו הראשונה (</w:t>
      </w:r>
      <w:hyperlink r:id="rId12" w:history="1">
        <w:r w:rsidR="00CF2CA7" w:rsidRPr="00CF2CA7">
          <w:rPr>
            <w:color w:val="0000FF"/>
            <w:u w:val="single"/>
            <w:rtl/>
          </w:rPr>
          <w:t>ע"פ 5681/14</w:t>
        </w:r>
      </w:hyperlink>
      <w:r>
        <w:rPr>
          <w:rFonts w:hint="cs"/>
          <w:rtl/>
        </w:rPr>
        <w:t xml:space="preserve"> </w:t>
      </w:r>
      <w:r>
        <w:rPr>
          <w:rFonts w:hint="cs"/>
          <w:b/>
          <w:bCs/>
          <w:rtl/>
        </w:rPr>
        <w:t>מדינת ישראל נ' טאטור</w:t>
      </w:r>
      <w:r>
        <w:rPr>
          <w:rFonts w:hint="cs"/>
          <w:rtl/>
        </w:rPr>
        <w:t xml:space="preserve">, מיום 1.2.2015). </w:t>
      </w:r>
    </w:p>
    <w:p w14:paraId="7DC9D710" w14:textId="77777777" w:rsidR="00064151" w:rsidRDefault="00064151" w:rsidP="00064151">
      <w:pPr>
        <w:spacing w:line="360" w:lineRule="auto"/>
        <w:jc w:val="both"/>
        <w:rPr>
          <w:rtl/>
        </w:rPr>
      </w:pPr>
    </w:p>
    <w:p w14:paraId="434C7C25" w14:textId="77777777" w:rsidR="00064151" w:rsidRDefault="00064151" w:rsidP="00064151">
      <w:pPr>
        <w:spacing w:line="360" w:lineRule="auto"/>
        <w:jc w:val="both"/>
      </w:pPr>
      <w:r>
        <w:rPr>
          <w:rtl/>
        </w:rPr>
        <w:t xml:space="preserve">בית המשפט העליון חזר בעניין סובח והדגיש את מגמת ההחמרה בעבירות נשק, על סוגיהן השונים, </w:t>
      </w:r>
      <w:r>
        <w:rPr>
          <w:rFonts w:hint="cs"/>
          <w:rtl/>
        </w:rPr>
        <w:t>וקבע</w:t>
      </w:r>
      <w:r>
        <w:rPr>
          <w:rtl/>
        </w:rPr>
        <w:t xml:space="preserve"> כדלקמן:</w:t>
      </w:r>
    </w:p>
    <w:p w14:paraId="684370AE" w14:textId="77777777" w:rsidR="00064151" w:rsidRDefault="00064151" w:rsidP="00064151">
      <w:pPr>
        <w:spacing w:line="360" w:lineRule="auto"/>
        <w:ind w:left="1077" w:right="993"/>
        <w:jc w:val="both"/>
      </w:pPr>
      <w:r>
        <w:rPr>
          <w:b/>
          <w:bCs/>
          <w:rtl/>
        </w:rPr>
        <w:t xml:space="preserve">"נוכח ריבוי מקרי הירי, יש לנקוט במדיניות ענישה מחמירה כלפי ביצוע עבירות החזקת נשק שלא כדין..." </w:t>
      </w:r>
      <w:r>
        <w:rPr>
          <w:rtl/>
        </w:rPr>
        <w:t>(</w:t>
      </w:r>
      <w:hyperlink r:id="rId13" w:history="1">
        <w:r w:rsidR="00CF2CA7" w:rsidRPr="00CF2CA7">
          <w:rPr>
            <w:color w:val="0000FF"/>
            <w:u w:val="single"/>
            <w:rtl/>
          </w:rPr>
          <w:t>ע"פ 4406/19</w:t>
        </w:r>
      </w:hyperlink>
      <w:r>
        <w:rPr>
          <w:rtl/>
        </w:rPr>
        <w:t xml:space="preserve"> </w:t>
      </w:r>
      <w:r>
        <w:rPr>
          <w:b/>
          <w:bCs/>
          <w:rtl/>
        </w:rPr>
        <w:t>מדינת ישראל נ' סובח</w:t>
      </w:r>
      <w:r>
        <w:rPr>
          <w:rtl/>
        </w:rPr>
        <w:t>,  מיום 5.11.2019).</w:t>
      </w:r>
    </w:p>
    <w:p w14:paraId="7E46A9DC" w14:textId="77777777" w:rsidR="00064151" w:rsidRDefault="00064151" w:rsidP="00064151">
      <w:pPr>
        <w:spacing w:line="360" w:lineRule="auto"/>
        <w:jc w:val="both"/>
        <w:rPr>
          <w:rtl/>
        </w:rPr>
      </w:pPr>
    </w:p>
    <w:p w14:paraId="77EF5747" w14:textId="77777777" w:rsidR="00064151" w:rsidRDefault="00064151" w:rsidP="00064151">
      <w:pPr>
        <w:spacing w:line="360" w:lineRule="auto"/>
        <w:jc w:val="both"/>
        <w:rPr>
          <w:rtl/>
        </w:rPr>
      </w:pPr>
      <w:r>
        <w:rPr>
          <w:rtl/>
        </w:rPr>
        <w:t>ועוד:</w:t>
      </w:r>
    </w:p>
    <w:p w14:paraId="33F43076" w14:textId="77777777" w:rsidR="00064151" w:rsidRDefault="00064151" w:rsidP="00064151">
      <w:pPr>
        <w:spacing w:line="360" w:lineRule="auto"/>
        <w:ind w:left="1077" w:right="851"/>
        <w:jc w:val="both"/>
        <w:rPr>
          <w:b/>
          <w:bCs/>
          <w:rtl/>
        </w:rPr>
      </w:pPr>
      <w:r>
        <w:rPr>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9F3E779" w14:textId="77777777" w:rsidR="00064151" w:rsidRDefault="00064151" w:rsidP="00064151">
      <w:pPr>
        <w:spacing w:line="360" w:lineRule="auto"/>
        <w:jc w:val="both"/>
        <w:rPr>
          <w:rtl/>
        </w:rPr>
      </w:pPr>
    </w:p>
    <w:p w14:paraId="5D03E72B" w14:textId="77777777" w:rsidR="00064151" w:rsidRDefault="00064151" w:rsidP="00064151">
      <w:pPr>
        <w:spacing w:line="360" w:lineRule="auto"/>
        <w:jc w:val="both"/>
        <w:rPr>
          <w:rtl/>
        </w:rPr>
      </w:pPr>
      <w:r>
        <w:rPr>
          <w:rtl/>
        </w:rPr>
        <w:t>עמדה זהה הובעה בעניין הוארי בו קבע בית המשפט העליון כדלקמן:</w:t>
      </w:r>
    </w:p>
    <w:p w14:paraId="79C85122" w14:textId="77777777" w:rsidR="00064151" w:rsidRDefault="00064151" w:rsidP="00064151">
      <w:pPr>
        <w:spacing w:after="120" w:line="360" w:lineRule="auto"/>
        <w:ind w:left="1077" w:right="851"/>
        <w:jc w:val="both"/>
        <w:rPr>
          <w:color w:val="000000"/>
          <w:rtl/>
        </w:rPr>
      </w:pPr>
      <w:r>
        <w:rPr>
          <w:b/>
          <w:bCs/>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r>
        <w:rPr>
          <w:color w:val="000000"/>
          <w:rtl/>
        </w:rPr>
        <w:t>(</w:t>
      </w:r>
      <w:hyperlink r:id="rId14" w:history="1">
        <w:r w:rsidR="00CF2CA7" w:rsidRPr="00CF2CA7">
          <w:rPr>
            <w:color w:val="0000FF"/>
            <w:u w:val="single"/>
            <w:rtl/>
          </w:rPr>
          <w:t>ע"פ 5446/19</w:t>
        </w:r>
      </w:hyperlink>
      <w:r>
        <w:rPr>
          <w:color w:val="000000"/>
          <w:rtl/>
        </w:rPr>
        <w:t xml:space="preserve"> </w:t>
      </w:r>
      <w:r>
        <w:rPr>
          <w:b/>
          <w:bCs/>
          <w:color w:val="000000"/>
          <w:rtl/>
        </w:rPr>
        <w:t>מדינת ישראל נ' הוארי</w:t>
      </w:r>
      <w:r>
        <w:rPr>
          <w:color w:val="000000"/>
          <w:rtl/>
        </w:rPr>
        <w:t>, מיום</w:t>
      </w:r>
      <w:r>
        <w:rPr>
          <w:b/>
          <w:bCs/>
          <w:color w:val="000000"/>
          <w:rtl/>
        </w:rPr>
        <w:t xml:space="preserve"> </w:t>
      </w:r>
      <w:r>
        <w:rPr>
          <w:color w:val="000000"/>
          <w:rtl/>
        </w:rPr>
        <w:t>25.11.2019).</w:t>
      </w:r>
    </w:p>
    <w:p w14:paraId="14DD7081" w14:textId="77777777" w:rsidR="00064151" w:rsidRDefault="00064151" w:rsidP="00064151">
      <w:pPr>
        <w:pStyle w:val="a9"/>
        <w:spacing w:line="360" w:lineRule="auto"/>
        <w:jc w:val="both"/>
        <w:rPr>
          <w:rtl/>
        </w:rPr>
      </w:pPr>
    </w:p>
    <w:p w14:paraId="0E31AEC0" w14:textId="77777777" w:rsidR="00064151" w:rsidRDefault="00064151" w:rsidP="00064151">
      <w:pPr>
        <w:pStyle w:val="a9"/>
        <w:spacing w:line="360" w:lineRule="auto"/>
        <w:jc w:val="both"/>
      </w:pPr>
      <w:r>
        <w:rPr>
          <w:rFonts w:hint="cs"/>
          <w:rtl/>
        </w:rPr>
        <w:t>בחינת הפסיקה הנוהגת מצביעה כי ברוב המכריע של המקרים המתייחסים לעבירה שבנדון הוטלו עונשי מאסר ממשיים לתקופות שונות. אין ספק שמגמת הפסיקה מהשנים האחרונות היא לגזור עונשים בפועל מאחורי סורג ובריח גם אם בעבר הנטייה הייתה לגזור את המאסר בדרך של עבודות שירות. אביא להלן מקבץ את פסיקה רלוונטית שמשקפת את רמת הענישה במועד ביצוע העבירה:</w:t>
      </w:r>
    </w:p>
    <w:p w14:paraId="2309C3D5" w14:textId="77777777" w:rsidR="00064151" w:rsidRDefault="00CF2CA7" w:rsidP="00064151">
      <w:pPr>
        <w:pStyle w:val="a9"/>
        <w:numPr>
          <w:ilvl w:val="0"/>
          <w:numId w:val="1"/>
        </w:numPr>
        <w:spacing w:line="360" w:lineRule="auto"/>
        <w:jc w:val="both"/>
        <w:rPr>
          <w:rtl/>
        </w:rPr>
      </w:pPr>
      <w:hyperlink r:id="rId15" w:history="1">
        <w:r w:rsidRPr="00CF2CA7">
          <w:rPr>
            <w:color w:val="0000FF"/>
            <w:u w:val="single"/>
            <w:rtl/>
          </w:rPr>
          <w:t>ע"פ 4329/10</w:t>
        </w:r>
      </w:hyperlink>
      <w:r w:rsidR="00064151">
        <w:rPr>
          <w:rFonts w:hint="cs"/>
          <w:rtl/>
        </w:rPr>
        <w:t xml:space="preserve"> </w:t>
      </w:r>
      <w:r w:rsidR="00064151">
        <w:rPr>
          <w:rFonts w:hint="cs"/>
          <w:b/>
          <w:bCs/>
          <w:rtl/>
        </w:rPr>
        <w:t>איסמעיל נ' מדינת ישראל</w:t>
      </w:r>
      <w:r w:rsidR="00064151">
        <w:rPr>
          <w:rFonts w:hint="cs"/>
          <w:rtl/>
        </w:rPr>
        <w:t xml:space="preserve"> (מיום 25.10.2010), מדובר היה בנאשם אשר החזיק ברכבו באקדח טעון ובתחמושת במצב נצור והוטלו עליו בבית המשפט המחוזי 20 חודשי מאסר, מאסר על תנאי וקנס. ביהמ"ש העליון דחה את הערעור על חומרת העונש.</w:t>
      </w:r>
    </w:p>
    <w:p w14:paraId="48AA922D" w14:textId="77777777" w:rsidR="00064151" w:rsidRDefault="00CF2CA7" w:rsidP="00064151">
      <w:pPr>
        <w:pStyle w:val="a9"/>
        <w:numPr>
          <w:ilvl w:val="0"/>
          <w:numId w:val="1"/>
        </w:numPr>
        <w:spacing w:line="360" w:lineRule="auto"/>
        <w:jc w:val="both"/>
        <w:rPr>
          <w:rtl/>
        </w:rPr>
      </w:pPr>
      <w:hyperlink r:id="rId16" w:history="1">
        <w:r w:rsidRPr="00CF2CA7">
          <w:rPr>
            <w:color w:val="0000FF"/>
            <w:u w:val="single"/>
            <w:rtl/>
          </w:rPr>
          <w:t>תיק פלילי 5576-05-12</w:t>
        </w:r>
      </w:hyperlink>
      <w:r w:rsidR="00064151">
        <w:rPr>
          <w:rFonts w:hint="cs"/>
          <w:rtl/>
        </w:rPr>
        <w:t xml:space="preserve"> (שלום חדרה) </w:t>
      </w:r>
      <w:r w:rsidR="00064151">
        <w:rPr>
          <w:rFonts w:hint="cs"/>
          <w:b/>
          <w:bCs/>
          <w:rtl/>
        </w:rPr>
        <w:t>מדינת ישראל נ' מברצקי</w:t>
      </w:r>
      <w:r w:rsidR="00064151">
        <w:rPr>
          <w:rFonts w:hint="cs"/>
          <w:rtl/>
        </w:rPr>
        <w:t xml:space="preserve"> (מיום 12.11.2012), מדובר היה בנאשם שהורשע בהחזקת אקדח מסוג ברטה לאחר שרכש אותו מאחר כמו כן נמצא הנאשם מחזיק שתי מחסניות תואמות המכילות בתוכן 8 כדורים תואמים בכל אחת מהמחסניות, וקופסאות שהכילו עשרות כדורים ותרמילים מסוגים שונים, בית המשפט גזר על הנאשם 16 חודשי מאסר בפועל ומאסר על תנאי.</w:t>
      </w:r>
    </w:p>
    <w:p w14:paraId="52B6B358" w14:textId="77777777" w:rsidR="00064151" w:rsidRDefault="00CF2CA7" w:rsidP="00064151">
      <w:pPr>
        <w:pStyle w:val="a9"/>
        <w:numPr>
          <w:ilvl w:val="0"/>
          <w:numId w:val="1"/>
        </w:numPr>
        <w:spacing w:line="360" w:lineRule="auto"/>
        <w:jc w:val="both"/>
        <w:rPr>
          <w:rtl/>
        </w:rPr>
      </w:pPr>
      <w:hyperlink r:id="rId17" w:history="1">
        <w:r w:rsidRPr="00CF2CA7">
          <w:rPr>
            <w:color w:val="0000FF"/>
            <w:u w:val="single"/>
            <w:rtl/>
          </w:rPr>
          <w:t>ת"פ (שלום עכו) 6532-03-14</w:t>
        </w:r>
      </w:hyperlink>
      <w:r w:rsidR="00064151">
        <w:rPr>
          <w:rFonts w:hint="cs"/>
          <w:rtl/>
        </w:rPr>
        <w:t xml:space="preserve"> </w:t>
      </w:r>
      <w:r w:rsidR="00064151">
        <w:rPr>
          <w:rFonts w:hint="cs"/>
          <w:b/>
          <w:bCs/>
          <w:rtl/>
        </w:rPr>
        <w:t>מדינת ישראל נ' רעד</w:t>
      </w:r>
      <w:r w:rsidR="00064151">
        <w:rPr>
          <w:rFonts w:hint="cs"/>
          <w:rtl/>
        </w:rPr>
        <w:t xml:space="preserve"> (מיום 3.7.2014), מדובר היה בנאשם צעיר בעל הרשעה קודמת אחת, אשר הורשע בהחזקת 6 רימוני הלם, מספר מחסניות וכמות גדולה של כדורים מסוגים שונים. בית המשפט גזר עליו 14 חודשי מאסר בפועל לצד עונשים נלווים. </w:t>
      </w:r>
    </w:p>
    <w:p w14:paraId="460B1F7E" w14:textId="77777777" w:rsidR="00064151" w:rsidRDefault="00CF2CA7" w:rsidP="00064151">
      <w:pPr>
        <w:pStyle w:val="a9"/>
        <w:numPr>
          <w:ilvl w:val="0"/>
          <w:numId w:val="1"/>
        </w:numPr>
        <w:spacing w:line="360" w:lineRule="auto"/>
        <w:jc w:val="both"/>
      </w:pPr>
      <w:hyperlink r:id="rId18" w:history="1">
        <w:r w:rsidRPr="00CF2CA7">
          <w:rPr>
            <w:color w:val="0000FF"/>
            <w:u w:val="single"/>
            <w:rtl/>
          </w:rPr>
          <w:t>ת"פ (שלו עכו) 17925-07-19</w:t>
        </w:r>
      </w:hyperlink>
      <w:r w:rsidR="00064151">
        <w:rPr>
          <w:rFonts w:hint="cs"/>
          <w:rtl/>
        </w:rPr>
        <w:t xml:space="preserve"> </w:t>
      </w:r>
      <w:r w:rsidR="00064151">
        <w:rPr>
          <w:rFonts w:hint="cs"/>
          <w:b/>
          <w:bCs/>
          <w:rtl/>
        </w:rPr>
        <w:t>מדינת ישראל נ' חג'אזי</w:t>
      </w:r>
      <w:r w:rsidR="00064151">
        <w:rPr>
          <w:rFonts w:hint="cs"/>
          <w:rtl/>
        </w:rPr>
        <w:t xml:space="preserve"> (3.5.2020) – הנאשם הורשע עפ"י הודאתו בהחזקת אקדח טעון על גופו. מדובר בנאשם צעיר נטול עבר פלילי ובית המשפט גזר עליו 15 חודשי מאסר לצד ענישה נלווית. ערעור על חומרת העונש נדחה (</w:t>
      </w:r>
      <w:hyperlink r:id="rId19" w:history="1">
        <w:r w:rsidRPr="00CF2CA7">
          <w:rPr>
            <w:color w:val="0000FF"/>
            <w:u w:val="single"/>
            <w:rtl/>
          </w:rPr>
          <w:t>עפ"ג 24796-06-20</w:t>
        </w:r>
      </w:hyperlink>
      <w:r w:rsidR="00064151">
        <w:rPr>
          <w:rFonts w:hint="cs"/>
          <w:rtl/>
        </w:rPr>
        <w:t>).</w:t>
      </w:r>
    </w:p>
    <w:p w14:paraId="33C40D86" w14:textId="77777777" w:rsidR="00064151" w:rsidRDefault="00CF2CA7" w:rsidP="00064151">
      <w:pPr>
        <w:pStyle w:val="a9"/>
        <w:numPr>
          <w:ilvl w:val="0"/>
          <w:numId w:val="1"/>
        </w:numPr>
        <w:spacing w:line="360" w:lineRule="auto"/>
        <w:jc w:val="both"/>
      </w:pPr>
      <w:hyperlink r:id="rId20" w:history="1">
        <w:r w:rsidRPr="00CF2CA7">
          <w:rPr>
            <w:color w:val="0000FF"/>
            <w:u w:val="single"/>
            <w:rtl/>
          </w:rPr>
          <w:t>ת"פ (מחוזי חיפה) 15148-03-12</w:t>
        </w:r>
      </w:hyperlink>
      <w:r w:rsidR="00064151">
        <w:rPr>
          <w:rFonts w:hint="cs"/>
          <w:rtl/>
        </w:rPr>
        <w:t xml:space="preserve"> </w:t>
      </w:r>
      <w:r w:rsidR="00064151">
        <w:rPr>
          <w:rFonts w:hint="cs"/>
          <w:b/>
          <w:bCs/>
          <w:rtl/>
        </w:rPr>
        <w:t>מדינת ישראל נ' כבהה</w:t>
      </w:r>
      <w:r w:rsidR="00064151">
        <w:rPr>
          <w:rFonts w:hint="cs"/>
          <w:rtl/>
        </w:rPr>
        <w:t xml:space="preserve"> (19.2.2013) – הנאשם הורשע עפ"י הודאתו בכך שהחזיק ברכב אקדח, מחסנית ובה 11 כדורים ואקדח דמה עם משתיק קול דמה ובכך שזייף את לוחית הזיהוי של הרכב. בית המשפט קבע מתחם שנע בין 2-4 שנות מאסר, ולאור גילו הצעיר של הנאשם ועברו הנקי נגזרו עליו שנתיים מאסר לצד ענישה נלווית. </w:t>
      </w:r>
    </w:p>
    <w:p w14:paraId="0347A4FA" w14:textId="77777777" w:rsidR="00064151" w:rsidRDefault="00CF2CA7" w:rsidP="00064151">
      <w:pPr>
        <w:pStyle w:val="a9"/>
        <w:numPr>
          <w:ilvl w:val="0"/>
          <w:numId w:val="1"/>
        </w:numPr>
        <w:spacing w:line="360" w:lineRule="auto"/>
        <w:jc w:val="both"/>
        <w:rPr>
          <w:rtl/>
        </w:rPr>
      </w:pPr>
      <w:hyperlink r:id="rId21" w:history="1">
        <w:r w:rsidRPr="00CF2CA7">
          <w:rPr>
            <w:color w:val="0000FF"/>
            <w:u w:val="single"/>
            <w:rtl/>
          </w:rPr>
          <w:t>ת"פ 61087-12-18</w:t>
        </w:r>
      </w:hyperlink>
      <w:r w:rsidR="00064151">
        <w:rPr>
          <w:rFonts w:hint="cs"/>
          <w:rtl/>
        </w:rPr>
        <w:t xml:space="preserve"> (מחוזי מרכז לוד) </w:t>
      </w:r>
      <w:r w:rsidR="00064151">
        <w:rPr>
          <w:rFonts w:hint="cs"/>
          <w:b/>
          <w:bCs/>
          <w:rtl/>
        </w:rPr>
        <w:t>מדינת ישראל נ' מתאני</w:t>
      </w:r>
      <w:r w:rsidR="00064151">
        <w:rPr>
          <w:rFonts w:hint="cs"/>
          <w:rtl/>
        </w:rPr>
        <w:t xml:space="preserve"> (17.12.2019), מדובר בנאשם אשר החזיק בקיוסק באקדח טעון במחסנית עם 15 כדורים ולפני הגעת המשטרה נטל את האקדח והחזיקו על גופו. מדובר בנאשם צעיר ללא עבר פלילי ששירות המבחן המליץ להטיל עליו מאסר בדרך של עבודות שירות. בית המשפט קבע מתחם שנע בין 9-24 חודשי מאסר והטיל עליו 10 חודשי מאסר בפועל לצד ענישה נלווית.</w:t>
      </w:r>
    </w:p>
    <w:p w14:paraId="6E90AF62" w14:textId="77777777" w:rsidR="00064151" w:rsidRDefault="00CF2CA7" w:rsidP="00064151">
      <w:pPr>
        <w:pStyle w:val="a9"/>
        <w:numPr>
          <w:ilvl w:val="0"/>
          <w:numId w:val="1"/>
        </w:numPr>
        <w:spacing w:line="360" w:lineRule="auto"/>
        <w:jc w:val="both"/>
        <w:rPr>
          <w:rtl/>
        </w:rPr>
      </w:pPr>
      <w:hyperlink r:id="rId22" w:history="1">
        <w:r w:rsidRPr="00CF2CA7">
          <w:rPr>
            <w:color w:val="0000FF"/>
            <w:u w:val="single"/>
            <w:rtl/>
          </w:rPr>
          <w:t>עפ"ג (מחוזי נצ') 21260-10-19</w:t>
        </w:r>
      </w:hyperlink>
      <w:r w:rsidR="00064151">
        <w:rPr>
          <w:rFonts w:hint="cs"/>
          <w:rtl/>
        </w:rPr>
        <w:t xml:space="preserve"> </w:t>
      </w:r>
      <w:r w:rsidR="00064151">
        <w:rPr>
          <w:rFonts w:hint="cs"/>
          <w:b/>
          <w:bCs/>
          <w:rtl/>
        </w:rPr>
        <w:t xml:space="preserve">מדינת ישראל נ' מזאריב </w:t>
      </w:r>
      <w:r w:rsidR="00064151">
        <w:rPr>
          <w:rFonts w:hint="cs"/>
          <w:rtl/>
        </w:rPr>
        <w:t>(24.11.2019), בית המשפט המחוזי קבל את ערעור המדינה על קולת העונש שנגזר על נאשם אשר החזיק בתת מקלע מאולתר ולצדו מחסנית מלאה ב-21 כדורים בתוך קופסה בארון בגדים נעול בחדר השינה. על הנאשם, שהינו צעיר נטול עבר פלילי, הוטל מאסר בדרך של עבודות שירות לצד ענישה נלווית משיקולי שיקום לאור התסקיר החיובי בעניינו. בית המשפט המחוזי החמיר את העונש ל-12 חודשי מאסר בפועל וזאת מבלי למצות את הדין עמו.</w:t>
      </w:r>
    </w:p>
    <w:p w14:paraId="3FA53505" w14:textId="77777777" w:rsidR="00064151" w:rsidRDefault="00CF2CA7" w:rsidP="00064151">
      <w:pPr>
        <w:pStyle w:val="a9"/>
        <w:numPr>
          <w:ilvl w:val="0"/>
          <w:numId w:val="1"/>
        </w:numPr>
        <w:spacing w:line="360" w:lineRule="auto"/>
        <w:jc w:val="both"/>
      </w:pPr>
      <w:hyperlink r:id="rId23" w:history="1">
        <w:r w:rsidRPr="00CF2CA7">
          <w:rPr>
            <w:color w:val="0000FF"/>
            <w:u w:val="single"/>
            <w:rtl/>
          </w:rPr>
          <w:t>עפ"ג (מחוזי חי') 52602-12-19</w:t>
        </w:r>
      </w:hyperlink>
      <w:r w:rsidR="00064151">
        <w:rPr>
          <w:rFonts w:hint="cs"/>
          <w:rtl/>
        </w:rPr>
        <w:t xml:space="preserve"> </w:t>
      </w:r>
      <w:r w:rsidR="00064151">
        <w:rPr>
          <w:rFonts w:hint="cs"/>
          <w:b/>
          <w:bCs/>
          <w:rtl/>
        </w:rPr>
        <w:t>מדינת ישראל נ' ריזק</w:t>
      </w:r>
      <w:r w:rsidR="00064151">
        <w:rPr>
          <w:rFonts w:hint="cs"/>
          <w:rtl/>
        </w:rPr>
        <w:t xml:space="preserve"> (27.2.2020), בית המשפט קבל את ערעור המדינה על קולת העונש שנגזר על נאשם שהחזיק באקדח עם מחסנית טעונה בכדורים, והמיר את המאסר בדרך של עבודות שירות ל-12 חודשי מאסר בפועל, וזאת תוך קביעה ברורה כי עונש זה אינו ממצה את הדין עם הנאשם. </w:t>
      </w:r>
    </w:p>
    <w:p w14:paraId="3FEFD94F" w14:textId="77777777" w:rsidR="00064151" w:rsidRDefault="00CF2CA7" w:rsidP="00064151">
      <w:pPr>
        <w:pStyle w:val="a9"/>
        <w:numPr>
          <w:ilvl w:val="0"/>
          <w:numId w:val="1"/>
        </w:numPr>
        <w:spacing w:line="360" w:lineRule="auto"/>
        <w:jc w:val="both"/>
      </w:pPr>
      <w:hyperlink r:id="rId24" w:history="1">
        <w:r w:rsidRPr="00CF2CA7">
          <w:rPr>
            <w:color w:val="0000FF"/>
            <w:u w:val="single"/>
            <w:rtl/>
          </w:rPr>
          <w:t>ת"פ (שלום ת"א-יפו) 56119-02-13</w:t>
        </w:r>
      </w:hyperlink>
      <w:r w:rsidR="00064151">
        <w:rPr>
          <w:rFonts w:hint="cs"/>
          <w:rtl/>
        </w:rPr>
        <w:t xml:space="preserve"> </w:t>
      </w:r>
      <w:r w:rsidR="00064151">
        <w:rPr>
          <w:rFonts w:hint="cs"/>
          <w:b/>
          <w:bCs/>
          <w:rtl/>
        </w:rPr>
        <w:t>מדינת ישראל נ' יפרח</w:t>
      </w:r>
      <w:r w:rsidR="00064151">
        <w:rPr>
          <w:rFonts w:hint="cs"/>
          <w:rtl/>
        </w:rPr>
        <w:t xml:space="preserve"> (2.9.2013) – הנאשם הורשע עפ"י הודאתו ובמסגרת הסדר לטווחי הענישה בהחזקת אקדח, מחסנית, כדורים שונים, רימון הלם ומשתיק קול לאקדח. הנאשם בעל עבר פלילי ובית המשפט גזר עליו 15 חודשי מאסר לצד ענישה נלווית.</w:t>
      </w:r>
    </w:p>
    <w:p w14:paraId="6F707307" w14:textId="77777777" w:rsidR="00064151" w:rsidRDefault="00CF2CA7" w:rsidP="00064151">
      <w:pPr>
        <w:pStyle w:val="a9"/>
        <w:numPr>
          <w:ilvl w:val="0"/>
          <w:numId w:val="1"/>
        </w:numPr>
        <w:spacing w:line="360" w:lineRule="auto"/>
        <w:jc w:val="both"/>
      </w:pPr>
      <w:hyperlink r:id="rId25" w:history="1">
        <w:r w:rsidRPr="00CF2CA7">
          <w:rPr>
            <w:color w:val="0000FF"/>
            <w:u w:val="single"/>
            <w:rtl/>
          </w:rPr>
          <w:t>ת"פ 62062-06-20</w:t>
        </w:r>
      </w:hyperlink>
      <w:r w:rsidR="00064151">
        <w:rPr>
          <w:rFonts w:hint="cs"/>
          <w:rtl/>
        </w:rPr>
        <w:t xml:space="preserve"> (שלום ירושלים) </w:t>
      </w:r>
      <w:r w:rsidR="00064151">
        <w:rPr>
          <w:rFonts w:hint="cs"/>
          <w:b/>
          <w:bCs/>
          <w:rtl/>
        </w:rPr>
        <w:t>מדינת ישראל נ' טבול</w:t>
      </w:r>
      <w:r w:rsidR="00064151">
        <w:rPr>
          <w:rFonts w:hint="cs"/>
          <w:rtl/>
        </w:rPr>
        <w:t xml:space="preserve"> (4.3.2021) – הנאשם הורשע עפ"י הודאתו בכך שרכש מחנות כפפות, מסכות, גז פלפל וסליל של סרט בידוד ולאחר מכן עת נערך חיפוש ברכבו נמצא כי החזיק ברכב אקדח, מחסנית ובה 6 כדורים ובכך שזייף את לוחית הזיהוי של הרכב. בית המשפט קבע מתחם שנע בין 2-4 שנות מאסר. הנאשם בעל עבר פלילי ובית המשפט גזר עליו 32 חודשי מאסר לצד ענישה נלווית. </w:t>
      </w:r>
    </w:p>
    <w:p w14:paraId="47F9D0BF" w14:textId="77777777" w:rsidR="00064151" w:rsidRDefault="00064151" w:rsidP="00064151">
      <w:pPr>
        <w:pStyle w:val="a9"/>
        <w:spacing w:line="360" w:lineRule="auto"/>
        <w:ind w:left="720"/>
        <w:jc w:val="both"/>
        <w:rPr>
          <w:rtl/>
        </w:rPr>
      </w:pPr>
    </w:p>
    <w:p w14:paraId="55CA1D4E" w14:textId="77777777" w:rsidR="00064151" w:rsidRDefault="00064151" w:rsidP="00064151">
      <w:pPr>
        <w:pStyle w:val="a9"/>
        <w:spacing w:line="360" w:lineRule="auto"/>
        <w:jc w:val="both"/>
      </w:pPr>
      <w:r>
        <w:rPr>
          <w:rFonts w:hint="cs"/>
          <w:rtl/>
        </w:rPr>
        <w:t>לצורך קביעת המתחם יש לתת את הדעת לעובדה כי מדובר בהחזקה של אקדח, ולא בנשק ארוך או נשק אוטומטי שלגביהם נקבע מתחם גבוה יותר. עם זאת אין להתעלם מיתר הפריטים שנתפסו והם המחסניות ומשתיק הקול כנתונים אשר מעצימים את החומרה הגלומה בביצוע העבירה. מסקנה זו מתחדדת ביתר שאת נוכח משתיק הקול בו החזיק הנאשם, אשר מלמד לא רק על הכוונה העבריינית שנעוצה בהחזקת אמצעי לחימה שלא כדין, אלא גם על הכוונה לטשטש את נסיבות השימוש בהם ועל מנת להקשות את הגילוי לאחר מעשה.</w:t>
      </w:r>
    </w:p>
    <w:p w14:paraId="45D32515" w14:textId="77777777" w:rsidR="00064151" w:rsidRDefault="00064151" w:rsidP="00064151">
      <w:pPr>
        <w:pStyle w:val="a9"/>
        <w:spacing w:line="360" w:lineRule="auto"/>
        <w:jc w:val="both"/>
        <w:rPr>
          <w:rtl/>
        </w:rPr>
      </w:pPr>
    </w:p>
    <w:p w14:paraId="5042781C" w14:textId="77777777" w:rsidR="00064151" w:rsidRPr="00064151" w:rsidRDefault="00064151" w:rsidP="00064151">
      <w:pPr>
        <w:pStyle w:val="a9"/>
        <w:spacing w:line="360" w:lineRule="auto"/>
        <w:jc w:val="both"/>
        <w:rPr>
          <w:rFonts w:cs="Arial"/>
          <w:sz w:val="22"/>
          <w:szCs w:val="22"/>
          <w:rtl/>
          <w:lang w:eastAsia="he-IL"/>
        </w:rPr>
      </w:pPr>
      <w:r>
        <w:rPr>
          <w:rFonts w:hint="cs"/>
          <w:rtl/>
        </w:rPr>
        <w:t>בהתייחס להסבר שהנאשם מסר בנוגע לנסיבות ההחזקה באקדח וביתר הפריטים, לפיו החזיק בהם לבקשת אדם שמשתייך ככל הנראה לארגון פשיעה, אודה כי התקשיתי להסיק ממנו אם מדובר בנסיבה לקולה או שמא לחומרה דווקא. הסברו של הנאשם מעלה לטעמי את החומרה הגלומה במעשה, שכן לא מן הנמנע כי בהיותו אדם ללא עבר פלילי הוא שימש כיסוי לגורמים עבריינים נוכח הצפי כי הדבר יקשה על גילוי האקדח אצלו. התנהגות זו מסייעת, גם אם באופן עקיף, לארגוני הפשיעה ומקשה על גורמי אכיפת החוק לגלות את דבר העבירה.</w:t>
      </w:r>
      <w:r w:rsidRPr="00064151">
        <w:rPr>
          <w:rFonts w:cs="Arial"/>
          <w:sz w:val="22"/>
          <w:szCs w:val="22"/>
          <w:rtl/>
          <w:lang w:eastAsia="he-IL"/>
        </w:rPr>
        <w:t xml:space="preserve"> </w:t>
      </w:r>
    </w:p>
    <w:p w14:paraId="2106B014" w14:textId="77777777" w:rsidR="00064151" w:rsidRPr="00064151" w:rsidRDefault="00064151" w:rsidP="00064151">
      <w:pPr>
        <w:pStyle w:val="a9"/>
        <w:rPr>
          <w:rFonts w:cs="Arial"/>
          <w:sz w:val="22"/>
          <w:szCs w:val="22"/>
          <w:rtl/>
          <w:lang w:eastAsia="he-IL"/>
        </w:rPr>
      </w:pPr>
    </w:p>
    <w:p w14:paraId="189DA3F1" w14:textId="77777777" w:rsidR="00064151" w:rsidRPr="00064151" w:rsidRDefault="00064151" w:rsidP="00064151">
      <w:pPr>
        <w:pStyle w:val="a9"/>
        <w:spacing w:line="360" w:lineRule="auto"/>
        <w:jc w:val="both"/>
        <w:rPr>
          <w:rFonts w:ascii="Calibri" w:hAnsi="Calibri" w:cs="Calibri"/>
        </w:rPr>
      </w:pPr>
      <w:r>
        <w:rPr>
          <w:rFonts w:hint="cs"/>
          <w:rtl/>
        </w:rPr>
        <w:t>בשים לב למכלול הנתונים, פוטנציאל הנזק והפסיקה הנוהגת, אני קובעת שמתחם העונש ההולם בנסיבות העניין נע בין 20 חודשים ל-36 חודשי מאסר בפועל לצד רכיבי ענישה נלווים.</w:t>
      </w:r>
    </w:p>
    <w:p w14:paraId="72A722A0" w14:textId="77777777" w:rsidR="00064151" w:rsidRDefault="00064151" w:rsidP="00064151">
      <w:pPr>
        <w:pStyle w:val="a9"/>
        <w:spacing w:line="360" w:lineRule="auto"/>
        <w:jc w:val="both"/>
      </w:pPr>
    </w:p>
    <w:p w14:paraId="10E8384F" w14:textId="77777777" w:rsidR="00064151" w:rsidRDefault="00064151" w:rsidP="00064151">
      <w:pPr>
        <w:pStyle w:val="a9"/>
        <w:spacing w:line="360" w:lineRule="auto"/>
        <w:jc w:val="both"/>
        <w:rPr>
          <w:rtl/>
        </w:rPr>
      </w:pPr>
      <w:r>
        <w:rPr>
          <w:rFonts w:hint="cs"/>
          <w:rtl/>
        </w:rPr>
        <w:t>אעבור כעת לבחינת הנסיבות שאינן קשורות לביצוע העבירה.</w:t>
      </w:r>
    </w:p>
    <w:p w14:paraId="37C4DCA2" w14:textId="77777777" w:rsidR="00064151" w:rsidRDefault="00064151" w:rsidP="00064151">
      <w:pPr>
        <w:pStyle w:val="a9"/>
        <w:spacing w:line="360" w:lineRule="auto"/>
        <w:jc w:val="both"/>
        <w:rPr>
          <w:rtl/>
        </w:rPr>
      </w:pPr>
    </w:p>
    <w:p w14:paraId="1650F398" w14:textId="77777777" w:rsidR="00064151" w:rsidRDefault="00064151" w:rsidP="00064151">
      <w:pPr>
        <w:spacing w:line="360" w:lineRule="auto"/>
        <w:jc w:val="both"/>
        <w:rPr>
          <w:rFonts w:ascii="Arial" w:hAnsi="Arial"/>
        </w:rPr>
      </w:pPr>
      <w:r>
        <w:rPr>
          <w:rFonts w:ascii="Arial" w:hAnsi="Arial"/>
          <w:rtl/>
        </w:rPr>
        <w:t>הנאשם הינו בן 46 שנים, נשוי ואב לילדים שלומדים לטענתו במוסדות להשכלה גבוהה.</w:t>
      </w:r>
    </w:p>
    <w:p w14:paraId="3A9DBF4C" w14:textId="77777777" w:rsidR="00064151" w:rsidRDefault="00064151" w:rsidP="00064151">
      <w:pPr>
        <w:spacing w:line="360" w:lineRule="auto"/>
        <w:jc w:val="both"/>
        <w:rPr>
          <w:rFonts w:ascii="Arial" w:hAnsi="Arial"/>
        </w:rPr>
      </w:pPr>
      <w:r>
        <w:rPr>
          <w:rFonts w:ascii="Arial" w:hAnsi="Arial"/>
          <w:rtl/>
        </w:rPr>
        <w:t xml:space="preserve"> </w:t>
      </w:r>
    </w:p>
    <w:p w14:paraId="50C09F79" w14:textId="77777777" w:rsidR="00064151" w:rsidRDefault="00064151" w:rsidP="00064151">
      <w:pPr>
        <w:spacing w:line="360" w:lineRule="auto"/>
        <w:jc w:val="both"/>
        <w:rPr>
          <w:rFonts w:ascii="Arial" w:hAnsi="Arial"/>
          <w:rtl/>
        </w:rPr>
      </w:pPr>
      <w:r>
        <w:rPr>
          <w:rFonts w:ascii="Arial" w:hAnsi="Arial"/>
          <w:rtl/>
        </w:rPr>
        <w:t xml:space="preserve">לנאשם אין הרשעות קודמות וזאת היא הסתבכותו הראשונה עם החוק. </w:t>
      </w:r>
    </w:p>
    <w:p w14:paraId="08B2CF22" w14:textId="77777777" w:rsidR="00064151" w:rsidRDefault="00064151" w:rsidP="00064151">
      <w:pPr>
        <w:spacing w:line="360" w:lineRule="auto"/>
        <w:jc w:val="both"/>
        <w:rPr>
          <w:rFonts w:ascii="Arial" w:hAnsi="Arial"/>
        </w:rPr>
      </w:pPr>
    </w:p>
    <w:p w14:paraId="4EC10D96" w14:textId="77777777" w:rsidR="00064151" w:rsidRDefault="00064151" w:rsidP="00064151">
      <w:pPr>
        <w:spacing w:line="360" w:lineRule="auto"/>
        <w:jc w:val="both"/>
        <w:rPr>
          <w:rFonts w:ascii="Arial" w:hAnsi="Arial"/>
          <w:rtl/>
        </w:rPr>
      </w:pPr>
      <w:r>
        <w:rPr>
          <w:rFonts w:ascii="Arial" w:hAnsi="Arial"/>
          <w:rtl/>
        </w:rPr>
        <w:t xml:space="preserve">הנאשם הודה במיוחס לו שלא במסגרת הסדר ובכך חסך מזמנו של בית המשפט ומזמנם של העדים. </w:t>
      </w:r>
    </w:p>
    <w:p w14:paraId="5F332335" w14:textId="77777777" w:rsidR="00064151" w:rsidRDefault="00064151" w:rsidP="00064151">
      <w:pPr>
        <w:spacing w:line="360" w:lineRule="auto"/>
        <w:jc w:val="both"/>
        <w:rPr>
          <w:rFonts w:ascii="Arial" w:hAnsi="Arial"/>
          <w:rtl/>
        </w:rPr>
      </w:pPr>
    </w:p>
    <w:p w14:paraId="47DAA1CA" w14:textId="77777777" w:rsidR="00064151" w:rsidRDefault="00064151" w:rsidP="00064151">
      <w:pPr>
        <w:spacing w:line="360" w:lineRule="auto"/>
        <w:jc w:val="both"/>
        <w:rPr>
          <w:rFonts w:ascii="Arial" w:hAnsi="Arial"/>
          <w:rtl/>
        </w:rPr>
      </w:pPr>
      <w:r>
        <w:rPr>
          <w:rFonts w:ascii="Arial" w:hAnsi="Arial"/>
          <w:rtl/>
        </w:rPr>
        <w:t>בדבריו לבית המשפט בתום שמיעת הטיעונים לעונש, הנאשם הביע צער וחרטה על מעשיו.</w:t>
      </w:r>
    </w:p>
    <w:p w14:paraId="297D8DB0" w14:textId="77777777" w:rsidR="00064151" w:rsidRDefault="00064151" w:rsidP="00064151">
      <w:pPr>
        <w:spacing w:line="360" w:lineRule="auto"/>
        <w:jc w:val="both"/>
        <w:rPr>
          <w:rFonts w:ascii="Arial" w:hAnsi="Arial"/>
          <w:rtl/>
        </w:rPr>
      </w:pPr>
    </w:p>
    <w:p w14:paraId="50B16178" w14:textId="77777777" w:rsidR="00064151" w:rsidRDefault="00064151" w:rsidP="00064151">
      <w:pPr>
        <w:spacing w:line="360" w:lineRule="auto"/>
        <w:jc w:val="both"/>
        <w:rPr>
          <w:rFonts w:ascii="Arial" w:hAnsi="Arial"/>
          <w:rtl/>
        </w:rPr>
      </w:pPr>
      <w:r>
        <w:rPr>
          <w:rFonts w:ascii="Arial" w:hAnsi="Arial"/>
          <w:rtl/>
        </w:rPr>
        <w:t>יש לציין כי הנאשם היה עצור למשך כחודש וחצי, לאחר מכן הועבר למעצר בפיקוח אלקטרוני לתקופה של כחמישה חודשים, ובהמשך שוחרר בתנאים מגבילים וכיום הוא נתון במעצר בית לילי הרחק מביתו.</w:t>
      </w:r>
    </w:p>
    <w:p w14:paraId="3FF50BD7" w14:textId="77777777" w:rsidR="00064151" w:rsidRDefault="00064151" w:rsidP="00064151">
      <w:pPr>
        <w:spacing w:line="360" w:lineRule="auto"/>
        <w:jc w:val="both"/>
        <w:rPr>
          <w:rFonts w:ascii="Arial" w:hAnsi="Arial"/>
          <w:rtl/>
        </w:rPr>
      </w:pPr>
    </w:p>
    <w:p w14:paraId="36D40961" w14:textId="77777777" w:rsidR="00064151" w:rsidRDefault="00064151" w:rsidP="00064151">
      <w:pPr>
        <w:spacing w:line="360" w:lineRule="auto"/>
        <w:jc w:val="both"/>
        <w:rPr>
          <w:rFonts w:ascii="Arial" w:hAnsi="Arial"/>
          <w:rtl/>
        </w:rPr>
      </w:pPr>
      <w:r>
        <w:rPr>
          <w:rFonts w:ascii="Arial" w:hAnsi="Arial"/>
          <w:rtl/>
        </w:rPr>
        <w:t>בעניינו של הנאשם  הוגשו תסקירים מטעם שירות המבחן לעניין העונש ומהם עולה כי רמת הסיכון הנשקף מהנאשם היא בינונית שכן הנאשם התקשה לגלות מוטיבציה פנימית וחיבור אותנטי מצדו לנזקקות טיפולית.</w:t>
      </w:r>
    </w:p>
    <w:p w14:paraId="7F7892A5" w14:textId="77777777" w:rsidR="00064151" w:rsidRDefault="00064151" w:rsidP="00064151">
      <w:pPr>
        <w:spacing w:line="360" w:lineRule="auto"/>
        <w:jc w:val="both"/>
        <w:rPr>
          <w:rFonts w:ascii="Arial" w:hAnsi="Arial"/>
          <w:rtl/>
        </w:rPr>
      </w:pPr>
    </w:p>
    <w:p w14:paraId="4F9EBDED" w14:textId="77777777" w:rsidR="00064151" w:rsidRDefault="00064151" w:rsidP="00064151">
      <w:pPr>
        <w:spacing w:line="360" w:lineRule="auto"/>
        <w:jc w:val="both"/>
        <w:rPr>
          <w:rFonts w:ascii="Arial" w:hAnsi="Arial"/>
          <w:rtl/>
        </w:rPr>
      </w:pPr>
      <w:r>
        <w:rPr>
          <w:rFonts w:ascii="Arial" w:hAnsi="Arial"/>
          <w:rtl/>
        </w:rPr>
        <w:t>מסקנת שירות המבחן אמורה הייתה להוביל לתוצאה כי אין זה המקרה המתאים לקביעת העונש ברף התחתון של המתחם, אולם בשל יתר הנסיבות שפורטו על ידי הסנגור, ובכלל זה שיתוף הפעולה של הנאשם עם גורמי החקירה באופן שהביא לגילוי אמצעי לחימה נוספים, כמו גם פעילותו ההתנדבותית לחברה, והעובדה כי לא הסתבך בעבירות נוספות מאז האירוע, הביאו אותי למסקנה כי יהיה זה מן הראוי לגזור עליו עונש ברף הנמוך של המתחם.</w:t>
      </w:r>
    </w:p>
    <w:p w14:paraId="17E8FBDA" w14:textId="77777777" w:rsidR="00064151" w:rsidRDefault="00064151" w:rsidP="00064151">
      <w:pPr>
        <w:spacing w:line="360" w:lineRule="auto"/>
        <w:jc w:val="both"/>
        <w:rPr>
          <w:rFonts w:ascii="Arial" w:hAnsi="Arial"/>
          <w:rtl/>
        </w:rPr>
      </w:pPr>
    </w:p>
    <w:p w14:paraId="601289FF" w14:textId="77777777" w:rsidR="00064151" w:rsidRDefault="00064151" w:rsidP="00064151">
      <w:pPr>
        <w:spacing w:line="360" w:lineRule="auto"/>
        <w:jc w:val="both"/>
        <w:rPr>
          <w:rFonts w:ascii="Arial" w:hAnsi="Arial"/>
          <w:rtl/>
        </w:rPr>
      </w:pPr>
      <w:r>
        <w:rPr>
          <w:rFonts w:ascii="Arial" w:hAnsi="Arial"/>
          <w:rtl/>
        </w:rPr>
        <w:t>לסיום, לאור מצבו הכלכלי של הנאשם, כמפורט בטיעוני הסנגור ובמסמכים שהוגשו מטעמו, אני נמנעת מהטלת קנס.</w:t>
      </w:r>
    </w:p>
    <w:p w14:paraId="4244F77E" w14:textId="77777777" w:rsidR="00064151" w:rsidRDefault="00064151" w:rsidP="00064151">
      <w:pPr>
        <w:spacing w:line="360" w:lineRule="auto"/>
        <w:jc w:val="both"/>
        <w:rPr>
          <w:rFonts w:ascii="Arial" w:hAnsi="Arial"/>
          <w:noProof/>
          <w:rtl/>
        </w:rPr>
      </w:pPr>
    </w:p>
    <w:p w14:paraId="6AD78047" w14:textId="77777777" w:rsidR="00064151" w:rsidRDefault="00064151" w:rsidP="00064151">
      <w:pPr>
        <w:pStyle w:val="a9"/>
        <w:spacing w:line="360" w:lineRule="auto"/>
        <w:jc w:val="both"/>
        <w:rPr>
          <w:rtl/>
        </w:rPr>
      </w:pPr>
      <w:r>
        <w:rPr>
          <w:rFonts w:hint="cs"/>
          <w:rtl/>
        </w:rPr>
        <w:t>אשר על כן, אני גוזרת על הנאשם את העונשים הבאים:</w:t>
      </w:r>
    </w:p>
    <w:p w14:paraId="68610606" w14:textId="77777777" w:rsidR="00064151" w:rsidRDefault="00064151" w:rsidP="00064151">
      <w:pPr>
        <w:pStyle w:val="a9"/>
        <w:spacing w:line="360" w:lineRule="auto"/>
        <w:jc w:val="both"/>
        <w:rPr>
          <w:rtl/>
        </w:rPr>
      </w:pPr>
    </w:p>
    <w:p w14:paraId="6D30F31D" w14:textId="77777777" w:rsidR="00064151" w:rsidRDefault="00064151" w:rsidP="00064151">
      <w:pPr>
        <w:pStyle w:val="a9"/>
        <w:numPr>
          <w:ilvl w:val="0"/>
          <w:numId w:val="2"/>
        </w:numPr>
        <w:spacing w:line="360" w:lineRule="auto"/>
        <w:jc w:val="both"/>
      </w:pPr>
      <w:r>
        <w:rPr>
          <w:rFonts w:hint="cs"/>
          <w:rtl/>
        </w:rPr>
        <w:t>מאסר לתקופה של 20 חודשים בניכוי ימי מעצרו (מעצר של ממש) מיום 22.2.2022 ועד ליום 4.4.2022.</w:t>
      </w:r>
    </w:p>
    <w:p w14:paraId="09EB7EB3" w14:textId="77777777" w:rsidR="00064151" w:rsidRDefault="00064151" w:rsidP="00064151">
      <w:pPr>
        <w:pStyle w:val="a9"/>
        <w:spacing w:line="360" w:lineRule="auto"/>
        <w:ind w:left="1440"/>
        <w:jc w:val="both"/>
        <w:rPr>
          <w:rtl/>
        </w:rPr>
      </w:pPr>
    </w:p>
    <w:p w14:paraId="2A684084" w14:textId="77777777" w:rsidR="00064151" w:rsidRDefault="00064151" w:rsidP="00064151">
      <w:pPr>
        <w:pStyle w:val="a9"/>
        <w:numPr>
          <w:ilvl w:val="0"/>
          <w:numId w:val="2"/>
        </w:numPr>
        <w:spacing w:line="360" w:lineRule="auto"/>
        <w:jc w:val="both"/>
      </w:pPr>
      <w:r>
        <w:rPr>
          <w:rFonts w:hint="cs"/>
          <w:rtl/>
        </w:rPr>
        <w:t>מאסר על תנאי של 8 חודשים למשך שלוש שנים, והתנאי הוא כי הנאשם לא יבצע בתקופה זו עבירת נשק מסוג פשע, ויורשע בגינה</w:t>
      </w:r>
    </w:p>
    <w:p w14:paraId="7C7FD739" w14:textId="77777777" w:rsidR="00064151" w:rsidRDefault="00064151" w:rsidP="00064151">
      <w:pPr>
        <w:pStyle w:val="aa"/>
        <w:rPr>
          <w:rtl/>
        </w:rPr>
      </w:pPr>
    </w:p>
    <w:p w14:paraId="4F70ACA7" w14:textId="77777777" w:rsidR="00064151" w:rsidRDefault="00064151" w:rsidP="00064151">
      <w:pPr>
        <w:pStyle w:val="a9"/>
        <w:spacing w:line="360" w:lineRule="auto"/>
        <w:ind w:left="1440" w:hanging="720"/>
        <w:jc w:val="both"/>
        <w:rPr>
          <w:rtl/>
        </w:rPr>
      </w:pPr>
      <w:r>
        <w:rPr>
          <w:rFonts w:hint="cs"/>
          <w:rtl/>
        </w:rPr>
        <w:t>ג.</w:t>
      </w:r>
      <w:r>
        <w:rPr>
          <w:rFonts w:hint="cs"/>
          <w:rtl/>
        </w:rPr>
        <w:tab/>
        <w:t>מאסר על תנאי של 6 חודשים למשך שלוש שנים, והתנאי הוא כי הנאשם לא יבצע בתקופה זו עבירת נשק מסוג עוון, ויורשע בגינה.</w:t>
      </w:r>
    </w:p>
    <w:p w14:paraId="309C61C1" w14:textId="77777777" w:rsidR="00064151" w:rsidRDefault="00064151" w:rsidP="00064151">
      <w:pPr>
        <w:spacing w:line="360" w:lineRule="auto"/>
        <w:jc w:val="both"/>
        <w:rPr>
          <w:rFonts w:ascii="Arial" w:hAnsi="Arial"/>
        </w:rPr>
      </w:pPr>
    </w:p>
    <w:p w14:paraId="7A5EEFD8" w14:textId="77777777" w:rsidR="00064151" w:rsidRDefault="00064151" w:rsidP="00064151">
      <w:pPr>
        <w:spacing w:line="360" w:lineRule="auto"/>
        <w:jc w:val="both"/>
        <w:rPr>
          <w:rFonts w:ascii="Arial" w:hAnsi="Arial"/>
          <w:rtl/>
        </w:rPr>
      </w:pPr>
      <w:r>
        <w:rPr>
          <w:rFonts w:ascii="Arial" w:hAnsi="Arial"/>
          <w:rtl/>
        </w:rPr>
        <w:t>זכות ערעור תוך 45 ימים מהיום.</w:t>
      </w:r>
    </w:p>
    <w:p w14:paraId="27241D4B" w14:textId="77777777" w:rsidR="00064151" w:rsidRDefault="00064151" w:rsidP="00064151">
      <w:pPr>
        <w:spacing w:line="360" w:lineRule="auto"/>
        <w:jc w:val="both"/>
        <w:rPr>
          <w:rFonts w:ascii="Arial" w:hAnsi="Arial"/>
          <w:rtl/>
        </w:rPr>
      </w:pPr>
    </w:p>
    <w:p w14:paraId="2F848869" w14:textId="77777777" w:rsidR="00064151" w:rsidRPr="00B57DDE" w:rsidRDefault="00064151" w:rsidP="00064151">
      <w:r>
        <w:rPr>
          <w:rFonts w:hint="cs"/>
          <w:b/>
          <w:bCs/>
          <w:rtl/>
        </w:rPr>
        <w:t>הנאשם יתייצב לריצוי עונש המאסר בבית מעצר קישון במועד שייקבע בפרוטוקול.</w:t>
      </w:r>
    </w:p>
    <w:p w14:paraId="0A71E689" w14:textId="77777777" w:rsidR="00064151" w:rsidRDefault="00064151" w:rsidP="00064151">
      <w:pPr>
        <w:spacing w:line="360" w:lineRule="auto"/>
        <w:jc w:val="both"/>
        <w:rPr>
          <w:rFonts w:ascii="Arial" w:hAnsi="Arial"/>
          <w:rtl/>
        </w:rPr>
      </w:pPr>
    </w:p>
    <w:p w14:paraId="4EA5C6B2" w14:textId="77777777" w:rsidR="00064151" w:rsidRPr="00CF2CA7" w:rsidRDefault="00CF2CA7" w:rsidP="00064151">
      <w:pPr>
        <w:rPr>
          <w:rFonts w:ascii="Arial" w:hAnsi="Arial"/>
          <w:b/>
          <w:bCs/>
          <w:color w:val="FFFFFF"/>
          <w:sz w:val="2"/>
          <w:szCs w:val="2"/>
          <w:rtl/>
        </w:rPr>
      </w:pPr>
      <w:r w:rsidRPr="00CF2CA7">
        <w:rPr>
          <w:rFonts w:ascii="Arial" w:hAnsi="Arial"/>
          <w:b/>
          <w:bCs/>
          <w:color w:val="FFFFFF"/>
          <w:sz w:val="2"/>
          <w:szCs w:val="2"/>
          <w:rtl/>
        </w:rPr>
        <w:t>5129371</w:t>
      </w:r>
    </w:p>
    <w:p w14:paraId="48C48BF5" w14:textId="77777777" w:rsidR="00064151" w:rsidRPr="00CF2CA7" w:rsidRDefault="00CF2CA7" w:rsidP="00064151">
      <w:pPr>
        <w:rPr>
          <w:rFonts w:ascii="Arial" w:hAnsi="Arial"/>
          <w:b/>
          <w:bCs/>
          <w:color w:val="FFFFFF"/>
          <w:sz w:val="2"/>
          <w:szCs w:val="2"/>
          <w:rtl/>
        </w:rPr>
      </w:pPr>
      <w:r w:rsidRPr="00CF2CA7">
        <w:rPr>
          <w:rFonts w:ascii="Arial" w:hAnsi="Arial"/>
          <w:b/>
          <w:bCs/>
          <w:color w:val="FFFFFF"/>
          <w:sz w:val="2"/>
          <w:szCs w:val="2"/>
          <w:rtl/>
        </w:rPr>
        <w:t>54678313</w:t>
      </w:r>
    </w:p>
    <w:p w14:paraId="373A020F" w14:textId="77777777" w:rsidR="00064151" w:rsidRPr="000F2247" w:rsidRDefault="00064151" w:rsidP="00064151">
      <w:pPr>
        <w:rPr>
          <w:rFonts w:ascii="Arial" w:hAnsi="Arial"/>
          <w:b/>
          <w:bCs/>
          <w:sz w:val="26"/>
          <w:szCs w:val="26"/>
          <w:rtl/>
        </w:rPr>
      </w:pPr>
    </w:p>
    <w:p w14:paraId="476DBAF0" w14:textId="77777777" w:rsidR="00064151" w:rsidRPr="000F2247" w:rsidRDefault="00CF2CA7" w:rsidP="0006415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אייר תשפ"ד, 26 מאי 2024, במעמד הצדדים. </w:t>
      </w:r>
      <w:bookmarkEnd w:id="8"/>
      <w:r w:rsidR="00064151">
        <w:rPr>
          <w:rFonts w:ascii="Arial" w:hAnsi="Arial"/>
          <w:b/>
          <w:bCs/>
          <w:sz w:val="26"/>
          <w:szCs w:val="26"/>
          <w:rtl/>
        </w:rPr>
        <w:tab/>
      </w:r>
      <w:r w:rsidR="00064151">
        <w:rPr>
          <w:rFonts w:ascii="Arial" w:hAnsi="Arial"/>
          <w:b/>
          <w:bCs/>
          <w:sz w:val="26"/>
          <w:szCs w:val="26"/>
          <w:rtl/>
        </w:rPr>
        <w:tab/>
      </w:r>
      <w:r w:rsidR="00064151">
        <w:rPr>
          <w:rFonts w:ascii="Arial" w:hAnsi="Arial"/>
          <w:b/>
          <w:bCs/>
          <w:sz w:val="26"/>
          <w:szCs w:val="26"/>
          <w:rtl/>
        </w:rPr>
        <w:tab/>
      </w:r>
      <w:r w:rsidR="00064151">
        <w:rPr>
          <w:rFonts w:ascii="Arial" w:hAnsi="Arial"/>
          <w:b/>
          <w:bCs/>
          <w:sz w:val="26"/>
          <w:szCs w:val="26"/>
          <w:rtl/>
        </w:rPr>
        <w:tab/>
      </w:r>
      <w:r w:rsidR="00064151">
        <w:rPr>
          <w:rFonts w:ascii="Arial" w:hAnsi="Arial"/>
          <w:b/>
          <w:bCs/>
          <w:sz w:val="26"/>
          <w:szCs w:val="26"/>
          <w:rtl/>
        </w:rPr>
        <w:tab/>
      </w:r>
      <w:r w:rsidR="00064151">
        <w:rPr>
          <w:rFonts w:ascii="Arial" w:hAnsi="Arial"/>
          <w:b/>
          <w:bCs/>
          <w:sz w:val="26"/>
          <w:szCs w:val="26"/>
          <w:rtl/>
        </w:rPr>
        <w:tab/>
      </w:r>
      <w:r w:rsidR="00064151">
        <w:rPr>
          <w:rFonts w:ascii="Arial" w:hAnsi="Arial"/>
          <w:b/>
          <w:bCs/>
          <w:sz w:val="26"/>
          <w:szCs w:val="26"/>
          <w:rtl/>
        </w:rPr>
        <w:tab/>
      </w:r>
      <w:r w:rsidR="00064151">
        <w:rPr>
          <w:rFonts w:ascii="Arial" w:hAnsi="Arial" w:hint="cs"/>
          <w:b/>
          <w:bCs/>
          <w:sz w:val="26"/>
          <w:szCs w:val="26"/>
          <w:rtl/>
        </w:rPr>
        <w:t xml:space="preserve">         </w:t>
      </w:r>
    </w:p>
    <w:p w14:paraId="57A95996" w14:textId="77777777" w:rsidR="00064151" w:rsidRPr="000F2247" w:rsidRDefault="00064151" w:rsidP="00CF2CA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6DEA583" w14:textId="77777777" w:rsidR="00064151" w:rsidRPr="00B15BDA" w:rsidRDefault="00B15BDA" w:rsidP="00064151">
      <w:pPr>
        <w:jc w:val="center"/>
        <w:rPr>
          <w:rFonts w:ascii="Arial" w:hAnsi="Arial"/>
          <w:b/>
          <w:bCs/>
          <w:color w:val="FFFFFF"/>
          <w:sz w:val="2"/>
          <w:szCs w:val="2"/>
          <w:rtl/>
        </w:rPr>
      </w:pPr>
      <w:r w:rsidRPr="00B15BDA">
        <w:rPr>
          <w:rFonts w:ascii="Arial" w:hAnsi="Arial"/>
          <w:b/>
          <w:bCs/>
          <w:color w:val="FFFFFF"/>
          <w:sz w:val="2"/>
          <w:szCs w:val="2"/>
          <w:rtl/>
        </w:rPr>
        <w:t>5129371</w:t>
      </w:r>
    </w:p>
    <w:p w14:paraId="76805A25" w14:textId="77777777" w:rsidR="00EE29C9" w:rsidRPr="00B15BDA" w:rsidRDefault="00B15BDA" w:rsidP="00CF2CA7">
      <w:pPr>
        <w:keepNext/>
        <w:rPr>
          <w:rFonts w:ascii="David" w:hAnsi="David"/>
          <w:color w:val="FFFFFF"/>
          <w:sz w:val="2"/>
          <w:szCs w:val="2"/>
          <w:rtl/>
        </w:rPr>
      </w:pPr>
      <w:r w:rsidRPr="00B15BDA">
        <w:rPr>
          <w:rFonts w:ascii="David" w:hAnsi="David"/>
          <w:color w:val="FFFFFF"/>
          <w:sz w:val="2"/>
          <w:szCs w:val="2"/>
          <w:rtl/>
        </w:rPr>
        <w:t>54678313</w:t>
      </w:r>
    </w:p>
    <w:p w14:paraId="350F2930" w14:textId="77777777" w:rsidR="00CF2CA7" w:rsidRDefault="00CF2CA7" w:rsidP="00CF2CA7">
      <w:pPr>
        <w:rPr>
          <w:rtl/>
        </w:rPr>
      </w:pPr>
    </w:p>
    <w:p w14:paraId="21ABF812" w14:textId="77777777" w:rsidR="00CF2CA7" w:rsidRDefault="00CF2CA7" w:rsidP="00CF2CA7">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D589803" w14:textId="77777777" w:rsidR="00B15BDA" w:rsidRPr="00B15BDA" w:rsidRDefault="00B15BDA" w:rsidP="00B15BDA">
      <w:pPr>
        <w:keepNext/>
        <w:rPr>
          <w:rFonts w:ascii="David" w:hAnsi="David"/>
          <w:color w:val="000000"/>
          <w:sz w:val="22"/>
          <w:szCs w:val="22"/>
          <w:rtl/>
        </w:rPr>
      </w:pPr>
    </w:p>
    <w:p w14:paraId="2ACCA440" w14:textId="77777777" w:rsidR="00B15BDA" w:rsidRPr="00B15BDA" w:rsidRDefault="00B15BDA" w:rsidP="00B15BDA">
      <w:pPr>
        <w:keepNext/>
        <w:rPr>
          <w:rFonts w:ascii="David" w:hAnsi="David"/>
          <w:color w:val="000000"/>
          <w:sz w:val="22"/>
          <w:szCs w:val="22"/>
          <w:rtl/>
        </w:rPr>
      </w:pPr>
      <w:r w:rsidRPr="00B15BDA">
        <w:rPr>
          <w:rFonts w:ascii="David" w:hAnsi="David"/>
          <w:color w:val="000000"/>
          <w:sz w:val="22"/>
          <w:szCs w:val="22"/>
          <w:rtl/>
        </w:rPr>
        <w:t>ג'ני טנוס 54678313-/</w:t>
      </w:r>
    </w:p>
    <w:p w14:paraId="07C5FA14" w14:textId="77777777" w:rsidR="00CF2CA7" w:rsidRPr="00CF2CA7" w:rsidRDefault="00B15BDA" w:rsidP="00B15BDA">
      <w:pPr>
        <w:rPr>
          <w:color w:val="0000FF"/>
          <w:u w:val="single"/>
        </w:rPr>
      </w:pPr>
      <w:r w:rsidRPr="00B15BDA">
        <w:rPr>
          <w:color w:val="000000"/>
          <w:u w:val="single"/>
          <w:rtl/>
        </w:rPr>
        <w:t>נוסח מסמך זה כפוף לשינויי ניסוח ועריכה</w:t>
      </w:r>
    </w:p>
    <w:sectPr w:rsidR="00CF2CA7" w:rsidRPr="00CF2CA7" w:rsidSect="00B15BD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4E0CA" w14:textId="77777777" w:rsidR="00E96725" w:rsidRDefault="00E96725" w:rsidP="00BF3431">
      <w:r>
        <w:separator/>
      </w:r>
    </w:p>
  </w:endnote>
  <w:endnote w:type="continuationSeparator" w:id="0">
    <w:p w14:paraId="76866B9B" w14:textId="77777777" w:rsidR="00E96725" w:rsidRDefault="00E96725" w:rsidP="00BF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DB88" w14:textId="77777777" w:rsidR="00B15BDA" w:rsidRDefault="00B15BDA" w:rsidP="00B15B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A7C3BA" w14:textId="77777777" w:rsidR="00E12CEA" w:rsidRPr="00B15BDA" w:rsidRDefault="00B15BDA" w:rsidP="00B15BDA">
    <w:pPr>
      <w:pStyle w:val="a5"/>
      <w:pBdr>
        <w:top w:val="single" w:sz="4" w:space="1" w:color="auto"/>
        <w:between w:val="single" w:sz="4" w:space="0" w:color="auto"/>
      </w:pBdr>
      <w:spacing w:after="60"/>
      <w:jc w:val="center"/>
      <w:rPr>
        <w:rFonts w:ascii="FrankRuehl" w:hAnsi="FrankRuehl" w:cs="FrankRuehl"/>
        <w:color w:val="000000"/>
      </w:rPr>
    </w:pPr>
    <w:r w:rsidRPr="00B15B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DEDA" w14:textId="77777777" w:rsidR="00B15BDA" w:rsidRDefault="00B15BDA" w:rsidP="00B15B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417D">
      <w:rPr>
        <w:rFonts w:ascii="FrankRuehl" w:hAnsi="FrankRuehl" w:cs="FrankRuehl"/>
        <w:noProof/>
        <w:rtl/>
      </w:rPr>
      <w:t>1</w:t>
    </w:r>
    <w:r>
      <w:rPr>
        <w:rFonts w:ascii="FrankRuehl" w:hAnsi="FrankRuehl" w:cs="FrankRuehl"/>
        <w:rtl/>
      </w:rPr>
      <w:fldChar w:fldCharType="end"/>
    </w:r>
  </w:p>
  <w:p w14:paraId="31732531" w14:textId="77777777" w:rsidR="00E12CEA" w:rsidRPr="00B15BDA" w:rsidRDefault="00B15BDA" w:rsidP="00B15BDA">
    <w:pPr>
      <w:pStyle w:val="a5"/>
      <w:pBdr>
        <w:top w:val="single" w:sz="4" w:space="1" w:color="auto"/>
        <w:between w:val="single" w:sz="4" w:space="0" w:color="auto"/>
      </w:pBdr>
      <w:spacing w:after="60"/>
      <w:jc w:val="center"/>
      <w:rPr>
        <w:rFonts w:ascii="FrankRuehl" w:hAnsi="FrankRuehl" w:cs="FrankRuehl"/>
        <w:color w:val="000000"/>
      </w:rPr>
    </w:pPr>
    <w:r w:rsidRPr="00B15BDA">
      <w:rPr>
        <w:rFonts w:ascii="FrankRuehl" w:hAnsi="FrankRuehl" w:cs="FrankRuehl"/>
        <w:color w:val="000000"/>
      </w:rPr>
      <w:pict w14:anchorId="2A36A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AB902" w14:textId="77777777" w:rsidR="00E96725" w:rsidRDefault="00E96725" w:rsidP="00BF3431">
      <w:r>
        <w:separator/>
      </w:r>
    </w:p>
  </w:footnote>
  <w:footnote w:type="continuationSeparator" w:id="0">
    <w:p w14:paraId="2D0F0C3C" w14:textId="77777777" w:rsidR="00E96725" w:rsidRDefault="00E96725" w:rsidP="00BF3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C1A70" w14:textId="77777777" w:rsidR="00CF2CA7" w:rsidRPr="00B15BDA" w:rsidRDefault="00B15BDA" w:rsidP="00B15B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16129-03-22</w:t>
    </w:r>
    <w:r>
      <w:rPr>
        <w:rFonts w:ascii="David" w:hAnsi="David"/>
        <w:color w:val="000000"/>
        <w:sz w:val="22"/>
        <w:szCs w:val="22"/>
        <w:rtl/>
      </w:rPr>
      <w:tab/>
      <w:t xml:space="preserve"> מדינת ישראל נ' בהא שי'ח מוחמד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6A0CF" w14:textId="77777777" w:rsidR="00CF2CA7" w:rsidRPr="00B15BDA" w:rsidRDefault="00B15BDA" w:rsidP="00B15B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16129-03-22</w:t>
    </w:r>
    <w:r>
      <w:rPr>
        <w:rFonts w:ascii="David" w:hAnsi="David"/>
        <w:color w:val="000000"/>
        <w:sz w:val="22"/>
        <w:szCs w:val="22"/>
        <w:rtl/>
      </w:rPr>
      <w:tab/>
      <w:t xml:space="preserve"> מדינת ישראל נ' בהא שי'ח מוחמד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86AB5"/>
    <w:multiLevelType w:val="hybridMultilevel"/>
    <w:tmpl w:val="9BE2A350"/>
    <w:lvl w:ilvl="0" w:tplc="3A0C447C">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8E238DA"/>
    <w:multiLevelType w:val="hybridMultilevel"/>
    <w:tmpl w:val="FEB4FFCE"/>
    <w:lvl w:ilvl="0" w:tplc="0F3276FC">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181260">
    <w:abstractNumId w:val="1"/>
  </w:num>
  <w:num w:numId="2" w16cid:durableId="420758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4151"/>
    <w:rsid w:val="00064151"/>
    <w:rsid w:val="001B5A3B"/>
    <w:rsid w:val="0028208A"/>
    <w:rsid w:val="00AF417D"/>
    <w:rsid w:val="00B15BDA"/>
    <w:rsid w:val="00BF3431"/>
    <w:rsid w:val="00CF2CA7"/>
    <w:rsid w:val="00E12CEA"/>
    <w:rsid w:val="00E96725"/>
    <w:rsid w:val="00EE29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8B05A3"/>
  <w15:chartTrackingRefBased/>
  <w15:docId w15:val="{04ECC032-0BDA-45BE-9960-D198F40C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41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4151"/>
    <w:pPr>
      <w:tabs>
        <w:tab w:val="center" w:pos="4153"/>
        <w:tab w:val="right" w:pos="8306"/>
      </w:tabs>
    </w:pPr>
  </w:style>
  <w:style w:type="character" w:customStyle="1" w:styleId="a4">
    <w:name w:val="כותרת עליונה תו"/>
    <w:link w:val="a3"/>
    <w:rsid w:val="00064151"/>
    <w:rPr>
      <w:rFonts w:ascii="Times New Roman" w:eastAsia="Times New Roman" w:hAnsi="Times New Roman" w:cs="David"/>
      <w:sz w:val="24"/>
      <w:szCs w:val="24"/>
    </w:rPr>
  </w:style>
  <w:style w:type="paragraph" w:styleId="a5">
    <w:name w:val="footer"/>
    <w:basedOn w:val="a"/>
    <w:link w:val="a6"/>
    <w:rsid w:val="00064151"/>
    <w:pPr>
      <w:tabs>
        <w:tab w:val="center" w:pos="4153"/>
        <w:tab w:val="right" w:pos="8306"/>
      </w:tabs>
    </w:pPr>
  </w:style>
  <w:style w:type="character" w:customStyle="1" w:styleId="a6">
    <w:name w:val="כותרת תחתונה תו"/>
    <w:link w:val="a5"/>
    <w:rsid w:val="00064151"/>
    <w:rPr>
      <w:rFonts w:ascii="Times New Roman" w:eastAsia="Times New Roman" w:hAnsi="Times New Roman" w:cs="David"/>
      <w:sz w:val="24"/>
      <w:szCs w:val="24"/>
    </w:rPr>
  </w:style>
  <w:style w:type="table" w:styleId="a7">
    <w:name w:val="Table Grid"/>
    <w:basedOn w:val="a1"/>
    <w:rsid w:val="000641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4151"/>
  </w:style>
  <w:style w:type="paragraph" w:styleId="a9">
    <w:name w:val="No Spacing"/>
    <w:qFormat/>
    <w:rsid w:val="00064151"/>
    <w:pPr>
      <w:bidi/>
    </w:pPr>
    <w:rPr>
      <w:rFonts w:ascii="David" w:eastAsia="David" w:hAnsi="David" w:cs="David"/>
      <w:sz w:val="24"/>
      <w:szCs w:val="24"/>
    </w:rPr>
  </w:style>
  <w:style w:type="paragraph" w:styleId="aa">
    <w:name w:val="List Paragraph"/>
    <w:basedOn w:val="a"/>
    <w:qFormat/>
    <w:rsid w:val="00064151"/>
    <w:pPr>
      <w:ind w:left="720"/>
      <w:contextualSpacing/>
    </w:pPr>
  </w:style>
  <w:style w:type="character" w:styleId="ab">
    <w:name w:val="line number"/>
    <w:rsid w:val="00064151"/>
  </w:style>
  <w:style w:type="character" w:styleId="Hyperlink">
    <w:name w:val="Hyperlink"/>
    <w:rsid w:val="00CF2C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5824863" TargetMode="External"/><Relationship Id="rId18" Type="http://schemas.openxmlformats.org/officeDocument/2006/relationships/hyperlink" Target="http://www.nevo.co.il/case/25846689"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263974" TargetMode="External"/><Relationship Id="rId7" Type="http://schemas.openxmlformats.org/officeDocument/2006/relationships/hyperlink" Target="http://www.nevo.co.il/law/70301" TargetMode="External"/><Relationship Id="rId12" Type="http://schemas.openxmlformats.org/officeDocument/2006/relationships/hyperlink" Target="http://www.nevo.co.il/case/17954222" TargetMode="External"/><Relationship Id="rId17" Type="http://schemas.openxmlformats.org/officeDocument/2006/relationships/hyperlink" Target="http://www.nevo.co.il/case/13030651" TargetMode="External"/><Relationship Id="rId25" Type="http://schemas.openxmlformats.org/officeDocument/2006/relationships/hyperlink" Target="http://www.nevo.co.il/case/26790733" TargetMode="External"/><Relationship Id="rId2" Type="http://schemas.openxmlformats.org/officeDocument/2006/relationships/styles" Target="styles.xml"/><Relationship Id="rId16" Type="http://schemas.openxmlformats.org/officeDocument/2006/relationships/hyperlink" Target="http://www.nevo.co.il/case/4338062" TargetMode="External"/><Relationship Id="rId20" Type="http://schemas.openxmlformats.org/officeDocument/2006/relationships/hyperlink" Target="http://www.nevo.co.il/case/455273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70928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950172" TargetMode="External"/><Relationship Id="rId23" Type="http://schemas.openxmlformats.org/officeDocument/2006/relationships/hyperlink" Target="http://www.nevo.co.il/case/26294158"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674525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940943" TargetMode="External"/><Relationship Id="rId22" Type="http://schemas.openxmlformats.org/officeDocument/2006/relationships/hyperlink" Target="http://www.nevo.co.il/case/2610374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2283</Words>
  <Characters>11419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13675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3539068</vt:i4>
      </vt:variant>
      <vt:variant>
        <vt:i4>54</vt:i4>
      </vt:variant>
      <vt:variant>
        <vt:i4>0</vt:i4>
      </vt:variant>
      <vt:variant>
        <vt:i4>5</vt:i4>
      </vt:variant>
      <vt:variant>
        <vt:lpwstr>http://www.nevo.co.il/case/26790733</vt:lpwstr>
      </vt:variant>
      <vt:variant>
        <vt:lpwstr/>
      </vt:variant>
      <vt:variant>
        <vt:i4>3932274</vt:i4>
      </vt:variant>
      <vt:variant>
        <vt:i4>51</vt:i4>
      </vt:variant>
      <vt:variant>
        <vt:i4>0</vt:i4>
      </vt:variant>
      <vt:variant>
        <vt:i4>5</vt:i4>
      </vt:variant>
      <vt:variant>
        <vt:lpwstr>http://www.nevo.co.il/case/6709288</vt:lpwstr>
      </vt:variant>
      <vt:variant>
        <vt:lpwstr/>
      </vt:variant>
      <vt:variant>
        <vt:i4>3211386</vt:i4>
      </vt:variant>
      <vt:variant>
        <vt:i4>48</vt:i4>
      </vt:variant>
      <vt:variant>
        <vt:i4>0</vt:i4>
      </vt:variant>
      <vt:variant>
        <vt:i4>5</vt:i4>
      </vt:variant>
      <vt:variant>
        <vt:lpwstr>http://www.nevo.co.il/case/26294158</vt:lpwstr>
      </vt:variant>
      <vt:variant>
        <vt:lpwstr/>
      </vt:variant>
      <vt:variant>
        <vt:i4>3407989</vt:i4>
      </vt:variant>
      <vt:variant>
        <vt:i4>45</vt:i4>
      </vt:variant>
      <vt:variant>
        <vt:i4>0</vt:i4>
      </vt:variant>
      <vt:variant>
        <vt:i4>5</vt:i4>
      </vt:variant>
      <vt:variant>
        <vt:lpwstr>http://www.nevo.co.il/case/26103748</vt:lpwstr>
      </vt:variant>
      <vt:variant>
        <vt:lpwstr/>
      </vt:variant>
      <vt:variant>
        <vt:i4>3407998</vt:i4>
      </vt:variant>
      <vt:variant>
        <vt:i4>42</vt:i4>
      </vt:variant>
      <vt:variant>
        <vt:i4>0</vt:i4>
      </vt:variant>
      <vt:variant>
        <vt:i4>5</vt:i4>
      </vt:variant>
      <vt:variant>
        <vt:lpwstr>http://www.nevo.co.il/case/25263974</vt:lpwstr>
      </vt:variant>
      <vt:variant>
        <vt:lpwstr/>
      </vt:variant>
      <vt:variant>
        <vt:i4>4063344</vt:i4>
      </vt:variant>
      <vt:variant>
        <vt:i4>39</vt:i4>
      </vt:variant>
      <vt:variant>
        <vt:i4>0</vt:i4>
      </vt:variant>
      <vt:variant>
        <vt:i4>5</vt:i4>
      </vt:variant>
      <vt:variant>
        <vt:lpwstr>http://www.nevo.co.il/case/4552738</vt:lpwstr>
      </vt:variant>
      <vt:variant>
        <vt:lpwstr/>
      </vt:variant>
      <vt:variant>
        <vt:i4>3473524</vt:i4>
      </vt:variant>
      <vt:variant>
        <vt:i4>36</vt:i4>
      </vt:variant>
      <vt:variant>
        <vt:i4>0</vt:i4>
      </vt:variant>
      <vt:variant>
        <vt:i4>5</vt:i4>
      </vt:variant>
      <vt:variant>
        <vt:lpwstr>http://www.nevo.co.il/case/26745252</vt:lpwstr>
      </vt:variant>
      <vt:variant>
        <vt:lpwstr/>
      </vt:variant>
      <vt:variant>
        <vt:i4>3407987</vt:i4>
      </vt:variant>
      <vt:variant>
        <vt:i4>33</vt:i4>
      </vt:variant>
      <vt:variant>
        <vt:i4>0</vt:i4>
      </vt:variant>
      <vt:variant>
        <vt:i4>5</vt:i4>
      </vt:variant>
      <vt:variant>
        <vt:lpwstr>http://www.nevo.co.il/case/25846689</vt:lpwstr>
      </vt:variant>
      <vt:variant>
        <vt:lpwstr/>
      </vt:variant>
      <vt:variant>
        <vt:i4>3407986</vt:i4>
      </vt:variant>
      <vt:variant>
        <vt:i4>30</vt:i4>
      </vt:variant>
      <vt:variant>
        <vt:i4>0</vt:i4>
      </vt:variant>
      <vt:variant>
        <vt:i4>5</vt:i4>
      </vt:variant>
      <vt:variant>
        <vt:lpwstr>http://www.nevo.co.il/case/13030651</vt:lpwstr>
      </vt:variant>
      <vt:variant>
        <vt:lpwstr/>
      </vt:variant>
      <vt:variant>
        <vt:i4>3473529</vt:i4>
      </vt:variant>
      <vt:variant>
        <vt:i4>27</vt:i4>
      </vt:variant>
      <vt:variant>
        <vt:i4>0</vt:i4>
      </vt:variant>
      <vt:variant>
        <vt:i4>5</vt:i4>
      </vt:variant>
      <vt:variant>
        <vt:lpwstr>http://www.nevo.co.il/case/4338062</vt:lpwstr>
      </vt:variant>
      <vt:variant>
        <vt:lpwstr/>
      </vt:variant>
      <vt:variant>
        <vt:i4>3342458</vt:i4>
      </vt:variant>
      <vt:variant>
        <vt:i4>24</vt:i4>
      </vt:variant>
      <vt:variant>
        <vt:i4>0</vt:i4>
      </vt:variant>
      <vt:variant>
        <vt:i4>5</vt:i4>
      </vt:variant>
      <vt:variant>
        <vt:lpwstr>http://www.nevo.co.il/case/5950172</vt:lpwstr>
      </vt:variant>
      <vt:variant>
        <vt:lpwstr/>
      </vt:variant>
      <vt:variant>
        <vt:i4>4128892</vt:i4>
      </vt:variant>
      <vt:variant>
        <vt:i4>21</vt:i4>
      </vt:variant>
      <vt:variant>
        <vt:i4>0</vt:i4>
      </vt:variant>
      <vt:variant>
        <vt:i4>5</vt:i4>
      </vt:variant>
      <vt:variant>
        <vt:lpwstr>http://www.nevo.co.il/case/25940943</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4063348</vt:i4>
      </vt:variant>
      <vt:variant>
        <vt:i4>15</vt:i4>
      </vt:variant>
      <vt:variant>
        <vt:i4>0</vt:i4>
      </vt:variant>
      <vt:variant>
        <vt:i4>5</vt:i4>
      </vt:variant>
      <vt:variant>
        <vt:lpwstr>http://www.nevo.co.il/case/17954222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16129</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בהא שי'ח מוחמד</vt:lpwstr>
  </property>
  <property fmtid="{D5CDD505-2E9C-101B-9397-08002B2CF9AE}" pid="10" name="LAWYER">
    <vt:lpwstr>חוסין מנאע</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20240526</vt:lpwstr>
  </property>
  <property fmtid="{D5CDD505-2E9C-101B-9397-08002B2CF9AE}" pid="14" name="TYPE_N_DATE">
    <vt:lpwstr>38020240526</vt:lpwstr>
  </property>
  <property fmtid="{D5CDD505-2E9C-101B-9397-08002B2CF9AE}" pid="15" name="CASESLISTTMP1">
    <vt:lpwstr>17954222;25824863;25940943;5950172;4338062;13030651;25846689;26745252;4552738;25263974;26103748;26294158;6709288;26790733</vt:lpwstr>
  </property>
  <property fmtid="{D5CDD505-2E9C-101B-9397-08002B2CF9AE}" pid="16" name="WORDNUMPAGES">
    <vt:lpwstr>8</vt:lpwstr>
  </property>
  <property fmtid="{D5CDD505-2E9C-101B-9397-08002B2CF9AE}" pid="17" name="TYPE_ABS_DATE">
    <vt:lpwstr>380020240526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vt:lpwstr>
  </property>
</Properties>
</file>