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16BA0" w:rsidRPr="00032DF4" w14:paraId="3955357D" w14:textId="77777777" w:rsidTr="00FD58CA">
        <w:trPr>
          <w:gridAfter w:val="1"/>
          <w:wAfter w:w="99" w:type="dxa"/>
          <w:trHeight w:hRule="exact" w:val="418"/>
          <w:jc w:val="center"/>
        </w:trPr>
        <w:tc>
          <w:tcPr>
            <w:tcW w:w="8721" w:type="dxa"/>
            <w:gridSpan w:val="4"/>
          </w:tcPr>
          <w:p w14:paraId="7B4C4DE5" w14:textId="77777777" w:rsidR="00916BA0" w:rsidRPr="00032DF4" w:rsidRDefault="00916BA0" w:rsidP="000E1384">
            <w:pPr>
              <w:pStyle w:val="a3"/>
              <w:jc w:val="center"/>
              <w:rPr>
                <w:rFonts w:ascii="Tahoma" w:hAnsi="Tahoma" w:cs="Tahoma"/>
                <w:color w:val="000080"/>
                <w:rtl/>
              </w:rPr>
            </w:pPr>
            <w:bookmarkStart w:id="0" w:name="FirstLawyer"/>
            <w:r w:rsidRPr="00032DF4">
              <w:rPr>
                <w:rFonts w:ascii="Tahoma" w:hAnsi="Tahoma" w:cs="Tahoma"/>
                <w:b/>
                <w:bCs/>
                <w:color w:val="000080"/>
                <w:rtl/>
              </w:rPr>
              <w:t>בית משפט השלום בבאר שבע</w:t>
            </w:r>
          </w:p>
        </w:tc>
      </w:tr>
      <w:tr w:rsidR="00916BA0" w:rsidRPr="00032DF4" w14:paraId="7DB9F634" w14:textId="77777777" w:rsidTr="00FD58CA">
        <w:trPr>
          <w:gridAfter w:val="1"/>
          <w:wAfter w:w="99" w:type="dxa"/>
          <w:trHeight w:val="337"/>
          <w:jc w:val="center"/>
        </w:trPr>
        <w:tc>
          <w:tcPr>
            <w:tcW w:w="5054" w:type="dxa"/>
            <w:gridSpan w:val="3"/>
          </w:tcPr>
          <w:p w14:paraId="14F1DA73" w14:textId="77777777" w:rsidR="00916BA0" w:rsidRPr="00032DF4" w:rsidRDefault="00916BA0" w:rsidP="000E1384">
            <w:pPr>
              <w:rPr>
                <w:rFonts w:cs="FrankRuehl"/>
                <w:sz w:val="28"/>
                <w:szCs w:val="28"/>
                <w:rtl/>
              </w:rPr>
            </w:pPr>
            <w:r w:rsidRPr="00032DF4">
              <w:rPr>
                <w:rFonts w:cs="FrankRuehl"/>
                <w:sz w:val="28"/>
                <w:szCs w:val="28"/>
                <w:rtl/>
              </w:rPr>
              <w:t>ת"פ</w:t>
            </w:r>
            <w:r w:rsidRPr="00032DF4">
              <w:rPr>
                <w:rFonts w:cs="FrankRuehl" w:hint="cs"/>
                <w:sz w:val="28"/>
                <w:szCs w:val="28"/>
                <w:rtl/>
              </w:rPr>
              <w:t xml:space="preserve"> </w:t>
            </w:r>
            <w:r w:rsidRPr="00032DF4">
              <w:rPr>
                <w:rFonts w:cs="FrankRuehl"/>
                <w:sz w:val="28"/>
                <w:szCs w:val="28"/>
                <w:rtl/>
              </w:rPr>
              <w:t>22526-03-22</w:t>
            </w:r>
            <w:r w:rsidRPr="00032DF4">
              <w:rPr>
                <w:rFonts w:cs="FrankRuehl" w:hint="cs"/>
                <w:sz w:val="28"/>
                <w:szCs w:val="28"/>
                <w:rtl/>
              </w:rPr>
              <w:t xml:space="preserve"> </w:t>
            </w:r>
            <w:r w:rsidRPr="00032DF4">
              <w:rPr>
                <w:rFonts w:cs="FrankRuehl"/>
                <w:sz w:val="28"/>
                <w:szCs w:val="28"/>
                <w:rtl/>
              </w:rPr>
              <w:t>מדינת ישראל נ' אבו אלעקיס</w:t>
            </w:r>
          </w:p>
          <w:p w14:paraId="1D561FAF" w14:textId="77777777" w:rsidR="00916BA0" w:rsidRPr="00032DF4" w:rsidRDefault="00916BA0" w:rsidP="000E1384">
            <w:pPr>
              <w:pStyle w:val="a3"/>
              <w:rPr>
                <w:rFonts w:cs="FrankRuehl"/>
                <w:sz w:val="28"/>
                <w:szCs w:val="28"/>
                <w:rtl/>
              </w:rPr>
            </w:pPr>
          </w:p>
        </w:tc>
        <w:tc>
          <w:tcPr>
            <w:tcW w:w="3667" w:type="dxa"/>
          </w:tcPr>
          <w:p w14:paraId="0C0A2F01" w14:textId="77777777" w:rsidR="00916BA0" w:rsidRPr="00032DF4" w:rsidRDefault="00916BA0" w:rsidP="000E1384">
            <w:pPr>
              <w:pStyle w:val="a3"/>
              <w:jc w:val="right"/>
              <w:rPr>
                <w:rFonts w:cs="FrankRuehl"/>
                <w:sz w:val="28"/>
                <w:szCs w:val="28"/>
                <w:rtl/>
              </w:rPr>
            </w:pPr>
          </w:p>
        </w:tc>
      </w:tr>
      <w:tr w:rsidR="00916BA0" w:rsidRPr="00032DF4" w14:paraId="3AC717A2" w14:textId="77777777" w:rsidTr="00FD58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227159C" w14:textId="77777777" w:rsidR="00916BA0" w:rsidRPr="00032DF4" w:rsidRDefault="00916BA0" w:rsidP="00916BA0">
            <w:pPr>
              <w:jc w:val="both"/>
              <w:rPr>
                <w:rFonts w:ascii="David" w:hAnsi="David"/>
                <w:sz w:val="26"/>
                <w:szCs w:val="26"/>
              </w:rPr>
            </w:pPr>
            <w:r w:rsidRPr="00032DF4">
              <w:rPr>
                <w:rFonts w:hint="cs"/>
                <w:rtl/>
              </w:rPr>
              <w:t xml:space="preserve"> </w:t>
            </w:r>
            <w:r w:rsidRPr="00032DF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074F118" w14:textId="77777777" w:rsidR="00916BA0" w:rsidRPr="00032DF4" w:rsidRDefault="00916BA0" w:rsidP="000E1384">
            <w:pPr>
              <w:rPr>
                <w:rFonts w:ascii="David" w:hAnsi="David"/>
                <w:b/>
                <w:bCs/>
                <w:sz w:val="26"/>
                <w:szCs w:val="26"/>
                <w:rtl/>
              </w:rPr>
            </w:pPr>
            <w:r w:rsidRPr="00032DF4">
              <w:rPr>
                <w:rFonts w:ascii="David" w:hAnsi="David"/>
                <w:b/>
                <w:bCs/>
                <w:sz w:val="26"/>
                <w:szCs w:val="26"/>
                <w:rtl/>
              </w:rPr>
              <w:t>כבוד השופטת, סגנית הנשיא  ענת חולתא</w:t>
            </w:r>
          </w:p>
          <w:p w14:paraId="7151DD03" w14:textId="77777777" w:rsidR="00916BA0" w:rsidRPr="00032DF4" w:rsidRDefault="00916BA0" w:rsidP="000E1384">
            <w:pPr>
              <w:rPr>
                <w:rFonts w:ascii="David" w:hAnsi="David"/>
                <w:sz w:val="26"/>
                <w:szCs w:val="26"/>
                <w:rtl/>
              </w:rPr>
            </w:pPr>
          </w:p>
          <w:p w14:paraId="6C98BE3D" w14:textId="77777777" w:rsidR="00916BA0" w:rsidRPr="00032DF4" w:rsidRDefault="00916BA0" w:rsidP="00916BA0">
            <w:pPr>
              <w:jc w:val="both"/>
              <w:rPr>
                <w:rFonts w:ascii="David" w:hAnsi="David"/>
                <w:sz w:val="26"/>
                <w:szCs w:val="26"/>
              </w:rPr>
            </w:pPr>
          </w:p>
        </w:tc>
      </w:tr>
      <w:tr w:rsidR="00916BA0" w:rsidRPr="00032DF4" w14:paraId="2E96540E" w14:textId="77777777" w:rsidTr="00FD58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2E263DE" w14:textId="77777777" w:rsidR="00916BA0" w:rsidRPr="00032DF4" w:rsidRDefault="00916BA0" w:rsidP="00916BA0">
            <w:pPr>
              <w:jc w:val="both"/>
              <w:rPr>
                <w:rFonts w:ascii="David" w:hAnsi="David"/>
                <w:sz w:val="26"/>
                <w:szCs w:val="26"/>
              </w:rPr>
            </w:pPr>
            <w:bookmarkStart w:id="1" w:name="FirstAppellant"/>
            <w:bookmarkStart w:id="2" w:name="LastJudge"/>
            <w:bookmarkEnd w:id="2"/>
            <w:r w:rsidRPr="00032DF4">
              <w:rPr>
                <w:rFonts w:ascii="David" w:hAnsi="David"/>
                <w:sz w:val="26"/>
                <w:szCs w:val="26"/>
                <w:rtl/>
              </w:rPr>
              <w:t>בעניין:</w:t>
            </w:r>
          </w:p>
        </w:tc>
        <w:tc>
          <w:tcPr>
            <w:tcW w:w="3219" w:type="dxa"/>
            <w:tcBorders>
              <w:top w:val="nil"/>
              <w:left w:val="nil"/>
              <w:bottom w:val="nil"/>
              <w:right w:val="nil"/>
            </w:tcBorders>
            <w:shd w:val="clear" w:color="auto" w:fill="auto"/>
          </w:tcPr>
          <w:p w14:paraId="421DF019" w14:textId="77777777" w:rsidR="00916BA0" w:rsidRPr="00032DF4" w:rsidRDefault="00916BA0" w:rsidP="00916BA0">
            <w:pPr>
              <w:suppressLineNumbers/>
            </w:pPr>
            <w:r w:rsidRPr="00032DF4">
              <w:rPr>
                <w:rFonts w:ascii="Arial" w:hAnsi="Arial" w:hint="cs"/>
                <w:b/>
                <w:bCs/>
                <w:sz w:val="26"/>
                <w:szCs w:val="26"/>
                <w:rtl/>
              </w:rPr>
              <w:t>ה</w:t>
            </w:r>
            <w:r w:rsidRPr="00032DF4">
              <w:rPr>
                <w:rFonts w:ascii="Arial" w:hAnsi="Arial"/>
                <w:b/>
                <w:bCs/>
                <w:sz w:val="26"/>
                <w:szCs w:val="26"/>
                <w:rtl/>
              </w:rPr>
              <w:t>מאשימה</w:t>
            </w:r>
          </w:p>
          <w:p w14:paraId="1190CE9F" w14:textId="77777777" w:rsidR="00916BA0" w:rsidRPr="00032DF4" w:rsidRDefault="00916BA0" w:rsidP="000E138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B536494" w14:textId="77777777" w:rsidR="00916BA0" w:rsidRPr="00032DF4" w:rsidRDefault="00916BA0" w:rsidP="00916BA0">
            <w:pPr>
              <w:suppressLineNumbers/>
            </w:pPr>
            <w:r w:rsidRPr="00032DF4">
              <w:rPr>
                <w:rFonts w:ascii="Arial" w:hAnsi="Arial"/>
                <w:b/>
                <w:bCs/>
                <w:sz w:val="26"/>
                <w:szCs w:val="26"/>
                <w:rtl/>
              </w:rPr>
              <w:t>מדינת ישראל</w:t>
            </w:r>
            <w:r w:rsidRPr="00032DF4">
              <w:rPr>
                <w:rFonts w:ascii="Arial" w:hAnsi="Arial" w:hint="cs"/>
                <w:b/>
                <w:bCs/>
                <w:sz w:val="26"/>
                <w:szCs w:val="26"/>
                <w:rtl/>
              </w:rPr>
              <w:t xml:space="preserve"> </w:t>
            </w:r>
            <w:r w:rsidRPr="00032DF4">
              <w:rPr>
                <w:rFonts w:ascii="Arial" w:hAnsi="Arial"/>
                <w:b/>
                <w:bCs/>
                <w:sz w:val="26"/>
                <w:szCs w:val="26"/>
                <w:rtl/>
              </w:rPr>
              <w:t>ע"י</w:t>
            </w:r>
            <w:r w:rsidRPr="00032DF4">
              <w:rPr>
                <w:rFonts w:ascii="Arial" w:hAnsi="Arial" w:hint="cs"/>
                <w:b/>
                <w:bCs/>
                <w:sz w:val="26"/>
                <w:szCs w:val="26"/>
                <w:rtl/>
              </w:rPr>
              <w:t xml:space="preserve"> עו"ד מוחמד סולימאן</w:t>
            </w:r>
          </w:p>
          <w:p w14:paraId="49467228" w14:textId="77777777" w:rsidR="00916BA0" w:rsidRPr="00032DF4" w:rsidRDefault="00916BA0" w:rsidP="000E1384">
            <w:pPr>
              <w:rPr>
                <w:rFonts w:ascii="David" w:hAnsi="David"/>
                <w:sz w:val="26"/>
                <w:szCs w:val="26"/>
              </w:rPr>
            </w:pPr>
          </w:p>
        </w:tc>
      </w:tr>
      <w:bookmarkEnd w:id="1"/>
      <w:tr w:rsidR="00916BA0" w:rsidRPr="00032DF4" w14:paraId="510CD8E0" w14:textId="77777777" w:rsidTr="00FD58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2369A9" w14:textId="77777777" w:rsidR="00916BA0" w:rsidRPr="00032DF4" w:rsidRDefault="00916BA0" w:rsidP="00916BA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1996AA9" w14:textId="77777777" w:rsidR="00916BA0" w:rsidRPr="00032DF4" w:rsidRDefault="00916BA0" w:rsidP="00916BA0">
            <w:pPr>
              <w:jc w:val="center"/>
              <w:rPr>
                <w:rFonts w:ascii="David" w:hAnsi="David"/>
                <w:b/>
                <w:bCs/>
                <w:sz w:val="26"/>
                <w:szCs w:val="26"/>
                <w:rtl/>
              </w:rPr>
            </w:pPr>
          </w:p>
          <w:p w14:paraId="559DAF4F" w14:textId="77777777" w:rsidR="00916BA0" w:rsidRPr="00032DF4" w:rsidRDefault="00916BA0" w:rsidP="00916BA0">
            <w:pPr>
              <w:jc w:val="center"/>
              <w:rPr>
                <w:rFonts w:ascii="David" w:hAnsi="David"/>
                <w:b/>
                <w:bCs/>
                <w:sz w:val="26"/>
                <w:szCs w:val="26"/>
                <w:rtl/>
              </w:rPr>
            </w:pPr>
            <w:r w:rsidRPr="00032DF4">
              <w:rPr>
                <w:rFonts w:ascii="David" w:hAnsi="David"/>
                <w:b/>
                <w:bCs/>
                <w:sz w:val="26"/>
                <w:szCs w:val="26"/>
                <w:rtl/>
              </w:rPr>
              <w:t>נגד</w:t>
            </w:r>
          </w:p>
          <w:p w14:paraId="1D5B4258" w14:textId="77777777" w:rsidR="00916BA0" w:rsidRPr="00032DF4" w:rsidRDefault="00916BA0" w:rsidP="00916BA0">
            <w:pPr>
              <w:jc w:val="both"/>
              <w:rPr>
                <w:rFonts w:ascii="David" w:hAnsi="David"/>
                <w:sz w:val="26"/>
                <w:szCs w:val="26"/>
              </w:rPr>
            </w:pPr>
          </w:p>
        </w:tc>
      </w:tr>
      <w:tr w:rsidR="00916BA0" w:rsidRPr="00032DF4" w14:paraId="0E02BE41" w14:textId="77777777" w:rsidTr="00FD58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E8D7F9" w14:textId="77777777" w:rsidR="00916BA0" w:rsidRPr="00032DF4" w:rsidRDefault="00916BA0" w:rsidP="000E1384">
            <w:pPr>
              <w:rPr>
                <w:rFonts w:ascii="David" w:hAnsi="David"/>
                <w:sz w:val="26"/>
                <w:szCs w:val="26"/>
                <w:rtl/>
              </w:rPr>
            </w:pPr>
          </w:p>
        </w:tc>
        <w:tc>
          <w:tcPr>
            <w:tcW w:w="3219" w:type="dxa"/>
            <w:tcBorders>
              <w:top w:val="nil"/>
              <w:left w:val="nil"/>
              <w:bottom w:val="nil"/>
              <w:right w:val="nil"/>
            </w:tcBorders>
            <w:shd w:val="clear" w:color="auto" w:fill="auto"/>
          </w:tcPr>
          <w:p w14:paraId="23B25A0E" w14:textId="77777777" w:rsidR="00916BA0" w:rsidRPr="00032DF4" w:rsidRDefault="00916BA0" w:rsidP="000E1384">
            <w:pPr>
              <w:rPr>
                <w:rFonts w:ascii="Arial" w:hAnsi="Arial"/>
                <w:b/>
                <w:bCs/>
                <w:sz w:val="26"/>
                <w:szCs w:val="26"/>
                <w:rtl/>
              </w:rPr>
            </w:pPr>
            <w:r w:rsidRPr="00032DF4">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C358276" w14:textId="77777777" w:rsidR="00916BA0" w:rsidRPr="00032DF4" w:rsidRDefault="00916BA0" w:rsidP="00916BA0">
            <w:pPr>
              <w:suppressLineNumbers/>
            </w:pPr>
            <w:r w:rsidRPr="00032DF4">
              <w:rPr>
                <w:rFonts w:ascii="Arial" w:hAnsi="Arial"/>
                <w:b/>
                <w:bCs/>
                <w:sz w:val="26"/>
                <w:szCs w:val="26"/>
                <w:rtl/>
              </w:rPr>
              <w:t>עב</w:t>
            </w:r>
            <w:r w:rsidRPr="00032DF4">
              <w:rPr>
                <w:rFonts w:ascii="Arial" w:hAnsi="Arial" w:hint="cs"/>
                <w:b/>
                <w:bCs/>
                <w:sz w:val="26"/>
                <w:szCs w:val="26"/>
                <w:rtl/>
              </w:rPr>
              <w:t>ד</w:t>
            </w:r>
            <w:r w:rsidRPr="00032DF4">
              <w:rPr>
                <w:rFonts w:ascii="Arial" w:hAnsi="Arial"/>
                <w:b/>
                <w:bCs/>
                <w:sz w:val="26"/>
                <w:szCs w:val="26"/>
                <w:rtl/>
              </w:rPr>
              <w:t xml:space="preserve"> אלעזיז אבו אלעקיס</w:t>
            </w:r>
            <w:r w:rsidRPr="00032DF4">
              <w:rPr>
                <w:rFonts w:ascii="Arial" w:hAnsi="Arial" w:hint="cs"/>
                <w:b/>
                <w:bCs/>
                <w:sz w:val="26"/>
                <w:szCs w:val="26"/>
                <w:rtl/>
              </w:rPr>
              <w:t xml:space="preserve"> </w:t>
            </w:r>
            <w:r w:rsidRPr="00032DF4">
              <w:rPr>
                <w:rFonts w:ascii="Arial" w:hAnsi="Arial"/>
                <w:b/>
                <w:bCs/>
                <w:sz w:val="26"/>
                <w:szCs w:val="26"/>
                <w:rtl/>
              </w:rPr>
              <w:t>ע"י ב"כ עוה"ד</w:t>
            </w:r>
            <w:r w:rsidRPr="00032DF4">
              <w:rPr>
                <w:rFonts w:ascii="Arial" w:hAnsi="Arial" w:hint="cs"/>
                <w:b/>
                <w:bCs/>
                <w:sz w:val="26"/>
                <w:szCs w:val="26"/>
                <w:rtl/>
              </w:rPr>
              <w:t xml:space="preserve"> אפרת צרפתי</w:t>
            </w:r>
          </w:p>
          <w:p w14:paraId="7BDAA542" w14:textId="77777777" w:rsidR="00916BA0" w:rsidRPr="00032DF4" w:rsidRDefault="00916BA0" w:rsidP="000E1384">
            <w:pPr>
              <w:rPr>
                <w:rFonts w:ascii="David" w:hAnsi="David"/>
                <w:sz w:val="26"/>
                <w:szCs w:val="26"/>
              </w:rPr>
            </w:pPr>
          </w:p>
        </w:tc>
      </w:tr>
    </w:tbl>
    <w:p w14:paraId="1A497F09" w14:textId="77777777" w:rsidR="00FD58CA" w:rsidRDefault="00FD58CA" w:rsidP="00032DF4">
      <w:pPr>
        <w:rPr>
          <w:sz w:val="26"/>
          <w:szCs w:val="26"/>
          <w:rtl/>
        </w:rPr>
      </w:pPr>
    </w:p>
    <w:p w14:paraId="109B3152" w14:textId="77777777" w:rsidR="00FD58CA" w:rsidRPr="00FD58CA" w:rsidRDefault="00FD58CA" w:rsidP="00FD58CA">
      <w:pPr>
        <w:spacing w:after="120" w:line="240" w:lineRule="exact"/>
        <w:ind w:left="283" w:hanging="283"/>
        <w:jc w:val="both"/>
        <w:rPr>
          <w:rFonts w:ascii="FrankRuehl" w:hAnsi="FrankRuehl" w:cs="FrankRuehl"/>
          <w:rtl/>
        </w:rPr>
      </w:pPr>
    </w:p>
    <w:p w14:paraId="2CBFE158" w14:textId="77777777" w:rsidR="00960405" w:rsidRPr="00960405" w:rsidRDefault="00960405" w:rsidP="00960405">
      <w:pPr>
        <w:spacing w:before="120" w:after="120" w:line="240" w:lineRule="exact"/>
        <w:ind w:left="283" w:hanging="283"/>
        <w:jc w:val="both"/>
        <w:rPr>
          <w:rFonts w:ascii="FrankRuehl" w:hAnsi="FrankRuehl" w:cs="FrankRuehl"/>
          <w:rtl/>
        </w:rPr>
      </w:pPr>
    </w:p>
    <w:p w14:paraId="5834BC8B" w14:textId="77777777" w:rsidR="00960405" w:rsidRPr="00960405" w:rsidRDefault="00960405" w:rsidP="00960405">
      <w:pPr>
        <w:spacing w:before="120" w:after="120" w:line="240" w:lineRule="exact"/>
        <w:ind w:left="283" w:hanging="283"/>
        <w:jc w:val="both"/>
        <w:rPr>
          <w:rFonts w:ascii="FrankRuehl" w:hAnsi="FrankRuehl" w:cs="FrankRuehl"/>
          <w:rtl/>
        </w:rPr>
      </w:pPr>
    </w:p>
    <w:p w14:paraId="7A31F696" w14:textId="77777777" w:rsidR="00BF7972" w:rsidRDefault="00BF7972" w:rsidP="00BF7972">
      <w:pPr>
        <w:rPr>
          <w:sz w:val="26"/>
          <w:szCs w:val="26"/>
          <w:rtl/>
        </w:rPr>
      </w:pPr>
      <w:bookmarkStart w:id="3" w:name="LawTable"/>
      <w:bookmarkEnd w:id="3"/>
    </w:p>
    <w:p w14:paraId="69CDCD61" w14:textId="77777777" w:rsidR="00BF7972" w:rsidRPr="00BF7972" w:rsidRDefault="00BF7972" w:rsidP="00BF7972">
      <w:pPr>
        <w:spacing w:before="120" w:after="120" w:line="240" w:lineRule="exact"/>
        <w:ind w:left="283" w:hanging="283"/>
        <w:jc w:val="both"/>
        <w:rPr>
          <w:rFonts w:ascii="FrankRuehl" w:hAnsi="FrankRuehl" w:cs="FrankRuehl"/>
          <w:rtl/>
        </w:rPr>
      </w:pPr>
    </w:p>
    <w:p w14:paraId="174CE9DE" w14:textId="77777777" w:rsidR="00BF7972" w:rsidRPr="00BF7972" w:rsidRDefault="00BF7972" w:rsidP="00BF7972">
      <w:pPr>
        <w:spacing w:before="120" w:after="120" w:line="240" w:lineRule="exact"/>
        <w:ind w:left="283" w:hanging="283"/>
        <w:jc w:val="both"/>
        <w:rPr>
          <w:rFonts w:ascii="FrankRuehl" w:hAnsi="FrankRuehl" w:cs="FrankRuehl"/>
          <w:rtl/>
        </w:rPr>
      </w:pPr>
    </w:p>
    <w:p w14:paraId="7CB4A523" w14:textId="77777777" w:rsidR="00BF7972" w:rsidRPr="00BF7972" w:rsidRDefault="00BF7972" w:rsidP="00BF7972">
      <w:pPr>
        <w:spacing w:before="120" w:after="120" w:line="240" w:lineRule="exact"/>
        <w:ind w:left="283" w:hanging="283"/>
        <w:jc w:val="both"/>
        <w:rPr>
          <w:rFonts w:ascii="FrankRuehl" w:hAnsi="FrankRuehl" w:cs="FrankRuehl"/>
          <w:rtl/>
        </w:rPr>
      </w:pPr>
      <w:r w:rsidRPr="00BF7972">
        <w:rPr>
          <w:rFonts w:ascii="FrankRuehl" w:hAnsi="FrankRuehl" w:cs="FrankRuehl"/>
          <w:rtl/>
        </w:rPr>
        <w:t xml:space="preserve">חקיקה שאוזכרה: </w:t>
      </w:r>
    </w:p>
    <w:p w14:paraId="39303876" w14:textId="77777777" w:rsidR="00BF7972" w:rsidRPr="00BF7972" w:rsidRDefault="00BF7972" w:rsidP="00BF7972">
      <w:pPr>
        <w:spacing w:before="120" w:after="120" w:line="240" w:lineRule="exact"/>
        <w:ind w:left="283" w:hanging="283"/>
        <w:jc w:val="both"/>
        <w:rPr>
          <w:rFonts w:ascii="FrankRuehl" w:hAnsi="FrankRuehl" w:cs="FrankRuehl"/>
          <w:rtl/>
        </w:rPr>
      </w:pPr>
      <w:hyperlink r:id="rId7" w:history="1">
        <w:r w:rsidRPr="00BF7972">
          <w:rPr>
            <w:rFonts w:ascii="FrankRuehl" w:hAnsi="FrankRuehl" w:cs="FrankRuehl"/>
            <w:color w:val="0000FF"/>
            <w:rtl/>
          </w:rPr>
          <w:t>חוק העונשין, תשל"ז-1977</w:t>
        </w:r>
      </w:hyperlink>
      <w:r w:rsidRPr="00BF7972">
        <w:rPr>
          <w:rFonts w:ascii="FrankRuehl" w:hAnsi="FrankRuehl" w:cs="FrankRuehl"/>
          <w:rtl/>
        </w:rPr>
        <w:t xml:space="preserve">: סע'  </w:t>
      </w:r>
      <w:hyperlink r:id="rId8" w:history="1">
        <w:r w:rsidRPr="00BF7972">
          <w:rPr>
            <w:rFonts w:ascii="FrankRuehl" w:hAnsi="FrankRuehl" w:cs="FrankRuehl"/>
            <w:color w:val="0000FF"/>
            <w:rtl/>
          </w:rPr>
          <w:t>144 (א)</w:t>
        </w:r>
      </w:hyperlink>
    </w:p>
    <w:p w14:paraId="09F2CD61" w14:textId="77777777" w:rsidR="00BF7972" w:rsidRPr="00BF7972" w:rsidRDefault="00BF7972" w:rsidP="00BF7972">
      <w:pPr>
        <w:spacing w:before="120" w:after="120" w:line="240" w:lineRule="exact"/>
        <w:ind w:left="283" w:hanging="283"/>
        <w:jc w:val="both"/>
        <w:rPr>
          <w:rFonts w:ascii="FrankRuehl" w:hAnsi="FrankRuehl" w:cs="FrankRuehl"/>
          <w:rtl/>
        </w:rPr>
      </w:pPr>
      <w:hyperlink r:id="rId9" w:history="1">
        <w:r w:rsidRPr="00BF7972">
          <w:rPr>
            <w:rFonts w:ascii="FrankRuehl" w:hAnsi="FrankRuehl" w:cs="FrankRuehl"/>
            <w:color w:val="0000FF"/>
            <w:rtl/>
          </w:rPr>
          <w:t>חוק-יסוד: כבוד האדם וחירותו</w:t>
        </w:r>
      </w:hyperlink>
    </w:p>
    <w:p w14:paraId="42BDB2CB" w14:textId="77777777" w:rsidR="00BF7972" w:rsidRPr="00BF7972" w:rsidRDefault="00BF7972" w:rsidP="00BF7972">
      <w:pPr>
        <w:rPr>
          <w:sz w:val="26"/>
          <w:szCs w:val="26"/>
          <w:rtl/>
        </w:rPr>
      </w:pPr>
      <w:bookmarkStart w:id="4" w:name="LawTable_End"/>
      <w:bookmarkEnd w:id="4"/>
    </w:p>
    <w:p w14:paraId="0280E433" w14:textId="77777777" w:rsidR="00916BA0" w:rsidRPr="00960405" w:rsidRDefault="00916BA0" w:rsidP="0096040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6BA0" w14:paraId="293191B7" w14:textId="77777777" w:rsidTr="00916BA0">
        <w:trPr>
          <w:trHeight w:val="355"/>
          <w:jc w:val="center"/>
        </w:trPr>
        <w:tc>
          <w:tcPr>
            <w:tcW w:w="8820" w:type="dxa"/>
            <w:tcBorders>
              <w:top w:val="nil"/>
              <w:left w:val="nil"/>
              <w:bottom w:val="nil"/>
              <w:right w:val="nil"/>
            </w:tcBorders>
            <w:shd w:val="clear" w:color="auto" w:fill="auto"/>
          </w:tcPr>
          <w:p w14:paraId="25BF32D3" w14:textId="77777777" w:rsidR="00032DF4" w:rsidRPr="00032DF4" w:rsidRDefault="00032DF4" w:rsidP="00032DF4">
            <w:pPr>
              <w:jc w:val="center"/>
              <w:rPr>
                <w:rFonts w:ascii="David" w:hAnsi="David"/>
                <w:b/>
                <w:bCs/>
                <w:sz w:val="32"/>
                <w:szCs w:val="32"/>
                <w:u w:val="single"/>
                <w:rtl/>
              </w:rPr>
            </w:pPr>
            <w:bookmarkStart w:id="5" w:name="PsakDin" w:colFirst="0" w:colLast="0"/>
            <w:bookmarkEnd w:id="0"/>
            <w:r w:rsidRPr="00032DF4">
              <w:rPr>
                <w:rFonts w:ascii="David" w:hAnsi="David"/>
                <w:b/>
                <w:bCs/>
                <w:sz w:val="32"/>
                <w:szCs w:val="32"/>
                <w:u w:val="single"/>
                <w:rtl/>
              </w:rPr>
              <w:t>גזר דין</w:t>
            </w:r>
          </w:p>
          <w:p w14:paraId="330D8845" w14:textId="77777777" w:rsidR="00916BA0" w:rsidRPr="00032DF4" w:rsidRDefault="00916BA0" w:rsidP="00032DF4">
            <w:pPr>
              <w:jc w:val="center"/>
              <w:rPr>
                <w:rFonts w:ascii="David" w:hAnsi="David"/>
                <w:bCs/>
                <w:sz w:val="32"/>
                <w:szCs w:val="32"/>
                <w:u w:val="single"/>
                <w:rtl/>
              </w:rPr>
            </w:pPr>
          </w:p>
        </w:tc>
      </w:tr>
      <w:bookmarkEnd w:id="5"/>
    </w:tbl>
    <w:p w14:paraId="6DAFDA5E" w14:textId="77777777" w:rsidR="00916BA0" w:rsidRPr="000F2247" w:rsidRDefault="00916BA0" w:rsidP="00916BA0">
      <w:pPr>
        <w:rPr>
          <w:rFonts w:ascii="Arial" w:hAnsi="Arial"/>
          <w:b/>
          <w:bCs/>
          <w:sz w:val="26"/>
          <w:szCs w:val="26"/>
          <w:rtl/>
        </w:rPr>
      </w:pPr>
    </w:p>
    <w:p w14:paraId="0E592D88" w14:textId="77777777" w:rsidR="00916BA0" w:rsidRDefault="00916BA0" w:rsidP="00916BA0">
      <w:pPr>
        <w:spacing w:line="360" w:lineRule="auto"/>
        <w:jc w:val="both"/>
        <w:rPr>
          <w:rFonts w:ascii="David" w:hAnsi="David"/>
          <w:b/>
          <w:bCs/>
          <w:u w:val="single"/>
        </w:rPr>
      </w:pPr>
      <w:r>
        <w:rPr>
          <w:rFonts w:ascii="David" w:hAnsi="David"/>
          <w:b/>
          <w:bCs/>
          <w:u w:val="single"/>
          <w:rtl/>
        </w:rPr>
        <w:t>רקע:</w:t>
      </w:r>
    </w:p>
    <w:p w14:paraId="0E3464BE" w14:textId="77777777" w:rsidR="00916BA0" w:rsidRDefault="00916BA0" w:rsidP="00916BA0">
      <w:pPr>
        <w:spacing w:line="360" w:lineRule="auto"/>
        <w:jc w:val="both"/>
        <w:rPr>
          <w:rFonts w:ascii="David" w:hAnsi="David"/>
          <w:b/>
          <w:bCs/>
          <w:u w:val="single"/>
          <w:rtl/>
        </w:rPr>
      </w:pPr>
    </w:p>
    <w:p w14:paraId="0B09988E" w14:textId="77777777" w:rsidR="00916BA0" w:rsidRDefault="00916BA0" w:rsidP="00916BA0">
      <w:pPr>
        <w:pStyle w:val="aa"/>
        <w:numPr>
          <w:ilvl w:val="0"/>
          <w:numId w:val="1"/>
        </w:numPr>
        <w:spacing w:after="0" w:line="360" w:lineRule="auto"/>
        <w:jc w:val="both"/>
        <w:rPr>
          <w:rFonts w:ascii="David" w:hAnsi="David" w:cs="David"/>
          <w:b/>
          <w:bCs/>
          <w:sz w:val="24"/>
          <w:szCs w:val="24"/>
          <w:rtl/>
        </w:rPr>
      </w:pPr>
      <w:bookmarkStart w:id="6" w:name="ABSTRACT_START"/>
      <w:bookmarkEnd w:id="6"/>
      <w:r>
        <w:rPr>
          <w:rFonts w:ascii="David" w:hAnsi="David" w:cs="David"/>
          <w:sz w:val="24"/>
          <w:szCs w:val="24"/>
          <w:rtl/>
        </w:rPr>
        <w:t>ביום 24.10.22 הורשע הנאשם,</w:t>
      </w:r>
      <w:r>
        <w:rPr>
          <w:rFonts w:ascii="David" w:hAnsi="David" w:cs="David"/>
          <w:b/>
          <w:bCs/>
          <w:sz w:val="24"/>
          <w:szCs w:val="24"/>
          <w:rtl/>
        </w:rPr>
        <w:t xml:space="preserve"> </w:t>
      </w:r>
      <w:r>
        <w:rPr>
          <w:rFonts w:ascii="David" w:hAnsi="David" w:cs="David"/>
          <w:sz w:val="24"/>
          <w:szCs w:val="24"/>
          <w:rtl/>
        </w:rPr>
        <w:t xml:space="preserve">על-פי הודאתו, במסגרת הסדר טיעון בכתב אישום מתוקן בעבירה של </w:t>
      </w:r>
      <w:r>
        <w:rPr>
          <w:rFonts w:ascii="David" w:hAnsi="David" w:cs="David"/>
          <w:b/>
          <w:bCs/>
          <w:sz w:val="24"/>
          <w:szCs w:val="24"/>
          <w:rtl/>
        </w:rPr>
        <w:t>החזקת נשק</w:t>
      </w:r>
      <w:r>
        <w:rPr>
          <w:rFonts w:ascii="David" w:hAnsi="David" w:cs="David"/>
          <w:sz w:val="24"/>
          <w:szCs w:val="24"/>
          <w:rtl/>
        </w:rPr>
        <w:t xml:space="preserve">, לפי סעיף </w:t>
      </w:r>
      <w:hyperlink r:id="rId10" w:history="1">
        <w:r w:rsidR="00FD58CA" w:rsidRPr="00FD58CA">
          <w:rPr>
            <w:rStyle w:val="Hyperlink"/>
            <w:rFonts w:ascii="David" w:hAnsi="David" w:cs="David"/>
            <w:sz w:val="24"/>
            <w:szCs w:val="24"/>
            <w:rtl/>
          </w:rPr>
          <w:t>144 (א)</w:t>
        </w:r>
      </w:hyperlink>
      <w:r>
        <w:rPr>
          <w:rFonts w:ascii="David" w:hAnsi="David" w:cs="David"/>
          <w:sz w:val="24"/>
          <w:szCs w:val="24"/>
          <w:rtl/>
        </w:rPr>
        <w:t xml:space="preserve"> רישא ל</w:t>
      </w:r>
      <w:hyperlink r:id="rId11" w:history="1">
        <w:r w:rsidR="00032DF4" w:rsidRPr="00032DF4">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''החוק'').</w:t>
      </w:r>
    </w:p>
    <w:p w14:paraId="0A2E36A9" w14:textId="77777777" w:rsidR="00916BA0" w:rsidRDefault="00916BA0" w:rsidP="00916BA0">
      <w:pPr>
        <w:pStyle w:val="aa"/>
        <w:spacing w:after="0" w:line="360" w:lineRule="auto"/>
        <w:ind w:left="360"/>
        <w:jc w:val="both"/>
        <w:rPr>
          <w:rFonts w:ascii="David" w:hAnsi="David" w:cs="David"/>
          <w:sz w:val="24"/>
          <w:szCs w:val="24"/>
        </w:rPr>
      </w:pPr>
      <w:bookmarkStart w:id="7" w:name="ABSTRACT_END"/>
      <w:bookmarkEnd w:id="7"/>
    </w:p>
    <w:p w14:paraId="29F3B847" w14:textId="77777777" w:rsidR="00916BA0" w:rsidRDefault="00916BA0" w:rsidP="00916BA0">
      <w:pPr>
        <w:pStyle w:val="aa"/>
        <w:spacing w:after="0" w:line="360" w:lineRule="auto"/>
        <w:ind w:left="360"/>
        <w:jc w:val="both"/>
        <w:rPr>
          <w:rFonts w:ascii="David" w:hAnsi="David" w:cs="David"/>
          <w:b/>
          <w:bCs/>
          <w:sz w:val="24"/>
          <w:szCs w:val="24"/>
          <w:rtl/>
        </w:rPr>
      </w:pPr>
      <w:r>
        <w:rPr>
          <w:rFonts w:ascii="David" w:hAnsi="David" w:cs="David"/>
          <w:sz w:val="24"/>
          <w:szCs w:val="24"/>
          <w:rtl/>
        </w:rPr>
        <w:t xml:space="preserve">על פי עובדות כתב האישום המתוקן בתאריך 17.02.22 בסמוך לשעה 14:30, החזיק הנאשם בחצר ביתו ברהט, בנשק דמוי רובע סער </w:t>
      </w:r>
      <w:r>
        <w:rPr>
          <w:rFonts w:ascii="David" w:hAnsi="David" w:cs="David"/>
          <w:sz w:val="24"/>
          <w:szCs w:val="24"/>
        </w:rPr>
        <w:t>M – 16</w:t>
      </w:r>
      <w:r>
        <w:rPr>
          <w:rFonts w:ascii="David" w:hAnsi="David" w:cs="David"/>
          <w:sz w:val="24"/>
          <w:szCs w:val="24"/>
          <w:rtl/>
        </w:rPr>
        <w:t xml:space="preserve">, אשר יורה ובכוחו להמית, כשהוא מונח בתוך תיק ועטוף בניילון נצמד שהוחבא בערימת שמיכות. </w:t>
      </w:r>
    </w:p>
    <w:p w14:paraId="05F14F31" w14:textId="77777777" w:rsidR="00916BA0" w:rsidRDefault="00916BA0" w:rsidP="00916BA0">
      <w:pPr>
        <w:spacing w:line="360" w:lineRule="auto"/>
        <w:jc w:val="both"/>
        <w:rPr>
          <w:rFonts w:ascii="David" w:hAnsi="David"/>
          <w:b/>
          <w:bCs/>
          <w:rtl/>
        </w:rPr>
      </w:pPr>
    </w:p>
    <w:p w14:paraId="1577C4A6" w14:textId="77777777" w:rsidR="00916BA0" w:rsidRDefault="00916BA0" w:rsidP="00916BA0">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lastRenderedPageBreak/>
        <w:t>הצדדים לא הגיעו להסכמות לעונש אך המאשימה לא התנגדה לעתירת ההגנה להפנות את הנאשם לקבלת תסקיר שירות המבחן.</w:t>
      </w:r>
    </w:p>
    <w:p w14:paraId="2EBFD079" w14:textId="77777777" w:rsidR="00916BA0" w:rsidRDefault="00916BA0" w:rsidP="00916BA0">
      <w:pPr>
        <w:pStyle w:val="aa"/>
        <w:spacing w:line="360" w:lineRule="auto"/>
        <w:ind w:left="360"/>
        <w:jc w:val="both"/>
        <w:rPr>
          <w:rFonts w:ascii="David" w:hAnsi="David" w:cs="David"/>
          <w:sz w:val="24"/>
          <w:szCs w:val="24"/>
        </w:rPr>
      </w:pPr>
    </w:p>
    <w:p w14:paraId="0FAD8654"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בתסקיר שהוגש בתאריך </w:t>
      </w:r>
      <w:r>
        <w:rPr>
          <w:rFonts w:ascii="David" w:hAnsi="David" w:cs="David"/>
          <w:b/>
          <w:bCs/>
          <w:sz w:val="24"/>
          <w:szCs w:val="24"/>
          <w:rtl/>
        </w:rPr>
        <w:t xml:space="preserve">20.2.23 </w:t>
      </w:r>
      <w:r>
        <w:rPr>
          <w:rFonts w:ascii="David" w:hAnsi="David" w:cs="David"/>
          <w:sz w:val="24"/>
          <w:szCs w:val="24"/>
          <w:rtl/>
        </w:rPr>
        <w:t xml:space="preserve">המליץ שירות המבחן על הטלת מאסר קצר לריצוי בעבודות שירות. על פי התסקיר, הנאשם אלמן ואב לשבעה ילדים בטווח הגילאים 9-19, אינו עובד בשל מצב רפואי מורכב. </w:t>
      </w:r>
    </w:p>
    <w:p w14:paraId="0F070C3A"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הנאשם יליד חברון, נישא לתושבת ירושלים לפני כעשרים שנה ומספר שנים לאחר מכן עברו להתגורר ברהט, לדבריו בשל חוסר הסדר ואי היציבות ששררו אז. הנאשם שלל בעיות אישיות או משפחתיות ברקע למעבר. תיאר קשר רחוק עם בני משפחתו. </w:t>
      </w:r>
    </w:p>
    <w:p w14:paraId="1C6CBA08"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אשתו נפטרה לפני כשנה ממחלה והנאשם שיתף בתחושות האבל והאובדן עד היום. </w:t>
      </w:r>
    </w:p>
    <w:p w14:paraId="122977C9"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תואר רקע של חוסר יציבות תעסוקתית גם בעבר.</w:t>
      </w:r>
    </w:p>
    <w:p w14:paraId="5BE51A4E" w14:textId="77777777" w:rsidR="00916BA0" w:rsidRDefault="00916BA0" w:rsidP="00916BA0">
      <w:pPr>
        <w:pStyle w:val="aa"/>
        <w:spacing w:line="360" w:lineRule="auto"/>
        <w:ind w:left="360"/>
        <w:jc w:val="both"/>
        <w:rPr>
          <w:rFonts w:ascii="David" w:hAnsi="David" w:cs="David"/>
          <w:b/>
          <w:bCs/>
          <w:sz w:val="24"/>
          <w:szCs w:val="24"/>
          <w:rtl/>
        </w:rPr>
      </w:pPr>
      <w:r>
        <w:rPr>
          <w:rFonts w:ascii="David" w:hAnsi="David" w:cs="David"/>
          <w:sz w:val="24"/>
          <w:szCs w:val="24"/>
          <w:rtl/>
        </w:rPr>
        <w:t>ממידע שהתקבל מגורמי הרווחה נמסר כי המשפחה מוכרת על רקע בעיות סוציאליות קשות. מגורמי הרווחה נמסר כי הנאשם תושב שטחים שנטש את המשפחה לפני מספר שנים וחזר להתגורר עמה לאחר פטירת אשתו. הנאשם עצמו הכחיש את הדברים וטען כי דאג לאשתו וסעד אותה בתקופת מחלתה אך מבירור חוזר עם גורמי הרווחה עמדו על עובדות אלה וציינו כי רק מאז פטירת אשתו הנאשם נוכח בבית, עורך מאמצים לדאוג לילדיו, ומצוי בקשר עם גורמי הרווחה.</w:t>
      </w:r>
    </w:p>
    <w:p w14:paraId="7F2F1CB1"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הנאשם מודה חלקית בביצוע העבירה. הנאשם מודה בהימצאות הנשק בחצר אך שולל כל קשר לנשק, או מודעות לכך. להערכתו מי משכניו המצויים בסכסוך ביניהם שהוא אינו קשור בו הסתיר את הנשק בחצר ללא ידיעתו. לטענתו, נוצל לרעה בשל היעדר קשרים תומכים בקהילה ומאחר שאינו מעורב בפלילים. הנאשם שלל סכסוכים ועמד על כך שלו ידע על הימצאות הנשק היה פונה למשטרה.</w:t>
      </w:r>
    </w:p>
    <w:p w14:paraId="4D6CA3E4"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הנאשם מוכר לשירות המבחן מצו פיקוח מעצרים בתיק זה. שלל נזקקות טיפולית. </w:t>
      </w:r>
    </w:p>
    <w:p w14:paraId="5BD849C1"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שירות המבחן התרשם ממחויבות למשפחתו, מתפיסתו את נוכחותו בבית כחיונית ומהתמודדות משברית. עם מצבו הרפואי והאבל. שירות המבחן התרשם מפער בין האופן בו מציג את עצמו ובין חומרת העבירה בה הורשע. הנאשם לא נרתם לתהליך התבוננות פנימית וביקורת עצמית והרושם הוא לנטייה להסתיר ולטשטש חלקים בעייתיים בחייו ובהתנהלותו בפן האישי. </w:t>
      </w:r>
    </w:p>
    <w:p w14:paraId="1392487C" w14:textId="77777777" w:rsidR="00916BA0" w:rsidRDefault="00916BA0" w:rsidP="00916BA0">
      <w:pPr>
        <w:spacing w:line="360" w:lineRule="auto"/>
        <w:jc w:val="both"/>
        <w:rPr>
          <w:rFonts w:ascii="David" w:hAnsi="David"/>
          <w:b/>
          <w:bCs/>
          <w:u w:val="single"/>
          <w:rtl/>
        </w:rPr>
      </w:pPr>
    </w:p>
    <w:p w14:paraId="6DF36894" w14:textId="77777777" w:rsidR="00916BA0" w:rsidRDefault="00916BA0" w:rsidP="00916BA0">
      <w:pPr>
        <w:spacing w:line="360" w:lineRule="auto"/>
        <w:jc w:val="both"/>
        <w:rPr>
          <w:rFonts w:ascii="David" w:hAnsi="David"/>
          <w:b/>
          <w:bCs/>
          <w:u w:val="single"/>
          <w:rtl/>
        </w:rPr>
      </w:pPr>
      <w:r>
        <w:rPr>
          <w:rFonts w:ascii="David" w:hAnsi="David"/>
          <w:b/>
          <w:bCs/>
          <w:u w:val="single"/>
          <w:rtl/>
        </w:rPr>
        <w:t>טענות הצדדים</w:t>
      </w:r>
    </w:p>
    <w:p w14:paraId="2DFFE410" w14:textId="77777777" w:rsidR="00916BA0" w:rsidRDefault="00916BA0" w:rsidP="00916BA0">
      <w:pPr>
        <w:spacing w:line="360" w:lineRule="auto"/>
        <w:jc w:val="both"/>
        <w:rPr>
          <w:rFonts w:ascii="David" w:hAnsi="David"/>
          <w:b/>
          <w:bCs/>
          <w:u w:val="single"/>
          <w:rtl/>
        </w:rPr>
      </w:pPr>
    </w:p>
    <w:p w14:paraId="4CDCFBAD" w14:textId="77777777" w:rsidR="00916BA0" w:rsidRDefault="00916BA0" w:rsidP="00916BA0">
      <w:pPr>
        <w:pStyle w:val="aa"/>
        <w:numPr>
          <w:ilvl w:val="0"/>
          <w:numId w:val="1"/>
        </w:numPr>
        <w:spacing w:line="360" w:lineRule="auto"/>
        <w:jc w:val="both"/>
        <w:rPr>
          <w:rFonts w:ascii="David" w:hAnsi="David" w:cs="David"/>
          <w:sz w:val="24"/>
          <w:szCs w:val="24"/>
          <w:rtl/>
        </w:rPr>
      </w:pPr>
      <w:r>
        <w:rPr>
          <w:rFonts w:ascii="David" w:hAnsi="David" w:cs="David"/>
          <w:sz w:val="24"/>
          <w:szCs w:val="24"/>
          <w:rtl/>
        </w:rPr>
        <w:t>בפתח הדיון שנקבע לטיעון לעונש עתרה ב"כ הנאשם לדחייה ולשלב את הנאשם בהליך טיפולי. בשיח שקיים בית המשפט עם הנאשם עצמו, הנאשם הבהיר כי חרף האמור בתסקיר הוא מודה בביצוע העבירה. כן התרשם בית המשפט מהשיח שאין מקום להתערב בקביעה שבתסקיר לגבי היעדר המלצה טיפולית או שיקומית.</w:t>
      </w:r>
    </w:p>
    <w:p w14:paraId="54AFE8B9" w14:textId="77777777" w:rsidR="00916BA0" w:rsidRDefault="00916BA0" w:rsidP="00916BA0">
      <w:pPr>
        <w:pStyle w:val="aa"/>
        <w:numPr>
          <w:ilvl w:val="0"/>
          <w:numId w:val="1"/>
        </w:numPr>
        <w:spacing w:line="360" w:lineRule="auto"/>
        <w:jc w:val="both"/>
        <w:rPr>
          <w:rFonts w:ascii="David" w:hAnsi="David" w:cs="David"/>
          <w:b/>
          <w:bCs/>
          <w:sz w:val="24"/>
          <w:szCs w:val="24"/>
          <w:rtl/>
        </w:rPr>
      </w:pPr>
      <w:r>
        <w:rPr>
          <w:rFonts w:ascii="David" w:hAnsi="David" w:cs="David"/>
          <w:b/>
          <w:bCs/>
          <w:sz w:val="24"/>
          <w:szCs w:val="24"/>
          <w:rtl/>
        </w:rPr>
        <w:lastRenderedPageBreak/>
        <w:t xml:space="preserve">המאשימה </w:t>
      </w:r>
      <w:r>
        <w:rPr>
          <w:rFonts w:ascii="David" w:hAnsi="David" w:cs="David"/>
          <w:sz w:val="24"/>
          <w:szCs w:val="24"/>
          <w:rtl/>
        </w:rPr>
        <w:t>הגישה טיעון לעונש בכתב וכן אסופת פסיקה. המדינה הפנתה לערכים המוגנים שביסוד עבירות הנשק ועמדה על הצורך בהחמרה בעבירות אלה. בהתאם למדיניות הענישה הנוהגת עתרה למתחם ענישה של 24-48 חודשי מאסר ולמקם את הנאשם במרכז המתחם משיקולי הרתעת הרבים ובשל אי לקיחת אחריות כאמור בתסקיר.</w:t>
      </w:r>
    </w:p>
    <w:p w14:paraId="7B7FE8FB" w14:textId="77777777" w:rsidR="00916BA0" w:rsidRDefault="00916BA0" w:rsidP="00916BA0">
      <w:pPr>
        <w:pStyle w:val="aa"/>
        <w:spacing w:line="360" w:lineRule="auto"/>
        <w:ind w:left="360"/>
        <w:jc w:val="both"/>
        <w:rPr>
          <w:rFonts w:ascii="David" w:hAnsi="David" w:cs="David"/>
          <w:sz w:val="24"/>
          <w:szCs w:val="24"/>
        </w:rPr>
      </w:pPr>
      <w:r>
        <w:rPr>
          <w:rFonts w:ascii="David" w:hAnsi="David" w:cs="David"/>
          <w:sz w:val="24"/>
          <w:szCs w:val="24"/>
          <w:rtl/>
        </w:rPr>
        <w:t>המאשימה עמדה על כך, שהיעדר רישום פלילי אינו חריג בנוף עבירות אלה.</w:t>
      </w:r>
    </w:p>
    <w:p w14:paraId="7519D4F9"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לעניין המצב הרפואי המאשימה עמדה על כך שהמצב הרפואי אינו מצדיק סטייה מהמתחם. </w:t>
      </w:r>
    </w:p>
    <w:p w14:paraId="7B0C54F5" w14:textId="77777777" w:rsidR="00916BA0" w:rsidRDefault="00916BA0" w:rsidP="00916BA0">
      <w:pPr>
        <w:pStyle w:val="aa"/>
        <w:spacing w:line="360" w:lineRule="auto"/>
        <w:ind w:left="360"/>
        <w:jc w:val="both"/>
        <w:rPr>
          <w:rFonts w:ascii="David" w:hAnsi="David" w:cs="David"/>
          <w:sz w:val="24"/>
          <w:szCs w:val="24"/>
          <w:rtl/>
        </w:rPr>
      </w:pPr>
    </w:p>
    <w:p w14:paraId="232428A0" w14:textId="77777777" w:rsidR="00916BA0" w:rsidRDefault="00916BA0" w:rsidP="00916BA0">
      <w:pPr>
        <w:pStyle w:val="aa"/>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ב"כ הנאשם </w:t>
      </w:r>
      <w:r>
        <w:rPr>
          <w:rFonts w:ascii="David" w:hAnsi="David" w:cs="David"/>
          <w:sz w:val="24"/>
          <w:szCs w:val="24"/>
          <w:rtl/>
        </w:rPr>
        <w:t xml:space="preserve">טענה כי מנעד הענישה בעבירות נשק רחב ועתרה להסתפק במקרה זה בהטלת מאסר לריצוי בעבודות שירות, ולו ברף הגבוה של תשעה חודשים, לאור המצב האישי של הנאשם, היעדר הרשעות קודמות וההשפעה על משפחתו וילדיו שהוא האפוטרופוס שלהם מאז פטירת אשתו (נ/1).  הוגשו מסמכים לגבי שני הילידים הקטינים (נ/2) ונטען, כי אין מי שיוכל לטפל בהם. הוגשו מסמכים רפואיים (נ/3). לאור נתונים אלה, עתרה ההגנה לסטות ממתחם העונש ההולם במקרה זה. </w:t>
      </w:r>
    </w:p>
    <w:p w14:paraId="3D375213" w14:textId="77777777" w:rsidR="00916BA0" w:rsidRDefault="00916BA0" w:rsidP="00916BA0">
      <w:pPr>
        <w:pStyle w:val="aa"/>
        <w:spacing w:line="360" w:lineRule="auto"/>
        <w:ind w:left="360"/>
        <w:jc w:val="both"/>
        <w:rPr>
          <w:rFonts w:ascii="David" w:hAnsi="David" w:cs="David"/>
          <w:sz w:val="24"/>
          <w:szCs w:val="24"/>
        </w:rPr>
      </w:pPr>
      <w:r>
        <w:rPr>
          <w:rFonts w:ascii="David" w:hAnsi="David" w:cs="David"/>
          <w:sz w:val="24"/>
          <w:szCs w:val="24"/>
          <w:rtl/>
        </w:rPr>
        <w:t xml:space="preserve">ההגנה הפנתה להודאת הנאשם והחיסכון הנלווה בזמן השיפוטי. בפני בית המשפט הנאשם חזר על הודאתו ונטל אחריות באופן מלא. </w:t>
      </w:r>
    </w:p>
    <w:p w14:paraId="0E54757A"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ההגנה הפנתה לאסמכתאות לפיהן נקבעו מתחמי ענישה והוטלו עונשים כפי שהמדינה תואמת, במקרים חמורים יותר מזה. </w:t>
      </w:r>
    </w:p>
    <w:p w14:paraId="592B833D" w14:textId="77777777" w:rsidR="00916BA0" w:rsidRDefault="00916BA0" w:rsidP="00916BA0">
      <w:pPr>
        <w:spacing w:line="360" w:lineRule="auto"/>
        <w:jc w:val="both"/>
        <w:rPr>
          <w:rFonts w:ascii="David" w:hAnsi="David"/>
          <w:rtl/>
        </w:rPr>
      </w:pPr>
    </w:p>
    <w:p w14:paraId="7556A4A8" w14:textId="77777777" w:rsidR="00916BA0" w:rsidRDefault="00916BA0" w:rsidP="00916BA0">
      <w:pPr>
        <w:spacing w:line="360" w:lineRule="auto"/>
        <w:jc w:val="both"/>
        <w:rPr>
          <w:rFonts w:ascii="David" w:hAnsi="David"/>
          <w:b/>
          <w:bCs/>
          <w:u w:val="single"/>
          <w:rtl/>
        </w:rPr>
      </w:pPr>
      <w:r>
        <w:rPr>
          <w:rFonts w:ascii="David" w:hAnsi="David"/>
          <w:b/>
          <w:bCs/>
          <w:u w:val="single"/>
          <w:rtl/>
        </w:rPr>
        <w:t>קביעת מתחם העונש ההולם:</w:t>
      </w:r>
    </w:p>
    <w:p w14:paraId="17F7B7A5" w14:textId="77777777" w:rsidR="00916BA0" w:rsidRDefault="00916BA0" w:rsidP="00916BA0">
      <w:pPr>
        <w:spacing w:line="360" w:lineRule="auto"/>
        <w:jc w:val="both"/>
        <w:rPr>
          <w:rFonts w:ascii="David" w:hAnsi="David"/>
          <w:b/>
          <w:bCs/>
          <w:u w:val="single"/>
          <w:rtl/>
        </w:rPr>
      </w:pPr>
    </w:p>
    <w:p w14:paraId="154CFD1A" w14:textId="77777777" w:rsidR="00916BA0" w:rsidRDefault="00916BA0" w:rsidP="00916BA0">
      <w:pPr>
        <w:pStyle w:val="aa"/>
        <w:numPr>
          <w:ilvl w:val="0"/>
          <w:numId w:val="1"/>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45967ED9" w14:textId="77777777" w:rsidR="00916BA0" w:rsidRDefault="00916BA0" w:rsidP="00916BA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בתי המשפט בערכאות השונות חוזרים ומתריעים מפני החומרה היתרה שיש בהחזקת נשק בלתי חוקית. עבירות אלה, טומנות בחובן סכנה חמורה, ברורה ומיידית לפגיעות קשות בגוף, ברכוש, בנפש, בסדר הציבורי ובמשילות.  </w:t>
      </w:r>
    </w:p>
    <w:p w14:paraId="398D31B6"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אכן, ריבוי המקרים המובאים בפני בתי המשפט בעבירות נשק מלמד כי מדובר בשעת חירום של ממש. כלי נשק, שהחזקתם בעבר היתה מנת חלקם של עבריינים 'מקצוענים' ושל חברים בארגוני פשיעה, מוחזקים כיום על ידי אזרחים 'מהשורה', תדיר ללא הרשעות קודמות. </w:t>
      </w:r>
    </w:p>
    <w:p w14:paraId="78B8D5A6"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נפיצות התופעה מלמדת על הקלות שבביצוע העבירות אל מול סיכויי ההיתפסות ועל היעדר הרתעה מספקת. במשימה זו, שעניינה שמירה על חיי אדם במובן הפשוט והבסיסי ביותר, בתי המשפט מחויבים לתרום את תרומתם.</w:t>
      </w:r>
    </w:p>
    <w:p w14:paraId="65E94CE5"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המציאות היום יומית מלמדת, כי בכלי הנשק ובאמצעי הלחימה הרבים המציפים את מחוז הדרום נעשה שימוש לעיתים קרובות ומזומנות לא רק במסגרת "סכסוכי עבריינים". במסגרת אירוע ירי מתוכננים או מזדמנים, כמעט כדבר שבשגרה, נפגעים לא אחת אזרחים תמימים וחפים מפשע, אף קטינים ולעיתים גם תינוקות, גם הם ללא עבר פלילי ו"נורמטיביים".  המציאות היא, שכלל האוכלוסייה היא בבחינת קורבן פוטנציאלי לנזקי עבירות הנשק. בנוסף, עצם החזקת כלי נשק בבתים ומחוצה להם, במקומות פרוצים ונגישים לכל, גם אם לא נעשה בהם שימוש, מהווה גורם מסכן משמעותי ברחובות הערים ובשטחים הפתוחים.</w:t>
      </w:r>
    </w:p>
    <w:p w14:paraId="4237D651" w14:textId="77777777" w:rsidR="00916BA0" w:rsidRDefault="00916BA0" w:rsidP="00916BA0">
      <w:pPr>
        <w:pStyle w:val="aa"/>
        <w:spacing w:line="360" w:lineRule="auto"/>
        <w:ind w:left="360"/>
        <w:jc w:val="both"/>
        <w:rPr>
          <w:rFonts w:ascii="David" w:hAnsi="David" w:cs="David"/>
          <w:sz w:val="24"/>
          <w:szCs w:val="24"/>
          <w:rtl/>
        </w:rPr>
      </w:pPr>
    </w:p>
    <w:p w14:paraId="7325B531" w14:textId="77777777" w:rsidR="00916BA0" w:rsidRDefault="00916BA0" w:rsidP="00916BA0">
      <w:pPr>
        <w:pStyle w:val="aa"/>
        <w:numPr>
          <w:ilvl w:val="0"/>
          <w:numId w:val="1"/>
        </w:numPr>
        <w:spacing w:line="360" w:lineRule="auto"/>
        <w:jc w:val="both"/>
        <w:rPr>
          <w:rFonts w:ascii="David" w:hAnsi="David" w:cs="David"/>
          <w:sz w:val="24"/>
          <w:szCs w:val="24"/>
          <w:rtl/>
        </w:rPr>
      </w:pPr>
      <w:r>
        <w:rPr>
          <w:rFonts w:ascii="David" w:hAnsi="David" w:cs="David"/>
          <w:sz w:val="24"/>
          <w:szCs w:val="24"/>
          <w:rtl/>
        </w:rPr>
        <w:t>מידת הפגיעה בערכים המוגנים במקרה זה איננה מבוטלת ולא ניתן להמעיט ממעשי הנאשם. הנאשם החזיק ברובה סער דמוי 16</w:t>
      </w:r>
      <w:r>
        <w:rPr>
          <w:rFonts w:ascii="David" w:hAnsi="David" w:cs="David"/>
          <w:sz w:val="24"/>
          <w:szCs w:val="24"/>
        </w:rPr>
        <w:t>M</w:t>
      </w:r>
      <w:r>
        <w:rPr>
          <w:rFonts w:ascii="David" w:hAnsi="David" w:cs="David"/>
          <w:sz w:val="24"/>
          <w:szCs w:val="24"/>
          <w:rtl/>
        </w:rPr>
        <w:t xml:space="preserve"> עטוף ומוחבא בחצר ביתו. כאמור, הפקרת כלי נשק בחצרות ובמרחבים פתוחים הפכה גם היא לתופעה נפוצה, ובכך נודעת חומרה נוספת בשל הוויתור המודע על השליטה בכלי הנשק, התפרקות מאחריות לשמירה קפדנית עליו והאפשרות לתאונות חמורות עקב כך, או שיתגלגל לידיים לא רצויות. </w:t>
      </w:r>
    </w:p>
    <w:p w14:paraId="08A51BDB" w14:textId="77777777" w:rsidR="00916BA0" w:rsidRDefault="00916BA0" w:rsidP="00916BA0">
      <w:pPr>
        <w:spacing w:line="360" w:lineRule="auto"/>
        <w:jc w:val="both"/>
        <w:rPr>
          <w:rFonts w:ascii="David" w:hAnsi="David"/>
        </w:rPr>
      </w:pPr>
    </w:p>
    <w:p w14:paraId="412A4832" w14:textId="77777777" w:rsidR="00916BA0" w:rsidRDefault="00916BA0" w:rsidP="00916BA0">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בחינת מדיניות הענישה</w:t>
      </w:r>
      <w:r>
        <w:rPr>
          <w:rFonts w:ascii="David" w:hAnsi="David" w:cs="David"/>
          <w:sz w:val="24"/>
          <w:szCs w:val="24"/>
          <w:rtl/>
        </w:rPr>
        <w:t xml:space="preserve"> הנוהגת מלמדת, על פסיקה עקבית של בתי המשפט של הטלת עונשי מאסר לריצוי בפועל משמעותיים בעבירות מעין אלה, גם במקרים בהם מתקיימים שיקולים כאלה ואחרים לקולא ואף במקרים בהם קיימת סטייה ממתחם העונש ההולם, הסטייה ככלל אינה מגעת כדי הימנעות מהטלת מאסר.</w:t>
      </w:r>
    </w:p>
    <w:p w14:paraId="0E208361" w14:textId="77777777" w:rsidR="00916BA0" w:rsidRDefault="00916BA0" w:rsidP="00916BA0">
      <w:pPr>
        <w:pStyle w:val="aa"/>
        <w:jc w:val="both"/>
        <w:rPr>
          <w:rFonts w:ascii="David" w:hAnsi="David" w:cs="David"/>
          <w:sz w:val="24"/>
          <w:szCs w:val="24"/>
        </w:rPr>
      </w:pPr>
    </w:p>
    <w:p w14:paraId="105CD238"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במובן זה, אין למעשה מחלוקת כי המלצת שירות המבחן מצויה בפער ניכר למדיניות הענישה.</w:t>
      </w:r>
    </w:p>
    <w:p w14:paraId="53F967BD" w14:textId="77777777" w:rsidR="00916BA0" w:rsidRDefault="00916BA0" w:rsidP="00916BA0">
      <w:pPr>
        <w:pStyle w:val="aa"/>
        <w:spacing w:line="360" w:lineRule="auto"/>
        <w:ind w:left="360"/>
        <w:jc w:val="both"/>
        <w:rPr>
          <w:rFonts w:ascii="David" w:hAnsi="David" w:cs="David"/>
          <w:sz w:val="24"/>
          <w:szCs w:val="24"/>
          <w:rtl/>
        </w:rPr>
      </w:pPr>
    </w:p>
    <w:p w14:paraId="220D9CBF"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המאשימה הפנתה לעונשים שהוטלו במקרים דומים של החזקת רובה סעד מסוג 16</w:t>
      </w:r>
      <w:r>
        <w:rPr>
          <w:rFonts w:ascii="David" w:hAnsi="David" w:cs="David"/>
          <w:sz w:val="24"/>
          <w:szCs w:val="24"/>
        </w:rPr>
        <w:t>M</w:t>
      </w:r>
      <w:r>
        <w:rPr>
          <w:rFonts w:ascii="David" w:hAnsi="David" w:cs="David"/>
          <w:sz w:val="24"/>
          <w:szCs w:val="24"/>
          <w:rtl/>
        </w:rPr>
        <w:t xml:space="preserve"> או דמוי לו וכן לפסיקה מנחה של ערכאות ערעור במקרים דומים. גם האסמכתאות אליהן הפנתה ההגנה תומכות בקביעת מתחם ענישה מחמיר.</w:t>
      </w:r>
    </w:p>
    <w:p w14:paraId="7F43121E" w14:textId="77777777" w:rsidR="00916BA0" w:rsidRDefault="00916BA0" w:rsidP="00916BA0">
      <w:pPr>
        <w:pStyle w:val="aa"/>
        <w:spacing w:line="360" w:lineRule="auto"/>
        <w:ind w:left="360"/>
        <w:jc w:val="both"/>
        <w:rPr>
          <w:rFonts w:ascii="David" w:hAnsi="David" w:cs="David"/>
          <w:sz w:val="24"/>
          <w:szCs w:val="24"/>
          <w:rtl/>
        </w:rPr>
      </w:pPr>
    </w:p>
    <w:p w14:paraId="4B1AF4B8"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בשים לב לפסקי הדין הללו יש לקבוע, כי מתחם העונש ההולם במקרה של החזקת רובה סער בודד, בנסיבות דומות, קרי ללא עבירות נלוות נוספות, ללא החזקת תחמושת נלווית ובנסיבות החזקה שלא ניתן ללמוד מהן על כוונת שימוש מיידית או נסיבות מחמירות נוספות, הינו </w:t>
      </w:r>
      <w:r>
        <w:rPr>
          <w:rFonts w:ascii="David" w:hAnsi="David" w:cs="David"/>
          <w:b/>
          <w:bCs/>
          <w:sz w:val="24"/>
          <w:szCs w:val="24"/>
          <w:rtl/>
        </w:rPr>
        <w:t xml:space="preserve">18-36 </w:t>
      </w:r>
      <w:r>
        <w:rPr>
          <w:rFonts w:ascii="David" w:hAnsi="David" w:cs="David"/>
          <w:sz w:val="24"/>
          <w:szCs w:val="24"/>
          <w:rtl/>
        </w:rPr>
        <w:t xml:space="preserve">חודשי מאסר בפועל וענישה נלווית. </w:t>
      </w:r>
    </w:p>
    <w:p w14:paraId="642B1F5E" w14:textId="77777777" w:rsidR="00916BA0" w:rsidRDefault="00916BA0" w:rsidP="00916BA0">
      <w:pPr>
        <w:pStyle w:val="aa"/>
        <w:spacing w:line="360" w:lineRule="auto"/>
        <w:ind w:left="360"/>
        <w:jc w:val="both"/>
        <w:rPr>
          <w:rFonts w:ascii="David" w:hAnsi="David" w:cs="David"/>
          <w:sz w:val="24"/>
          <w:szCs w:val="24"/>
          <w:rtl/>
        </w:rPr>
      </w:pPr>
    </w:p>
    <w:p w14:paraId="655F41E5" w14:textId="77777777" w:rsidR="00916BA0" w:rsidRDefault="00916BA0" w:rsidP="00916BA0">
      <w:pPr>
        <w:spacing w:line="360" w:lineRule="auto"/>
        <w:jc w:val="both"/>
        <w:rPr>
          <w:rFonts w:ascii="David" w:hAnsi="David"/>
          <w:b/>
          <w:bCs/>
          <w:u w:val="single"/>
          <w:rtl/>
        </w:rPr>
      </w:pPr>
      <w:r>
        <w:rPr>
          <w:rFonts w:ascii="David" w:hAnsi="David"/>
          <w:b/>
          <w:bCs/>
          <w:u w:val="single"/>
          <w:rtl/>
        </w:rPr>
        <w:t>סטייה ממתחם העונש ההולם</w:t>
      </w:r>
      <w:r>
        <w:rPr>
          <w:rFonts w:ascii="David" w:hAnsi="David"/>
          <w:b/>
          <w:bCs/>
          <w:u w:val="single"/>
        </w:rPr>
        <w:t>:</w:t>
      </w:r>
    </w:p>
    <w:p w14:paraId="126FEBD9" w14:textId="77777777" w:rsidR="00916BA0" w:rsidRDefault="00916BA0" w:rsidP="00916BA0">
      <w:pPr>
        <w:spacing w:line="360" w:lineRule="auto"/>
        <w:jc w:val="both"/>
        <w:rPr>
          <w:rFonts w:ascii="David" w:hAnsi="David"/>
          <w:b/>
          <w:bCs/>
          <w:u w:val="single"/>
          <w:rtl/>
        </w:rPr>
      </w:pPr>
    </w:p>
    <w:p w14:paraId="6AB7AEC2" w14:textId="77777777" w:rsidR="00916BA0" w:rsidRDefault="00916BA0" w:rsidP="00916BA0">
      <w:pPr>
        <w:pStyle w:val="aa"/>
        <w:numPr>
          <w:ilvl w:val="0"/>
          <w:numId w:val="1"/>
        </w:numPr>
        <w:spacing w:line="360" w:lineRule="auto"/>
        <w:jc w:val="both"/>
        <w:rPr>
          <w:rFonts w:ascii="David" w:hAnsi="David" w:cs="David"/>
          <w:sz w:val="24"/>
          <w:szCs w:val="24"/>
        </w:rPr>
      </w:pPr>
      <w:r>
        <w:rPr>
          <w:rFonts w:ascii="David" w:hAnsi="David" w:cs="David"/>
          <w:sz w:val="24"/>
          <w:szCs w:val="24"/>
          <w:rtl/>
        </w:rPr>
        <w:t>טענת ההגנה המרכזית היא, שבשל נסיבות אישיות ובפרא נסיבות רפואיות יש לסטות במקרה זה ממתחם העונש ההולם ולהסתפק בעונש מאסר שירוצה בעבודות שירות.</w:t>
      </w:r>
    </w:p>
    <w:p w14:paraId="23B83AE5" w14:textId="77777777" w:rsidR="00916BA0" w:rsidRDefault="00916BA0" w:rsidP="00916BA0">
      <w:pPr>
        <w:pStyle w:val="aa"/>
        <w:spacing w:line="360" w:lineRule="auto"/>
        <w:ind w:left="360"/>
        <w:jc w:val="both"/>
        <w:rPr>
          <w:rFonts w:ascii="David" w:hAnsi="David" w:cs="David"/>
          <w:sz w:val="24"/>
          <w:szCs w:val="24"/>
        </w:rPr>
      </w:pPr>
    </w:p>
    <w:p w14:paraId="6DB824AD" w14:textId="77777777" w:rsidR="00916BA0" w:rsidRDefault="00916BA0" w:rsidP="00916BA0">
      <w:pPr>
        <w:pStyle w:val="aa"/>
        <w:numPr>
          <w:ilvl w:val="0"/>
          <w:numId w:val="1"/>
        </w:numPr>
        <w:spacing w:line="360" w:lineRule="auto"/>
        <w:jc w:val="both"/>
        <w:rPr>
          <w:rFonts w:ascii="David" w:hAnsi="David" w:cs="David"/>
          <w:sz w:val="24"/>
          <w:szCs w:val="24"/>
        </w:rPr>
      </w:pPr>
      <w:r>
        <w:rPr>
          <w:rFonts w:ascii="David" w:hAnsi="David" w:cs="David"/>
          <w:sz w:val="24"/>
          <w:szCs w:val="24"/>
          <w:rtl/>
        </w:rPr>
        <w:t>לא ניתן להיענות לעתירת ההגנה בעניין זה. מצוות המחוקק היא, כי בית המשפט יסטה ממתחם העונש ההולם משיקולי שיקום בלבד. שיקולים אישיים, לרבות שיקולים רפואיים יישקלו בגדרי המתחם בלבד.</w:t>
      </w:r>
    </w:p>
    <w:p w14:paraId="4C63F79C"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ב"כ הנאשם הפנתה למקרים ספורדיים בהם סטו ערכאות דיוניות ממתחם העונש ההולם משיקולים שונים. לא מצאתי דמיון בינם לבין מקרה זה אך מכל מקום, אין צורך בדיון מעמיק באותם מקרים שכן, בכל הכבוד, ערכם המנחה של פסקי הדין של חבריי מבתי משפט השלום מוגבל ולא סברתי כי בהם לאפשר סטייה מהוראה מפורשת של המחוקק.</w:t>
      </w:r>
    </w:p>
    <w:p w14:paraId="321EF1C4" w14:textId="77777777" w:rsidR="00916BA0" w:rsidRDefault="00916BA0" w:rsidP="00916BA0">
      <w:pPr>
        <w:pStyle w:val="aa"/>
        <w:spacing w:line="360" w:lineRule="auto"/>
        <w:ind w:left="360"/>
        <w:jc w:val="both"/>
        <w:rPr>
          <w:rFonts w:ascii="David" w:hAnsi="David" w:cs="David"/>
          <w:sz w:val="24"/>
          <w:szCs w:val="24"/>
        </w:rPr>
      </w:pPr>
    </w:p>
    <w:p w14:paraId="682DBABA" w14:textId="77777777" w:rsidR="00916BA0" w:rsidRDefault="00916BA0" w:rsidP="00916BA0">
      <w:pPr>
        <w:pStyle w:val="aa"/>
        <w:numPr>
          <w:ilvl w:val="0"/>
          <w:numId w:val="1"/>
        </w:numPr>
        <w:spacing w:line="360" w:lineRule="auto"/>
        <w:jc w:val="both"/>
        <w:rPr>
          <w:rFonts w:ascii="David" w:hAnsi="David" w:cs="David"/>
          <w:sz w:val="24"/>
          <w:szCs w:val="24"/>
          <w:rtl/>
        </w:rPr>
      </w:pPr>
      <w:r>
        <w:rPr>
          <w:rFonts w:ascii="David" w:hAnsi="David" w:cs="David"/>
          <w:sz w:val="24"/>
          <w:szCs w:val="24"/>
          <w:rtl/>
        </w:rPr>
        <w:t>בית המשפט העליון נדרש לשאלה של סטייה ממתחם העונש ההולם משיקולי צדק, שאינם שיקולי שיקום, בפסק דינו ב</w:t>
      </w:r>
      <w:hyperlink r:id="rId12" w:history="1">
        <w:r w:rsidR="00032DF4" w:rsidRPr="00032DF4">
          <w:rPr>
            <w:rFonts w:ascii="David" w:hAnsi="David" w:cs="David"/>
            <w:color w:val="0000FF"/>
            <w:sz w:val="24"/>
            <w:szCs w:val="24"/>
            <w:u w:val="single"/>
            <w:rtl/>
          </w:rPr>
          <w:t>ע"פ 5669/14</w:t>
        </w:r>
      </w:hyperlink>
      <w:r>
        <w:rPr>
          <w:rFonts w:ascii="David" w:hAnsi="David" w:cs="David"/>
          <w:sz w:val="24"/>
          <w:szCs w:val="24"/>
          <w:rtl/>
        </w:rPr>
        <w:t xml:space="preserve"> </w:t>
      </w:r>
      <w:r>
        <w:rPr>
          <w:rFonts w:ascii="David" w:hAnsi="David" w:cs="David"/>
          <w:b/>
          <w:bCs/>
          <w:sz w:val="24"/>
          <w:szCs w:val="24"/>
          <w:rtl/>
        </w:rPr>
        <w:t>לופוליאנסקי נ' מדינת ישראל</w:t>
      </w:r>
      <w:r>
        <w:rPr>
          <w:rFonts w:ascii="David" w:hAnsi="David" w:cs="David"/>
          <w:sz w:val="24"/>
          <w:szCs w:val="24"/>
          <w:rtl/>
        </w:rPr>
        <w:t xml:space="preserve">. עיון מעמיק בפסק הדין מלמד, כי הפתח שנפתח בו לסטייה מהוראת חוק משיקולי צדק הוא צר מאד ושמור למקרים חריגים ביותר. ראשית, בעניין </w:t>
      </w:r>
      <w:r>
        <w:rPr>
          <w:rFonts w:ascii="David" w:hAnsi="David" w:cs="David"/>
          <w:b/>
          <w:bCs/>
          <w:sz w:val="24"/>
          <w:szCs w:val="24"/>
          <w:rtl/>
        </w:rPr>
        <w:t xml:space="preserve">לופוליאנסקי </w:t>
      </w:r>
      <w:r>
        <w:rPr>
          <w:rFonts w:ascii="David" w:hAnsi="David" w:cs="David"/>
          <w:sz w:val="24"/>
          <w:szCs w:val="24"/>
          <w:rtl/>
        </w:rPr>
        <w:t>הנ"ל הוגשה לבית המשפט חוות דעת מטעם שב"ס המתייחסת למצבו הרפואי של הנאשם ולאפשרות שב"ס לספק לו תנאי כליאה שאינם מסכנים את חייו. יוזכר, כי באותו מקרה מדובר היה במי שהמערכת החיסונית שלו הוגדרה כ"מדוכאת", כאשר כל חשיפה לזיהום מסכנת את חייו. בהתאם למסמכים שהוגשו באותו מקרה, ושעליהם המדינה לא חלקה, נקבע כי הטלת עונש מאסר תביא ל"</w:t>
      </w:r>
      <w:r>
        <w:rPr>
          <w:rFonts w:ascii="David" w:hAnsi="David" w:cs="David"/>
          <w:b/>
          <w:bCs/>
          <w:sz w:val="24"/>
          <w:szCs w:val="24"/>
          <w:rtl/>
        </w:rPr>
        <w:t>קיצור ממשי של תוחלת חייו</w:t>
      </w:r>
      <w:r>
        <w:rPr>
          <w:rFonts w:ascii="David" w:hAnsi="David" w:cs="David"/>
          <w:sz w:val="24"/>
          <w:szCs w:val="24"/>
          <w:rtl/>
        </w:rPr>
        <w:t>" של הנאשם.</w:t>
      </w:r>
    </w:p>
    <w:p w14:paraId="3D615932"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בית המשפט העליון קבע אז מפורשות, כי על פי הדין הקיים </w:t>
      </w:r>
      <w:r>
        <w:rPr>
          <w:rFonts w:ascii="David" w:hAnsi="David" w:cs="David"/>
          <w:b/>
          <w:bCs/>
          <w:sz w:val="24"/>
          <w:szCs w:val="24"/>
          <w:rtl/>
        </w:rPr>
        <w:t xml:space="preserve">"בית המשפט אינו יכול אך בשל הסבל שייגרם לנאשם מנשיאה בעונש המאסר – להימנע מלשולחו לבית האסורים" </w:t>
      </w:r>
      <w:r>
        <w:rPr>
          <w:rFonts w:ascii="David" w:hAnsi="David" w:cs="David"/>
          <w:sz w:val="24"/>
          <w:szCs w:val="24"/>
          <w:rtl/>
        </w:rPr>
        <w:t>(פ' 194) וחוזר ומזכיר, כי על פי הדין רק שיקולי שיקום יכולים להצדיק סטייה ממתחם העונש ההולם.</w:t>
      </w:r>
    </w:p>
    <w:p w14:paraId="5AA7B505"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בהמשך לכך, דן בית המשפט העליון בפתרונות שונים שמצאו הערכאות הדיוניות במקרים שונים על מנת להביא להפחתה בפועל של הענישה שלא משיקולי שיקום </w:t>
      </w:r>
      <w:r>
        <w:rPr>
          <w:rFonts w:ascii="David" w:hAnsi="David" w:cs="David"/>
          <w:b/>
          <w:bCs/>
          <w:sz w:val="24"/>
          <w:szCs w:val="24"/>
          <w:rtl/>
        </w:rPr>
        <w:t>ומבקר את אותם פתרונות</w:t>
      </w:r>
      <w:r>
        <w:rPr>
          <w:rFonts w:ascii="David" w:hAnsi="David" w:cs="David"/>
          <w:sz w:val="24"/>
          <w:szCs w:val="24"/>
          <w:rtl/>
        </w:rPr>
        <w:t xml:space="preserve"> (פסקה 212):  כך, למשל, הרחבת המונח "שיקום" גם למצבים של חמלה ורחמים; הגדרת מתחם ענישה נפרד ל"בריא" ול"חולה" ועוד. כאמור, פתרונות אלה זכו לביקורת של בית המשפט העליון ולפיכך, לא מצאתי לנכון ללכת בדרכים אלה.</w:t>
      </w:r>
    </w:p>
    <w:p w14:paraId="6ED86332" w14:textId="77777777" w:rsidR="00916BA0" w:rsidRDefault="00916BA0" w:rsidP="00916BA0">
      <w:pPr>
        <w:pStyle w:val="aa"/>
        <w:spacing w:line="360" w:lineRule="auto"/>
        <w:ind w:left="360"/>
        <w:jc w:val="both"/>
        <w:rPr>
          <w:rFonts w:ascii="David" w:hAnsi="David" w:cs="David"/>
          <w:sz w:val="24"/>
          <w:szCs w:val="24"/>
          <w:rtl/>
        </w:rPr>
      </w:pPr>
    </w:p>
    <w:p w14:paraId="7E6261F5"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בית המשפט העליון הכיר אך בזאת: האפשרות לקביעת </w:t>
      </w:r>
      <w:r>
        <w:rPr>
          <w:rFonts w:ascii="David" w:hAnsi="David" w:cs="David"/>
          <w:b/>
          <w:bCs/>
          <w:sz w:val="24"/>
          <w:szCs w:val="24"/>
          <w:rtl/>
        </w:rPr>
        <w:t xml:space="preserve">חריג מטעמי צדק </w:t>
      </w:r>
      <w:r>
        <w:rPr>
          <w:rFonts w:ascii="David" w:hAnsi="David" w:cs="David"/>
          <w:sz w:val="24"/>
          <w:szCs w:val="24"/>
          <w:rtl/>
        </w:rPr>
        <w:t>הנובע ישירות מ</w:t>
      </w:r>
      <w:hyperlink r:id="rId13" w:history="1">
        <w:r w:rsidR="00032DF4" w:rsidRPr="00032DF4">
          <w:rPr>
            <w:rFonts w:ascii="David" w:hAnsi="David" w:cs="David"/>
            <w:color w:val="0000FF"/>
            <w:sz w:val="24"/>
            <w:szCs w:val="24"/>
            <w:u w:val="single"/>
            <w:rtl/>
          </w:rPr>
          <w:t>חוק יסוד: כבוד האדם וחירותו</w:t>
        </w:r>
      </w:hyperlink>
      <w:r>
        <w:rPr>
          <w:rFonts w:ascii="David" w:hAnsi="David" w:cs="David"/>
          <w:sz w:val="24"/>
          <w:szCs w:val="24"/>
          <w:rtl/>
        </w:rPr>
        <w:t xml:space="preserve"> ואף שאינו קבוע בחוק על פי לשונו. זאת, בצד קריאה למחוקק לתקן את החוק (פסקה 214). הודגש, כי מדובר ב</w:t>
      </w:r>
      <w:r>
        <w:rPr>
          <w:rFonts w:ascii="David" w:hAnsi="David" w:cs="David"/>
          <w:b/>
          <w:bCs/>
          <w:sz w:val="24"/>
          <w:szCs w:val="24"/>
          <w:rtl/>
        </w:rPr>
        <w:t xml:space="preserve">"פתח צר" </w:t>
      </w:r>
      <w:r>
        <w:rPr>
          <w:rFonts w:ascii="David" w:hAnsi="David" w:cs="David"/>
          <w:sz w:val="24"/>
          <w:szCs w:val="24"/>
          <w:rtl/>
        </w:rPr>
        <w:t xml:space="preserve">(פסקה 218) בעדו ניתן להיכנס אם בית המשפט משתכנע שעונש מאסר בפועל </w:t>
      </w:r>
      <w:r>
        <w:rPr>
          <w:rFonts w:ascii="David" w:hAnsi="David" w:cs="David"/>
          <w:b/>
          <w:bCs/>
          <w:sz w:val="24"/>
          <w:szCs w:val="24"/>
          <w:rtl/>
        </w:rPr>
        <w:t>"עלול לסכן את חייו של מי שהורשע בדין או לקצר בצורה ניכרת את תוחלת חייו"</w:t>
      </w:r>
      <w:r>
        <w:rPr>
          <w:rFonts w:ascii="David" w:hAnsi="David" w:cs="David"/>
          <w:sz w:val="24"/>
          <w:szCs w:val="24"/>
          <w:rtl/>
        </w:rPr>
        <w:t xml:space="preserve"> (פסקה 221). </w:t>
      </w:r>
    </w:p>
    <w:p w14:paraId="1F54EA51"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 xml:space="preserve">הודגש, כי גם נאשם החולה במחלה קשה, או כזה שהמאסר יסב לו סבל רב וייחודי, עלול להישלח לשאת בעונש מאסר בפועל, מאחורי סורג ובריח (פ' 222). </w:t>
      </w:r>
    </w:p>
    <w:p w14:paraId="17ADF813" w14:textId="77777777" w:rsidR="00916BA0" w:rsidRDefault="00916BA0" w:rsidP="00916BA0">
      <w:pPr>
        <w:pStyle w:val="aa"/>
        <w:spacing w:line="360" w:lineRule="auto"/>
        <w:ind w:left="360"/>
        <w:jc w:val="both"/>
        <w:rPr>
          <w:rFonts w:ascii="David" w:hAnsi="David" w:cs="David"/>
          <w:sz w:val="24"/>
          <w:szCs w:val="24"/>
          <w:rtl/>
        </w:rPr>
      </w:pPr>
    </w:p>
    <w:p w14:paraId="0812B1CB" w14:textId="77777777" w:rsidR="00916BA0" w:rsidRDefault="00916BA0" w:rsidP="00916BA0">
      <w:pPr>
        <w:pStyle w:val="aa"/>
        <w:numPr>
          <w:ilvl w:val="0"/>
          <w:numId w:val="1"/>
        </w:numPr>
        <w:spacing w:line="360" w:lineRule="auto"/>
        <w:jc w:val="both"/>
        <w:rPr>
          <w:rFonts w:ascii="David" w:hAnsi="David" w:cs="David"/>
          <w:sz w:val="24"/>
          <w:szCs w:val="24"/>
          <w:rtl/>
        </w:rPr>
      </w:pPr>
      <w:r>
        <w:rPr>
          <w:rFonts w:ascii="David" w:hAnsi="David" w:cs="David"/>
          <w:sz w:val="24"/>
          <w:szCs w:val="24"/>
          <w:rtl/>
        </w:rPr>
        <w:t>במקרה שבפניי האסמכתאות שהוגשו אינן עומדות במבחנים שקבע בית המשפט העליון. לפיכך, חל הכלל שקבע המחוקק</w:t>
      </w:r>
      <w:r>
        <w:rPr>
          <w:rFonts w:ascii="David" w:hAnsi="David" w:cs="David" w:hint="cs"/>
          <w:sz w:val="24"/>
          <w:szCs w:val="24"/>
          <w:rtl/>
        </w:rPr>
        <w:t xml:space="preserve">, </w:t>
      </w:r>
      <w:r>
        <w:rPr>
          <w:rFonts w:ascii="David" w:hAnsi="David" w:cs="David"/>
          <w:sz w:val="24"/>
          <w:szCs w:val="24"/>
          <w:rtl/>
        </w:rPr>
        <w:t xml:space="preserve">וראו בעניין זה גם </w:t>
      </w:r>
      <w:hyperlink r:id="rId14" w:history="1">
        <w:r w:rsidR="00032DF4" w:rsidRPr="00032DF4">
          <w:rPr>
            <w:rFonts w:ascii="David" w:hAnsi="David" w:cs="David"/>
            <w:color w:val="0000FF"/>
            <w:sz w:val="24"/>
            <w:szCs w:val="24"/>
            <w:u w:val="single"/>
            <w:rtl/>
          </w:rPr>
          <w:t>רע"פ 1076/16</w:t>
        </w:r>
      </w:hyperlink>
      <w:r>
        <w:rPr>
          <w:rFonts w:ascii="David" w:hAnsi="David" w:cs="David"/>
          <w:sz w:val="24"/>
          <w:szCs w:val="24"/>
          <w:rtl/>
        </w:rPr>
        <w:t xml:space="preserve"> </w:t>
      </w:r>
      <w:r>
        <w:rPr>
          <w:rFonts w:ascii="David" w:hAnsi="David" w:cs="David"/>
          <w:b/>
          <w:bCs/>
          <w:sz w:val="24"/>
          <w:szCs w:val="24"/>
          <w:rtl/>
        </w:rPr>
        <w:t>כהן נ' מדינת ישראל</w:t>
      </w:r>
      <w:r>
        <w:rPr>
          <w:rFonts w:ascii="David" w:hAnsi="David" w:cs="David"/>
          <w:sz w:val="24"/>
          <w:szCs w:val="24"/>
          <w:rtl/>
        </w:rPr>
        <w:t>:</w:t>
      </w:r>
    </w:p>
    <w:p w14:paraId="503B77C3" w14:textId="77777777" w:rsidR="00916BA0" w:rsidRDefault="00916BA0" w:rsidP="00916BA0">
      <w:pPr>
        <w:pStyle w:val="aa"/>
        <w:spacing w:line="360" w:lineRule="auto"/>
        <w:jc w:val="both"/>
        <w:rPr>
          <w:rFonts w:ascii="David" w:hAnsi="David" w:cs="David"/>
          <w:sz w:val="24"/>
          <w:szCs w:val="24"/>
        </w:rPr>
      </w:pPr>
    </w:p>
    <w:p w14:paraId="146E4477" w14:textId="77777777" w:rsidR="00916BA0" w:rsidRDefault="00916BA0" w:rsidP="00916BA0">
      <w:pPr>
        <w:pStyle w:val="Ruller4"/>
        <w:ind w:left="935" w:right="709"/>
        <w:rPr>
          <w:rFonts w:ascii="David" w:hAnsi="David" w:cs="David"/>
          <w:rtl/>
        </w:rPr>
      </w:pPr>
      <w:r>
        <w:rPr>
          <w:rFonts w:ascii="David" w:hAnsi="David" w:cs="David"/>
          <w:rtl/>
        </w:rPr>
        <w:t>"...אין ממש בטענתו של המבקש לפיה בית המשפט לתעבורה שגה בקביעת מתחם העונש ההולם את העבירה משום שלא היה מודע למצבו הרפואי. לפי תיקון 113 ל</w:t>
      </w:r>
      <w:hyperlink r:id="rId15" w:history="1">
        <w:r w:rsidR="00032DF4" w:rsidRPr="00032DF4">
          <w:rPr>
            <w:rFonts w:ascii="David" w:hAnsi="David" w:cs="David"/>
            <w:color w:val="0000FF"/>
            <w:u w:val="single"/>
            <w:rtl/>
          </w:rPr>
          <w:t>חוק העונשין</w:t>
        </w:r>
      </w:hyperlink>
      <w:r>
        <w:rPr>
          <w:rFonts w:ascii="David" w:hAnsi="David" w:cs="David"/>
          <w:rtl/>
        </w:rPr>
        <w:t xml:space="preserve">, התשל"ז-1977, המבנה את שיקול הדעת השיפוטי בענישה, מצבו הרפואי של נאשם נשקל במסגרת הנסיבות שאינן קשורות בביצוע העבירה, ומכאן שמדובר ברכיב המשפיע על גזירת עונשו של המבקש בתוך מתחם העונש ההולם. לפיכך, לא היה במצב הרפואי להשפיע על מתחם העונש, אלא על מיקומו של המבקש ביחס אליו. </w:t>
      </w:r>
    </w:p>
    <w:p w14:paraId="65454DCA" w14:textId="77777777" w:rsidR="00916BA0" w:rsidRDefault="00916BA0" w:rsidP="00916BA0">
      <w:pPr>
        <w:pStyle w:val="Ruller4"/>
        <w:ind w:left="935" w:right="709"/>
        <w:rPr>
          <w:rFonts w:ascii="David" w:hAnsi="David" w:cs="David"/>
          <w:rtl/>
        </w:rPr>
      </w:pPr>
      <w:r>
        <w:rPr>
          <w:rFonts w:ascii="David" w:hAnsi="David" w:cs="David"/>
          <w:rtl/>
        </w:rPr>
        <w:t>...</w:t>
      </w:r>
    </w:p>
    <w:p w14:paraId="2EC61FF1" w14:textId="77777777" w:rsidR="00916BA0" w:rsidRDefault="00916BA0" w:rsidP="00916BA0">
      <w:pPr>
        <w:pStyle w:val="Ruller4"/>
        <w:ind w:left="935" w:right="709"/>
        <w:rPr>
          <w:rFonts w:ascii="David" w:hAnsi="David" w:cs="David"/>
          <w:rtl/>
        </w:rPr>
      </w:pPr>
    </w:p>
    <w:p w14:paraId="01C42710" w14:textId="77777777" w:rsidR="00916BA0" w:rsidRDefault="00916BA0" w:rsidP="00916BA0">
      <w:pPr>
        <w:pStyle w:val="Ruller4"/>
        <w:ind w:left="1127" w:right="567"/>
        <w:rPr>
          <w:rFonts w:ascii="David" w:hAnsi="David" w:cs="David"/>
          <w:rtl/>
        </w:rPr>
      </w:pPr>
      <w:r>
        <w:rPr>
          <w:rFonts w:ascii="David" w:hAnsi="David" w:cs="David"/>
          <w:rtl/>
        </w:rPr>
        <w:t xml:space="preserve">...המבקש טוען, בהסתמך על פסק הדין בעניין </w:t>
      </w:r>
      <w:r>
        <w:rPr>
          <w:rFonts w:ascii="David" w:hAnsi="David" w:cs="David"/>
          <w:b/>
          <w:bCs/>
          <w:rtl/>
        </w:rPr>
        <w:t>לופוליאנסקי</w:t>
      </w:r>
      <w:r>
        <w:rPr>
          <w:rFonts w:ascii="David" w:hAnsi="David" w:cs="David"/>
          <w:rtl/>
        </w:rPr>
        <w:t xml:space="preserve">, כי היה מקום לחרוג לקולה ממתחם הענישה בשל מצבו הרפואי. אין בידי לקבל טענה זו. כפי שציינתי לאחרונה, ההכרעה בעניין </w:t>
      </w:r>
      <w:r>
        <w:rPr>
          <w:rFonts w:ascii="David" w:hAnsi="David" w:cs="David"/>
          <w:b/>
          <w:bCs/>
          <w:rtl/>
        </w:rPr>
        <w:t>לופוליאנסקי</w:t>
      </w:r>
      <w:r>
        <w:rPr>
          <w:rFonts w:ascii="David" w:hAnsi="David" w:cs="David"/>
          <w:rtl/>
        </w:rPr>
        <w:t xml:space="preserve"> נעשתה על רקע נסיבותיו המיוחדות של אותו מקרה, בהן בית המשפט התרשם, בין היתר, כי עונש מאסר עשוי להביא לקיצור ממשי של תוחלת חייו בשל מחלתו (ראו: </w:t>
      </w:r>
      <w:hyperlink r:id="rId16" w:history="1">
        <w:r w:rsidR="00032DF4" w:rsidRPr="00032DF4">
          <w:rPr>
            <w:rFonts w:ascii="David" w:hAnsi="David" w:cs="David"/>
            <w:color w:val="0000FF"/>
            <w:u w:val="single"/>
            <w:rtl/>
          </w:rPr>
          <w:t>דנ"פ 623/16</w:t>
        </w:r>
      </w:hyperlink>
      <w:r>
        <w:rPr>
          <w:rFonts w:ascii="David" w:hAnsi="David" w:cs="David"/>
          <w:rtl/>
        </w:rPr>
        <w:t xml:space="preserve"> </w:t>
      </w:r>
      <w:r>
        <w:rPr>
          <w:rFonts w:ascii="David" w:hAnsi="David" w:cs="David" w:hint="cs"/>
          <w:b/>
          <w:bCs/>
          <w:rtl/>
        </w:rPr>
        <w:t>פינטו נ' מדינת ישראל</w:t>
      </w:r>
      <w:r>
        <w:rPr>
          <w:rFonts w:ascii="David" w:hAnsi="David" w:cs="David" w:hint="cs"/>
          <w:rtl/>
        </w:rPr>
        <w:t xml:space="preserve">, פסקה 7... ; וכן ראו: עניין </w:t>
      </w:r>
      <w:r>
        <w:rPr>
          <w:rFonts w:ascii="David" w:hAnsi="David" w:cs="David" w:hint="cs"/>
          <w:b/>
          <w:bCs/>
          <w:rtl/>
        </w:rPr>
        <w:t>לופוליאנסקי</w:t>
      </w:r>
      <w:r>
        <w:rPr>
          <w:rFonts w:ascii="David" w:hAnsi="David" w:cs="David" w:hint="cs"/>
          <w:rtl/>
        </w:rPr>
        <w:t xml:space="preserve">, פסקה 191). ככלל, מצב בריאותי קשה איננו מקנה לעבריין פטור מעונש מאסר בפועל בגין מעשיו, ככל שעונש זה מוצדק לגביו לאחר הרשעתו (ראו: </w:t>
      </w:r>
      <w:hyperlink r:id="rId17" w:history="1">
        <w:r w:rsidR="00032DF4" w:rsidRPr="00032DF4">
          <w:rPr>
            <w:rFonts w:ascii="David" w:hAnsi="David" w:cs="David"/>
            <w:color w:val="0000FF"/>
            <w:u w:val="single"/>
            <w:rtl/>
          </w:rPr>
          <w:t>ע"פ 4327/12</w:t>
        </w:r>
      </w:hyperlink>
      <w:r>
        <w:rPr>
          <w:rFonts w:ascii="David" w:hAnsi="David" w:cs="David"/>
          <w:rtl/>
        </w:rPr>
        <w:t xml:space="preserve"> </w:t>
      </w:r>
      <w:r>
        <w:rPr>
          <w:rFonts w:ascii="David" w:hAnsi="David" w:cs="David" w:hint="cs"/>
          <w:b/>
          <w:bCs/>
          <w:rtl/>
        </w:rPr>
        <w:t>פלוני נ' מדינת ישראל</w:t>
      </w:r>
      <w:r>
        <w:rPr>
          <w:rFonts w:ascii="David" w:hAnsi="David" w:cs="David" w:hint="cs"/>
          <w:rtl/>
        </w:rPr>
        <w:t xml:space="preserve">, פסקה 35... ; </w:t>
      </w:r>
      <w:hyperlink r:id="rId18" w:history="1">
        <w:r w:rsidR="00032DF4" w:rsidRPr="00032DF4">
          <w:rPr>
            <w:rFonts w:ascii="David" w:hAnsi="David" w:cs="David"/>
            <w:color w:val="0000FF"/>
            <w:u w:val="single"/>
            <w:rtl/>
          </w:rPr>
          <w:t>ע"פ 7453/09</w:t>
        </w:r>
      </w:hyperlink>
      <w:r>
        <w:rPr>
          <w:rFonts w:ascii="David" w:hAnsi="David" w:cs="David"/>
          <w:rtl/>
        </w:rPr>
        <w:t xml:space="preserve"> </w:t>
      </w:r>
      <w:r>
        <w:rPr>
          <w:rFonts w:ascii="David" w:hAnsi="David" w:cs="David" w:hint="cs"/>
          <w:b/>
          <w:bCs/>
          <w:rtl/>
        </w:rPr>
        <w:t>פלוני נ' מדינת ישראל</w:t>
      </w:r>
      <w:r>
        <w:rPr>
          <w:rFonts w:ascii="David" w:hAnsi="David" w:cs="David" w:hint="cs"/>
          <w:rtl/>
        </w:rPr>
        <w:t xml:space="preserve">, פסקה 14...). הנחת המוצא היא שגורמי הרפואה בשירות בתי הסוהר ערוכים לטפל באסירים במצבים רפואיים שונים, כולל מצבים רפואיים שאינם פשוטים, וחזקה היא שהאסיר יקבל את הטיפול הרפואי לו הוא נזקק בין כותלי בית הסוהר (ראו: עניין </w:t>
      </w:r>
      <w:r>
        <w:rPr>
          <w:rFonts w:ascii="David" w:hAnsi="David" w:cs="David" w:hint="cs"/>
          <w:b/>
          <w:bCs/>
          <w:rtl/>
        </w:rPr>
        <w:t>לופוליאנסקי</w:t>
      </w:r>
      <w:r>
        <w:rPr>
          <w:rFonts w:ascii="David" w:hAnsi="David" w:cs="David" w:hint="cs"/>
          <w:rtl/>
        </w:rPr>
        <w:t xml:space="preserve">, פסקה 222; </w:t>
      </w:r>
      <w:hyperlink r:id="rId19" w:history="1">
        <w:r w:rsidR="00032DF4" w:rsidRPr="00032DF4">
          <w:rPr>
            <w:rFonts w:ascii="David" w:hAnsi="David" w:cs="David"/>
            <w:color w:val="0000FF"/>
            <w:u w:val="single"/>
            <w:rtl/>
          </w:rPr>
          <w:t>ע"פ 9155/12</w:t>
        </w:r>
      </w:hyperlink>
      <w:r>
        <w:rPr>
          <w:rFonts w:ascii="David" w:hAnsi="David" w:cs="David"/>
          <w:rtl/>
        </w:rPr>
        <w:t xml:space="preserve"> </w:t>
      </w:r>
      <w:r>
        <w:rPr>
          <w:rFonts w:ascii="David" w:hAnsi="David" w:cs="David" w:hint="cs"/>
          <w:b/>
          <w:bCs/>
          <w:rtl/>
        </w:rPr>
        <w:t>פלוני נ' מדינת ישראל</w:t>
      </w:r>
      <w:r>
        <w:rPr>
          <w:rFonts w:ascii="David" w:hAnsi="David" w:cs="David" w:hint="cs"/>
          <w:rtl/>
        </w:rPr>
        <w:t xml:space="preserve">, פסקה 18... ; </w:t>
      </w:r>
      <w:hyperlink r:id="rId20" w:history="1">
        <w:r w:rsidR="00032DF4" w:rsidRPr="00032DF4">
          <w:rPr>
            <w:rFonts w:ascii="David" w:hAnsi="David" w:cs="David"/>
            <w:color w:val="0000FF"/>
            <w:u w:val="single"/>
            <w:rtl/>
          </w:rPr>
          <w:t>ע"פ 8226/06</w:t>
        </w:r>
      </w:hyperlink>
      <w:r>
        <w:rPr>
          <w:rFonts w:ascii="David" w:hAnsi="David" w:cs="David"/>
          <w:rtl/>
        </w:rPr>
        <w:t xml:space="preserve"> </w:t>
      </w:r>
      <w:r>
        <w:rPr>
          <w:rFonts w:ascii="David" w:hAnsi="David" w:cs="David" w:hint="cs"/>
          <w:b/>
          <w:bCs/>
          <w:rtl/>
        </w:rPr>
        <w:t>טוויל נ' מדינת ישראל</w:t>
      </w:r>
      <w:r>
        <w:rPr>
          <w:rFonts w:ascii="David" w:hAnsi="David" w:cs="David" w:hint="cs"/>
          <w:rtl/>
        </w:rPr>
        <w:t xml:space="preserve">, פסקה 6...". </w:t>
      </w:r>
    </w:p>
    <w:p w14:paraId="5D1B415D" w14:textId="77777777" w:rsidR="00916BA0" w:rsidRDefault="00916BA0" w:rsidP="00916BA0">
      <w:pPr>
        <w:pStyle w:val="aa"/>
        <w:spacing w:line="360" w:lineRule="auto"/>
        <w:jc w:val="both"/>
        <w:rPr>
          <w:rFonts w:ascii="David" w:hAnsi="David" w:cs="David"/>
          <w:sz w:val="24"/>
          <w:szCs w:val="24"/>
          <w:rtl/>
        </w:rPr>
      </w:pPr>
    </w:p>
    <w:p w14:paraId="79A78199" w14:textId="77777777" w:rsidR="00916BA0" w:rsidRDefault="00916BA0" w:rsidP="00916BA0">
      <w:pPr>
        <w:pStyle w:val="aa"/>
        <w:spacing w:line="360" w:lineRule="auto"/>
        <w:jc w:val="both"/>
        <w:rPr>
          <w:rFonts w:ascii="David" w:hAnsi="David" w:cs="David"/>
          <w:sz w:val="24"/>
          <w:szCs w:val="24"/>
        </w:rPr>
      </w:pPr>
      <w:r>
        <w:rPr>
          <w:rFonts w:ascii="David" w:hAnsi="David" w:cs="David"/>
          <w:sz w:val="24"/>
          <w:szCs w:val="24"/>
          <w:rtl/>
        </w:rPr>
        <w:t>לאור כל האמור לעיל אין בסיס בדין או בהלכה לסטייה בעניינו של הנאשם שבפניי ממתחם העונש ההולם. בית המשפט כפוף לחוק, וגם אם קיים רצון מצד בית המשפט להפגין מידה של רחמים או אמפתיה למצבו הרפואי או האישי של נאשם, או של מי מבני ביתו, לרבות ילדיו הקטינים, עדיין בית המשפט כפוף לחוק ומוגבל על ידו.  קריאה למחוקק לשינוי החוק כבר נעשתה על ידי בית המשפט העליון, ותיקון לחוק לא בוצע. בנסיבות אלה, בית המשפט לא ייכנס בנעליו של המחוקק ומרחב שיקול הדעת של בית המשפט מוגבל בהתאם להוראותיו ולמבחן הצר שהתווה בית המשפט העליון בהתאם לחקיקת היסוד – מבחן שהנאשם אינו עומד בו.</w:t>
      </w:r>
    </w:p>
    <w:p w14:paraId="2A23C23F" w14:textId="77777777" w:rsidR="00916BA0" w:rsidRDefault="00916BA0" w:rsidP="00916BA0">
      <w:pPr>
        <w:pStyle w:val="aa"/>
        <w:spacing w:line="360" w:lineRule="auto"/>
        <w:jc w:val="both"/>
        <w:rPr>
          <w:rFonts w:ascii="David" w:hAnsi="David" w:cs="David"/>
          <w:sz w:val="24"/>
          <w:szCs w:val="24"/>
          <w:rtl/>
        </w:rPr>
      </w:pPr>
    </w:p>
    <w:p w14:paraId="38DFA183" w14:textId="77777777" w:rsidR="00916BA0" w:rsidRDefault="00916BA0" w:rsidP="00916BA0">
      <w:pPr>
        <w:spacing w:line="360" w:lineRule="auto"/>
        <w:jc w:val="both"/>
        <w:rPr>
          <w:rFonts w:ascii="David" w:hAnsi="David"/>
          <w:u w:val="single"/>
          <w:rtl/>
        </w:rPr>
      </w:pPr>
      <w:r>
        <w:rPr>
          <w:rFonts w:ascii="David" w:hAnsi="David"/>
          <w:b/>
          <w:bCs/>
          <w:u w:val="single"/>
          <w:rtl/>
        </w:rPr>
        <w:t>קביעת העונש המתאים בגדרי המתחם</w:t>
      </w:r>
    </w:p>
    <w:p w14:paraId="7643E206" w14:textId="77777777" w:rsidR="00916BA0" w:rsidRDefault="00916BA0" w:rsidP="00916BA0">
      <w:pPr>
        <w:spacing w:line="360" w:lineRule="auto"/>
        <w:jc w:val="both"/>
        <w:rPr>
          <w:rFonts w:ascii="David" w:hAnsi="David"/>
          <w:u w:val="single"/>
        </w:rPr>
      </w:pPr>
    </w:p>
    <w:p w14:paraId="2542EC4E" w14:textId="77777777" w:rsidR="00916BA0" w:rsidRDefault="00916BA0" w:rsidP="00916BA0">
      <w:pPr>
        <w:pStyle w:val="aa"/>
        <w:numPr>
          <w:ilvl w:val="0"/>
          <w:numId w:val="1"/>
        </w:numPr>
        <w:spacing w:line="360" w:lineRule="auto"/>
        <w:jc w:val="both"/>
        <w:rPr>
          <w:rFonts w:ascii="David" w:hAnsi="David" w:cs="David"/>
          <w:sz w:val="24"/>
          <w:szCs w:val="24"/>
          <w:rtl/>
        </w:rPr>
      </w:pPr>
      <w:r>
        <w:rPr>
          <w:rFonts w:ascii="David" w:hAnsi="David" w:cs="David"/>
          <w:sz w:val="24"/>
          <w:szCs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13702403" w14:textId="77777777" w:rsidR="00916BA0" w:rsidRDefault="00916BA0" w:rsidP="00916BA0">
      <w:pPr>
        <w:pStyle w:val="aa"/>
        <w:spacing w:line="360" w:lineRule="auto"/>
        <w:ind w:left="360"/>
        <w:jc w:val="both"/>
        <w:rPr>
          <w:rFonts w:ascii="David" w:hAnsi="David" w:cs="David"/>
          <w:sz w:val="24"/>
          <w:szCs w:val="24"/>
        </w:rPr>
      </w:pPr>
      <w:r>
        <w:rPr>
          <w:rFonts w:ascii="David" w:hAnsi="David" w:cs="David"/>
          <w:sz w:val="24"/>
          <w:szCs w:val="24"/>
          <w:rtl/>
        </w:rPr>
        <w:t xml:space="preserve">הנאשם, ללא הרשעות קודמות או אינדיקציה אחרת לאורח חיים </w:t>
      </w:r>
      <w:r>
        <w:rPr>
          <w:rFonts w:ascii="David" w:hAnsi="David" w:cs="David" w:hint="cs"/>
          <w:sz w:val="24"/>
          <w:szCs w:val="24"/>
          <w:rtl/>
        </w:rPr>
        <w:t>בלתי-</w:t>
      </w:r>
      <w:r>
        <w:rPr>
          <w:rFonts w:ascii="David" w:hAnsi="David" w:cs="David"/>
          <w:sz w:val="24"/>
          <w:szCs w:val="24"/>
          <w:rtl/>
        </w:rPr>
        <w:t>נורמטיבי;</w:t>
      </w:r>
    </w:p>
    <w:p w14:paraId="502238FE"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הנאשם סובל מבעיות רפואיות שונות המגבילות את תפקודו ואת השתלבותו בתעסוקה;</w:t>
      </w:r>
    </w:p>
    <w:p w14:paraId="4BF14110"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הנאשם אחראי על גידול שני ילדיו קטינים, לאחר ששכלו את אימם עקב מחלה;</w:t>
      </w:r>
    </w:p>
    <w:p w14:paraId="0159E606"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בנסיבות אלה בית המשפט מניח כי השפעת העונש על הנאשם ועל בני משפחתו קשה מבמקרים אחרים.</w:t>
      </w:r>
    </w:p>
    <w:p w14:paraId="70DA142C"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הנאשם הודה במיוחס לו וחסך בכך זמן שיפוטי ניכר. עם זאת, לא ניתן לזקוף לזכות הנאשם באופן מלא נטילת אחריות על מעשיו נוכח המפורט בתסקיר שירות המבחן לגבי עמדת הנאשם בקשר לעבירה וההתרשמות הכוללת מדפוסיו ומהתנהלותו.</w:t>
      </w:r>
    </w:p>
    <w:p w14:paraId="7944CB53" w14:textId="77777777" w:rsidR="00916BA0" w:rsidRDefault="00916BA0" w:rsidP="00916BA0">
      <w:pPr>
        <w:pStyle w:val="aa"/>
        <w:spacing w:line="360" w:lineRule="auto"/>
        <w:ind w:left="360"/>
        <w:jc w:val="both"/>
        <w:rPr>
          <w:rFonts w:ascii="David" w:hAnsi="David" w:cs="David"/>
          <w:sz w:val="24"/>
          <w:szCs w:val="24"/>
          <w:rtl/>
        </w:rPr>
      </w:pPr>
    </w:p>
    <w:p w14:paraId="5F3937BF"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בסופו של יום, התסקיר מלמד, כי קיימים במקרה זה שיקולים מיוחדים להרתעת היחיד. כטענת המאשימה, קיימים בתקופה זו שיקולים נכבדים של הרתעת הרבים.</w:t>
      </w:r>
    </w:p>
    <w:p w14:paraId="311C7952" w14:textId="77777777" w:rsidR="00916BA0" w:rsidRDefault="00916BA0" w:rsidP="00916BA0">
      <w:pPr>
        <w:pStyle w:val="aa"/>
        <w:spacing w:line="360" w:lineRule="auto"/>
        <w:ind w:left="360"/>
        <w:jc w:val="both"/>
        <w:rPr>
          <w:rFonts w:ascii="David" w:hAnsi="David" w:cs="David"/>
          <w:sz w:val="24"/>
          <w:szCs w:val="24"/>
          <w:rtl/>
        </w:rPr>
      </w:pPr>
    </w:p>
    <w:p w14:paraId="2C671DF3" w14:textId="77777777" w:rsidR="00916BA0" w:rsidRDefault="00916BA0" w:rsidP="00916BA0">
      <w:pPr>
        <w:pStyle w:val="aa"/>
        <w:spacing w:line="360" w:lineRule="auto"/>
        <w:ind w:left="360"/>
        <w:jc w:val="both"/>
        <w:rPr>
          <w:rFonts w:ascii="David" w:hAnsi="David" w:cs="David"/>
          <w:sz w:val="24"/>
          <w:szCs w:val="24"/>
          <w:rtl/>
        </w:rPr>
      </w:pPr>
      <w:r>
        <w:rPr>
          <w:rFonts w:ascii="David" w:hAnsi="David" w:cs="David"/>
          <w:sz w:val="24"/>
          <w:szCs w:val="24"/>
          <w:rtl/>
        </w:rPr>
        <w:t>בסופו של יום, לולי מצבו הרפואי של הנאשם ואחריותו לילדיו הקטינים לאחר פטירת אמם, היה מקום לגזור על הנאשם עונש המצוי במרכז מתחם הענישה. אך בשל נתונים אלה, מצאתי כי מן הצדק להסתפק בעונש שהוא בתחתית מתחם הענישה.</w:t>
      </w:r>
    </w:p>
    <w:p w14:paraId="0AF4C0FB" w14:textId="77777777" w:rsidR="00916BA0" w:rsidRDefault="00916BA0" w:rsidP="00916BA0">
      <w:pPr>
        <w:spacing w:line="360" w:lineRule="auto"/>
        <w:jc w:val="both"/>
        <w:rPr>
          <w:rFonts w:ascii="David" w:hAnsi="David"/>
        </w:rPr>
      </w:pPr>
    </w:p>
    <w:p w14:paraId="6A9C1E85" w14:textId="77777777" w:rsidR="00916BA0" w:rsidRDefault="00916BA0" w:rsidP="00916BA0">
      <w:pPr>
        <w:spacing w:line="360" w:lineRule="auto"/>
        <w:jc w:val="both"/>
        <w:rPr>
          <w:rFonts w:ascii="David" w:hAnsi="David"/>
          <w:b/>
          <w:bCs/>
          <w:u w:val="single"/>
          <w:rtl/>
        </w:rPr>
      </w:pPr>
      <w:r>
        <w:rPr>
          <w:rFonts w:ascii="David" w:hAnsi="David"/>
          <w:b/>
          <w:bCs/>
          <w:u w:val="single"/>
          <w:rtl/>
        </w:rPr>
        <w:t>סוף דבר:</w:t>
      </w:r>
    </w:p>
    <w:p w14:paraId="024BBD25" w14:textId="77777777" w:rsidR="00916BA0" w:rsidRDefault="00916BA0" w:rsidP="00916BA0">
      <w:pPr>
        <w:spacing w:line="360" w:lineRule="auto"/>
        <w:jc w:val="both"/>
        <w:rPr>
          <w:rFonts w:ascii="David" w:hAnsi="David"/>
          <w:b/>
          <w:bCs/>
          <w:u w:val="single"/>
          <w:rtl/>
        </w:rPr>
      </w:pPr>
    </w:p>
    <w:p w14:paraId="2EA3EC57" w14:textId="77777777" w:rsidR="00916BA0" w:rsidRDefault="00916BA0" w:rsidP="00916BA0">
      <w:pPr>
        <w:pStyle w:val="aa"/>
        <w:numPr>
          <w:ilvl w:val="0"/>
          <w:numId w:val="1"/>
        </w:numPr>
        <w:spacing w:line="360" w:lineRule="auto"/>
        <w:jc w:val="both"/>
        <w:rPr>
          <w:rFonts w:ascii="David" w:hAnsi="David" w:cs="David"/>
          <w:sz w:val="24"/>
          <w:szCs w:val="24"/>
        </w:rPr>
      </w:pPr>
      <w:r>
        <w:rPr>
          <w:rFonts w:ascii="David" w:hAnsi="David" w:cs="David"/>
          <w:sz w:val="24"/>
          <w:szCs w:val="24"/>
          <w:rtl/>
        </w:rPr>
        <w:t>לאחר ששקלתי את מכלול השיקולים כמפורט לעיל אני מטילה על הנאשם את העונשים הבאים:</w:t>
      </w:r>
    </w:p>
    <w:p w14:paraId="61AE8C6A" w14:textId="77777777" w:rsidR="00916BA0" w:rsidRDefault="00916BA0" w:rsidP="00916BA0">
      <w:pPr>
        <w:pStyle w:val="aa"/>
        <w:spacing w:line="360" w:lineRule="auto"/>
        <w:ind w:left="360"/>
        <w:jc w:val="both"/>
        <w:rPr>
          <w:rFonts w:ascii="David" w:hAnsi="David" w:cs="David"/>
          <w:sz w:val="24"/>
          <w:szCs w:val="24"/>
          <w:rtl/>
        </w:rPr>
      </w:pPr>
    </w:p>
    <w:p w14:paraId="004DA1F1" w14:textId="77777777" w:rsidR="00916BA0" w:rsidRDefault="00916BA0" w:rsidP="00916BA0">
      <w:pPr>
        <w:pStyle w:val="aa"/>
        <w:numPr>
          <w:ilvl w:val="0"/>
          <w:numId w:val="2"/>
        </w:numPr>
        <w:spacing w:line="360" w:lineRule="auto"/>
        <w:jc w:val="both"/>
        <w:rPr>
          <w:rFonts w:ascii="Arial" w:hAnsi="Arial" w:cs="David"/>
          <w:sz w:val="24"/>
          <w:szCs w:val="24"/>
          <w:rtl/>
        </w:rPr>
      </w:pPr>
      <w:r>
        <w:rPr>
          <w:rFonts w:ascii="Arial" w:hAnsi="Arial" w:cs="David"/>
          <w:sz w:val="24"/>
          <w:szCs w:val="24"/>
          <w:rtl/>
        </w:rPr>
        <w:t>18 חודשי מאסר בפועל, בניכוי ימי מעצרו בתיק זה.</w:t>
      </w:r>
    </w:p>
    <w:p w14:paraId="3D4A4F73" w14:textId="77777777" w:rsidR="00916BA0" w:rsidRDefault="00916BA0" w:rsidP="00916BA0">
      <w:pPr>
        <w:pStyle w:val="aa"/>
        <w:numPr>
          <w:ilvl w:val="0"/>
          <w:numId w:val="2"/>
        </w:numPr>
        <w:spacing w:line="360" w:lineRule="auto"/>
        <w:jc w:val="both"/>
        <w:rPr>
          <w:rFonts w:ascii="Arial" w:hAnsi="Arial" w:cs="David"/>
          <w:sz w:val="24"/>
          <w:szCs w:val="24"/>
          <w:rtl/>
        </w:rPr>
      </w:pPr>
      <w:r>
        <w:rPr>
          <w:rFonts w:ascii="Arial" w:hAnsi="Arial" w:cs="David"/>
          <w:sz w:val="24"/>
          <w:szCs w:val="24"/>
          <w:rtl/>
        </w:rPr>
        <w:t>מאסר על תנאי לתקופה של 8 חודשים.</w:t>
      </w:r>
    </w:p>
    <w:p w14:paraId="66D6D1C2" w14:textId="77777777" w:rsidR="00916BA0" w:rsidRDefault="00916BA0" w:rsidP="00916BA0">
      <w:pPr>
        <w:spacing w:line="360" w:lineRule="auto"/>
        <w:ind w:left="702"/>
        <w:jc w:val="both"/>
        <w:rPr>
          <w:rFonts w:ascii="Arial" w:hAnsi="Arial"/>
          <w:rtl/>
        </w:rPr>
      </w:pPr>
      <w:r>
        <w:rPr>
          <w:rFonts w:ascii="Arial" w:hAnsi="Arial"/>
          <w:rtl/>
        </w:rPr>
        <w:t xml:space="preserve">המאסר המותנה יופעל אם תוך תקופה של שלוש שנים מיום שחרורו, יעבור הנאשם עבירת נשק. </w:t>
      </w:r>
    </w:p>
    <w:p w14:paraId="5A39E5AD" w14:textId="77777777" w:rsidR="00916BA0" w:rsidRDefault="00916BA0" w:rsidP="00916BA0">
      <w:pPr>
        <w:spacing w:line="360" w:lineRule="auto"/>
        <w:ind w:left="702"/>
        <w:jc w:val="both"/>
        <w:rPr>
          <w:rFonts w:ascii="Arial" w:hAnsi="Arial"/>
          <w:rtl/>
        </w:rPr>
      </w:pPr>
    </w:p>
    <w:p w14:paraId="7A2D14C1" w14:textId="77777777" w:rsidR="00916BA0" w:rsidRDefault="00916BA0" w:rsidP="00916BA0">
      <w:pPr>
        <w:spacing w:line="360" w:lineRule="auto"/>
        <w:jc w:val="both"/>
        <w:rPr>
          <w:rFonts w:ascii="Calibri" w:hAnsi="Calibri"/>
          <w:b/>
          <w:bCs/>
          <w:rtl/>
        </w:rPr>
      </w:pPr>
      <w:r>
        <w:rPr>
          <w:rFonts w:ascii="Arial" w:hAnsi="Arial"/>
          <w:b/>
          <w:bCs/>
          <w:rtl/>
        </w:rPr>
        <w:t>ניתן בזאת צו להשמדת מוצג</w:t>
      </w:r>
      <w:r>
        <w:rPr>
          <w:rFonts w:ascii="Arial" w:hAnsi="Arial" w:hint="cs"/>
          <w:b/>
          <w:bCs/>
          <w:rtl/>
        </w:rPr>
        <w:t xml:space="preserve"> </w:t>
      </w:r>
      <w:r>
        <w:rPr>
          <w:rFonts w:ascii="Arial" w:hAnsi="Arial"/>
          <w:b/>
          <w:bCs/>
          <w:rtl/>
        </w:rPr>
        <w:t>–</w:t>
      </w:r>
      <w:r>
        <w:rPr>
          <w:rFonts w:ascii="Arial" w:hAnsi="Arial" w:hint="cs"/>
          <w:b/>
          <w:bCs/>
          <w:rtl/>
        </w:rPr>
        <w:t xml:space="preserve"> סמים ונשק - </w:t>
      </w:r>
      <w:r>
        <w:rPr>
          <w:rFonts w:ascii="Arial" w:hAnsi="Arial"/>
          <w:b/>
          <w:bCs/>
          <w:rtl/>
        </w:rPr>
        <w:t>בכפוף לחלוף תקופת הערעור.</w:t>
      </w:r>
    </w:p>
    <w:p w14:paraId="2E823A6F" w14:textId="77777777" w:rsidR="00916BA0" w:rsidRDefault="00916BA0" w:rsidP="00916BA0">
      <w:pPr>
        <w:spacing w:line="360" w:lineRule="auto"/>
        <w:jc w:val="both"/>
        <w:rPr>
          <w:rFonts w:ascii="Arial" w:hAnsi="Arial"/>
          <w:b/>
          <w:bCs/>
          <w:u w:val="single"/>
          <w:rtl/>
        </w:rPr>
      </w:pPr>
    </w:p>
    <w:p w14:paraId="550873CA" w14:textId="77777777" w:rsidR="00916BA0" w:rsidRDefault="00916BA0" w:rsidP="00916BA0">
      <w:pPr>
        <w:spacing w:line="360" w:lineRule="auto"/>
        <w:jc w:val="both"/>
        <w:rPr>
          <w:rFonts w:ascii="Arial" w:hAnsi="Arial"/>
          <w:b/>
          <w:bCs/>
          <w:u w:val="single"/>
          <w:rtl/>
        </w:rPr>
      </w:pPr>
      <w:r>
        <w:rPr>
          <w:rFonts w:ascii="Arial" w:hAnsi="Arial"/>
          <w:b/>
          <w:bCs/>
          <w:u w:val="single"/>
          <w:rtl/>
        </w:rPr>
        <w:t>המזכירות תעביר עותק מגזר הדין לשירות המבחן.</w:t>
      </w:r>
    </w:p>
    <w:p w14:paraId="404EE074" w14:textId="77777777" w:rsidR="00916BA0" w:rsidRPr="00916BA0" w:rsidRDefault="00916BA0" w:rsidP="00916BA0">
      <w:pPr>
        <w:spacing w:line="360" w:lineRule="auto"/>
        <w:jc w:val="both"/>
        <w:rPr>
          <w:rFonts w:ascii="Calibri" w:hAnsi="Calibri"/>
          <w:rtl/>
        </w:rPr>
      </w:pPr>
    </w:p>
    <w:p w14:paraId="2D059457" w14:textId="77777777" w:rsidR="00916BA0" w:rsidRDefault="00916BA0" w:rsidP="00916BA0">
      <w:pPr>
        <w:spacing w:line="360" w:lineRule="auto"/>
        <w:jc w:val="both"/>
        <w:rPr>
          <w:rtl/>
        </w:rPr>
      </w:pPr>
      <w:r>
        <w:rPr>
          <w:rtl/>
        </w:rPr>
        <w:t xml:space="preserve">זכות ערעור כחוק. </w:t>
      </w:r>
    </w:p>
    <w:p w14:paraId="4A188B0C" w14:textId="77777777" w:rsidR="00916BA0" w:rsidRPr="00032DF4" w:rsidRDefault="00032DF4" w:rsidP="00916BA0">
      <w:pPr>
        <w:rPr>
          <w:rFonts w:ascii="Arial" w:hAnsi="Arial"/>
          <w:b/>
          <w:bCs/>
          <w:color w:val="FFFFFF"/>
          <w:sz w:val="2"/>
          <w:szCs w:val="2"/>
          <w:rtl/>
        </w:rPr>
      </w:pPr>
      <w:r w:rsidRPr="00032DF4">
        <w:rPr>
          <w:rFonts w:ascii="Arial" w:hAnsi="Arial"/>
          <w:b/>
          <w:bCs/>
          <w:color w:val="FFFFFF"/>
          <w:sz w:val="2"/>
          <w:szCs w:val="2"/>
          <w:rtl/>
        </w:rPr>
        <w:t>5129371</w:t>
      </w:r>
    </w:p>
    <w:p w14:paraId="2A9B231A" w14:textId="77777777" w:rsidR="00916BA0" w:rsidRPr="00032DF4" w:rsidRDefault="00032DF4" w:rsidP="00916BA0">
      <w:pPr>
        <w:rPr>
          <w:rFonts w:ascii="Arial" w:hAnsi="Arial"/>
          <w:b/>
          <w:bCs/>
          <w:color w:val="FFFFFF"/>
          <w:sz w:val="2"/>
          <w:szCs w:val="2"/>
          <w:rtl/>
        </w:rPr>
      </w:pPr>
      <w:r w:rsidRPr="00032DF4">
        <w:rPr>
          <w:rFonts w:ascii="Arial" w:hAnsi="Arial"/>
          <w:b/>
          <w:bCs/>
          <w:color w:val="FFFFFF"/>
          <w:sz w:val="2"/>
          <w:szCs w:val="2"/>
          <w:rtl/>
        </w:rPr>
        <w:t>54678313</w:t>
      </w:r>
    </w:p>
    <w:p w14:paraId="1C9E6AD3" w14:textId="77777777" w:rsidR="00916BA0" w:rsidRPr="000F2247" w:rsidRDefault="00916BA0" w:rsidP="00916BA0">
      <w:pPr>
        <w:rPr>
          <w:rFonts w:ascii="Arial" w:hAnsi="Arial"/>
          <w:b/>
          <w:bCs/>
          <w:sz w:val="26"/>
          <w:szCs w:val="26"/>
          <w:rtl/>
        </w:rPr>
      </w:pPr>
    </w:p>
    <w:p w14:paraId="0474D3FB" w14:textId="77777777" w:rsidR="00916BA0" w:rsidRPr="000F2247" w:rsidRDefault="00032DF4" w:rsidP="00916BA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אייר תשפ"ג, 01 מאי 2023, בהעדר הצדדים. </w:t>
      </w:r>
      <w:bookmarkEnd w:id="8"/>
      <w:r w:rsidR="00916BA0">
        <w:rPr>
          <w:rFonts w:ascii="Arial" w:hAnsi="Arial"/>
          <w:b/>
          <w:bCs/>
          <w:sz w:val="26"/>
          <w:szCs w:val="26"/>
          <w:rtl/>
        </w:rPr>
        <w:tab/>
      </w:r>
      <w:r w:rsidR="00916BA0">
        <w:rPr>
          <w:rFonts w:ascii="Arial" w:hAnsi="Arial"/>
          <w:b/>
          <w:bCs/>
          <w:sz w:val="26"/>
          <w:szCs w:val="26"/>
          <w:rtl/>
        </w:rPr>
        <w:tab/>
      </w:r>
      <w:r w:rsidR="00916BA0">
        <w:rPr>
          <w:rFonts w:ascii="Arial" w:hAnsi="Arial"/>
          <w:b/>
          <w:bCs/>
          <w:sz w:val="26"/>
          <w:szCs w:val="26"/>
          <w:rtl/>
        </w:rPr>
        <w:tab/>
      </w:r>
      <w:r w:rsidR="00916BA0">
        <w:rPr>
          <w:rFonts w:ascii="Arial" w:hAnsi="Arial"/>
          <w:b/>
          <w:bCs/>
          <w:sz w:val="26"/>
          <w:szCs w:val="26"/>
          <w:rtl/>
        </w:rPr>
        <w:tab/>
      </w:r>
      <w:r w:rsidR="00916BA0">
        <w:rPr>
          <w:rFonts w:ascii="Arial" w:hAnsi="Arial"/>
          <w:b/>
          <w:bCs/>
          <w:sz w:val="26"/>
          <w:szCs w:val="26"/>
          <w:rtl/>
        </w:rPr>
        <w:tab/>
      </w:r>
      <w:r w:rsidR="00916BA0">
        <w:rPr>
          <w:rFonts w:ascii="Arial" w:hAnsi="Arial"/>
          <w:b/>
          <w:bCs/>
          <w:sz w:val="26"/>
          <w:szCs w:val="26"/>
          <w:rtl/>
        </w:rPr>
        <w:tab/>
      </w:r>
      <w:r w:rsidR="00916BA0">
        <w:rPr>
          <w:rFonts w:ascii="Arial" w:hAnsi="Arial"/>
          <w:b/>
          <w:bCs/>
          <w:sz w:val="26"/>
          <w:szCs w:val="26"/>
          <w:rtl/>
        </w:rPr>
        <w:tab/>
      </w:r>
      <w:r w:rsidR="00916BA0">
        <w:rPr>
          <w:rFonts w:ascii="Arial" w:hAnsi="Arial" w:hint="cs"/>
          <w:b/>
          <w:bCs/>
          <w:sz w:val="26"/>
          <w:szCs w:val="26"/>
          <w:rtl/>
        </w:rPr>
        <w:t xml:space="preserve">         </w:t>
      </w:r>
    </w:p>
    <w:p w14:paraId="10F507EC" w14:textId="77777777" w:rsidR="00032DF4" w:rsidRDefault="00032DF4" w:rsidP="00032DF4">
      <w:pPr>
        <w:rPr>
          <w:rtl/>
        </w:rPr>
      </w:pPr>
    </w:p>
    <w:p w14:paraId="233DA401" w14:textId="77777777" w:rsidR="00032DF4" w:rsidRDefault="00032DF4" w:rsidP="00032DF4">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0EC987D8" w14:textId="77777777" w:rsidR="00FD58CA" w:rsidRPr="00FD58CA" w:rsidRDefault="00FD58CA" w:rsidP="00FD58CA">
      <w:pPr>
        <w:keepNext/>
        <w:rPr>
          <w:rFonts w:ascii="David" w:hAnsi="David"/>
          <w:color w:val="000000"/>
          <w:sz w:val="22"/>
          <w:szCs w:val="22"/>
          <w:rtl/>
        </w:rPr>
      </w:pPr>
    </w:p>
    <w:p w14:paraId="646D15E6" w14:textId="77777777" w:rsidR="00FD58CA" w:rsidRPr="00FD58CA" w:rsidRDefault="00FD58CA" w:rsidP="00FD58CA">
      <w:pPr>
        <w:keepNext/>
        <w:rPr>
          <w:rFonts w:ascii="David" w:hAnsi="David"/>
          <w:color w:val="000000"/>
          <w:sz w:val="22"/>
          <w:szCs w:val="22"/>
          <w:rtl/>
        </w:rPr>
      </w:pPr>
      <w:r w:rsidRPr="00FD58CA">
        <w:rPr>
          <w:rFonts w:ascii="David" w:hAnsi="David"/>
          <w:color w:val="000000"/>
          <w:sz w:val="22"/>
          <w:szCs w:val="22"/>
          <w:rtl/>
        </w:rPr>
        <w:t>ענת חולתא 54678313-/</w:t>
      </w:r>
    </w:p>
    <w:p w14:paraId="47EE0DBE" w14:textId="77777777" w:rsidR="00032DF4" w:rsidRPr="00032DF4" w:rsidRDefault="00FD58CA" w:rsidP="00FD58CA">
      <w:pPr>
        <w:rPr>
          <w:color w:val="0000FF"/>
          <w:u w:val="single"/>
        </w:rPr>
      </w:pPr>
      <w:r w:rsidRPr="00FD58CA">
        <w:rPr>
          <w:color w:val="000000"/>
          <w:u w:val="single"/>
          <w:rtl/>
        </w:rPr>
        <w:t>נוסח מסמך זה כפוף לשינויי ניסוח ועריכה</w:t>
      </w:r>
    </w:p>
    <w:sectPr w:rsidR="00032DF4" w:rsidRPr="00032DF4" w:rsidSect="00FD58C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0BC7C" w14:textId="77777777" w:rsidR="00524B64" w:rsidRDefault="00524B64" w:rsidP="002A6866">
      <w:r>
        <w:separator/>
      </w:r>
    </w:p>
  </w:endnote>
  <w:endnote w:type="continuationSeparator" w:id="0">
    <w:p w14:paraId="2D7DDE84" w14:textId="77777777" w:rsidR="00524B64" w:rsidRDefault="00524B64" w:rsidP="002A6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33DA5" w14:textId="77777777" w:rsidR="00FD58CA" w:rsidRDefault="00FD58CA" w:rsidP="00FD58C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70DF79" w14:textId="77777777" w:rsidR="000E1384" w:rsidRPr="00FD58CA" w:rsidRDefault="00FD58CA" w:rsidP="00FD58CA">
    <w:pPr>
      <w:pStyle w:val="a5"/>
      <w:pBdr>
        <w:top w:val="single" w:sz="4" w:space="1" w:color="auto"/>
        <w:between w:val="single" w:sz="4" w:space="0" w:color="auto"/>
      </w:pBdr>
      <w:spacing w:after="60"/>
      <w:jc w:val="center"/>
      <w:rPr>
        <w:rFonts w:ascii="FrankRuehl" w:hAnsi="FrankRuehl" w:cs="FrankRuehl"/>
        <w:color w:val="000000"/>
      </w:rPr>
    </w:pPr>
    <w:r w:rsidRPr="00FD58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B107" w14:textId="77777777" w:rsidR="00FD58CA" w:rsidRDefault="00FD58CA" w:rsidP="00FD58C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297E">
      <w:rPr>
        <w:rFonts w:ascii="FrankRuehl" w:hAnsi="FrankRuehl" w:cs="FrankRuehl"/>
        <w:noProof/>
        <w:rtl/>
      </w:rPr>
      <w:t>1</w:t>
    </w:r>
    <w:r>
      <w:rPr>
        <w:rFonts w:ascii="FrankRuehl" w:hAnsi="FrankRuehl" w:cs="FrankRuehl"/>
        <w:rtl/>
      </w:rPr>
      <w:fldChar w:fldCharType="end"/>
    </w:r>
  </w:p>
  <w:p w14:paraId="5D470D2B" w14:textId="77777777" w:rsidR="000E1384" w:rsidRPr="00FD58CA" w:rsidRDefault="00FD58CA" w:rsidP="00FD58CA">
    <w:pPr>
      <w:pStyle w:val="a5"/>
      <w:pBdr>
        <w:top w:val="single" w:sz="4" w:space="1" w:color="auto"/>
        <w:between w:val="single" w:sz="4" w:space="0" w:color="auto"/>
      </w:pBdr>
      <w:spacing w:after="60"/>
      <w:jc w:val="center"/>
      <w:rPr>
        <w:rFonts w:ascii="FrankRuehl" w:hAnsi="FrankRuehl" w:cs="FrankRuehl"/>
        <w:color w:val="000000"/>
      </w:rPr>
    </w:pPr>
    <w:r w:rsidRPr="00FD58CA">
      <w:rPr>
        <w:rFonts w:ascii="FrankRuehl" w:hAnsi="FrankRuehl" w:cs="FrankRuehl"/>
        <w:color w:val="000000"/>
      </w:rPr>
      <w:pict w14:anchorId="591B2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C6945" w14:textId="77777777" w:rsidR="00524B64" w:rsidRDefault="00524B64" w:rsidP="002A6866">
      <w:r>
        <w:separator/>
      </w:r>
    </w:p>
  </w:footnote>
  <w:footnote w:type="continuationSeparator" w:id="0">
    <w:p w14:paraId="0090E7D8" w14:textId="77777777" w:rsidR="00524B64" w:rsidRDefault="00524B64" w:rsidP="002A6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83F50" w14:textId="77777777" w:rsidR="00032DF4" w:rsidRPr="00FD58CA" w:rsidRDefault="00FD58CA" w:rsidP="00FD58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22526-03-22</w:t>
    </w:r>
    <w:r>
      <w:rPr>
        <w:rFonts w:ascii="David" w:hAnsi="David"/>
        <w:color w:val="000000"/>
        <w:sz w:val="22"/>
        <w:szCs w:val="22"/>
        <w:rtl/>
      </w:rPr>
      <w:tab/>
      <w:t xml:space="preserve"> מדינת ישראל נ' עבד אלעזיז אבו אלעקיס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8C6AC" w14:textId="77777777" w:rsidR="00032DF4" w:rsidRPr="00FD58CA" w:rsidRDefault="00FD58CA" w:rsidP="00FD58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22526-03-22</w:t>
    </w:r>
    <w:r>
      <w:rPr>
        <w:rFonts w:ascii="David" w:hAnsi="David"/>
        <w:color w:val="000000"/>
        <w:sz w:val="22"/>
        <w:szCs w:val="22"/>
        <w:rtl/>
      </w:rPr>
      <w:tab/>
      <w:t xml:space="preserve"> מדינת ישראל נ' עבד אלעזיז אבו אלעקיס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024"/>
    <w:multiLevelType w:val="hybridMultilevel"/>
    <w:tmpl w:val="7BBC46C4"/>
    <w:lvl w:ilvl="0" w:tplc="4C70B33C">
      <w:start w:val="1"/>
      <w:numFmt w:val="decimal"/>
      <w:lvlText w:val="%1."/>
      <w:lvlJc w:val="left"/>
      <w:pPr>
        <w:ind w:left="360" w:hanging="360"/>
      </w:pPr>
      <w:rPr>
        <w:rFonts w:ascii="David" w:hAnsi="David" w:cs="David" w:hint="default"/>
        <w:sz w:val="24"/>
        <w:lang w:bidi="he-I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7D81929"/>
    <w:multiLevelType w:val="hybridMultilevel"/>
    <w:tmpl w:val="41AA65A2"/>
    <w:lvl w:ilvl="0" w:tplc="A4ACDB6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67757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9234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6BA0"/>
    <w:rsid w:val="00031E4C"/>
    <w:rsid w:val="00032DF4"/>
    <w:rsid w:val="00063DD8"/>
    <w:rsid w:val="000E1384"/>
    <w:rsid w:val="002675D9"/>
    <w:rsid w:val="002A6866"/>
    <w:rsid w:val="00524B64"/>
    <w:rsid w:val="00890FEF"/>
    <w:rsid w:val="00916BA0"/>
    <w:rsid w:val="00960405"/>
    <w:rsid w:val="00993AEF"/>
    <w:rsid w:val="00A2297E"/>
    <w:rsid w:val="00BF7972"/>
    <w:rsid w:val="00C014F0"/>
    <w:rsid w:val="00E95426"/>
    <w:rsid w:val="00FD5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B6C1BB"/>
  <w15:chartTrackingRefBased/>
  <w15:docId w15:val="{05919702-102B-45EA-A346-11DDF84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B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6BA0"/>
    <w:pPr>
      <w:tabs>
        <w:tab w:val="center" w:pos="4153"/>
        <w:tab w:val="right" w:pos="8306"/>
      </w:tabs>
    </w:pPr>
  </w:style>
  <w:style w:type="character" w:customStyle="1" w:styleId="a4">
    <w:name w:val="כותרת עליונה תו"/>
    <w:link w:val="a3"/>
    <w:rsid w:val="00916BA0"/>
    <w:rPr>
      <w:rFonts w:ascii="Times New Roman" w:eastAsia="Times New Roman" w:hAnsi="Times New Roman" w:cs="David"/>
      <w:sz w:val="24"/>
      <w:szCs w:val="24"/>
    </w:rPr>
  </w:style>
  <w:style w:type="paragraph" w:styleId="a5">
    <w:name w:val="footer"/>
    <w:basedOn w:val="a"/>
    <w:link w:val="a6"/>
    <w:rsid w:val="00916BA0"/>
    <w:pPr>
      <w:tabs>
        <w:tab w:val="center" w:pos="4153"/>
        <w:tab w:val="right" w:pos="8306"/>
      </w:tabs>
    </w:pPr>
  </w:style>
  <w:style w:type="character" w:customStyle="1" w:styleId="a6">
    <w:name w:val="כותרת תחתונה תו"/>
    <w:link w:val="a5"/>
    <w:rsid w:val="00916BA0"/>
    <w:rPr>
      <w:rFonts w:ascii="Times New Roman" w:eastAsia="Times New Roman" w:hAnsi="Times New Roman" w:cs="David"/>
      <w:sz w:val="24"/>
      <w:szCs w:val="24"/>
    </w:rPr>
  </w:style>
  <w:style w:type="table" w:styleId="a7">
    <w:name w:val="Table Grid"/>
    <w:basedOn w:val="a1"/>
    <w:rsid w:val="00916B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6BA0"/>
  </w:style>
  <w:style w:type="character" w:customStyle="1" w:styleId="a9">
    <w:name w:val="פיסקת רשימה תו"/>
    <w:link w:val="aa"/>
    <w:locked/>
    <w:rsid w:val="00916BA0"/>
    <w:rPr>
      <w:rFonts w:cs="Arial"/>
    </w:rPr>
  </w:style>
  <w:style w:type="paragraph" w:styleId="aa">
    <w:name w:val="List Paragraph"/>
    <w:basedOn w:val="a"/>
    <w:link w:val="a9"/>
    <w:qFormat/>
    <w:rsid w:val="00916BA0"/>
    <w:pPr>
      <w:spacing w:after="160" w:line="256" w:lineRule="auto"/>
      <w:ind w:left="720"/>
      <w:contextualSpacing/>
    </w:pPr>
    <w:rPr>
      <w:rFonts w:ascii="Calibri" w:eastAsia="Calibri" w:hAnsi="Calibri" w:cs="Arial"/>
      <w:sz w:val="22"/>
      <w:szCs w:val="22"/>
    </w:rPr>
  </w:style>
  <w:style w:type="paragraph" w:customStyle="1" w:styleId="Ruller4">
    <w:name w:val="Ruller 4 ממוספר"/>
    <w:basedOn w:val="a"/>
    <w:rsid w:val="00916BA0"/>
    <w:pPr>
      <w:overflowPunct w:val="0"/>
      <w:autoSpaceDE w:val="0"/>
      <w:autoSpaceDN w:val="0"/>
      <w:spacing w:line="360" w:lineRule="auto"/>
      <w:jc w:val="both"/>
    </w:pPr>
    <w:rPr>
      <w:rFonts w:ascii="Garamond" w:hAnsi="Garamond" w:cs="Times New Roman"/>
      <w:spacing w:val="10"/>
    </w:rPr>
  </w:style>
  <w:style w:type="character" w:styleId="Hyperlink">
    <w:name w:val="Hyperlink"/>
    <w:rsid w:val="00916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20" TargetMode="External"/><Relationship Id="rId18" Type="http://schemas.openxmlformats.org/officeDocument/2006/relationships/hyperlink" Target="http://www.nevo.co.il/case/624780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17954217" TargetMode="External"/><Relationship Id="rId17" Type="http://schemas.openxmlformats.org/officeDocument/2006/relationships/hyperlink" Target="http://www.nevo.co.il/case/5583846"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930804" TargetMode="External"/><Relationship Id="rId20" Type="http://schemas.openxmlformats.org/officeDocument/2006/relationships/hyperlink" Target="http://www.nevo.co.il/case/61240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6248957" TargetMode="External"/><Relationship Id="rId4" Type="http://schemas.openxmlformats.org/officeDocument/2006/relationships/webSettings" Target="webSettings.xml"/><Relationship Id="rId9" Type="http://schemas.openxmlformats.org/officeDocument/2006/relationships/hyperlink" Target="http://www.nevo.co.il/law/70320" TargetMode="External"/><Relationship Id="rId14" Type="http://schemas.openxmlformats.org/officeDocument/2006/relationships/hyperlink" Target="http://www.nevo.co.il/case/20956329"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2228</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13346</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3342453</vt:i4>
      </vt:variant>
      <vt:variant>
        <vt:i4>39</vt:i4>
      </vt:variant>
      <vt:variant>
        <vt:i4>0</vt:i4>
      </vt:variant>
      <vt:variant>
        <vt:i4>5</vt:i4>
      </vt:variant>
      <vt:variant>
        <vt:lpwstr>http://www.nevo.co.il/case/6124047</vt:lpwstr>
      </vt:variant>
      <vt:variant>
        <vt:lpwstr/>
      </vt:variant>
      <vt:variant>
        <vt:i4>3932283</vt:i4>
      </vt:variant>
      <vt:variant>
        <vt:i4>36</vt:i4>
      </vt:variant>
      <vt:variant>
        <vt:i4>0</vt:i4>
      </vt:variant>
      <vt:variant>
        <vt:i4>5</vt:i4>
      </vt:variant>
      <vt:variant>
        <vt:lpwstr>http://www.nevo.co.il/case/6248957</vt:lpwstr>
      </vt:variant>
      <vt:variant>
        <vt:lpwstr/>
      </vt:variant>
      <vt:variant>
        <vt:i4>3997809</vt:i4>
      </vt:variant>
      <vt:variant>
        <vt:i4>33</vt:i4>
      </vt:variant>
      <vt:variant>
        <vt:i4>0</vt:i4>
      </vt:variant>
      <vt:variant>
        <vt:i4>5</vt:i4>
      </vt:variant>
      <vt:variant>
        <vt:lpwstr>http://www.nevo.co.il/case/6247807</vt:lpwstr>
      </vt:variant>
      <vt:variant>
        <vt:lpwstr/>
      </vt:variant>
      <vt:variant>
        <vt:i4>3342454</vt:i4>
      </vt:variant>
      <vt:variant>
        <vt:i4>30</vt:i4>
      </vt:variant>
      <vt:variant>
        <vt:i4>0</vt:i4>
      </vt:variant>
      <vt:variant>
        <vt:i4>5</vt:i4>
      </vt:variant>
      <vt:variant>
        <vt:lpwstr>http://www.nevo.co.il/case/5583846</vt:lpwstr>
      </vt:variant>
      <vt:variant>
        <vt:lpwstr/>
      </vt:variant>
      <vt:variant>
        <vt:i4>3866751</vt:i4>
      </vt:variant>
      <vt:variant>
        <vt:i4>27</vt:i4>
      </vt:variant>
      <vt:variant>
        <vt:i4>0</vt:i4>
      </vt:variant>
      <vt:variant>
        <vt:i4>5</vt:i4>
      </vt:variant>
      <vt:variant>
        <vt:lpwstr>http://www.nevo.co.il/case/20930804</vt:lpwstr>
      </vt:variant>
      <vt:variant>
        <vt:lpwstr/>
      </vt:variant>
      <vt:variant>
        <vt:i4>7995492</vt:i4>
      </vt:variant>
      <vt:variant>
        <vt:i4>24</vt:i4>
      </vt:variant>
      <vt:variant>
        <vt:i4>0</vt:i4>
      </vt:variant>
      <vt:variant>
        <vt:i4>5</vt:i4>
      </vt:variant>
      <vt:variant>
        <vt:lpwstr>http://www.nevo.co.il/law/70301</vt:lpwstr>
      </vt:variant>
      <vt:variant>
        <vt:lpwstr/>
      </vt:variant>
      <vt:variant>
        <vt:i4>4128882</vt:i4>
      </vt:variant>
      <vt:variant>
        <vt:i4>21</vt:i4>
      </vt:variant>
      <vt:variant>
        <vt:i4>0</vt:i4>
      </vt:variant>
      <vt:variant>
        <vt:i4>5</vt:i4>
      </vt:variant>
      <vt:variant>
        <vt:lpwstr>http://www.nevo.co.il/case/20956329</vt:lpwstr>
      </vt:variant>
      <vt:variant>
        <vt:lpwstr/>
      </vt:variant>
      <vt:variant>
        <vt:i4>7864420</vt:i4>
      </vt:variant>
      <vt:variant>
        <vt:i4>18</vt:i4>
      </vt:variant>
      <vt:variant>
        <vt:i4>0</vt:i4>
      </vt:variant>
      <vt:variant>
        <vt:i4>5</vt:i4>
      </vt:variant>
      <vt:variant>
        <vt:lpwstr>http://www.nevo.co.il/law/70320</vt:lpwstr>
      </vt:variant>
      <vt:variant>
        <vt:lpwstr/>
      </vt:variant>
      <vt:variant>
        <vt:i4>3997812</vt:i4>
      </vt:variant>
      <vt:variant>
        <vt:i4>15</vt:i4>
      </vt:variant>
      <vt:variant>
        <vt:i4>0</vt:i4>
      </vt:variant>
      <vt:variant>
        <vt:i4>5</vt:i4>
      </vt:variant>
      <vt:variant>
        <vt:lpwstr>http://www.nevo.co.il/case/17954217</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7864420</vt:i4>
      </vt:variant>
      <vt:variant>
        <vt:i4>6</vt:i4>
      </vt:variant>
      <vt:variant>
        <vt:i4>0</vt:i4>
      </vt:variant>
      <vt:variant>
        <vt:i4>5</vt:i4>
      </vt:variant>
      <vt:variant>
        <vt:lpwstr>http://www.nevo.co.il/law/70320</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22526</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עבד אלעזיז אבו אלעקיס</vt:lpwstr>
  </property>
  <property fmtid="{D5CDD505-2E9C-101B-9397-08002B2CF9AE}" pid="10" name="LAWYER">
    <vt:lpwstr>מוחמד סולימאן;אפרת צרפתי</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20230501</vt:lpwstr>
  </property>
  <property fmtid="{D5CDD505-2E9C-101B-9397-08002B2CF9AE}" pid="14" name="TYPE_N_DATE">
    <vt:lpwstr>38020230501</vt:lpwstr>
  </property>
  <property fmtid="{D5CDD505-2E9C-101B-9397-08002B2CF9AE}" pid="15" name="WORDNUMPAGES">
    <vt:lpwstr>8</vt:lpwstr>
  </property>
  <property fmtid="{D5CDD505-2E9C-101B-9397-08002B2CF9AE}" pid="16" name="TYPE_ABS_DATE">
    <vt:lpwstr>380020230501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17954217;20956329;20930804;5583846;6247807;6248957;6124047</vt:lpwstr>
  </property>
  <property fmtid="{D5CDD505-2E9C-101B-9397-08002B2CF9AE}" pid="36" name="LAWLISTTMP1">
    <vt:lpwstr>70301/144.a</vt:lpwstr>
  </property>
  <property fmtid="{D5CDD505-2E9C-101B-9397-08002B2CF9AE}" pid="37" name="LAWLISTTMP2">
    <vt:lpwstr>70320</vt:lpwstr>
  </property>
</Properties>
</file>