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743"/>
        <w:gridCol w:w="2506"/>
        <w:gridCol w:w="5274"/>
        <w:gridCol w:w="297"/>
      </w:tblGrid>
      <w:tr w:rsidR="00F562C8" w:rsidRPr="000C466A" w14:paraId="4C2E6388" w14:textId="77777777" w:rsidTr="0034140C">
        <w:trPr>
          <w:gridAfter w:val="1"/>
          <w:wAfter w:w="297" w:type="dxa"/>
          <w:trHeight w:hRule="exact" w:val="704"/>
          <w:jc w:val="center"/>
        </w:trPr>
        <w:tc>
          <w:tcPr>
            <w:tcW w:w="8523" w:type="dxa"/>
            <w:gridSpan w:val="3"/>
          </w:tcPr>
          <w:p w14:paraId="6D46B22D" w14:textId="77777777" w:rsidR="00F562C8" w:rsidRPr="000C466A" w:rsidRDefault="00F562C8" w:rsidP="00BF6A91">
            <w:pPr>
              <w:pStyle w:val="a3"/>
              <w:jc w:val="center"/>
              <w:rPr>
                <w:rFonts w:ascii="Tahoma" w:hAnsi="Tahoma"/>
                <w:noProof w:val="0"/>
                <w:color w:val="000080"/>
                <w:sz w:val="32"/>
                <w:szCs w:val="32"/>
                <w:rtl/>
              </w:rPr>
            </w:pPr>
            <w:bookmarkStart w:id="0" w:name="LastJudge"/>
            <w:r w:rsidRPr="000C466A">
              <w:rPr>
                <w:rFonts w:ascii="Tahoma" w:hAnsi="Tahoma"/>
                <w:color w:val="000080"/>
                <w:sz w:val="32"/>
                <w:szCs w:val="32"/>
                <w:rtl/>
              </w:rPr>
              <w:t>בית משפט השלום בנצרת</w:t>
            </w:r>
          </w:p>
        </w:tc>
      </w:tr>
      <w:tr w:rsidR="00F562C8" w:rsidRPr="000C466A" w14:paraId="632CC8CF" w14:textId="77777777" w:rsidTr="0034140C">
        <w:trPr>
          <w:gridAfter w:val="1"/>
          <w:wAfter w:w="297" w:type="dxa"/>
          <w:trHeight w:val="337"/>
          <w:jc w:val="center"/>
        </w:trPr>
        <w:tc>
          <w:tcPr>
            <w:tcW w:w="8523" w:type="dxa"/>
            <w:gridSpan w:val="3"/>
          </w:tcPr>
          <w:p w14:paraId="2AAD2390" w14:textId="77777777" w:rsidR="00F562C8" w:rsidRPr="000C466A" w:rsidRDefault="00F562C8" w:rsidP="00BF6A91">
            <w:pPr>
              <w:rPr>
                <w:b/>
                <w:bCs/>
                <w:noProof w:val="0"/>
                <w:sz w:val="26"/>
                <w:szCs w:val="26"/>
                <w:rtl/>
              </w:rPr>
            </w:pPr>
            <w:r w:rsidRPr="000C466A">
              <w:rPr>
                <w:b/>
                <w:bCs/>
                <w:noProof w:val="0"/>
                <w:sz w:val="26"/>
                <w:szCs w:val="26"/>
                <w:rtl/>
              </w:rPr>
              <w:t xml:space="preserve">ת"פ 41216-03-22 מדינת ישראל נ' עאבד(עציר) </w:t>
            </w:r>
          </w:p>
          <w:p w14:paraId="4F3A05E8" w14:textId="77777777" w:rsidR="00F562C8" w:rsidRPr="000C466A" w:rsidRDefault="00F562C8" w:rsidP="00BF6A91">
            <w:pPr>
              <w:rPr>
                <w:b/>
                <w:bCs/>
                <w:noProof w:val="0"/>
                <w:sz w:val="2"/>
                <w:szCs w:val="2"/>
                <w:rtl/>
              </w:rPr>
            </w:pPr>
          </w:p>
          <w:p w14:paraId="000170C6" w14:textId="77777777" w:rsidR="00F562C8" w:rsidRPr="000C466A" w:rsidRDefault="00F562C8" w:rsidP="00BF6A91">
            <w:pPr>
              <w:rPr>
                <w:sz w:val="20"/>
                <w:szCs w:val="20"/>
                <w:rtl/>
              </w:rPr>
            </w:pPr>
            <w:r w:rsidRPr="000C466A">
              <w:rPr>
                <w:rFonts w:hint="cs"/>
                <w:rtl/>
              </w:rPr>
              <w:t xml:space="preserve">                           </w:t>
            </w:r>
            <w:r w:rsidRPr="000C466A">
              <w:rPr>
                <w:rFonts w:hint="cs"/>
                <w:sz w:val="20"/>
                <w:szCs w:val="20"/>
                <w:rtl/>
              </w:rPr>
              <w:t xml:space="preserve">                                       </w:t>
            </w:r>
          </w:p>
          <w:p w14:paraId="52500716" w14:textId="77777777" w:rsidR="00F562C8" w:rsidRPr="000C466A" w:rsidRDefault="00F562C8" w:rsidP="00BF6A91">
            <w:pPr>
              <w:rPr>
                <w:sz w:val="20"/>
                <w:szCs w:val="20"/>
                <w:rtl/>
              </w:rPr>
            </w:pPr>
            <w:r w:rsidRPr="000C466A">
              <w:rPr>
                <w:rFonts w:hint="cs"/>
                <w:sz w:val="20"/>
                <w:szCs w:val="20"/>
                <w:rtl/>
              </w:rPr>
              <w:t xml:space="preserve">תיק חיצוני: </w:t>
            </w:r>
            <w:r w:rsidRPr="000C466A">
              <w:rPr>
                <w:rFonts w:hint="eastAsia"/>
                <w:sz w:val="20"/>
                <w:szCs w:val="20"/>
              </w:rPr>
              <w:t>1226678/2022</w:t>
            </w:r>
            <w:r w:rsidRPr="000C466A">
              <w:rPr>
                <w:rFonts w:hint="cs"/>
                <w:sz w:val="20"/>
                <w:szCs w:val="20"/>
                <w:rtl/>
              </w:rPr>
              <w:t xml:space="preserve"> </w:t>
            </w:r>
            <w:r w:rsidRPr="000C466A">
              <w:rPr>
                <w:sz w:val="20"/>
                <w:szCs w:val="20"/>
                <w:rtl/>
              </w:rPr>
              <w:t xml:space="preserve">  </w:t>
            </w:r>
          </w:p>
        </w:tc>
      </w:tr>
      <w:tr w:rsidR="00F562C8" w:rsidRPr="000C466A" w14:paraId="3B498B2F" w14:textId="77777777" w:rsidTr="0034140C">
        <w:tblPrEx>
          <w:tblLook w:val="01E0" w:firstRow="1" w:lastRow="1" w:firstColumn="1" w:lastColumn="1" w:noHBand="0" w:noVBand="0"/>
        </w:tblPrEx>
        <w:trPr>
          <w:jc w:val="center"/>
        </w:trPr>
        <w:tc>
          <w:tcPr>
            <w:tcW w:w="743" w:type="dxa"/>
            <w:shd w:val="clear" w:color="auto" w:fill="auto"/>
          </w:tcPr>
          <w:p w14:paraId="48209187" w14:textId="77777777" w:rsidR="00F562C8" w:rsidRPr="000C466A" w:rsidRDefault="00F562C8" w:rsidP="00F562C8">
            <w:pPr>
              <w:suppressLineNumbers/>
              <w:jc w:val="both"/>
              <w:rPr>
                <w:rFonts w:ascii="Arial" w:hAnsi="Arial"/>
                <w:b/>
                <w:bCs/>
                <w:sz w:val="26"/>
                <w:szCs w:val="26"/>
                <w:rtl/>
              </w:rPr>
            </w:pPr>
            <w:r w:rsidRPr="000C466A">
              <w:rPr>
                <w:noProof w:val="0"/>
                <w:rtl/>
              </w:rPr>
              <w:t xml:space="preserve"> </w:t>
            </w:r>
            <w:r w:rsidRPr="000C466A">
              <w:rPr>
                <w:rFonts w:ascii="Arial" w:hAnsi="Arial" w:hint="cs"/>
                <w:b/>
                <w:bCs/>
                <w:sz w:val="26"/>
                <w:szCs w:val="26"/>
                <w:rtl/>
              </w:rPr>
              <w:t>ב</w:t>
            </w:r>
            <w:r w:rsidRPr="000C466A">
              <w:rPr>
                <w:rFonts w:ascii="Arial" w:hAnsi="Arial"/>
                <w:b/>
                <w:bCs/>
                <w:sz w:val="26"/>
                <w:szCs w:val="26"/>
                <w:rtl/>
              </w:rPr>
              <w:t xml:space="preserve">פני </w:t>
            </w:r>
          </w:p>
        </w:tc>
        <w:tc>
          <w:tcPr>
            <w:tcW w:w="8077" w:type="dxa"/>
            <w:gridSpan w:val="3"/>
            <w:shd w:val="clear" w:color="auto" w:fill="auto"/>
          </w:tcPr>
          <w:p w14:paraId="247BCA33" w14:textId="77777777" w:rsidR="00F562C8" w:rsidRPr="000C466A" w:rsidRDefault="00F562C8" w:rsidP="00F562C8">
            <w:pPr>
              <w:suppressLineNumbers/>
              <w:rPr>
                <w:rFonts w:ascii="Arial" w:hAnsi="Arial"/>
                <w:b/>
                <w:bCs/>
                <w:sz w:val="26"/>
                <w:szCs w:val="26"/>
                <w:rtl/>
              </w:rPr>
            </w:pPr>
            <w:r w:rsidRPr="000C466A">
              <w:rPr>
                <w:rFonts w:ascii="Arial" w:hAnsi="Arial" w:hint="cs"/>
                <w:b/>
                <w:bCs/>
                <w:sz w:val="26"/>
                <w:szCs w:val="26"/>
                <w:rtl/>
              </w:rPr>
              <w:t>כבוד ה</w:t>
            </w:r>
            <w:r w:rsidRPr="000C466A">
              <w:rPr>
                <w:rFonts w:ascii="Arial" w:hAnsi="Arial"/>
                <w:b/>
                <w:bCs/>
                <w:sz w:val="26"/>
                <w:szCs w:val="26"/>
                <w:rtl/>
              </w:rPr>
              <w:t>שופטת</w:t>
            </w:r>
            <w:r w:rsidRPr="000C466A">
              <w:rPr>
                <w:rFonts w:ascii="Arial" w:hAnsi="Arial" w:hint="cs"/>
                <w:b/>
                <w:bCs/>
                <w:sz w:val="26"/>
                <w:szCs w:val="26"/>
                <w:rtl/>
              </w:rPr>
              <w:t xml:space="preserve"> </w:t>
            </w:r>
            <w:r w:rsidRPr="000C466A">
              <w:rPr>
                <w:rFonts w:ascii="Arial" w:hAnsi="Arial"/>
                <w:b/>
                <w:bCs/>
                <w:sz w:val="26"/>
                <w:szCs w:val="26"/>
                <w:rtl/>
              </w:rPr>
              <w:t>רות שפילברג כהן</w:t>
            </w:r>
          </w:p>
          <w:p w14:paraId="3C08DE6B" w14:textId="77777777" w:rsidR="00F562C8" w:rsidRPr="000C466A" w:rsidRDefault="00F562C8" w:rsidP="00F562C8">
            <w:pPr>
              <w:suppressLineNumbers/>
              <w:rPr>
                <w:sz w:val="26"/>
                <w:szCs w:val="26"/>
              </w:rPr>
            </w:pPr>
          </w:p>
        </w:tc>
      </w:tr>
      <w:tr w:rsidR="00F562C8" w:rsidRPr="000C466A" w14:paraId="37BAAD48" w14:textId="77777777" w:rsidTr="0034140C">
        <w:tblPrEx>
          <w:tblLook w:val="01E0" w:firstRow="1" w:lastRow="1" w:firstColumn="1" w:lastColumn="1" w:noHBand="0" w:noVBand="0"/>
        </w:tblPrEx>
        <w:trPr>
          <w:jc w:val="center"/>
        </w:trPr>
        <w:tc>
          <w:tcPr>
            <w:tcW w:w="3249" w:type="dxa"/>
            <w:gridSpan w:val="2"/>
            <w:shd w:val="clear" w:color="auto" w:fill="auto"/>
          </w:tcPr>
          <w:p w14:paraId="0F6D5B86" w14:textId="77777777" w:rsidR="00F562C8" w:rsidRPr="000C466A" w:rsidRDefault="00F562C8" w:rsidP="00F562C8">
            <w:pPr>
              <w:suppressLineNumbers/>
              <w:rPr>
                <w:rtl/>
              </w:rPr>
            </w:pPr>
            <w:bookmarkStart w:id="1" w:name="FirstAppellant"/>
          </w:p>
          <w:p w14:paraId="715CE829" w14:textId="77777777" w:rsidR="00F562C8" w:rsidRPr="000C466A" w:rsidRDefault="00F562C8" w:rsidP="00F562C8">
            <w:pPr>
              <w:suppressLineNumbers/>
              <w:rPr>
                <w:rFonts w:ascii="Arial" w:hAnsi="Arial"/>
                <w:b/>
                <w:bCs/>
                <w:noProof w:val="0"/>
                <w:sz w:val="26"/>
                <w:szCs w:val="26"/>
                <w:rtl/>
              </w:rPr>
            </w:pPr>
            <w:r w:rsidRPr="000C466A">
              <w:rPr>
                <w:rFonts w:ascii="Arial" w:hAnsi="Arial"/>
                <w:b/>
                <w:bCs/>
                <w:noProof w:val="0"/>
                <w:sz w:val="26"/>
                <w:szCs w:val="26"/>
                <w:rtl/>
              </w:rPr>
              <w:t>מאשימה</w:t>
            </w:r>
          </w:p>
        </w:tc>
        <w:tc>
          <w:tcPr>
            <w:tcW w:w="5571" w:type="dxa"/>
            <w:gridSpan w:val="2"/>
            <w:shd w:val="clear" w:color="auto" w:fill="auto"/>
          </w:tcPr>
          <w:p w14:paraId="14436DD9" w14:textId="77777777" w:rsidR="00F562C8" w:rsidRPr="000C466A" w:rsidRDefault="00F562C8" w:rsidP="00F562C8">
            <w:pPr>
              <w:suppressLineNumbers/>
              <w:rPr>
                <w:rtl/>
              </w:rPr>
            </w:pPr>
          </w:p>
          <w:p w14:paraId="79D9E888" w14:textId="77777777" w:rsidR="00F562C8" w:rsidRPr="000C466A" w:rsidRDefault="00F562C8" w:rsidP="00F562C8">
            <w:pPr>
              <w:suppressLineNumbers/>
              <w:rPr>
                <w:b/>
                <w:bCs/>
                <w:noProof w:val="0"/>
                <w:sz w:val="26"/>
                <w:szCs w:val="26"/>
              </w:rPr>
            </w:pPr>
            <w:r w:rsidRPr="000C466A">
              <w:rPr>
                <w:rFonts w:ascii="Arial" w:hAnsi="Arial"/>
                <w:b/>
                <w:bCs/>
                <w:noProof w:val="0"/>
                <w:sz w:val="26"/>
                <w:szCs w:val="26"/>
                <w:rtl/>
              </w:rPr>
              <w:t>מדינת ישראל</w:t>
            </w:r>
          </w:p>
        </w:tc>
      </w:tr>
      <w:bookmarkEnd w:id="1"/>
      <w:tr w:rsidR="00F562C8" w:rsidRPr="000C466A" w14:paraId="203FC424" w14:textId="77777777" w:rsidTr="0034140C">
        <w:tblPrEx>
          <w:tblLook w:val="01E0" w:firstRow="1" w:lastRow="1" w:firstColumn="1" w:lastColumn="1" w:noHBand="0" w:noVBand="0"/>
        </w:tblPrEx>
        <w:trPr>
          <w:jc w:val="center"/>
        </w:trPr>
        <w:tc>
          <w:tcPr>
            <w:tcW w:w="8820" w:type="dxa"/>
            <w:gridSpan w:val="4"/>
            <w:shd w:val="clear" w:color="auto" w:fill="auto"/>
          </w:tcPr>
          <w:p w14:paraId="0F967103" w14:textId="77777777" w:rsidR="00F562C8" w:rsidRPr="000C466A" w:rsidRDefault="00F562C8" w:rsidP="00F562C8">
            <w:pPr>
              <w:suppressLineNumbers/>
              <w:rPr>
                <w:rFonts w:ascii="Arial" w:hAnsi="Arial"/>
                <w:b/>
                <w:bCs/>
                <w:noProof w:val="0"/>
                <w:sz w:val="26"/>
                <w:szCs w:val="26"/>
                <w:rtl/>
              </w:rPr>
            </w:pPr>
          </w:p>
          <w:p w14:paraId="197A2901" w14:textId="77777777" w:rsidR="00F562C8" w:rsidRPr="000C466A" w:rsidRDefault="00F562C8" w:rsidP="00F562C8">
            <w:pPr>
              <w:suppressLineNumbers/>
              <w:jc w:val="center"/>
              <w:rPr>
                <w:rFonts w:ascii="Arial" w:hAnsi="Arial"/>
                <w:b/>
                <w:bCs/>
                <w:noProof w:val="0"/>
                <w:sz w:val="26"/>
                <w:szCs w:val="26"/>
                <w:rtl/>
              </w:rPr>
            </w:pPr>
            <w:r w:rsidRPr="000C466A">
              <w:rPr>
                <w:rFonts w:ascii="Arial" w:hAnsi="Arial"/>
                <w:b/>
                <w:bCs/>
                <w:noProof w:val="0"/>
                <w:sz w:val="26"/>
                <w:szCs w:val="26"/>
                <w:rtl/>
              </w:rPr>
              <w:t>נגד</w:t>
            </w:r>
          </w:p>
          <w:p w14:paraId="7E83C594" w14:textId="77777777" w:rsidR="00F562C8" w:rsidRPr="000C466A" w:rsidRDefault="00F562C8" w:rsidP="00F562C8">
            <w:pPr>
              <w:suppressLineNumbers/>
              <w:rPr>
                <w:rFonts w:ascii="Arial" w:hAnsi="Arial"/>
                <w:b/>
                <w:bCs/>
                <w:noProof w:val="0"/>
                <w:sz w:val="26"/>
                <w:szCs w:val="26"/>
              </w:rPr>
            </w:pPr>
          </w:p>
        </w:tc>
      </w:tr>
      <w:tr w:rsidR="00F562C8" w:rsidRPr="000C466A" w14:paraId="2E975470" w14:textId="77777777" w:rsidTr="0034140C">
        <w:tblPrEx>
          <w:tblLook w:val="01E0" w:firstRow="1" w:lastRow="1" w:firstColumn="1" w:lastColumn="1" w:noHBand="0" w:noVBand="0"/>
        </w:tblPrEx>
        <w:trPr>
          <w:jc w:val="center"/>
        </w:trPr>
        <w:tc>
          <w:tcPr>
            <w:tcW w:w="3249" w:type="dxa"/>
            <w:gridSpan w:val="2"/>
            <w:shd w:val="clear" w:color="auto" w:fill="auto"/>
          </w:tcPr>
          <w:p w14:paraId="495458D8" w14:textId="77777777" w:rsidR="00F562C8" w:rsidRPr="000C466A" w:rsidRDefault="00F562C8" w:rsidP="00F562C8">
            <w:pPr>
              <w:suppressLineNumbers/>
              <w:rPr>
                <w:rFonts w:ascii="Arial" w:hAnsi="Arial"/>
                <w:b/>
                <w:bCs/>
                <w:noProof w:val="0"/>
                <w:sz w:val="26"/>
                <w:szCs w:val="26"/>
              </w:rPr>
            </w:pPr>
            <w:r w:rsidRPr="000C466A">
              <w:rPr>
                <w:rFonts w:ascii="Arial" w:hAnsi="Arial"/>
                <w:b/>
                <w:bCs/>
                <w:noProof w:val="0"/>
                <w:sz w:val="26"/>
                <w:szCs w:val="26"/>
                <w:rtl/>
              </w:rPr>
              <w:t>נאשם</w:t>
            </w:r>
          </w:p>
        </w:tc>
        <w:tc>
          <w:tcPr>
            <w:tcW w:w="5571" w:type="dxa"/>
            <w:gridSpan w:val="2"/>
            <w:shd w:val="clear" w:color="auto" w:fill="auto"/>
          </w:tcPr>
          <w:p w14:paraId="43E1200C" w14:textId="77777777" w:rsidR="00F562C8" w:rsidRPr="000C466A" w:rsidRDefault="00F562C8" w:rsidP="00F562C8">
            <w:pPr>
              <w:suppressLineNumbers/>
              <w:rPr>
                <w:rFonts w:ascii="Arial" w:hAnsi="Arial"/>
                <w:b/>
                <w:bCs/>
                <w:noProof w:val="0"/>
                <w:sz w:val="26"/>
                <w:szCs w:val="26"/>
                <w:rtl/>
              </w:rPr>
            </w:pPr>
            <w:r w:rsidRPr="000C466A">
              <w:rPr>
                <w:rFonts w:ascii="Arial" w:hAnsi="Arial"/>
                <w:b/>
                <w:bCs/>
                <w:noProof w:val="0"/>
                <w:sz w:val="26"/>
                <w:szCs w:val="26"/>
                <w:rtl/>
              </w:rPr>
              <w:t xml:space="preserve">עלאא עאבד </w:t>
            </w:r>
          </w:p>
        </w:tc>
      </w:tr>
    </w:tbl>
    <w:p w14:paraId="7E8F0BA0" w14:textId="77777777" w:rsidR="0034140C" w:rsidRDefault="0034140C" w:rsidP="000C466A">
      <w:pPr>
        <w:spacing w:line="360" w:lineRule="auto"/>
        <w:jc w:val="center"/>
        <w:rPr>
          <w:rFonts w:ascii="Arial" w:hAnsi="Arial"/>
          <w:sz w:val="28"/>
          <w:szCs w:val="28"/>
          <w:rtl/>
        </w:rPr>
      </w:pPr>
      <w:bookmarkStart w:id="2" w:name="NGCSBookmark"/>
      <w:bookmarkEnd w:id="2"/>
    </w:p>
    <w:p w14:paraId="50BDE924" w14:textId="77777777" w:rsidR="0034140C" w:rsidRPr="0034140C" w:rsidRDefault="0034140C" w:rsidP="0034140C">
      <w:pPr>
        <w:spacing w:after="120" w:line="240" w:lineRule="exact"/>
        <w:ind w:left="283" w:hanging="283"/>
        <w:jc w:val="both"/>
        <w:rPr>
          <w:rFonts w:ascii="FrankRuehl" w:hAnsi="FrankRuehl" w:cs="FrankRuehl"/>
          <w:rtl/>
        </w:rPr>
      </w:pPr>
    </w:p>
    <w:p w14:paraId="20A5F933" w14:textId="77777777" w:rsidR="007B3889" w:rsidRPr="007B3889" w:rsidRDefault="007B3889" w:rsidP="007B3889">
      <w:pPr>
        <w:spacing w:before="120" w:after="120" w:line="240" w:lineRule="exact"/>
        <w:ind w:left="283" w:hanging="283"/>
        <w:jc w:val="both"/>
        <w:rPr>
          <w:rFonts w:ascii="FrankRuehl" w:hAnsi="FrankRuehl" w:cs="FrankRuehl"/>
          <w:rtl/>
        </w:rPr>
      </w:pPr>
    </w:p>
    <w:p w14:paraId="1A55DB51" w14:textId="77777777" w:rsidR="00DA552E" w:rsidRDefault="00DA552E" w:rsidP="00DA552E">
      <w:pPr>
        <w:spacing w:line="360" w:lineRule="auto"/>
        <w:jc w:val="center"/>
        <w:rPr>
          <w:rFonts w:ascii="Arial" w:hAnsi="Arial"/>
          <w:sz w:val="28"/>
          <w:szCs w:val="28"/>
          <w:rtl/>
        </w:rPr>
      </w:pPr>
      <w:bookmarkStart w:id="3" w:name="LawTable"/>
      <w:bookmarkEnd w:id="3"/>
    </w:p>
    <w:p w14:paraId="6ACB7855" w14:textId="77777777" w:rsidR="00DA552E" w:rsidRPr="00DA552E" w:rsidRDefault="00DA552E" w:rsidP="00DA552E">
      <w:pPr>
        <w:spacing w:before="120" w:after="120" w:line="240" w:lineRule="exact"/>
        <w:ind w:left="283" w:hanging="283"/>
        <w:jc w:val="both"/>
        <w:rPr>
          <w:rFonts w:ascii="FrankRuehl" w:hAnsi="FrankRuehl" w:cs="FrankRuehl"/>
          <w:rtl/>
        </w:rPr>
      </w:pPr>
    </w:p>
    <w:p w14:paraId="1AD440C7" w14:textId="77777777" w:rsidR="00DA552E" w:rsidRPr="00DA552E" w:rsidRDefault="00DA552E" w:rsidP="00DA552E">
      <w:pPr>
        <w:spacing w:before="120" w:after="120" w:line="240" w:lineRule="exact"/>
        <w:ind w:left="283" w:hanging="283"/>
        <w:jc w:val="both"/>
        <w:rPr>
          <w:rFonts w:ascii="FrankRuehl" w:hAnsi="FrankRuehl" w:cs="FrankRuehl"/>
          <w:rtl/>
        </w:rPr>
      </w:pPr>
    </w:p>
    <w:p w14:paraId="5BC5DB59" w14:textId="77777777" w:rsidR="00DA552E" w:rsidRPr="00DA552E" w:rsidRDefault="00DA552E" w:rsidP="00DA552E">
      <w:pPr>
        <w:spacing w:before="120" w:after="120" w:line="240" w:lineRule="exact"/>
        <w:ind w:left="283" w:hanging="283"/>
        <w:jc w:val="both"/>
        <w:rPr>
          <w:rFonts w:ascii="FrankRuehl" w:hAnsi="FrankRuehl" w:cs="FrankRuehl"/>
          <w:rtl/>
        </w:rPr>
      </w:pPr>
      <w:r w:rsidRPr="00DA552E">
        <w:rPr>
          <w:rFonts w:ascii="FrankRuehl" w:hAnsi="FrankRuehl" w:cs="FrankRuehl"/>
          <w:rtl/>
        </w:rPr>
        <w:t xml:space="preserve">חקיקה שאוזכרה: </w:t>
      </w:r>
    </w:p>
    <w:p w14:paraId="507CC2FE" w14:textId="77777777" w:rsidR="00DA552E" w:rsidRPr="00DA552E" w:rsidRDefault="00DA552E" w:rsidP="00DA552E">
      <w:pPr>
        <w:spacing w:before="120" w:after="120" w:line="240" w:lineRule="exact"/>
        <w:ind w:left="283" w:hanging="283"/>
        <w:jc w:val="both"/>
        <w:rPr>
          <w:rFonts w:ascii="FrankRuehl" w:hAnsi="FrankRuehl" w:cs="FrankRuehl"/>
          <w:rtl/>
        </w:rPr>
      </w:pPr>
      <w:hyperlink r:id="rId6" w:history="1">
        <w:r w:rsidRPr="00DA552E">
          <w:rPr>
            <w:rFonts w:ascii="FrankRuehl" w:hAnsi="FrankRuehl" w:cs="FrankRuehl"/>
            <w:color w:val="0000FF"/>
            <w:rtl/>
          </w:rPr>
          <w:t>חוק העונשין, תשל"ז-1977</w:t>
        </w:r>
      </w:hyperlink>
      <w:r w:rsidRPr="00DA552E">
        <w:rPr>
          <w:rFonts w:ascii="FrankRuehl" w:hAnsi="FrankRuehl" w:cs="FrankRuehl"/>
          <w:rtl/>
        </w:rPr>
        <w:t xml:space="preserve">: סע'  </w:t>
      </w:r>
      <w:hyperlink r:id="rId7" w:history="1">
        <w:r w:rsidRPr="00DA552E">
          <w:rPr>
            <w:rFonts w:ascii="FrankRuehl" w:hAnsi="FrankRuehl" w:cs="FrankRuehl"/>
            <w:color w:val="0000FF"/>
            <w:rtl/>
          </w:rPr>
          <w:t>144</w:t>
        </w:r>
      </w:hyperlink>
      <w:r w:rsidRPr="00DA552E">
        <w:rPr>
          <w:rFonts w:ascii="FrankRuehl" w:hAnsi="FrankRuehl" w:cs="FrankRuehl"/>
          <w:rtl/>
        </w:rPr>
        <w:t xml:space="preserve">, </w:t>
      </w:r>
      <w:hyperlink r:id="rId8" w:history="1">
        <w:r w:rsidRPr="00DA552E">
          <w:rPr>
            <w:rFonts w:ascii="FrankRuehl" w:hAnsi="FrankRuehl" w:cs="FrankRuehl"/>
            <w:color w:val="0000FF"/>
            <w:rtl/>
          </w:rPr>
          <w:t>144(א)</w:t>
        </w:r>
      </w:hyperlink>
      <w:r w:rsidRPr="00DA552E">
        <w:rPr>
          <w:rFonts w:ascii="FrankRuehl" w:hAnsi="FrankRuehl" w:cs="FrankRuehl"/>
          <w:rtl/>
        </w:rPr>
        <w:t xml:space="preserve">, </w:t>
      </w:r>
      <w:hyperlink r:id="rId9" w:history="1">
        <w:r w:rsidRPr="00DA552E">
          <w:rPr>
            <w:rFonts w:ascii="FrankRuehl" w:hAnsi="FrankRuehl" w:cs="FrankRuehl"/>
            <w:color w:val="0000FF"/>
            <w:rtl/>
          </w:rPr>
          <w:t>144 (ז)</w:t>
        </w:r>
      </w:hyperlink>
    </w:p>
    <w:p w14:paraId="5D51660F" w14:textId="77777777" w:rsidR="00DA552E" w:rsidRPr="00DA552E" w:rsidRDefault="00DA552E" w:rsidP="00DA552E">
      <w:pPr>
        <w:spacing w:line="360" w:lineRule="auto"/>
        <w:jc w:val="center"/>
        <w:rPr>
          <w:rFonts w:ascii="Arial" w:hAnsi="Arial"/>
          <w:sz w:val="28"/>
          <w:szCs w:val="28"/>
          <w:rtl/>
        </w:rPr>
      </w:pPr>
      <w:bookmarkStart w:id="4" w:name="LawTable_End"/>
      <w:bookmarkEnd w:id="4"/>
    </w:p>
    <w:p w14:paraId="16C53AD9" w14:textId="77777777" w:rsidR="000C466A" w:rsidRPr="007B3889" w:rsidRDefault="000C466A" w:rsidP="007B3889">
      <w:pPr>
        <w:spacing w:line="360" w:lineRule="auto"/>
        <w:jc w:val="center"/>
        <w:rPr>
          <w:rFonts w:ascii="Arial" w:hAnsi="Arial"/>
          <w:sz w:val="28"/>
          <w:szCs w:val="28"/>
          <w:rtl/>
        </w:rPr>
      </w:pPr>
    </w:p>
    <w:p w14:paraId="276F51CD" w14:textId="77777777" w:rsidR="000C466A" w:rsidRPr="000C466A" w:rsidRDefault="000C466A" w:rsidP="000C466A">
      <w:pPr>
        <w:spacing w:line="360" w:lineRule="auto"/>
        <w:jc w:val="center"/>
        <w:rPr>
          <w:rFonts w:ascii="Arial" w:hAnsi="Arial"/>
          <w:b/>
          <w:bCs/>
          <w:sz w:val="28"/>
          <w:szCs w:val="28"/>
          <w:u w:val="single"/>
          <w:rtl/>
        </w:rPr>
      </w:pPr>
      <w:bookmarkStart w:id="5" w:name="PsakDin"/>
      <w:bookmarkEnd w:id="0"/>
      <w:r w:rsidRPr="000C466A">
        <w:rPr>
          <w:rFonts w:ascii="Arial" w:hAnsi="Arial"/>
          <w:b/>
          <w:bCs/>
          <w:sz w:val="28"/>
          <w:szCs w:val="28"/>
          <w:u w:val="single"/>
          <w:rtl/>
        </w:rPr>
        <w:t>גזר דין</w:t>
      </w:r>
    </w:p>
    <w:bookmarkEnd w:id="5"/>
    <w:p w14:paraId="74A1FD70" w14:textId="77777777" w:rsidR="00F562C8" w:rsidRDefault="00F562C8" w:rsidP="00F562C8">
      <w:pPr>
        <w:spacing w:line="360" w:lineRule="auto"/>
        <w:jc w:val="both"/>
        <w:rPr>
          <w:rFonts w:ascii="Arial" w:hAnsi="Arial"/>
          <w:rtl/>
        </w:rPr>
      </w:pPr>
    </w:p>
    <w:p w14:paraId="058494F9" w14:textId="77777777" w:rsidR="00F562C8" w:rsidRDefault="00F562C8" w:rsidP="00F562C8">
      <w:pPr>
        <w:spacing w:line="360" w:lineRule="auto"/>
        <w:jc w:val="both"/>
        <w:rPr>
          <w:rFonts w:ascii="David" w:hAnsi="David"/>
        </w:rPr>
      </w:pPr>
      <w:bookmarkStart w:id="6" w:name="ABSTRACT_START"/>
      <w:bookmarkEnd w:id="6"/>
      <w:r>
        <w:rPr>
          <w:rFonts w:hint="cs"/>
          <w:rtl/>
        </w:rPr>
        <w:t xml:space="preserve">הנאשם הורשע עפ"י הודאתו ובהתאם להסדר טיעון בעבירה של החזקת נשק שלא כדין לפי </w:t>
      </w:r>
      <w:hyperlink r:id="rId10" w:history="1">
        <w:r w:rsidR="0034140C" w:rsidRPr="0034140C">
          <w:rPr>
            <w:rStyle w:val="Hyperlink"/>
            <w:rFonts w:hint="eastAsia"/>
            <w:rtl/>
          </w:rPr>
          <w:t>סעיף</w:t>
        </w:r>
        <w:r w:rsidR="0034140C" w:rsidRPr="0034140C">
          <w:rPr>
            <w:rStyle w:val="Hyperlink"/>
            <w:rtl/>
          </w:rPr>
          <w:t xml:space="preserve"> 144(א)</w:t>
        </w:r>
      </w:hyperlink>
      <w:r>
        <w:rPr>
          <w:rFonts w:hint="cs"/>
          <w:rtl/>
        </w:rPr>
        <w:t xml:space="preserve"> רישא ל</w:t>
      </w:r>
      <w:hyperlink r:id="rId11" w:history="1">
        <w:r w:rsidR="000C466A" w:rsidRPr="000C466A">
          <w:rPr>
            <w:color w:val="0000FF"/>
            <w:u w:val="single"/>
            <w:rtl/>
          </w:rPr>
          <w:t>חוק העונשין</w:t>
        </w:r>
      </w:hyperlink>
      <w:r>
        <w:rPr>
          <w:rFonts w:hint="cs"/>
          <w:rtl/>
        </w:rPr>
        <w:t xml:space="preserve">, וכן בהחזקת אביזרים של נשק, בהתאם </w:t>
      </w:r>
      <w:hyperlink r:id="rId12" w:history="1">
        <w:r w:rsidR="0034140C" w:rsidRPr="0034140C">
          <w:rPr>
            <w:rStyle w:val="Hyperlink"/>
            <w:rFonts w:hint="eastAsia"/>
            <w:rtl/>
          </w:rPr>
          <w:t>לסעיף</w:t>
        </w:r>
        <w:r w:rsidR="0034140C" w:rsidRPr="0034140C">
          <w:rPr>
            <w:rStyle w:val="Hyperlink"/>
            <w:rtl/>
          </w:rPr>
          <w:t xml:space="preserve"> 144(א)</w:t>
        </w:r>
      </w:hyperlink>
      <w:r>
        <w:rPr>
          <w:rFonts w:hint="cs"/>
          <w:rtl/>
        </w:rPr>
        <w:t xml:space="preserve"> סיפא לחוק העונשין. </w:t>
      </w:r>
    </w:p>
    <w:p w14:paraId="4A53BB7F" w14:textId="77777777" w:rsidR="00F562C8" w:rsidRDefault="00F562C8" w:rsidP="00F562C8">
      <w:pPr>
        <w:spacing w:line="360" w:lineRule="auto"/>
        <w:jc w:val="both"/>
        <w:rPr>
          <w:rtl/>
        </w:rPr>
      </w:pPr>
    </w:p>
    <w:p w14:paraId="094CC2F8" w14:textId="77777777" w:rsidR="00F562C8" w:rsidRDefault="00F562C8" w:rsidP="00F562C8">
      <w:pPr>
        <w:spacing w:line="360" w:lineRule="auto"/>
        <w:jc w:val="both"/>
        <w:rPr>
          <w:rtl/>
        </w:rPr>
      </w:pPr>
      <w:r>
        <w:rPr>
          <w:rFonts w:hint="cs"/>
          <w:rtl/>
        </w:rPr>
        <w:t xml:space="preserve">מדובר באקדח חצי אוטומטי מסוג </w:t>
      </w:r>
      <w:r>
        <w:t>FN</w:t>
      </w:r>
      <w:r>
        <w:rPr>
          <w:rFonts w:hint="cs"/>
          <w:rtl/>
        </w:rPr>
        <w:t>, יחד עם שתי מחסניות ללא תחמושת, אשר הנאשם נמצא מחזיק בתוך ארון בחדר השינה בבית שבו מתגורר בנצרת, ביום 6.3.2022.</w:t>
      </w:r>
    </w:p>
    <w:p w14:paraId="60E050AD" w14:textId="77777777" w:rsidR="00F562C8" w:rsidRDefault="00F562C8" w:rsidP="00F562C8">
      <w:pPr>
        <w:spacing w:line="360" w:lineRule="auto"/>
        <w:jc w:val="both"/>
        <w:rPr>
          <w:rtl/>
        </w:rPr>
      </w:pPr>
    </w:p>
    <w:p w14:paraId="1883D99D" w14:textId="77777777" w:rsidR="00F562C8" w:rsidRDefault="00F562C8" w:rsidP="00F562C8">
      <w:pPr>
        <w:spacing w:line="360" w:lineRule="auto"/>
        <w:jc w:val="both"/>
        <w:rPr>
          <w:rtl/>
        </w:rPr>
      </w:pPr>
      <w:bookmarkStart w:id="7" w:name="ABSTRACT_END"/>
      <w:bookmarkEnd w:id="7"/>
      <w:r>
        <w:rPr>
          <w:rFonts w:hint="cs"/>
          <w:rtl/>
        </w:rPr>
        <w:t>עבירות הנשק מצויות בהווה במרכז מטרותיהן של רשויות האכיפה. אין צורך בהשכלה משפטית או בבקיאות בעולם המשפט הפלילי כדי להבין שמדובר במכת מדינה קשה. חדשות לבקרים נחשפים אנו לאירועי אלימות, פציעה, מוות, סחיטה, הפחדה ואיום, אשר בהם נעשה שימוש בנשק חם.</w:t>
      </w:r>
    </w:p>
    <w:p w14:paraId="15400A92" w14:textId="77777777" w:rsidR="00F562C8" w:rsidRDefault="00F562C8" w:rsidP="00F562C8">
      <w:pPr>
        <w:spacing w:line="360" w:lineRule="auto"/>
        <w:jc w:val="both"/>
        <w:rPr>
          <w:rtl/>
        </w:rPr>
      </w:pPr>
    </w:p>
    <w:p w14:paraId="54E22ECC" w14:textId="77777777" w:rsidR="00F562C8" w:rsidRDefault="00F562C8" w:rsidP="00F562C8">
      <w:pPr>
        <w:spacing w:line="360" w:lineRule="auto"/>
        <w:jc w:val="both"/>
        <w:rPr>
          <w:rtl/>
        </w:rPr>
      </w:pPr>
      <w:r>
        <w:rPr>
          <w:rFonts w:hint="cs"/>
          <w:rtl/>
        </w:rPr>
        <w:t>המחוקק נתן דעתו לצורך הבלתי מתפשר ללחום בתופעת הנשק הבלתי חוקי, וזאת במסגרת תיקון 140 ל</w:t>
      </w:r>
      <w:hyperlink r:id="rId13" w:history="1">
        <w:r w:rsidR="000C466A" w:rsidRPr="000C466A">
          <w:rPr>
            <w:color w:val="0000FF"/>
            <w:u w:val="single"/>
            <w:rtl/>
          </w:rPr>
          <w:t>חוק העונשין</w:t>
        </w:r>
      </w:hyperlink>
      <w:r>
        <w:rPr>
          <w:rFonts w:hint="cs"/>
          <w:rtl/>
        </w:rPr>
        <w:t xml:space="preserve">, שבו התווסף לאחרונה </w:t>
      </w:r>
      <w:hyperlink r:id="rId14" w:history="1">
        <w:r w:rsidR="0034140C" w:rsidRPr="0034140C">
          <w:rPr>
            <w:rStyle w:val="Hyperlink"/>
            <w:rFonts w:hint="eastAsia"/>
            <w:rtl/>
          </w:rPr>
          <w:t>לסעיף</w:t>
        </w:r>
        <w:r w:rsidR="0034140C" w:rsidRPr="0034140C">
          <w:rPr>
            <w:rStyle w:val="Hyperlink"/>
            <w:rtl/>
          </w:rPr>
          <w:t xml:space="preserve"> 144</w:t>
        </w:r>
      </w:hyperlink>
      <w:r>
        <w:rPr>
          <w:rFonts w:hint="cs"/>
          <w:rtl/>
        </w:rPr>
        <w:t xml:space="preserve"> לחוק העונשין סעיף קטן ז, המחייב בעבירות נשק להטיל עונש אשר לא יפחת מרבע העונש המרבי אשר נקבע לעבירה. בענייננו, העונש </w:t>
      </w:r>
      <w:r>
        <w:rPr>
          <w:rFonts w:hint="cs"/>
          <w:rtl/>
        </w:rPr>
        <w:lastRenderedPageBreak/>
        <w:t xml:space="preserve">המרבי הקבוע לחמורה שבעבירות שבהן הורשע הנאשם, הינו 7 שנים, ולפיכך לפי תיקון 144, העונש אשר יש להטיל אסור שיפחת מ- 22 חודשים.  יחד עם זאת, פרשנותו הנכונה של </w:t>
      </w:r>
      <w:r w:rsidR="0034140C" w:rsidRPr="0034140C">
        <w:rPr>
          <w:rFonts w:hint="eastAsia"/>
          <w:rtl/>
        </w:rPr>
        <w:t>הסעיף</w:t>
      </w:r>
      <w:r w:rsidR="0034140C" w:rsidRPr="0034140C">
        <w:rPr>
          <w:rtl/>
        </w:rPr>
        <w:t xml:space="preserve"> הינה</w:t>
      </w:r>
      <w:r>
        <w:rPr>
          <w:rFonts w:hint="cs"/>
          <w:rtl/>
        </w:rPr>
        <w:t xml:space="preserve"> כי העונש הכולל ראוי שיחושב בצירופם יחד של המאסר בפועל והמאסר המותנה שיוטלו, אשר סה"כ אסור שיפחתו מרבע התקופה המקסימלית. בנוסף יש לציין כי סעיף </w:t>
      </w:r>
      <w:hyperlink r:id="rId15" w:history="1">
        <w:r w:rsidR="0034140C" w:rsidRPr="0034140C">
          <w:rPr>
            <w:rStyle w:val="Hyperlink"/>
            <w:rtl/>
          </w:rPr>
          <w:t>144 (ז)</w:t>
        </w:r>
      </w:hyperlink>
      <w:r>
        <w:rPr>
          <w:rFonts w:hint="cs"/>
          <w:rtl/>
        </w:rPr>
        <w:t xml:space="preserve"> מתיר לבית המשפט לסטות מההוראה מטעמים מיוחדים שיירשמו במסגרת הקלה בעונש. </w:t>
      </w:r>
    </w:p>
    <w:p w14:paraId="042A24F3" w14:textId="77777777" w:rsidR="00F562C8" w:rsidRDefault="00F562C8" w:rsidP="00F562C8">
      <w:pPr>
        <w:spacing w:line="360" w:lineRule="auto"/>
        <w:jc w:val="both"/>
        <w:rPr>
          <w:rtl/>
        </w:rPr>
      </w:pPr>
    </w:p>
    <w:p w14:paraId="5FD833C6" w14:textId="77777777" w:rsidR="00F562C8" w:rsidRDefault="00F562C8" w:rsidP="00F562C8">
      <w:pPr>
        <w:spacing w:line="360" w:lineRule="auto"/>
        <w:jc w:val="both"/>
        <w:rPr>
          <w:rtl/>
        </w:rPr>
      </w:pPr>
      <w:r>
        <w:rPr>
          <w:rFonts w:hint="cs"/>
          <w:rtl/>
        </w:rPr>
        <w:t>פסיקת בתי המשפט מהעת האחרונה מתייחסת שוב ושוב למגמת ההחמרה בענישה בגין החזקת נשק. ראוי להפנות לעניין זה לפסיקתו של בימ"ש המחוזי בנצרת, אשר ב</w:t>
      </w:r>
      <w:hyperlink r:id="rId16" w:history="1">
        <w:r w:rsidR="000C466A" w:rsidRPr="000C466A">
          <w:rPr>
            <w:color w:val="0000FF"/>
            <w:u w:val="single"/>
            <w:rtl/>
          </w:rPr>
          <w:t>עפ"ג 2024-04-21</w:t>
        </w:r>
      </w:hyperlink>
      <w:r>
        <w:rPr>
          <w:rFonts w:hint="cs"/>
          <w:rtl/>
        </w:rPr>
        <w:t xml:space="preserve">, סקר בהרחבה את מגמת הפסיקה עד אז, תוך שהוא מציין כי מאז ניתן אותו גזר דין אשר נדון שם, אובחנה החמרה נוספת בביצוע עבירות הנשק, אשר נעשות נפוצות יותר ויותר. </w:t>
      </w:r>
    </w:p>
    <w:p w14:paraId="0447274C" w14:textId="77777777" w:rsidR="00F562C8" w:rsidRDefault="00F562C8" w:rsidP="00F562C8">
      <w:pPr>
        <w:spacing w:line="360" w:lineRule="auto"/>
        <w:jc w:val="both"/>
        <w:rPr>
          <w:rtl/>
        </w:rPr>
      </w:pPr>
    </w:p>
    <w:p w14:paraId="38BB4575" w14:textId="77777777" w:rsidR="00F562C8" w:rsidRDefault="00F562C8" w:rsidP="00F562C8">
      <w:pPr>
        <w:spacing w:line="360" w:lineRule="auto"/>
        <w:jc w:val="both"/>
        <w:rPr>
          <w:rtl/>
        </w:rPr>
      </w:pPr>
      <w:r>
        <w:rPr>
          <w:rFonts w:hint="cs"/>
          <w:rtl/>
        </w:rPr>
        <w:t xml:space="preserve">בעניין מנדורי, ציין בית המשפט המחוזי (פסקה 85) כי לגבי אקדח -  מתחם העונש ההולם צריך להתחיל לכל הפחות ב- 12 חודשי מאסר בפועל, ואף למעלה מכך. </w:t>
      </w:r>
    </w:p>
    <w:p w14:paraId="036471D9" w14:textId="77777777" w:rsidR="00F562C8" w:rsidRDefault="00F562C8" w:rsidP="00F562C8">
      <w:pPr>
        <w:spacing w:line="360" w:lineRule="auto"/>
        <w:jc w:val="both"/>
        <w:rPr>
          <w:rtl/>
        </w:rPr>
      </w:pPr>
    </w:p>
    <w:p w14:paraId="3F704B3A" w14:textId="77777777" w:rsidR="00F562C8" w:rsidRDefault="00F562C8" w:rsidP="00F562C8">
      <w:pPr>
        <w:spacing w:line="360" w:lineRule="auto"/>
        <w:jc w:val="both"/>
        <w:rPr>
          <w:rtl/>
        </w:rPr>
      </w:pPr>
      <w:r>
        <w:rPr>
          <w:rFonts w:hint="cs"/>
          <w:rtl/>
        </w:rPr>
        <w:t xml:space="preserve">הנאשם החזיק באקדח יחד עם שתי מחסניות, אך ללא תחמושת. הכלי והאביזרים הוחזקו בתוך ארון בדירת מגורים. כתב האישום נעדר נסיבות מחמירות שונות, אשר עלולות להצביע, במקרים חמורים יותר, על כוונה לשימוש ספציפי בנשק. יתרה מכך, הסניגור טען כי מדובר בהחזקה רגעית, וכי הנשק הגיע לחזקת הנאשם זמן קצר לפני שאותר. אקח בחשבון את העדרן של נסיבות מחמירות, ואתן משקל מסוים, אם כי לא מכריע, לטענה כי מדובר בהחזקה למשך תקופה קצרה, ואולם לא ניתן שלא לתת משקל לדבריו של בית המשפט המחוזי בעניין מנדורי הנ"ל, אשר אליהם הפנתה המאשימה בצדק, לכך שעצם החזקת נשק היא האקט הראוי להוקעה. התחמשות בנשק חם כרוכה, מטבע הדברים, בהחלטה ובהוצאתה לפועל, לא פעם תוך השקעת משאבים כספיים ניכרים. עצם ההתחמשות מלמדת מכללא על כוונה שלילית, מסוכנות, ומחשבה פלילית ברמה משמעותית. </w:t>
      </w:r>
    </w:p>
    <w:p w14:paraId="5202CF27" w14:textId="77777777" w:rsidR="00F562C8" w:rsidRDefault="00F562C8" w:rsidP="00F562C8">
      <w:pPr>
        <w:spacing w:line="360" w:lineRule="auto"/>
        <w:jc w:val="both"/>
        <w:rPr>
          <w:rtl/>
        </w:rPr>
      </w:pPr>
    </w:p>
    <w:p w14:paraId="50D1F843" w14:textId="77777777" w:rsidR="00F562C8" w:rsidRDefault="00F562C8" w:rsidP="00F562C8">
      <w:pPr>
        <w:spacing w:line="360" w:lineRule="auto"/>
        <w:jc w:val="both"/>
        <w:rPr>
          <w:rtl/>
        </w:rPr>
      </w:pPr>
      <w:r>
        <w:rPr>
          <w:rFonts w:hint="cs"/>
          <w:rtl/>
        </w:rPr>
        <w:t xml:space="preserve">מאז שהתקבלה החלטה בעניין מנדורי לפני למעלה משנה הוחרף משמעותית המצב ברמת האלימות במדינה, בכך שאירועי הנשק , ואירועי הירי רבו עד מאוד. אני סבורה כי כיום, והדבר עולה במפורש מפסיקה מהעת האחרונה, מתחם הענישה, גם בגין החזקת אקדח ללא תחמושת, אינו מתחיל אך בשנת מאסר, אלא </w:t>
      </w:r>
      <w:r>
        <w:rPr>
          <w:rFonts w:hint="cs"/>
          <w:b/>
          <w:bCs/>
          <w:rtl/>
        </w:rPr>
        <w:t>שהקצה הנמוך של המתחם מתחיל ב- 14 חודשי מאסר ומסתיים במאסר מעל שנתיים</w:t>
      </w:r>
      <w:r>
        <w:rPr>
          <w:rFonts w:hint="cs"/>
          <w:rtl/>
        </w:rPr>
        <w:t xml:space="preserve">. </w:t>
      </w:r>
    </w:p>
    <w:p w14:paraId="222E0E2A" w14:textId="77777777" w:rsidR="00F562C8" w:rsidRDefault="00F562C8" w:rsidP="00F562C8">
      <w:pPr>
        <w:spacing w:line="360" w:lineRule="auto"/>
        <w:jc w:val="both"/>
        <w:rPr>
          <w:rtl/>
        </w:rPr>
      </w:pPr>
    </w:p>
    <w:p w14:paraId="5BE22358" w14:textId="77777777" w:rsidR="00F562C8" w:rsidRDefault="00F562C8" w:rsidP="00F562C8">
      <w:pPr>
        <w:spacing w:line="360" w:lineRule="auto"/>
        <w:jc w:val="both"/>
        <w:rPr>
          <w:rtl/>
        </w:rPr>
      </w:pPr>
      <w:r>
        <w:rPr>
          <w:rFonts w:hint="cs"/>
          <w:rtl/>
        </w:rPr>
        <w:t xml:space="preserve">יודגש, כי קביעת המתחם נעשתה תוך הכרה בכך שמדובר בעבירת נשק המצויה בקצה הנמוך של טווח הנסיבות. אילו היה הנאשם מחזיק גם בתחמושת תואמת, או אילו היה מבצע עבירות נוספות אם השלכה לאלימות או לפלילים אחרים, היה ראוי לקבוע מתחם ענישה גבוה יותר. </w:t>
      </w:r>
    </w:p>
    <w:p w14:paraId="0D72C8C1" w14:textId="77777777" w:rsidR="00F562C8" w:rsidRDefault="00F562C8" w:rsidP="00F562C8">
      <w:pPr>
        <w:spacing w:line="360" w:lineRule="auto"/>
        <w:jc w:val="both"/>
        <w:rPr>
          <w:rtl/>
        </w:rPr>
      </w:pPr>
    </w:p>
    <w:p w14:paraId="078C492B" w14:textId="77777777" w:rsidR="00F562C8" w:rsidRDefault="00F562C8" w:rsidP="00F562C8">
      <w:pPr>
        <w:spacing w:line="360" w:lineRule="auto"/>
        <w:jc w:val="both"/>
        <w:rPr>
          <w:rtl/>
        </w:rPr>
      </w:pPr>
      <w:r>
        <w:rPr>
          <w:rFonts w:hint="cs"/>
          <w:rtl/>
        </w:rPr>
        <w:t xml:space="preserve">הדברים עולים בפסיקה מהעת האחרונה אליה הפנתה ב"כ המאשימה – לדוגמא  </w:t>
      </w:r>
      <w:hyperlink r:id="rId17" w:history="1">
        <w:r w:rsidR="000C466A" w:rsidRPr="000C466A">
          <w:rPr>
            <w:color w:val="0000FF"/>
            <w:u w:val="single"/>
            <w:rtl/>
          </w:rPr>
          <w:t>ת"פ 47870-03-22</w:t>
        </w:r>
      </w:hyperlink>
      <w:r>
        <w:rPr>
          <w:rFonts w:hint="cs"/>
          <w:rtl/>
        </w:rPr>
        <w:t xml:space="preserve">, בו הטיל בית משפט השלום בירושלים, ביום 25.7.2022- 20 חודשי מאסר על נאשם בנסיבות דומות. (יצוין כי לא ניתן היה לברר אם מדובר בפסק דין חלוט, או שמא מצוי הוא בליבו של הליך ערעור). </w:t>
      </w:r>
    </w:p>
    <w:p w14:paraId="2BDF9AD0" w14:textId="77777777" w:rsidR="00F562C8" w:rsidRDefault="00F562C8" w:rsidP="00F562C8">
      <w:pPr>
        <w:spacing w:line="360" w:lineRule="auto"/>
        <w:jc w:val="both"/>
        <w:rPr>
          <w:rtl/>
        </w:rPr>
      </w:pPr>
    </w:p>
    <w:p w14:paraId="3C42ED23" w14:textId="77777777" w:rsidR="00F562C8" w:rsidRDefault="00F562C8" w:rsidP="00F562C8">
      <w:pPr>
        <w:spacing w:line="360" w:lineRule="auto"/>
        <w:jc w:val="both"/>
        <w:rPr>
          <w:rtl/>
        </w:rPr>
      </w:pPr>
      <w:r>
        <w:rPr>
          <w:rFonts w:hint="cs"/>
          <w:rtl/>
        </w:rPr>
        <w:t xml:space="preserve">וכעת לשלב ההצבה של  עונשו של הנאשם במתחם העונשי. החלטתי כי ראוי יהיה להציב את העונש בקצהו הנמוך של מתחם הענישה. לגבי הנאשם לא הוגש אמנם תסקיר, ואולם התרשמתי מחרטה לגבי מעידה ראשונה בפלילים. הנאשם יליד 1089, נשוי טרי, הודה בהזדמנות הראשונה והתחרט. לטענת הסניגור, אשר לא נסתרה, הנאשם הודה כבר בחקירה, והבנתי מהדברים שגישתו סייעה לקידום החקירה. הנאשם, על פי דבריו ועל פי דברי אמו, עבד באופן סדיר טרם מעצרו ואישומו, והוא בן למשפחה נורמטיבית, אשר מתמודדת כעת עם מעצרו של בן נוסף באותה פרשה. לגבי הנאשם הגיש הסניגור מכתב מסגן ראש העיר נוף הגליל, לפיו הנאשם סייע בחודש מאי 2021 בסיכול אירוע הפרעה חמור לסדר הציבורי, וגם עניין זה ייזקף לטובתו. גם דיווח אישי של הנאשם, כי מנע, בעת מעצרו, ניסיון אובדני של עצור אחר, נלקח בחשבון, אם כי שב"ס לא אישר את הדבר בכתב, וכל שדווח היה כי אכן הייתה סיטואציה של ניסיון אובדני, ואולם לא ידוע באשר לחלקו של הנאשם באותו אירוע. </w:t>
      </w:r>
    </w:p>
    <w:p w14:paraId="6E902DCE" w14:textId="77777777" w:rsidR="00F562C8" w:rsidRDefault="00F562C8" w:rsidP="00F562C8">
      <w:pPr>
        <w:spacing w:line="360" w:lineRule="auto"/>
        <w:jc w:val="both"/>
        <w:rPr>
          <w:rtl/>
        </w:rPr>
      </w:pPr>
    </w:p>
    <w:p w14:paraId="2C3A2CBA" w14:textId="77777777" w:rsidR="00F562C8" w:rsidRDefault="00F562C8" w:rsidP="00F562C8">
      <w:pPr>
        <w:spacing w:line="360" w:lineRule="auto"/>
        <w:jc w:val="both"/>
        <w:rPr>
          <w:rtl/>
        </w:rPr>
      </w:pPr>
      <w:r>
        <w:rPr>
          <w:rFonts w:hint="cs"/>
          <w:rtl/>
        </w:rPr>
        <w:t xml:space="preserve">לא ראיתי נימוקים שיש בהם להצדיק סטייה לקולא ממתחם הענישה, ואולם כאמור, שוכנעתי כי יש להציב את העונש בתחתית המתחם. </w:t>
      </w:r>
    </w:p>
    <w:p w14:paraId="4ED29CD5" w14:textId="77777777" w:rsidR="00F562C8" w:rsidRDefault="00F562C8" w:rsidP="00F562C8">
      <w:pPr>
        <w:spacing w:line="360" w:lineRule="auto"/>
        <w:jc w:val="both"/>
        <w:rPr>
          <w:rtl/>
        </w:rPr>
      </w:pPr>
    </w:p>
    <w:p w14:paraId="00D7793D" w14:textId="77777777" w:rsidR="00F562C8" w:rsidRDefault="00F562C8" w:rsidP="00F562C8">
      <w:pPr>
        <w:spacing w:line="360" w:lineRule="auto"/>
        <w:jc w:val="both"/>
        <w:rPr>
          <w:rtl/>
        </w:rPr>
      </w:pPr>
      <w:r>
        <w:rPr>
          <w:rFonts w:hint="cs"/>
          <w:rtl/>
        </w:rPr>
        <w:t>אני גוזרת, אם כן, את עונשו של הנאשם כדלקמן:</w:t>
      </w:r>
    </w:p>
    <w:p w14:paraId="6552D52D" w14:textId="77777777" w:rsidR="00F562C8" w:rsidRDefault="00F562C8" w:rsidP="00F562C8">
      <w:pPr>
        <w:spacing w:line="360" w:lineRule="auto"/>
        <w:rPr>
          <w:rtl/>
        </w:rPr>
      </w:pPr>
    </w:p>
    <w:p w14:paraId="35C90C25" w14:textId="77777777" w:rsidR="00F562C8" w:rsidRDefault="00F562C8" w:rsidP="00F562C8">
      <w:pPr>
        <w:spacing w:line="360" w:lineRule="auto"/>
        <w:ind w:left="720" w:hanging="720"/>
        <w:jc w:val="both"/>
        <w:rPr>
          <w:rtl/>
        </w:rPr>
      </w:pPr>
      <w:r>
        <w:rPr>
          <w:rFonts w:hint="cs"/>
          <w:rtl/>
        </w:rPr>
        <w:t>א.</w:t>
      </w:r>
      <w:r>
        <w:rPr>
          <w:rFonts w:hint="cs"/>
          <w:rtl/>
        </w:rPr>
        <w:tab/>
        <w:t>מאסר בפועל לתקופה של 14 חודשים, בניכוי ימי המעצר מיום 6.3.2022.</w:t>
      </w:r>
    </w:p>
    <w:p w14:paraId="7CE3C2DA" w14:textId="77777777" w:rsidR="00F562C8" w:rsidRDefault="00F562C8" w:rsidP="00F562C8">
      <w:pPr>
        <w:pStyle w:val="2"/>
        <w:spacing w:line="360" w:lineRule="auto"/>
        <w:jc w:val="both"/>
        <w:rPr>
          <w:rtl/>
        </w:rPr>
      </w:pPr>
    </w:p>
    <w:p w14:paraId="48B7161D" w14:textId="77777777" w:rsidR="00F562C8" w:rsidRDefault="00F562C8" w:rsidP="00F562C8">
      <w:pPr>
        <w:spacing w:line="360" w:lineRule="auto"/>
        <w:ind w:left="720" w:hanging="720"/>
        <w:jc w:val="both"/>
        <w:rPr>
          <w:rtl/>
        </w:rPr>
      </w:pPr>
      <w:r>
        <w:rPr>
          <w:rFonts w:hint="cs"/>
          <w:rtl/>
        </w:rPr>
        <w:t>ב.</w:t>
      </w:r>
      <w:r>
        <w:rPr>
          <w:rFonts w:hint="cs"/>
          <w:rtl/>
        </w:rPr>
        <w:tab/>
        <w:t xml:space="preserve">מאסר על תנאי לתקופה של  8 חודשים והתנאי הוא כי במשך 3 שנים מיום שחרורו מן המאסר, לא יעבור כל עבירת נשק מסוג פשע. </w:t>
      </w:r>
    </w:p>
    <w:p w14:paraId="32D8262F" w14:textId="77777777" w:rsidR="00F562C8" w:rsidRDefault="00F562C8" w:rsidP="00F562C8">
      <w:pPr>
        <w:spacing w:line="360" w:lineRule="auto"/>
        <w:ind w:left="720" w:hanging="720"/>
        <w:jc w:val="both"/>
        <w:rPr>
          <w:rtl/>
        </w:rPr>
      </w:pPr>
    </w:p>
    <w:p w14:paraId="293DB623" w14:textId="77777777" w:rsidR="00F562C8" w:rsidRDefault="00F562C8" w:rsidP="00F562C8">
      <w:pPr>
        <w:spacing w:line="360" w:lineRule="auto"/>
        <w:ind w:left="720" w:hanging="720"/>
        <w:jc w:val="both"/>
        <w:rPr>
          <w:rtl/>
        </w:rPr>
      </w:pPr>
    </w:p>
    <w:p w14:paraId="3F81271E" w14:textId="77777777" w:rsidR="00F562C8" w:rsidRDefault="00F562C8" w:rsidP="00F562C8">
      <w:pPr>
        <w:pStyle w:val="a9"/>
        <w:spacing w:line="360" w:lineRule="auto"/>
        <w:jc w:val="both"/>
        <w:rPr>
          <w:rtl/>
        </w:rPr>
      </w:pPr>
      <w:r>
        <w:rPr>
          <w:rFonts w:hint="cs"/>
          <w:rtl/>
        </w:rPr>
        <w:t xml:space="preserve">בהתחשב במאסר הממושך יחסית, החלטתי להימנע מרכיב כלכלי בענישה. </w:t>
      </w:r>
    </w:p>
    <w:p w14:paraId="58C691E6" w14:textId="77777777" w:rsidR="00F562C8" w:rsidRDefault="00F562C8" w:rsidP="00F562C8">
      <w:pPr>
        <w:pStyle w:val="a9"/>
        <w:spacing w:line="360" w:lineRule="auto"/>
        <w:jc w:val="both"/>
        <w:rPr>
          <w:rtl/>
        </w:rPr>
      </w:pPr>
    </w:p>
    <w:p w14:paraId="54D802E3" w14:textId="77777777" w:rsidR="00F562C8" w:rsidRDefault="00F562C8" w:rsidP="00F562C8">
      <w:pPr>
        <w:pStyle w:val="a9"/>
        <w:spacing w:line="360" w:lineRule="auto"/>
        <w:jc w:val="both"/>
        <w:rPr>
          <w:rtl/>
        </w:rPr>
      </w:pPr>
    </w:p>
    <w:p w14:paraId="7DF3B29A" w14:textId="77777777" w:rsidR="00F562C8" w:rsidRDefault="00F562C8" w:rsidP="00F562C8">
      <w:pPr>
        <w:pStyle w:val="a9"/>
        <w:spacing w:line="360" w:lineRule="auto"/>
        <w:jc w:val="both"/>
        <w:rPr>
          <w:rtl/>
        </w:rPr>
      </w:pPr>
    </w:p>
    <w:p w14:paraId="0917AC9E" w14:textId="77777777" w:rsidR="00F562C8" w:rsidRDefault="00F562C8" w:rsidP="00F562C8">
      <w:pPr>
        <w:pStyle w:val="a9"/>
        <w:spacing w:line="360" w:lineRule="auto"/>
        <w:jc w:val="both"/>
        <w:rPr>
          <w:rtl/>
        </w:rPr>
      </w:pPr>
    </w:p>
    <w:p w14:paraId="6C45E7D0" w14:textId="77777777" w:rsidR="00F562C8" w:rsidRDefault="00F562C8" w:rsidP="00F562C8">
      <w:pPr>
        <w:pStyle w:val="a9"/>
        <w:spacing w:line="360" w:lineRule="auto"/>
        <w:jc w:val="both"/>
        <w:rPr>
          <w:rtl/>
        </w:rPr>
      </w:pPr>
    </w:p>
    <w:p w14:paraId="50DAFC2A" w14:textId="77777777" w:rsidR="00F562C8" w:rsidRDefault="00F562C8" w:rsidP="00F562C8">
      <w:pPr>
        <w:pStyle w:val="a9"/>
        <w:spacing w:line="360" w:lineRule="auto"/>
        <w:jc w:val="both"/>
        <w:rPr>
          <w:b/>
          <w:bCs/>
          <w:rtl/>
        </w:rPr>
      </w:pPr>
      <w:r>
        <w:rPr>
          <w:rFonts w:hint="cs"/>
          <w:b/>
          <w:bCs/>
          <w:rtl/>
        </w:rPr>
        <w:t xml:space="preserve">זכות ערעור תוך 45 יום לבית המשפט המחוזי. </w:t>
      </w:r>
    </w:p>
    <w:p w14:paraId="7C08BCC8" w14:textId="77777777" w:rsidR="00F562C8" w:rsidRDefault="00F562C8" w:rsidP="00F562C8">
      <w:pPr>
        <w:pStyle w:val="a9"/>
        <w:spacing w:line="360" w:lineRule="auto"/>
        <w:jc w:val="both"/>
        <w:rPr>
          <w:rtl/>
        </w:rPr>
      </w:pPr>
    </w:p>
    <w:p w14:paraId="763F4993" w14:textId="77777777" w:rsidR="00F562C8" w:rsidRDefault="00F562C8" w:rsidP="00F562C8">
      <w:pPr>
        <w:spacing w:line="360" w:lineRule="auto"/>
        <w:jc w:val="both"/>
        <w:rPr>
          <w:sz w:val="6"/>
          <w:szCs w:val="6"/>
          <w:rtl/>
        </w:rPr>
      </w:pPr>
      <w:r>
        <w:rPr>
          <w:rFonts w:hint="cs"/>
          <w:sz w:val="6"/>
          <w:szCs w:val="6"/>
          <w:rtl/>
        </w:rPr>
        <w:t>&lt;#4#&gt;</w:t>
      </w:r>
    </w:p>
    <w:p w14:paraId="74F69598" w14:textId="77777777" w:rsidR="00F562C8" w:rsidRDefault="00F562C8" w:rsidP="00F562C8">
      <w:pPr>
        <w:spacing w:line="360" w:lineRule="auto"/>
        <w:rPr>
          <w:rtl/>
        </w:rPr>
      </w:pPr>
      <w:r>
        <w:rPr>
          <w:rFonts w:hint="cs"/>
          <w:b/>
          <w:bCs/>
          <w:rtl/>
        </w:rPr>
        <w:t xml:space="preserve">ניתן והודע היום ג' תשרי תשפ"ג, </w:t>
      </w:r>
      <w:r>
        <w:rPr>
          <w:rFonts w:hint="cs"/>
          <w:b/>
          <w:bCs/>
        </w:rPr>
        <w:t>28/09/2022</w:t>
      </w:r>
      <w:r>
        <w:rPr>
          <w:rFonts w:hint="cs"/>
          <w:b/>
          <w:bCs/>
          <w:rtl/>
        </w:rPr>
        <w:t xml:space="preserve"> במעמד הנוכחים.</w:t>
      </w:r>
    </w:p>
    <w:p w14:paraId="32D5D88A" w14:textId="77777777" w:rsidR="00F562C8" w:rsidRDefault="00F562C8" w:rsidP="00F562C8">
      <w:pPr>
        <w:rPr>
          <w:rtl/>
        </w:rPr>
      </w:pPr>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F562C8" w14:paraId="4607249D" w14:textId="77777777" w:rsidTr="00F562C8">
        <w:trPr>
          <w:trHeight w:val="316"/>
        </w:trPr>
        <w:tc>
          <w:tcPr>
            <w:tcW w:w="3936" w:type="dxa"/>
            <w:tcBorders>
              <w:top w:val="nil"/>
              <w:left w:val="nil"/>
              <w:bottom w:val="single" w:sz="4" w:space="0" w:color="auto"/>
              <w:right w:val="nil"/>
            </w:tcBorders>
            <w:shd w:val="clear" w:color="auto" w:fill="auto"/>
            <w:vAlign w:val="center"/>
          </w:tcPr>
          <w:p w14:paraId="50E0E466" w14:textId="77777777" w:rsidR="00F562C8" w:rsidRDefault="002837E9" w:rsidP="00F562C8">
            <w:pPr>
              <w:jc w:val="center"/>
              <w:rPr>
                <w:rtl/>
              </w:rPr>
            </w:pPr>
            <w:r>
              <w:pict w14:anchorId="401B8D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 o:spid="_x0000_i1026" type="#_x0000_t75" style="width:159.55pt;height:51.25pt;visibility:visible">
                  <v:imagedata r:id="rId18" o:title=""/>
                </v:shape>
              </w:pict>
            </w:r>
          </w:p>
          <w:p w14:paraId="5EA6F4B8" w14:textId="77777777" w:rsidR="00F562C8" w:rsidRDefault="00F562C8" w:rsidP="00F562C8">
            <w:pPr>
              <w:jc w:val="center"/>
            </w:pPr>
          </w:p>
        </w:tc>
      </w:tr>
      <w:tr w:rsidR="00F562C8" w14:paraId="7B6CE030" w14:textId="77777777" w:rsidTr="00F562C8">
        <w:trPr>
          <w:trHeight w:val="361"/>
        </w:trPr>
        <w:tc>
          <w:tcPr>
            <w:tcW w:w="3936" w:type="dxa"/>
            <w:tcBorders>
              <w:top w:val="single" w:sz="4" w:space="0" w:color="auto"/>
              <w:left w:val="nil"/>
              <w:bottom w:val="nil"/>
              <w:right w:val="nil"/>
            </w:tcBorders>
            <w:shd w:val="clear" w:color="auto" w:fill="auto"/>
            <w:vAlign w:val="center"/>
          </w:tcPr>
          <w:p w14:paraId="1B1478D9" w14:textId="77777777" w:rsidR="00F562C8" w:rsidRPr="00F562C8" w:rsidRDefault="00F562C8" w:rsidP="00F562C8">
            <w:pPr>
              <w:jc w:val="center"/>
              <w:rPr>
                <w:b/>
                <w:bCs/>
                <w:rtl/>
              </w:rPr>
            </w:pPr>
            <w:r w:rsidRPr="00F562C8">
              <w:rPr>
                <w:b/>
                <w:bCs/>
                <w:rtl/>
              </w:rPr>
              <w:t>רות</w:t>
            </w:r>
            <w:r w:rsidRPr="00F562C8">
              <w:rPr>
                <w:rFonts w:hint="cs"/>
                <w:b/>
                <w:bCs/>
                <w:rtl/>
              </w:rPr>
              <w:t xml:space="preserve"> </w:t>
            </w:r>
            <w:r w:rsidRPr="00F562C8">
              <w:rPr>
                <w:b/>
                <w:bCs/>
                <w:rtl/>
              </w:rPr>
              <w:t>שפילברג כהן</w:t>
            </w:r>
            <w:r w:rsidRPr="00F562C8">
              <w:rPr>
                <w:rFonts w:hint="cs"/>
                <w:b/>
                <w:bCs/>
                <w:rtl/>
              </w:rPr>
              <w:t xml:space="preserve">, </w:t>
            </w:r>
            <w:r w:rsidRPr="00F562C8">
              <w:rPr>
                <w:b/>
                <w:bCs/>
                <w:rtl/>
              </w:rPr>
              <w:t>שופטת</w:t>
            </w:r>
          </w:p>
        </w:tc>
      </w:tr>
    </w:tbl>
    <w:p w14:paraId="1AE19CF5" w14:textId="77777777" w:rsidR="00F562C8" w:rsidRPr="00B95D6E" w:rsidRDefault="00F562C8" w:rsidP="00F562C8">
      <w:pPr>
        <w:spacing w:line="360" w:lineRule="auto"/>
        <w:jc w:val="both"/>
        <w:rPr>
          <w:rFonts w:ascii="Arial" w:hAnsi="Arial"/>
          <w:noProof w:val="0"/>
          <w:rtl/>
        </w:rPr>
      </w:pPr>
    </w:p>
    <w:p w14:paraId="5C4F1EDF" w14:textId="77777777" w:rsidR="00F562C8" w:rsidRPr="00B95D6E" w:rsidRDefault="00F562C8" w:rsidP="00F562C8">
      <w:pPr>
        <w:spacing w:line="360" w:lineRule="auto"/>
        <w:jc w:val="both"/>
        <w:rPr>
          <w:rFonts w:ascii="Arial" w:hAnsi="Arial"/>
          <w:noProof w:val="0"/>
          <w:rtl/>
        </w:rPr>
      </w:pPr>
    </w:p>
    <w:p w14:paraId="62602FDF" w14:textId="77777777" w:rsidR="00F562C8" w:rsidRPr="00B95D6E" w:rsidRDefault="00F562C8" w:rsidP="00F562C8">
      <w:pPr>
        <w:spacing w:line="360" w:lineRule="auto"/>
        <w:jc w:val="both"/>
        <w:rPr>
          <w:rFonts w:ascii="Arial" w:hAnsi="Arial"/>
          <w:noProof w:val="0"/>
          <w:rtl/>
        </w:rPr>
      </w:pPr>
    </w:p>
    <w:p w14:paraId="1F195634" w14:textId="77777777" w:rsidR="00F562C8" w:rsidRPr="000C466A" w:rsidRDefault="000C466A" w:rsidP="00F562C8">
      <w:pPr>
        <w:spacing w:line="360" w:lineRule="auto"/>
        <w:jc w:val="both"/>
        <w:rPr>
          <w:rFonts w:ascii="Arial" w:hAnsi="Arial"/>
          <w:noProof w:val="0"/>
          <w:color w:val="FFFFFF"/>
          <w:sz w:val="2"/>
          <w:szCs w:val="2"/>
          <w:rtl/>
        </w:rPr>
      </w:pPr>
      <w:r w:rsidRPr="000C466A">
        <w:rPr>
          <w:rFonts w:ascii="Arial" w:hAnsi="Arial"/>
          <w:noProof w:val="0"/>
          <w:color w:val="FFFFFF"/>
          <w:sz w:val="2"/>
          <w:szCs w:val="2"/>
          <w:rtl/>
        </w:rPr>
        <w:t>5129371</w:t>
      </w:r>
    </w:p>
    <w:p w14:paraId="2A0CDAB7" w14:textId="77777777" w:rsidR="00F562C8" w:rsidRPr="000C466A" w:rsidRDefault="000C466A" w:rsidP="00F562C8">
      <w:pPr>
        <w:spacing w:line="360" w:lineRule="auto"/>
        <w:jc w:val="both"/>
        <w:rPr>
          <w:rFonts w:ascii="Arial" w:hAnsi="Arial"/>
          <w:noProof w:val="0"/>
          <w:color w:val="FFFFFF"/>
          <w:sz w:val="2"/>
          <w:szCs w:val="2"/>
          <w:rtl/>
        </w:rPr>
      </w:pPr>
      <w:r w:rsidRPr="000C466A">
        <w:rPr>
          <w:rFonts w:ascii="Arial" w:hAnsi="Arial"/>
          <w:noProof w:val="0"/>
          <w:color w:val="FFFFFF"/>
          <w:sz w:val="2"/>
          <w:szCs w:val="2"/>
          <w:rtl/>
        </w:rPr>
        <w:t>54678313</w:t>
      </w:r>
    </w:p>
    <w:p w14:paraId="4A2F5F71" w14:textId="77777777" w:rsidR="00F562C8" w:rsidRPr="00B95D6E" w:rsidRDefault="00F562C8" w:rsidP="00F562C8">
      <w:pPr>
        <w:spacing w:line="360" w:lineRule="auto"/>
        <w:jc w:val="both"/>
        <w:rPr>
          <w:rFonts w:ascii="Arial" w:hAnsi="Arial"/>
          <w:noProof w:val="0"/>
          <w:rtl/>
        </w:rPr>
      </w:pPr>
    </w:p>
    <w:p w14:paraId="166D5E66" w14:textId="77777777" w:rsidR="00F562C8" w:rsidRDefault="000C466A" w:rsidP="00F562C8">
      <w:pPr>
        <w:tabs>
          <w:tab w:val="left" w:pos="2553"/>
        </w:tabs>
        <w:ind w:left="5040"/>
        <w:rPr>
          <w:rtl/>
        </w:rPr>
      </w:pPr>
      <w:bookmarkStart w:id="8" w:name="Nitan"/>
      <w:r>
        <w:rPr>
          <w:rFonts w:ascii="Arial" w:hAnsi="Arial"/>
          <w:noProof w:val="0"/>
          <w:rtl/>
        </w:rPr>
        <w:t xml:space="preserve">ניתנה היום, ג' תשרי תשפ"ג, 28 ספטמבר 2022, בהעדר הצדדים. </w:t>
      </w:r>
      <w:bookmarkEnd w:id="8"/>
      <w:r w:rsidR="00F562C8">
        <w:rPr>
          <w:rFonts w:hint="cs"/>
          <w:rtl/>
        </w:rPr>
        <w:t xml:space="preserve">     </w:t>
      </w:r>
    </w:p>
    <w:p w14:paraId="7CCB3B8E" w14:textId="77777777" w:rsidR="00F562C8" w:rsidRDefault="00F562C8" w:rsidP="000C466A">
      <w:pPr>
        <w:tabs>
          <w:tab w:val="left" w:pos="2553"/>
        </w:tabs>
      </w:pPr>
      <w:r>
        <w:rPr>
          <w:rFonts w:hint="cs"/>
          <w:rtl/>
        </w:rPr>
        <w:tab/>
      </w:r>
      <w:r>
        <w:rPr>
          <w:rFonts w:hint="cs"/>
          <w:rtl/>
        </w:rPr>
        <w:tab/>
      </w:r>
      <w:r>
        <w:rPr>
          <w:rFonts w:hint="cs"/>
          <w:rtl/>
        </w:rPr>
        <w:tab/>
      </w:r>
      <w:r>
        <w:rPr>
          <w:rFonts w:hint="cs"/>
          <w:rtl/>
        </w:rPr>
        <w:tab/>
        <w:t xml:space="preserve">        </w:t>
      </w:r>
    </w:p>
    <w:p w14:paraId="1BB8A1E3" w14:textId="77777777" w:rsidR="00F562C8" w:rsidRDefault="00F562C8" w:rsidP="00F562C8">
      <w:pPr>
        <w:tabs>
          <w:tab w:val="left" w:pos="2553"/>
        </w:tabs>
        <w:rPr>
          <w:rFonts w:ascii="Arial" w:hAnsi="Arial"/>
          <w:noProof w:val="0"/>
          <w:rtl/>
        </w:rPr>
      </w:pPr>
    </w:p>
    <w:p w14:paraId="15273924" w14:textId="77777777" w:rsidR="00653387" w:rsidRPr="000C466A" w:rsidRDefault="00653387" w:rsidP="000C466A">
      <w:pPr>
        <w:keepNext/>
        <w:rPr>
          <w:rFonts w:ascii="David" w:hAnsi="David"/>
          <w:color w:val="000000"/>
          <w:sz w:val="22"/>
          <w:szCs w:val="22"/>
          <w:rtl/>
        </w:rPr>
      </w:pPr>
    </w:p>
    <w:p w14:paraId="1CC7CBFC" w14:textId="77777777" w:rsidR="000C466A" w:rsidRPr="000C466A" w:rsidRDefault="000C466A" w:rsidP="000C466A">
      <w:pPr>
        <w:keepNext/>
        <w:rPr>
          <w:rFonts w:ascii="David" w:hAnsi="David"/>
          <w:color w:val="000000"/>
          <w:sz w:val="22"/>
          <w:szCs w:val="22"/>
          <w:rtl/>
        </w:rPr>
      </w:pPr>
      <w:r w:rsidRPr="000C466A">
        <w:rPr>
          <w:rFonts w:ascii="David" w:hAnsi="David"/>
          <w:color w:val="000000"/>
          <w:sz w:val="22"/>
          <w:szCs w:val="22"/>
          <w:rtl/>
        </w:rPr>
        <w:t>רות שפילברג כהן 54678313</w:t>
      </w:r>
    </w:p>
    <w:p w14:paraId="37E934F9" w14:textId="77777777" w:rsidR="000C466A" w:rsidRDefault="000C466A" w:rsidP="000C466A">
      <w:r w:rsidRPr="000C466A">
        <w:rPr>
          <w:color w:val="000000"/>
          <w:rtl/>
        </w:rPr>
        <w:t>נוסח מסמך זה כפוף לשינויי ניסוח ועריכה</w:t>
      </w:r>
    </w:p>
    <w:p w14:paraId="08A217AA" w14:textId="77777777" w:rsidR="000C466A" w:rsidRDefault="000C466A" w:rsidP="000C466A">
      <w:pPr>
        <w:rPr>
          <w:rtl/>
        </w:rPr>
      </w:pPr>
    </w:p>
    <w:p w14:paraId="4D729B1D" w14:textId="77777777" w:rsidR="000C466A" w:rsidRDefault="000C466A" w:rsidP="000C466A">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40B596E1" w14:textId="77777777" w:rsidR="000C466A" w:rsidRPr="000C466A" w:rsidRDefault="000C466A" w:rsidP="000C466A">
      <w:pPr>
        <w:jc w:val="center"/>
        <w:rPr>
          <w:color w:val="0000FF"/>
          <w:u w:val="single"/>
        </w:rPr>
      </w:pPr>
    </w:p>
    <w:sectPr w:rsidR="000C466A" w:rsidRPr="000C466A" w:rsidSect="000C466A">
      <w:headerReference w:type="even" r:id="rId20"/>
      <w:headerReference w:type="default" r:id="rId21"/>
      <w:footerReference w:type="even" r:id="rId22"/>
      <w:footerReference w:type="default" r:id="rId23"/>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E16F4" w14:textId="77777777" w:rsidR="0035403D" w:rsidRDefault="0035403D" w:rsidP="002837E9">
      <w:r>
        <w:separator/>
      </w:r>
    </w:p>
  </w:endnote>
  <w:endnote w:type="continuationSeparator" w:id="0">
    <w:p w14:paraId="2FDFC1C7" w14:textId="77777777" w:rsidR="0035403D" w:rsidRDefault="0035403D" w:rsidP="00283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5CAA3" w14:textId="77777777" w:rsidR="000C466A" w:rsidRDefault="000C466A" w:rsidP="000C466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1B4BB38C" w14:textId="77777777" w:rsidR="000C466A" w:rsidRPr="000C466A" w:rsidRDefault="000C466A" w:rsidP="000C466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F878F" w14:textId="77777777" w:rsidR="000C466A" w:rsidRDefault="000C466A" w:rsidP="000C466A">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F20BEA">
      <w:rPr>
        <w:rStyle w:val="a8"/>
        <w:rFonts w:ascii="FrankRuehl" w:hAnsi="FrankRuehl" w:cs="FrankRuehl"/>
        <w:rtl/>
      </w:rPr>
      <w:t>1</w:t>
    </w:r>
    <w:r>
      <w:rPr>
        <w:rStyle w:val="a8"/>
        <w:rFonts w:ascii="FrankRuehl" w:hAnsi="FrankRuehl" w:cs="FrankRuehl"/>
        <w:rtl/>
      </w:rPr>
      <w:fldChar w:fldCharType="end"/>
    </w:r>
  </w:p>
  <w:p w14:paraId="47005543" w14:textId="77777777" w:rsidR="00BF6A91" w:rsidRPr="000C466A" w:rsidRDefault="000C466A" w:rsidP="000C466A">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1B310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BB7DF" w14:textId="77777777" w:rsidR="0035403D" w:rsidRDefault="0035403D" w:rsidP="002837E9">
      <w:r>
        <w:separator/>
      </w:r>
    </w:p>
  </w:footnote>
  <w:footnote w:type="continuationSeparator" w:id="0">
    <w:p w14:paraId="45E200F9" w14:textId="77777777" w:rsidR="0035403D" w:rsidRDefault="0035403D" w:rsidP="00283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443FA" w14:textId="77777777" w:rsidR="000C466A" w:rsidRPr="000C466A" w:rsidRDefault="000C466A" w:rsidP="000C466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41216-03-22</w:t>
    </w:r>
    <w:r>
      <w:rPr>
        <w:rFonts w:ascii="David" w:hAnsi="David"/>
        <w:color w:val="000000"/>
        <w:sz w:val="22"/>
        <w:szCs w:val="22"/>
        <w:rtl/>
      </w:rPr>
      <w:tab/>
      <w:t xml:space="preserve"> מדינת ישראל נ' עלאא עאבד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BF86A" w14:textId="77777777" w:rsidR="000C466A" w:rsidRPr="000C466A" w:rsidRDefault="000C466A" w:rsidP="000C466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41216-03-22</w:t>
    </w:r>
    <w:r>
      <w:rPr>
        <w:rFonts w:ascii="David" w:hAnsi="David"/>
        <w:color w:val="000000"/>
        <w:sz w:val="22"/>
        <w:szCs w:val="22"/>
        <w:rtl/>
      </w:rPr>
      <w:tab/>
      <w:t xml:space="preserve"> מדינת ישראל נ' עלאא עאבד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62C8"/>
    <w:rsid w:val="000C466A"/>
    <w:rsid w:val="001B5A3B"/>
    <w:rsid w:val="002837E9"/>
    <w:rsid w:val="0034140C"/>
    <w:rsid w:val="00350D3C"/>
    <w:rsid w:val="0035403D"/>
    <w:rsid w:val="003D1D7B"/>
    <w:rsid w:val="005219A1"/>
    <w:rsid w:val="00653387"/>
    <w:rsid w:val="007B3889"/>
    <w:rsid w:val="00BF6A91"/>
    <w:rsid w:val="00C94572"/>
    <w:rsid w:val="00DA552E"/>
    <w:rsid w:val="00DB5C84"/>
    <w:rsid w:val="00F20BEA"/>
    <w:rsid w:val="00F562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7C65B6"/>
  <w15:chartTrackingRefBased/>
  <w15:docId w15:val="{BE621539-256B-4954-96D7-1A23F7F4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62C8"/>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562C8"/>
    <w:pPr>
      <w:tabs>
        <w:tab w:val="center" w:pos="4153"/>
        <w:tab w:val="right" w:pos="8306"/>
      </w:tabs>
    </w:pPr>
  </w:style>
  <w:style w:type="character" w:customStyle="1" w:styleId="a4">
    <w:name w:val="כותרת עליונה תו"/>
    <w:link w:val="a3"/>
    <w:rsid w:val="00F562C8"/>
    <w:rPr>
      <w:rFonts w:ascii="Times New Roman" w:eastAsia="Times New Roman" w:hAnsi="Times New Roman" w:cs="David"/>
      <w:noProof/>
      <w:sz w:val="24"/>
      <w:szCs w:val="24"/>
    </w:rPr>
  </w:style>
  <w:style w:type="paragraph" w:styleId="a5">
    <w:name w:val="footer"/>
    <w:basedOn w:val="a"/>
    <w:link w:val="a6"/>
    <w:rsid w:val="00F562C8"/>
    <w:pPr>
      <w:tabs>
        <w:tab w:val="center" w:pos="4153"/>
        <w:tab w:val="right" w:pos="8306"/>
      </w:tabs>
    </w:pPr>
  </w:style>
  <w:style w:type="character" w:customStyle="1" w:styleId="a6">
    <w:name w:val="כותרת תחתונה תו"/>
    <w:link w:val="a5"/>
    <w:rsid w:val="00F562C8"/>
    <w:rPr>
      <w:rFonts w:ascii="Times New Roman" w:eastAsia="Times New Roman" w:hAnsi="Times New Roman" w:cs="David"/>
      <w:noProof/>
      <w:sz w:val="24"/>
      <w:szCs w:val="24"/>
    </w:rPr>
  </w:style>
  <w:style w:type="table" w:styleId="a7">
    <w:name w:val="Table Grid"/>
    <w:basedOn w:val="a1"/>
    <w:rsid w:val="00F562C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562C8"/>
  </w:style>
  <w:style w:type="paragraph" w:styleId="a9">
    <w:name w:val="Body Text Indent"/>
    <w:basedOn w:val="a"/>
    <w:link w:val="aa"/>
    <w:rsid w:val="00F562C8"/>
    <w:pPr>
      <w:spacing w:after="120"/>
      <w:ind w:left="283"/>
    </w:pPr>
    <w:rPr>
      <w:rFonts w:ascii="David" w:eastAsia="David" w:hAnsi="David"/>
      <w:noProof w:val="0"/>
    </w:rPr>
  </w:style>
  <w:style w:type="character" w:customStyle="1" w:styleId="aa">
    <w:name w:val="כניסה בגוף טקסט תו"/>
    <w:link w:val="a9"/>
    <w:rsid w:val="00F562C8"/>
    <w:rPr>
      <w:rFonts w:ascii="David" w:eastAsia="David" w:hAnsi="David" w:cs="David"/>
      <w:sz w:val="24"/>
      <w:szCs w:val="24"/>
    </w:rPr>
  </w:style>
  <w:style w:type="paragraph" w:styleId="2">
    <w:name w:val="Body Text 2"/>
    <w:basedOn w:val="a"/>
    <w:link w:val="20"/>
    <w:rsid w:val="00F562C8"/>
    <w:pPr>
      <w:spacing w:after="120" w:line="480" w:lineRule="auto"/>
    </w:pPr>
    <w:rPr>
      <w:rFonts w:ascii="David" w:eastAsia="David" w:hAnsi="David"/>
      <w:noProof w:val="0"/>
    </w:rPr>
  </w:style>
  <w:style w:type="character" w:customStyle="1" w:styleId="20">
    <w:name w:val="גוף טקסט 2 תו"/>
    <w:link w:val="2"/>
    <w:rsid w:val="00F562C8"/>
    <w:rPr>
      <w:rFonts w:ascii="David" w:eastAsia="David" w:hAnsi="David" w:cs="David"/>
      <w:sz w:val="24"/>
      <w:szCs w:val="24"/>
    </w:rPr>
  </w:style>
  <w:style w:type="character" w:styleId="ab">
    <w:name w:val="line number"/>
    <w:rsid w:val="00F562C8"/>
  </w:style>
  <w:style w:type="character" w:styleId="Hyperlink">
    <w:name w:val="Hyperlink"/>
    <w:rsid w:val="000C46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 TargetMode="External"/><Relationship Id="rId18" Type="http://schemas.openxmlformats.org/officeDocument/2006/relationships/image" Target="media/image1.png"/><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144"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28420596"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27510949"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144.g" TargetMode="External"/><Relationship Id="rId23"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144.g" TargetMode="External"/><Relationship Id="rId14" Type="http://schemas.openxmlformats.org/officeDocument/2006/relationships/hyperlink" Target="http://www.nevo.co.il/law/70301/144"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982</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5882</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4128891</vt:i4>
      </vt:variant>
      <vt:variant>
        <vt:i4>33</vt:i4>
      </vt:variant>
      <vt:variant>
        <vt:i4>0</vt:i4>
      </vt:variant>
      <vt:variant>
        <vt:i4>5</vt:i4>
      </vt:variant>
      <vt:variant>
        <vt:lpwstr>http://www.nevo.co.il/case/28420596</vt:lpwstr>
      </vt:variant>
      <vt:variant>
        <vt:lpwstr/>
      </vt:variant>
      <vt:variant>
        <vt:i4>3342459</vt:i4>
      </vt:variant>
      <vt:variant>
        <vt:i4>30</vt:i4>
      </vt:variant>
      <vt:variant>
        <vt:i4>0</vt:i4>
      </vt:variant>
      <vt:variant>
        <vt:i4>5</vt:i4>
      </vt:variant>
      <vt:variant>
        <vt:lpwstr>http://www.nevo.co.il/case/27510949</vt:lpwstr>
      </vt:variant>
      <vt:variant>
        <vt:lpwstr/>
      </vt:variant>
      <vt:variant>
        <vt:i4>5177424</vt:i4>
      </vt:variant>
      <vt:variant>
        <vt:i4>27</vt:i4>
      </vt:variant>
      <vt:variant>
        <vt:i4>0</vt:i4>
      </vt:variant>
      <vt:variant>
        <vt:i4>5</vt:i4>
      </vt:variant>
      <vt:variant>
        <vt:lpwstr>http://www.nevo.co.il/law/70301/144.g</vt:lpwstr>
      </vt:variant>
      <vt:variant>
        <vt:lpwstr/>
      </vt:variant>
      <vt:variant>
        <vt:i4>6357092</vt:i4>
      </vt:variant>
      <vt:variant>
        <vt:i4>24</vt:i4>
      </vt:variant>
      <vt:variant>
        <vt:i4>0</vt:i4>
      </vt:variant>
      <vt:variant>
        <vt:i4>5</vt:i4>
      </vt:variant>
      <vt:variant>
        <vt:lpwstr>http://www.nevo.co.il/law/70301/144</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http://www.nevo.co.il/law/70301/144.g</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2025-01-19T17:49:00Z</dcterms:created>
  <dcterms:modified xsi:type="dcterms:W3CDTF">2025-01-19T17:49:00Z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41216</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עלאא עאבד</vt:lpwstr>
  </property>
  <property fmtid="{D5CDD505-2E9C-101B-9397-08002B2CF9AE}" pid="10" name="JUDGE">
    <vt:lpwstr>רות שפילברג כהן</vt:lpwstr>
  </property>
  <property fmtid="{D5CDD505-2E9C-101B-9397-08002B2CF9AE}" pid="11" name="CITY">
    <vt:lpwstr>נצ'</vt:lpwstr>
  </property>
  <property fmtid="{D5CDD505-2E9C-101B-9397-08002B2CF9AE}" pid="12" name="DATE">
    <vt:lpwstr>20220928</vt:lpwstr>
  </property>
  <property fmtid="{D5CDD505-2E9C-101B-9397-08002B2CF9AE}" pid="13" name="TYPE_N_DATE">
    <vt:lpwstr>38020220928</vt:lpwstr>
  </property>
  <property fmtid="{D5CDD505-2E9C-101B-9397-08002B2CF9AE}" pid="14" name="WORDNUMPAGES">
    <vt:lpwstr>4</vt:lpwstr>
  </property>
  <property fmtid="{D5CDD505-2E9C-101B-9397-08002B2CF9AE}" pid="15" name="TYPE_ABS_DATE">
    <vt:lpwstr>380020220928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27510949;28420596</vt:lpwstr>
  </property>
  <property fmtid="{D5CDD505-2E9C-101B-9397-08002B2CF9AE}" pid="36" name="LAWLISTTMP1">
    <vt:lpwstr>70301/144.a:2;144;144.g</vt:lpwstr>
  </property>
</Properties>
</file>