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1946EE" w:rsidRPr="008B3C2B" w14:paraId="72A132F7" w14:textId="77777777" w:rsidTr="009F2D06">
        <w:trPr>
          <w:trHeight w:hRule="exact" w:val="418"/>
          <w:jc w:val="center"/>
        </w:trPr>
        <w:tc>
          <w:tcPr>
            <w:tcW w:w="8721" w:type="dxa"/>
            <w:gridSpan w:val="2"/>
          </w:tcPr>
          <w:p w14:paraId="36ABA9E3" w14:textId="77777777" w:rsidR="001946EE" w:rsidRPr="008B3C2B" w:rsidRDefault="001946EE" w:rsidP="00F33870">
            <w:pPr>
              <w:pStyle w:val="a3"/>
              <w:jc w:val="center"/>
              <w:rPr>
                <w:rFonts w:ascii="Tahoma" w:hAnsi="Tahoma" w:cs="Tahoma"/>
                <w:color w:val="000080"/>
                <w:rtl/>
              </w:rPr>
            </w:pPr>
            <w:bookmarkStart w:id="0" w:name="LastJudge"/>
            <w:r w:rsidRPr="008B3C2B">
              <w:rPr>
                <w:rFonts w:ascii="Tahoma" w:hAnsi="Tahoma" w:cs="Tahoma"/>
                <w:b/>
                <w:bCs/>
                <w:color w:val="000080"/>
                <w:rtl/>
              </w:rPr>
              <w:t>בית משפט השלום בחדרה</w:t>
            </w:r>
          </w:p>
        </w:tc>
      </w:tr>
      <w:tr w:rsidR="001946EE" w:rsidRPr="008B3C2B" w14:paraId="53D93CF0" w14:textId="77777777" w:rsidTr="009F2D06">
        <w:trPr>
          <w:trHeight w:val="337"/>
          <w:jc w:val="center"/>
        </w:trPr>
        <w:tc>
          <w:tcPr>
            <w:tcW w:w="5065" w:type="dxa"/>
          </w:tcPr>
          <w:p w14:paraId="2D2D3534" w14:textId="77777777" w:rsidR="001946EE" w:rsidRPr="008B3C2B" w:rsidRDefault="001946EE" w:rsidP="00F33870">
            <w:pPr>
              <w:rPr>
                <w:rFonts w:cs="FrankRuehl"/>
                <w:sz w:val="28"/>
                <w:szCs w:val="28"/>
                <w:rtl/>
              </w:rPr>
            </w:pPr>
            <w:r w:rsidRPr="008B3C2B">
              <w:rPr>
                <w:rFonts w:cs="FrankRuehl"/>
                <w:sz w:val="28"/>
                <w:szCs w:val="28"/>
                <w:rtl/>
              </w:rPr>
              <w:t>ת"פ</w:t>
            </w:r>
            <w:r w:rsidRPr="008B3C2B">
              <w:rPr>
                <w:rFonts w:cs="FrankRuehl" w:hint="cs"/>
                <w:sz w:val="28"/>
                <w:szCs w:val="28"/>
                <w:rtl/>
              </w:rPr>
              <w:t xml:space="preserve"> </w:t>
            </w:r>
            <w:r w:rsidRPr="008B3C2B">
              <w:rPr>
                <w:rFonts w:cs="FrankRuehl"/>
                <w:sz w:val="28"/>
                <w:szCs w:val="28"/>
                <w:rtl/>
              </w:rPr>
              <w:t>41599-03-22</w:t>
            </w:r>
            <w:r w:rsidRPr="008B3C2B">
              <w:rPr>
                <w:rFonts w:cs="FrankRuehl" w:hint="cs"/>
                <w:sz w:val="28"/>
                <w:szCs w:val="28"/>
                <w:rtl/>
              </w:rPr>
              <w:t xml:space="preserve"> </w:t>
            </w:r>
            <w:r w:rsidRPr="008B3C2B">
              <w:rPr>
                <w:rFonts w:cs="FrankRuehl"/>
                <w:sz w:val="28"/>
                <w:szCs w:val="28"/>
                <w:rtl/>
              </w:rPr>
              <w:t>מדינת ישראל נ' אגבאריה(עצור/אסיר בפיקוח) ואח'</w:t>
            </w:r>
          </w:p>
          <w:p w14:paraId="3A5ECEF4" w14:textId="77777777" w:rsidR="001946EE" w:rsidRPr="008B3C2B" w:rsidRDefault="001946EE" w:rsidP="00F33870">
            <w:pPr>
              <w:pStyle w:val="a3"/>
              <w:rPr>
                <w:rFonts w:cs="FrankRuehl"/>
                <w:sz w:val="28"/>
                <w:szCs w:val="28"/>
                <w:rtl/>
              </w:rPr>
            </w:pPr>
          </w:p>
        </w:tc>
        <w:tc>
          <w:tcPr>
            <w:tcW w:w="3656" w:type="dxa"/>
          </w:tcPr>
          <w:p w14:paraId="62362FEB" w14:textId="77777777" w:rsidR="001946EE" w:rsidRPr="008B3C2B" w:rsidRDefault="001946EE" w:rsidP="00F33870">
            <w:pPr>
              <w:pStyle w:val="a3"/>
              <w:jc w:val="right"/>
              <w:rPr>
                <w:rFonts w:cs="FrankRuehl"/>
                <w:sz w:val="28"/>
                <w:szCs w:val="28"/>
                <w:rtl/>
              </w:rPr>
            </w:pPr>
          </w:p>
        </w:tc>
      </w:tr>
    </w:tbl>
    <w:p w14:paraId="5003929C" w14:textId="77777777" w:rsidR="001946EE" w:rsidRPr="008B3C2B" w:rsidRDefault="001946EE" w:rsidP="001946EE">
      <w:pPr>
        <w:pStyle w:val="a3"/>
        <w:rPr>
          <w:rtl/>
        </w:rPr>
      </w:pPr>
      <w:r w:rsidRPr="008B3C2B">
        <w:rPr>
          <w:rFonts w:hint="cs"/>
          <w:rtl/>
        </w:rPr>
        <w:t xml:space="preserve"> </w:t>
      </w:r>
    </w:p>
    <w:p w14:paraId="341C5931" w14:textId="77777777" w:rsidR="001946EE" w:rsidRPr="008B3C2B" w:rsidRDefault="001946EE" w:rsidP="001946EE">
      <w:pPr>
        <w:rPr>
          <w:rtl/>
        </w:rPr>
      </w:pPr>
    </w:p>
    <w:p w14:paraId="3E968391" w14:textId="77777777" w:rsidR="001946EE" w:rsidRPr="008B3C2B" w:rsidRDefault="001946EE" w:rsidP="001946EE">
      <w:pPr>
        <w:rPr>
          <w:rtl/>
        </w:rPr>
      </w:pPr>
    </w:p>
    <w:tbl>
      <w:tblPr>
        <w:bidiVisual/>
        <w:tblW w:w="8820" w:type="dxa"/>
        <w:jc w:val="center"/>
        <w:tblLook w:val="01E0" w:firstRow="1" w:lastRow="1" w:firstColumn="1" w:lastColumn="1" w:noHBand="0" w:noVBand="0"/>
      </w:tblPr>
      <w:tblGrid>
        <w:gridCol w:w="923"/>
        <w:gridCol w:w="2518"/>
        <w:gridCol w:w="5379"/>
      </w:tblGrid>
      <w:tr w:rsidR="001946EE" w:rsidRPr="008B3C2B" w14:paraId="68AE53AB" w14:textId="77777777" w:rsidTr="001946EE">
        <w:trPr>
          <w:trHeight w:val="295"/>
          <w:jc w:val="center"/>
        </w:trPr>
        <w:tc>
          <w:tcPr>
            <w:tcW w:w="923" w:type="dxa"/>
            <w:shd w:val="clear" w:color="auto" w:fill="auto"/>
          </w:tcPr>
          <w:p w14:paraId="2F42388E" w14:textId="77777777" w:rsidR="001946EE" w:rsidRPr="008B3C2B" w:rsidRDefault="001946EE" w:rsidP="001946EE">
            <w:pPr>
              <w:jc w:val="both"/>
              <w:rPr>
                <w:rFonts w:ascii="David" w:hAnsi="David"/>
                <w:sz w:val="26"/>
                <w:szCs w:val="26"/>
              </w:rPr>
            </w:pPr>
            <w:r w:rsidRPr="008B3C2B">
              <w:rPr>
                <w:rFonts w:ascii="David" w:hAnsi="David" w:hint="cs"/>
                <w:sz w:val="26"/>
                <w:szCs w:val="26"/>
                <w:rtl/>
              </w:rPr>
              <w:t>ל</w:t>
            </w:r>
            <w:r w:rsidRPr="008B3C2B">
              <w:rPr>
                <w:rFonts w:ascii="David" w:hAnsi="David"/>
                <w:sz w:val="26"/>
                <w:szCs w:val="26"/>
                <w:rtl/>
              </w:rPr>
              <w:t xml:space="preserve">פני </w:t>
            </w:r>
          </w:p>
        </w:tc>
        <w:tc>
          <w:tcPr>
            <w:tcW w:w="7897" w:type="dxa"/>
            <w:gridSpan w:val="2"/>
            <w:shd w:val="clear" w:color="auto" w:fill="auto"/>
          </w:tcPr>
          <w:p w14:paraId="1A806220" w14:textId="77777777" w:rsidR="001946EE" w:rsidRPr="008B3C2B" w:rsidRDefault="001946EE" w:rsidP="00F33870">
            <w:pPr>
              <w:rPr>
                <w:rFonts w:ascii="David" w:hAnsi="David"/>
                <w:b/>
                <w:bCs/>
                <w:sz w:val="26"/>
                <w:szCs w:val="26"/>
                <w:rtl/>
              </w:rPr>
            </w:pPr>
            <w:r w:rsidRPr="008B3C2B">
              <w:rPr>
                <w:rFonts w:ascii="David" w:hAnsi="David"/>
                <w:b/>
                <w:bCs/>
                <w:sz w:val="26"/>
                <w:szCs w:val="26"/>
                <w:rtl/>
              </w:rPr>
              <w:t>כבוד השופט  אלכס אחטר</w:t>
            </w:r>
          </w:p>
          <w:p w14:paraId="4A41247D" w14:textId="77777777" w:rsidR="001946EE" w:rsidRPr="008B3C2B" w:rsidRDefault="001946EE" w:rsidP="00F33870">
            <w:pPr>
              <w:rPr>
                <w:rFonts w:ascii="David" w:hAnsi="David"/>
                <w:sz w:val="26"/>
                <w:szCs w:val="26"/>
                <w:rtl/>
              </w:rPr>
            </w:pPr>
          </w:p>
          <w:p w14:paraId="4021B876" w14:textId="77777777" w:rsidR="001946EE" w:rsidRPr="008B3C2B" w:rsidRDefault="001946EE" w:rsidP="001946EE">
            <w:pPr>
              <w:jc w:val="both"/>
              <w:rPr>
                <w:rFonts w:ascii="David" w:hAnsi="David"/>
                <w:sz w:val="26"/>
                <w:szCs w:val="26"/>
              </w:rPr>
            </w:pPr>
          </w:p>
        </w:tc>
      </w:tr>
      <w:tr w:rsidR="001946EE" w:rsidRPr="008B3C2B" w14:paraId="1B9D69C3" w14:textId="77777777" w:rsidTr="001946EE">
        <w:trPr>
          <w:trHeight w:val="355"/>
          <w:jc w:val="center"/>
        </w:trPr>
        <w:tc>
          <w:tcPr>
            <w:tcW w:w="923" w:type="dxa"/>
            <w:shd w:val="clear" w:color="auto" w:fill="auto"/>
          </w:tcPr>
          <w:p w14:paraId="02CCA7EF" w14:textId="77777777" w:rsidR="001946EE" w:rsidRPr="008B3C2B" w:rsidRDefault="001946EE" w:rsidP="001946EE">
            <w:pPr>
              <w:jc w:val="both"/>
              <w:rPr>
                <w:rFonts w:ascii="David" w:hAnsi="David"/>
                <w:sz w:val="26"/>
                <w:szCs w:val="26"/>
              </w:rPr>
            </w:pPr>
            <w:bookmarkStart w:id="1" w:name="FirstAppellant"/>
            <w:bookmarkStart w:id="2" w:name="FirstLawyer"/>
            <w:r w:rsidRPr="008B3C2B">
              <w:rPr>
                <w:rFonts w:ascii="David" w:hAnsi="David"/>
                <w:sz w:val="26"/>
                <w:szCs w:val="26"/>
                <w:rtl/>
              </w:rPr>
              <w:t>בעניין:</w:t>
            </w:r>
          </w:p>
        </w:tc>
        <w:tc>
          <w:tcPr>
            <w:tcW w:w="2518" w:type="dxa"/>
            <w:shd w:val="clear" w:color="auto" w:fill="auto"/>
          </w:tcPr>
          <w:p w14:paraId="00532304" w14:textId="77777777" w:rsidR="001946EE" w:rsidRPr="008B3C2B" w:rsidRDefault="001946EE" w:rsidP="001946EE">
            <w:pPr>
              <w:suppressLineNumbers/>
            </w:pPr>
            <w:r w:rsidRPr="008B3C2B">
              <w:rPr>
                <w:rFonts w:ascii="Arial" w:hAnsi="Arial" w:hint="cs"/>
                <w:b/>
                <w:bCs/>
                <w:sz w:val="26"/>
                <w:szCs w:val="26"/>
                <w:rtl/>
              </w:rPr>
              <w:t>ה</w:t>
            </w:r>
            <w:r w:rsidRPr="008B3C2B">
              <w:rPr>
                <w:rFonts w:ascii="Arial" w:hAnsi="Arial"/>
                <w:b/>
                <w:bCs/>
                <w:sz w:val="26"/>
                <w:szCs w:val="26"/>
                <w:rtl/>
              </w:rPr>
              <w:t>מאשימה</w:t>
            </w:r>
          </w:p>
          <w:p w14:paraId="107303DC" w14:textId="77777777" w:rsidR="001946EE" w:rsidRPr="008B3C2B" w:rsidRDefault="001946EE" w:rsidP="00F33870">
            <w:pPr>
              <w:rPr>
                <w:rFonts w:ascii="David" w:hAnsi="David"/>
                <w:sz w:val="26"/>
                <w:szCs w:val="26"/>
              </w:rPr>
            </w:pPr>
          </w:p>
        </w:tc>
        <w:tc>
          <w:tcPr>
            <w:tcW w:w="5379" w:type="dxa"/>
            <w:shd w:val="clear" w:color="auto" w:fill="auto"/>
            <w:vAlign w:val="center"/>
          </w:tcPr>
          <w:p w14:paraId="2767CA43" w14:textId="77777777" w:rsidR="001946EE" w:rsidRPr="008B3C2B" w:rsidRDefault="001946EE" w:rsidP="001946EE">
            <w:pPr>
              <w:suppressLineNumbers/>
              <w:rPr>
                <w:rFonts w:ascii="Arial" w:hAnsi="Arial"/>
                <w:b/>
                <w:bCs/>
                <w:sz w:val="26"/>
                <w:szCs w:val="26"/>
                <w:rtl/>
              </w:rPr>
            </w:pPr>
            <w:r w:rsidRPr="008B3C2B">
              <w:rPr>
                <w:rFonts w:ascii="Arial" w:hAnsi="Arial"/>
                <w:b/>
                <w:bCs/>
                <w:sz w:val="26"/>
                <w:szCs w:val="26"/>
                <w:rtl/>
              </w:rPr>
              <w:t>מדינת ישראל</w:t>
            </w:r>
            <w:r w:rsidRPr="008B3C2B">
              <w:rPr>
                <w:rFonts w:ascii="Arial" w:hAnsi="Arial" w:hint="cs"/>
                <w:b/>
                <w:bCs/>
                <w:sz w:val="26"/>
                <w:szCs w:val="26"/>
                <w:rtl/>
              </w:rPr>
              <w:t xml:space="preserve"> </w:t>
            </w:r>
          </w:p>
          <w:p w14:paraId="53C73086" w14:textId="77777777" w:rsidR="001946EE" w:rsidRPr="008B3C2B" w:rsidRDefault="001946EE" w:rsidP="001946EE">
            <w:pPr>
              <w:suppressLineNumbers/>
              <w:rPr>
                <w:rtl/>
              </w:rPr>
            </w:pPr>
            <w:r w:rsidRPr="008B3C2B">
              <w:rPr>
                <w:rFonts w:ascii="Arial" w:hAnsi="Arial"/>
                <w:b/>
                <w:bCs/>
                <w:sz w:val="26"/>
                <w:szCs w:val="26"/>
                <w:rtl/>
              </w:rPr>
              <w:t>ע"י ב"כ עוה"ד</w:t>
            </w:r>
            <w:r w:rsidRPr="008B3C2B">
              <w:rPr>
                <w:rFonts w:hint="cs"/>
                <w:rtl/>
              </w:rPr>
              <w:t xml:space="preserve"> </w:t>
            </w:r>
            <w:r w:rsidRPr="008B3C2B">
              <w:rPr>
                <w:rFonts w:hint="cs"/>
                <w:b/>
                <w:bCs/>
                <w:rtl/>
              </w:rPr>
              <w:t>ספיר חרזי</w:t>
            </w:r>
          </w:p>
        </w:tc>
      </w:tr>
      <w:bookmarkEnd w:id="1"/>
      <w:bookmarkEnd w:id="2"/>
      <w:tr w:rsidR="001946EE" w:rsidRPr="008B3C2B" w14:paraId="6A34392A" w14:textId="77777777" w:rsidTr="001946EE">
        <w:trPr>
          <w:trHeight w:val="355"/>
          <w:jc w:val="center"/>
        </w:trPr>
        <w:tc>
          <w:tcPr>
            <w:tcW w:w="8820" w:type="dxa"/>
            <w:gridSpan w:val="3"/>
            <w:shd w:val="clear" w:color="auto" w:fill="auto"/>
          </w:tcPr>
          <w:p w14:paraId="00EF1298" w14:textId="77777777" w:rsidR="001946EE" w:rsidRPr="008B3C2B" w:rsidRDefault="001946EE" w:rsidP="001946EE">
            <w:pPr>
              <w:jc w:val="center"/>
              <w:rPr>
                <w:rFonts w:ascii="David" w:hAnsi="David"/>
                <w:b/>
                <w:bCs/>
                <w:sz w:val="26"/>
                <w:szCs w:val="26"/>
                <w:rtl/>
              </w:rPr>
            </w:pPr>
          </w:p>
          <w:p w14:paraId="6EA8FFE6" w14:textId="77777777" w:rsidR="001946EE" w:rsidRPr="008B3C2B" w:rsidRDefault="001946EE" w:rsidP="001946EE">
            <w:pPr>
              <w:jc w:val="center"/>
              <w:rPr>
                <w:rFonts w:ascii="David" w:hAnsi="David"/>
                <w:b/>
                <w:bCs/>
                <w:sz w:val="26"/>
                <w:szCs w:val="26"/>
                <w:rtl/>
              </w:rPr>
            </w:pPr>
            <w:r w:rsidRPr="008B3C2B">
              <w:rPr>
                <w:rFonts w:ascii="David" w:hAnsi="David"/>
                <w:b/>
                <w:bCs/>
                <w:sz w:val="26"/>
                <w:szCs w:val="26"/>
                <w:rtl/>
              </w:rPr>
              <w:t>נגד</w:t>
            </w:r>
          </w:p>
          <w:p w14:paraId="646DFA9D" w14:textId="77777777" w:rsidR="001946EE" w:rsidRPr="008B3C2B" w:rsidRDefault="001946EE" w:rsidP="001946EE">
            <w:pPr>
              <w:jc w:val="both"/>
              <w:rPr>
                <w:rFonts w:ascii="David" w:hAnsi="David"/>
                <w:sz w:val="26"/>
                <w:szCs w:val="26"/>
              </w:rPr>
            </w:pPr>
          </w:p>
        </w:tc>
      </w:tr>
      <w:tr w:rsidR="001946EE" w:rsidRPr="008B3C2B" w14:paraId="48BD5D4C" w14:textId="77777777" w:rsidTr="001946EE">
        <w:trPr>
          <w:trHeight w:val="355"/>
          <w:jc w:val="center"/>
        </w:trPr>
        <w:tc>
          <w:tcPr>
            <w:tcW w:w="923" w:type="dxa"/>
            <w:shd w:val="clear" w:color="auto" w:fill="auto"/>
          </w:tcPr>
          <w:p w14:paraId="7082022E" w14:textId="77777777" w:rsidR="001946EE" w:rsidRPr="008B3C2B" w:rsidRDefault="001946EE" w:rsidP="00F33870">
            <w:pPr>
              <w:rPr>
                <w:rFonts w:ascii="David" w:hAnsi="David"/>
                <w:sz w:val="26"/>
                <w:szCs w:val="26"/>
                <w:rtl/>
              </w:rPr>
            </w:pPr>
          </w:p>
        </w:tc>
        <w:tc>
          <w:tcPr>
            <w:tcW w:w="2518" w:type="dxa"/>
            <w:shd w:val="clear" w:color="auto" w:fill="auto"/>
          </w:tcPr>
          <w:p w14:paraId="469A9D91" w14:textId="77777777" w:rsidR="001946EE" w:rsidRPr="008B3C2B" w:rsidRDefault="001946EE" w:rsidP="00F33870">
            <w:pPr>
              <w:rPr>
                <w:rFonts w:ascii="Arial" w:hAnsi="Arial"/>
                <w:b/>
                <w:bCs/>
                <w:sz w:val="26"/>
                <w:szCs w:val="26"/>
                <w:rtl/>
              </w:rPr>
            </w:pPr>
            <w:r w:rsidRPr="008B3C2B">
              <w:rPr>
                <w:rFonts w:ascii="Arial" w:hAnsi="Arial"/>
                <w:b/>
                <w:bCs/>
                <w:sz w:val="26"/>
                <w:szCs w:val="26"/>
                <w:rtl/>
              </w:rPr>
              <w:t>הנאשם</w:t>
            </w:r>
          </w:p>
        </w:tc>
        <w:tc>
          <w:tcPr>
            <w:tcW w:w="5379" w:type="dxa"/>
            <w:shd w:val="clear" w:color="auto" w:fill="auto"/>
            <w:vAlign w:val="center"/>
          </w:tcPr>
          <w:p w14:paraId="349B8B15" w14:textId="77777777" w:rsidR="001946EE" w:rsidRPr="008B3C2B" w:rsidRDefault="001946EE" w:rsidP="00F33870">
            <w:pPr>
              <w:pStyle w:val="a9"/>
              <w:rPr>
                <w:rFonts w:ascii="Arial" w:hAnsi="Arial"/>
                <w:b/>
                <w:bCs/>
                <w:sz w:val="26"/>
                <w:szCs w:val="26"/>
                <w:rtl/>
              </w:rPr>
            </w:pPr>
            <w:r w:rsidRPr="008B3C2B">
              <w:rPr>
                <w:rFonts w:ascii="Arial" w:hAnsi="Arial" w:hint="cs"/>
                <w:b/>
                <w:bCs/>
                <w:sz w:val="26"/>
                <w:szCs w:val="26"/>
                <w:rtl/>
              </w:rPr>
              <w:t>מ</w:t>
            </w:r>
            <w:r w:rsidRPr="008B3C2B">
              <w:rPr>
                <w:rFonts w:ascii="Arial" w:hAnsi="Arial"/>
                <w:b/>
                <w:bCs/>
                <w:sz w:val="26"/>
                <w:szCs w:val="26"/>
                <w:rtl/>
              </w:rPr>
              <w:t>וחמד אגבאריה</w:t>
            </w:r>
            <w:r w:rsidRPr="008B3C2B">
              <w:rPr>
                <w:rFonts w:ascii="Arial" w:hAnsi="Arial" w:hint="cs"/>
                <w:b/>
                <w:bCs/>
                <w:sz w:val="26"/>
                <w:szCs w:val="26"/>
                <w:rtl/>
              </w:rPr>
              <w:t xml:space="preserve"> </w:t>
            </w:r>
          </w:p>
          <w:p w14:paraId="4E338270" w14:textId="77777777" w:rsidR="001946EE" w:rsidRPr="008B3C2B" w:rsidRDefault="001946EE" w:rsidP="001946EE">
            <w:pPr>
              <w:suppressLineNumbers/>
              <w:ind w:left="360"/>
            </w:pPr>
            <w:r w:rsidRPr="008B3C2B">
              <w:rPr>
                <w:rFonts w:ascii="Arial" w:hAnsi="Arial"/>
                <w:b/>
                <w:bCs/>
                <w:sz w:val="26"/>
                <w:szCs w:val="26"/>
                <w:rtl/>
              </w:rPr>
              <w:t>ע"י ב"כ עוה"ד</w:t>
            </w:r>
            <w:r w:rsidRPr="008B3C2B">
              <w:rPr>
                <w:rFonts w:hint="cs"/>
                <w:rtl/>
              </w:rPr>
              <w:t xml:space="preserve"> </w:t>
            </w:r>
            <w:r w:rsidRPr="008B3C2B">
              <w:rPr>
                <w:rFonts w:hint="cs"/>
                <w:b/>
                <w:bCs/>
                <w:rtl/>
              </w:rPr>
              <w:t>עאדל בויארת</w:t>
            </w:r>
          </w:p>
          <w:p w14:paraId="291FEC6A" w14:textId="77777777" w:rsidR="001946EE" w:rsidRPr="008B3C2B" w:rsidRDefault="001946EE" w:rsidP="001946EE">
            <w:pPr>
              <w:suppressLineNumbers/>
            </w:pPr>
            <w:r w:rsidRPr="008B3C2B">
              <w:rPr>
                <w:rFonts w:ascii="Arial" w:hAnsi="Arial"/>
                <w:b/>
                <w:bCs/>
                <w:sz w:val="26"/>
                <w:szCs w:val="26"/>
                <w:rtl/>
              </w:rPr>
              <w:t xml:space="preserve">     </w:t>
            </w:r>
            <w:r w:rsidRPr="008B3C2B">
              <w:rPr>
                <w:rFonts w:ascii="Arial" w:hAnsi="Arial" w:hint="cs"/>
                <w:b/>
                <w:bCs/>
                <w:sz w:val="26"/>
                <w:szCs w:val="26"/>
                <w:rtl/>
              </w:rPr>
              <w:t xml:space="preserve"> </w:t>
            </w:r>
          </w:p>
        </w:tc>
      </w:tr>
      <w:tr w:rsidR="001946EE" w:rsidRPr="008B3C2B" w14:paraId="753FAA26" w14:textId="77777777" w:rsidTr="001946EE">
        <w:trPr>
          <w:trHeight w:val="355"/>
          <w:jc w:val="center"/>
        </w:trPr>
        <w:tc>
          <w:tcPr>
            <w:tcW w:w="923" w:type="dxa"/>
            <w:shd w:val="clear" w:color="auto" w:fill="auto"/>
          </w:tcPr>
          <w:p w14:paraId="23B10EB1" w14:textId="77777777" w:rsidR="001946EE" w:rsidRPr="008B3C2B" w:rsidRDefault="001946EE" w:rsidP="001946EE">
            <w:pPr>
              <w:jc w:val="both"/>
              <w:rPr>
                <w:rFonts w:ascii="David" w:hAnsi="David"/>
                <w:sz w:val="26"/>
                <w:szCs w:val="26"/>
                <w:rtl/>
              </w:rPr>
            </w:pPr>
          </w:p>
        </w:tc>
        <w:tc>
          <w:tcPr>
            <w:tcW w:w="2518" w:type="dxa"/>
            <w:shd w:val="clear" w:color="auto" w:fill="auto"/>
          </w:tcPr>
          <w:p w14:paraId="5A8D6D39" w14:textId="77777777" w:rsidR="001946EE" w:rsidRPr="008B3C2B" w:rsidRDefault="001946EE" w:rsidP="001946EE">
            <w:pPr>
              <w:jc w:val="both"/>
              <w:rPr>
                <w:rFonts w:ascii="David" w:hAnsi="David"/>
                <w:sz w:val="26"/>
                <w:szCs w:val="26"/>
                <w:rtl/>
              </w:rPr>
            </w:pPr>
          </w:p>
        </w:tc>
        <w:tc>
          <w:tcPr>
            <w:tcW w:w="5379" w:type="dxa"/>
            <w:shd w:val="clear" w:color="auto" w:fill="auto"/>
          </w:tcPr>
          <w:p w14:paraId="7EA40423" w14:textId="77777777" w:rsidR="001946EE" w:rsidRPr="008B3C2B" w:rsidRDefault="001946EE" w:rsidP="001946EE">
            <w:pPr>
              <w:jc w:val="right"/>
              <w:rPr>
                <w:rFonts w:ascii="David" w:hAnsi="David"/>
                <w:sz w:val="26"/>
                <w:szCs w:val="26"/>
              </w:rPr>
            </w:pPr>
          </w:p>
        </w:tc>
      </w:tr>
    </w:tbl>
    <w:p w14:paraId="266F6253" w14:textId="77777777" w:rsidR="008B3C2B" w:rsidRPr="008B3C2B" w:rsidRDefault="008B3C2B" w:rsidP="001946EE">
      <w:pPr>
        <w:rPr>
          <w:sz w:val="26"/>
          <w:szCs w:val="26"/>
          <w:rtl/>
        </w:rPr>
      </w:pPr>
    </w:p>
    <w:p w14:paraId="1A1BE0FF" w14:textId="77777777" w:rsidR="008B3C2B" w:rsidRPr="008B3C2B" w:rsidRDefault="008B3C2B" w:rsidP="008B3C2B">
      <w:pPr>
        <w:spacing w:after="120" w:line="240" w:lineRule="exact"/>
        <w:ind w:left="283" w:hanging="283"/>
        <w:jc w:val="both"/>
        <w:rPr>
          <w:rFonts w:ascii="FrankRuehl" w:hAnsi="FrankRuehl" w:cs="FrankRuehl"/>
        </w:rPr>
      </w:pPr>
      <w:bookmarkStart w:id="3" w:name="Links_Start"/>
      <w:bookmarkEnd w:id="3"/>
      <w:r w:rsidRPr="008B3C2B">
        <w:rPr>
          <w:rFonts w:ascii="FrankRuehl" w:hAnsi="FrankRuehl" w:cs="FrankRuehl"/>
          <w:rtl/>
        </w:rPr>
        <w:t>ספרות:</w:t>
      </w:r>
    </w:p>
    <w:p w14:paraId="3A935E1E" w14:textId="77777777" w:rsidR="008B3C2B" w:rsidRPr="008B3C2B" w:rsidRDefault="008B3C2B" w:rsidP="008B3C2B">
      <w:pPr>
        <w:spacing w:after="120" w:line="240" w:lineRule="exact"/>
        <w:ind w:left="283" w:hanging="283"/>
        <w:jc w:val="both"/>
        <w:rPr>
          <w:rStyle w:val="Hyperlink"/>
          <w:rFonts w:ascii="FrankRuehl" w:hAnsi="FrankRuehl" w:cs="FrankRuehl"/>
          <w:color w:val="0000FF"/>
          <w:u w:val="none"/>
          <w:rtl/>
        </w:rPr>
      </w:pPr>
      <w:r w:rsidRPr="008B3C2B">
        <w:rPr>
          <w:rFonts w:ascii="FrankRuehl" w:hAnsi="FrankRuehl" w:cs="FrankRuehl"/>
          <w:color w:val="0000FF"/>
          <w:rtl/>
        </w:rPr>
        <w:fldChar w:fldCharType="begin"/>
      </w:r>
      <w:r w:rsidRPr="008B3C2B">
        <w:rPr>
          <w:rFonts w:ascii="FrankRuehl" w:hAnsi="FrankRuehl" w:cs="FrankRuehl"/>
          <w:color w:val="0000FF"/>
          <w:rtl/>
        </w:rPr>
        <w:instrText xml:space="preserve"> </w:instrText>
      </w:r>
      <w:r w:rsidRPr="008B3C2B">
        <w:rPr>
          <w:rFonts w:ascii="FrankRuehl" w:hAnsi="FrankRuehl" w:cs="FrankRuehl"/>
          <w:color w:val="0000FF"/>
        </w:rPr>
        <w:instrText xml:space="preserve">HYPERLINK </w:instrText>
      </w:r>
      <w:r w:rsidRPr="008B3C2B">
        <w:rPr>
          <w:rFonts w:ascii="FrankRuehl" w:hAnsi="FrankRuehl" w:cs="FrankRuehl"/>
          <w:color w:val="0000FF"/>
          <w:rtl/>
        </w:rPr>
        <w:instrText>"</w:instrText>
      </w:r>
      <w:r w:rsidRPr="008B3C2B">
        <w:rPr>
          <w:rFonts w:ascii="FrankRuehl" w:hAnsi="FrankRuehl" w:cs="FrankRuehl"/>
          <w:color w:val="0000FF"/>
        </w:rPr>
        <w:instrText>http://www.nevo.co.il/safrut/bookgroup/412"</w:instrText>
      </w:r>
      <w:r w:rsidRPr="008B3C2B">
        <w:rPr>
          <w:rFonts w:ascii="FrankRuehl" w:hAnsi="FrankRuehl" w:cs="FrankRuehl"/>
          <w:color w:val="0000FF"/>
          <w:rtl/>
        </w:rPr>
        <w:instrText xml:space="preserve"> </w:instrText>
      </w:r>
      <w:r w:rsidRPr="008B3C2B">
        <w:rPr>
          <w:rFonts w:ascii="FrankRuehl" w:hAnsi="FrankRuehl" w:cs="FrankRuehl"/>
          <w:color w:val="0000FF"/>
          <w:rtl/>
        </w:rPr>
      </w:r>
      <w:r w:rsidRPr="008B3C2B">
        <w:rPr>
          <w:rFonts w:ascii="FrankRuehl" w:hAnsi="FrankRuehl" w:cs="FrankRuehl"/>
          <w:color w:val="0000FF"/>
          <w:rtl/>
        </w:rPr>
        <w:fldChar w:fldCharType="separate"/>
      </w:r>
      <w:r w:rsidRPr="008B3C2B">
        <w:rPr>
          <w:rStyle w:val="Hyperlink"/>
          <w:rFonts w:ascii="FrankRuehl" w:hAnsi="FrankRuehl" w:cs="FrankRuehl"/>
          <w:color w:val="0000FF"/>
          <w:u w:val="none"/>
          <w:rtl/>
        </w:rPr>
        <w:t xml:space="preserve">ש"ז פלר  </w:t>
      </w:r>
      <w:r w:rsidRPr="008B3C2B">
        <w:rPr>
          <w:rStyle w:val="Hyperlink"/>
          <w:rFonts w:ascii="FrankRuehl" w:hAnsi="FrankRuehl" w:cs="FrankRuehl"/>
          <w:color w:val="0000FF"/>
          <w:u w:val="none"/>
        </w:rPr>
        <w:t xml:space="preserve"> </w:t>
      </w:r>
      <w:r w:rsidRPr="008B3C2B">
        <w:rPr>
          <w:rStyle w:val="Hyperlink"/>
          <w:rFonts w:ascii="FrankRuehl" w:hAnsi="FrankRuehl" w:cs="FrankRuehl"/>
          <w:b/>
          <w:bCs/>
          <w:color w:val="0000FF"/>
          <w:u w:val="none"/>
          <w:rtl/>
        </w:rPr>
        <w:t xml:space="preserve">יסודות בדיני עונשין </w:t>
      </w:r>
    </w:p>
    <w:p w14:paraId="428E89AD" w14:textId="77777777" w:rsidR="008B3C2B" w:rsidRPr="008B3C2B" w:rsidRDefault="008B3C2B" w:rsidP="008B3C2B">
      <w:pPr>
        <w:spacing w:before="120" w:after="120" w:line="240" w:lineRule="exact"/>
        <w:ind w:left="283" w:hanging="283"/>
        <w:jc w:val="both"/>
        <w:rPr>
          <w:rFonts w:ascii="FrankRuehl" w:hAnsi="FrankRuehl" w:cs="FrankRuehl"/>
        </w:rPr>
      </w:pPr>
      <w:r w:rsidRPr="008B3C2B">
        <w:rPr>
          <w:rFonts w:ascii="FrankRuehl" w:hAnsi="FrankRuehl" w:cs="FrankRuehl"/>
          <w:color w:val="0000FF"/>
          <w:rtl/>
        </w:rPr>
        <w:fldChar w:fldCharType="end"/>
      </w:r>
      <w:bookmarkStart w:id="4" w:name="Links_End"/>
      <w:bookmarkEnd w:id="4"/>
    </w:p>
    <w:p w14:paraId="71449773" w14:textId="77777777" w:rsidR="008B3C2B" w:rsidRPr="008B3C2B" w:rsidRDefault="008B3C2B" w:rsidP="008B3C2B">
      <w:pPr>
        <w:spacing w:after="120" w:line="240" w:lineRule="exact"/>
        <w:ind w:left="283" w:hanging="283"/>
        <w:jc w:val="both"/>
        <w:rPr>
          <w:sz w:val="26"/>
          <w:szCs w:val="26"/>
        </w:rPr>
      </w:pPr>
    </w:p>
    <w:p w14:paraId="6F72FC4D" w14:textId="77777777" w:rsidR="009F2D06" w:rsidRPr="009F2D06" w:rsidRDefault="009F2D06" w:rsidP="009F2D06">
      <w:pPr>
        <w:spacing w:before="120" w:after="120" w:line="240" w:lineRule="exact"/>
        <w:ind w:left="283" w:hanging="283"/>
        <w:jc w:val="both"/>
        <w:rPr>
          <w:rFonts w:ascii="FrankRuehl" w:hAnsi="FrankRuehl" w:cs="FrankRuehl"/>
          <w:color w:val="0000FF"/>
          <w:rtl/>
        </w:rPr>
      </w:pPr>
      <w:bookmarkStart w:id="5" w:name="LawTable"/>
      <w:bookmarkEnd w:id="5"/>
    </w:p>
    <w:p w14:paraId="29461AF9" w14:textId="77777777" w:rsidR="009F2D06" w:rsidRPr="009F2D06" w:rsidRDefault="009F2D06" w:rsidP="009F2D06">
      <w:pPr>
        <w:spacing w:before="120" w:after="120" w:line="240" w:lineRule="exact"/>
        <w:ind w:left="283" w:hanging="283"/>
        <w:jc w:val="both"/>
        <w:rPr>
          <w:rFonts w:ascii="FrankRuehl" w:hAnsi="FrankRuehl" w:cs="FrankRuehl"/>
          <w:color w:val="0000FF"/>
          <w:rtl/>
        </w:rPr>
      </w:pPr>
      <w:r w:rsidRPr="009F2D06">
        <w:rPr>
          <w:rFonts w:ascii="FrankRuehl" w:hAnsi="FrankRuehl" w:cs="FrankRuehl"/>
          <w:color w:val="0000FF"/>
          <w:rtl/>
        </w:rPr>
        <w:t xml:space="preserve">חקיקה שאוזכרה: </w:t>
      </w:r>
    </w:p>
    <w:p w14:paraId="018585D2" w14:textId="77777777" w:rsidR="009F2D06" w:rsidRPr="009F2D06" w:rsidRDefault="009F2D06" w:rsidP="009F2D06">
      <w:pPr>
        <w:spacing w:before="120" w:after="120" w:line="240" w:lineRule="exact"/>
        <w:ind w:left="283" w:hanging="283"/>
        <w:jc w:val="both"/>
        <w:rPr>
          <w:rFonts w:ascii="FrankRuehl" w:hAnsi="FrankRuehl" w:cs="FrankRuehl"/>
          <w:color w:val="0000FF"/>
          <w:rtl/>
        </w:rPr>
      </w:pPr>
      <w:hyperlink r:id="rId7" w:history="1">
        <w:r w:rsidRPr="009F2D06">
          <w:rPr>
            <w:rStyle w:val="Hyperlink"/>
            <w:rFonts w:ascii="FrankRuehl" w:hAnsi="FrankRuehl" w:cs="FrankRuehl"/>
            <w:u w:val="none"/>
            <w:rtl/>
          </w:rPr>
          <w:t>חוק העונשין, תשל"ז-1977</w:t>
        </w:r>
      </w:hyperlink>
      <w:r w:rsidRPr="009F2D06">
        <w:rPr>
          <w:rFonts w:ascii="FrankRuehl" w:hAnsi="FrankRuehl" w:cs="FrankRuehl"/>
          <w:color w:val="0000FF"/>
          <w:rtl/>
        </w:rPr>
        <w:t xml:space="preserve">: סע'  </w:t>
      </w:r>
      <w:hyperlink r:id="rId8" w:history="1">
        <w:r w:rsidRPr="009F2D06">
          <w:rPr>
            <w:rStyle w:val="Hyperlink"/>
            <w:rFonts w:ascii="FrankRuehl" w:hAnsi="FrankRuehl" w:cs="FrankRuehl"/>
            <w:u w:val="none"/>
          </w:rPr>
          <w:t>31</w:t>
        </w:r>
      </w:hyperlink>
      <w:r w:rsidRPr="009F2D06">
        <w:rPr>
          <w:rFonts w:ascii="FrankRuehl" w:hAnsi="FrankRuehl" w:cs="FrankRuehl"/>
          <w:color w:val="0000FF"/>
          <w:rtl/>
        </w:rPr>
        <w:t xml:space="preserve">, </w:t>
      </w:r>
      <w:hyperlink r:id="rId9" w:history="1">
        <w:r w:rsidRPr="009F2D06">
          <w:rPr>
            <w:rStyle w:val="Hyperlink"/>
            <w:rFonts w:ascii="FrankRuehl" w:hAnsi="FrankRuehl" w:cs="FrankRuehl"/>
            <w:u w:val="none"/>
          </w:rPr>
          <w:t>40</w:t>
        </w:r>
        <w:r w:rsidRPr="009F2D06">
          <w:rPr>
            <w:rStyle w:val="Hyperlink"/>
            <w:rFonts w:ascii="FrankRuehl" w:hAnsi="FrankRuehl" w:cs="FrankRuehl"/>
            <w:u w:val="none"/>
            <w:rtl/>
          </w:rPr>
          <w:t>ד</w:t>
        </w:r>
        <w:r w:rsidRPr="009F2D06">
          <w:rPr>
            <w:rStyle w:val="Hyperlink"/>
            <w:rFonts w:ascii="FrankRuehl" w:hAnsi="FrankRuehl" w:cs="FrankRuehl"/>
            <w:u w:val="none"/>
          </w:rPr>
          <w:t>'</w:t>
        </w:r>
      </w:hyperlink>
      <w:r w:rsidRPr="009F2D06">
        <w:rPr>
          <w:rFonts w:ascii="FrankRuehl" w:hAnsi="FrankRuehl" w:cs="FrankRuehl"/>
          <w:color w:val="0000FF"/>
          <w:rtl/>
        </w:rPr>
        <w:t xml:space="preserve">, </w:t>
      </w:r>
      <w:hyperlink r:id="rId10" w:history="1">
        <w:r w:rsidRPr="009F2D06">
          <w:rPr>
            <w:rStyle w:val="Hyperlink"/>
            <w:rFonts w:ascii="FrankRuehl" w:hAnsi="FrankRuehl" w:cs="FrankRuehl"/>
            <w:u w:val="none"/>
          </w:rPr>
          <w:t xml:space="preserve">40 </w:t>
        </w:r>
        <w:r w:rsidRPr="009F2D06">
          <w:rPr>
            <w:rStyle w:val="Hyperlink"/>
            <w:rFonts w:ascii="FrankRuehl" w:hAnsi="FrankRuehl" w:cs="FrankRuehl"/>
            <w:u w:val="none"/>
            <w:rtl/>
          </w:rPr>
          <w:t>ה</w:t>
        </w:r>
        <w:r w:rsidRPr="009F2D06">
          <w:rPr>
            <w:rStyle w:val="Hyperlink"/>
            <w:rFonts w:ascii="FrankRuehl" w:hAnsi="FrankRuehl" w:cs="FrankRuehl"/>
            <w:u w:val="none"/>
          </w:rPr>
          <w:t>'</w:t>
        </w:r>
      </w:hyperlink>
      <w:r w:rsidRPr="009F2D06">
        <w:rPr>
          <w:rFonts w:ascii="FrankRuehl" w:hAnsi="FrankRuehl" w:cs="FrankRuehl"/>
          <w:color w:val="0000FF"/>
          <w:rtl/>
        </w:rPr>
        <w:t xml:space="preserve">, </w:t>
      </w:r>
      <w:hyperlink r:id="rId11" w:history="1">
        <w:r w:rsidRPr="009F2D06">
          <w:rPr>
            <w:rStyle w:val="Hyperlink"/>
            <w:rFonts w:ascii="FrankRuehl" w:hAnsi="FrankRuehl" w:cs="FrankRuehl"/>
            <w:u w:val="none"/>
          </w:rPr>
          <w:t>40</w:t>
        </w:r>
        <w:r w:rsidRPr="009F2D06">
          <w:rPr>
            <w:rStyle w:val="Hyperlink"/>
            <w:rFonts w:ascii="FrankRuehl" w:hAnsi="FrankRuehl" w:cs="FrankRuehl"/>
            <w:u w:val="none"/>
            <w:rtl/>
          </w:rPr>
          <w:t>ט</w:t>
        </w:r>
        <w:r w:rsidRPr="009F2D06">
          <w:rPr>
            <w:rStyle w:val="Hyperlink"/>
            <w:rFonts w:ascii="FrankRuehl" w:hAnsi="FrankRuehl" w:cs="FrankRuehl"/>
            <w:u w:val="none"/>
          </w:rPr>
          <w:t>'</w:t>
        </w:r>
      </w:hyperlink>
      <w:r w:rsidRPr="009F2D06">
        <w:rPr>
          <w:rFonts w:ascii="FrankRuehl" w:hAnsi="FrankRuehl" w:cs="FrankRuehl"/>
          <w:color w:val="0000FF"/>
          <w:rtl/>
        </w:rPr>
        <w:t xml:space="preserve">, </w:t>
      </w:r>
      <w:hyperlink r:id="rId12" w:history="1">
        <w:r w:rsidRPr="009F2D06">
          <w:rPr>
            <w:rStyle w:val="Hyperlink"/>
            <w:rFonts w:ascii="FrankRuehl" w:hAnsi="FrankRuehl" w:cs="FrankRuehl"/>
            <w:u w:val="none"/>
          </w:rPr>
          <w:t>144</w:t>
        </w:r>
      </w:hyperlink>
      <w:r w:rsidRPr="009F2D06">
        <w:rPr>
          <w:rFonts w:ascii="FrankRuehl" w:hAnsi="FrankRuehl" w:cs="FrankRuehl"/>
          <w:color w:val="0000FF"/>
          <w:rtl/>
        </w:rPr>
        <w:t xml:space="preserve">(א), </w:t>
      </w:r>
      <w:hyperlink r:id="rId13" w:history="1">
        <w:r w:rsidRPr="009F2D06">
          <w:rPr>
            <w:rStyle w:val="Hyperlink"/>
            <w:rFonts w:ascii="FrankRuehl" w:hAnsi="FrankRuehl" w:cs="FrankRuehl"/>
            <w:u w:val="none"/>
          </w:rPr>
          <w:t>40</w:t>
        </w:r>
        <w:r w:rsidRPr="009F2D06">
          <w:rPr>
            <w:rStyle w:val="Hyperlink"/>
            <w:rFonts w:ascii="FrankRuehl" w:hAnsi="FrankRuehl" w:cs="FrankRuehl"/>
            <w:u w:val="none"/>
            <w:rtl/>
          </w:rPr>
          <w:t>יא</w:t>
        </w:r>
        <w:r w:rsidRPr="009F2D06">
          <w:rPr>
            <w:rStyle w:val="Hyperlink"/>
            <w:rFonts w:ascii="FrankRuehl" w:hAnsi="FrankRuehl" w:cs="FrankRuehl"/>
            <w:u w:val="none"/>
          </w:rPr>
          <w:t>'</w:t>
        </w:r>
      </w:hyperlink>
    </w:p>
    <w:p w14:paraId="7A6B8813" w14:textId="77777777" w:rsidR="001946EE" w:rsidRPr="009F2D06" w:rsidRDefault="001946EE" w:rsidP="009F2D06">
      <w:pPr>
        <w:spacing w:after="120" w:line="240" w:lineRule="exact"/>
        <w:ind w:left="283" w:hanging="283"/>
        <w:jc w:val="both"/>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46EE" w14:paraId="2D0CA601" w14:textId="77777777" w:rsidTr="001946EE">
        <w:trPr>
          <w:trHeight w:val="355"/>
          <w:jc w:val="center"/>
        </w:trPr>
        <w:tc>
          <w:tcPr>
            <w:tcW w:w="8820" w:type="dxa"/>
            <w:tcBorders>
              <w:top w:val="nil"/>
              <w:left w:val="nil"/>
              <w:bottom w:val="nil"/>
              <w:right w:val="nil"/>
            </w:tcBorders>
            <w:shd w:val="clear" w:color="auto" w:fill="auto"/>
          </w:tcPr>
          <w:p w14:paraId="0A50495A" w14:textId="77777777" w:rsidR="008B3C2B" w:rsidRPr="008B3C2B" w:rsidRDefault="008B3C2B" w:rsidP="008B3C2B">
            <w:pPr>
              <w:jc w:val="center"/>
              <w:rPr>
                <w:rFonts w:ascii="David" w:hAnsi="David"/>
                <w:b/>
                <w:bCs/>
                <w:sz w:val="32"/>
                <w:szCs w:val="32"/>
                <w:u w:val="single"/>
                <w:rtl/>
              </w:rPr>
            </w:pPr>
            <w:bookmarkStart w:id="7" w:name="PsakDin" w:colFirst="0" w:colLast="0"/>
            <w:bookmarkEnd w:id="0"/>
            <w:r w:rsidRPr="008B3C2B">
              <w:rPr>
                <w:rFonts w:ascii="David" w:hAnsi="David"/>
                <w:b/>
                <w:bCs/>
                <w:sz w:val="32"/>
                <w:szCs w:val="32"/>
                <w:u w:val="single"/>
                <w:rtl/>
              </w:rPr>
              <w:t>גזר דין</w:t>
            </w:r>
          </w:p>
          <w:p w14:paraId="451AB7DE" w14:textId="77777777" w:rsidR="001946EE" w:rsidRPr="008B3C2B" w:rsidRDefault="001946EE" w:rsidP="008B3C2B">
            <w:pPr>
              <w:jc w:val="center"/>
              <w:rPr>
                <w:rFonts w:ascii="David" w:hAnsi="David"/>
                <w:bCs/>
                <w:sz w:val="32"/>
                <w:szCs w:val="32"/>
                <w:u w:val="single"/>
                <w:rtl/>
              </w:rPr>
            </w:pPr>
          </w:p>
        </w:tc>
      </w:tr>
      <w:bookmarkEnd w:id="7"/>
    </w:tbl>
    <w:p w14:paraId="59492C7C" w14:textId="77777777" w:rsidR="001946EE" w:rsidRPr="000F2247" w:rsidRDefault="001946EE" w:rsidP="001946EE">
      <w:pPr>
        <w:rPr>
          <w:rFonts w:ascii="Arial" w:hAnsi="Arial"/>
          <w:b/>
          <w:bCs/>
          <w:sz w:val="26"/>
          <w:szCs w:val="26"/>
          <w:rtl/>
        </w:rPr>
      </w:pPr>
    </w:p>
    <w:p w14:paraId="673C6CC2" w14:textId="77777777" w:rsidR="001946EE" w:rsidRPr="0088286F" w:rsidRDefault="001946EE" w:rsidP="001946EE">
      <w:pPr>
        <w:spacing w:line="360" w:lineRule="auto"/>
        <w:jc w:val="both"/>
        <w:rPr>
          <w:rFonts w:ascii="David" w:hAnsi="David"/>
          <w:b/>
          <w:bCs/>
          <w:u w:val="single"/>
          <w:rtl/>
        </w:rPr>
      </w:pPr>
      <w:bookmarkStart w:id="8" w:name="ABSTRACT_START"/>
      <w:bookmarkEnd w:id="8"/>
      <w:r w:rsidRPr="0088286F">
        <w:rPr>
          <w:rFonts w:ascii="David" w:hAnsi="David" w:hint="cs"/>
          <w:b/>
          <w:bCs/>
          <w:u w:val="single"/>
          <w:rtl/>
        </w:rPr>
        <w:t>כתב האישום וניהול ההליך</w:t>
      </w:r>
    </w:p>
    <w:p w14:paraId="142534E8" w14:textId="77777777" w:rsidR="001946EE" w:rsidRPr="0088286F" w:rsidRDefault="001946EE" w:rsidP="001946EE">
      <w:pPr>
        <w:spacing w:line="360" w:lineRule="auto"/>
        <w:jc w:val="both"/>
        <w:rPr>
          <w:rFonts w:ascii="David" w:hAnsi="David"/>
          <w:rtl/>
        </w:rPr>
      </w:pPr>
      <w:r w:rsidRPr="0088286F">
        <w:rPr>
          <w:rFonts w:ascii="David" w:hAnsi="David"/>
          <w:rtl/>
        </w:rPr>
        <w:t xml:space="preserve">הנאשם הורשע על פי הודאתו </w:t>
      </w:r>
      <w:r>
        <w:rPr>
          <w:rFonts w:ascii="David" w:hAnsi="David" w:hint="cs"/>
          <w:rtl/>
        </w:rPr>
        <w:t xml:space="preserve">לאחר שחזר בו מכפירתו במהלך שמיעת הראיות, </w:t>
      </w:r>
      <w:r w:rsidRPr="0088286F">
        <w:rPr>
          <w:rFonts w:ascii="David" w:hAnsi="David"/>
          <w:rtl/>
        </w:rPr>
        <w:t>בכתב האישום המתוקן</w:t>
      </w:r>
      <w:r>
        <w:rPr>
          <w:rFonts w:ascii="David" w:hAnsi="David" w:hint="cs"/>
          <w:rtl/>
        </w:rPr>
        <w:t xml:space="preserve"> </w:t>
      </w:r>
      <w:r w:rsidRPr="0088286F">
        <w:rPr>
          <w:rFonts w:ascii="David" w:hAnsi="David"/>
          <w:rtl/>
        </w:rPr>
        <w:t xml:space="preserve">המייחס לו עבירה של </w:t>
      </w:r>
      <w:r w:rsidRPr="0088286F">
        <w:rPr>
          <w:rFonts w:ascii="David" w:hAnsi="David"/>
          <w:b/>
          <w:bCs/>
          <w:rtl/>
        </w:rPr>
        <w:t xml:space="preserve">סיוע לעבירות בנשק (החזקה) </w:t>
      </w:r>
      <w:r w:rsidRPr="0088286F">
        <w:rPr>
          <w:rFonts w:ascii="David" w:hAnsi="David"/>
          <w:rtl/>
        </w:rPr>
        <w:t xml:space="preserve">– לפי </w:t>
      </w:r>
      <w:hyperlink r:id="rId14" w:history="1">
        <w:r w:rsidR="009F2D06" w:rsidRPr="009F2D06">
          <w:rPr>
            <w:rStyle w:val="Hyperlink"/>
            <w:rFonts w:ascii="David" w:hAnsi="David"/>
            <w:color w:val="0000FF"/>
            <w:rtl/>
          </w:rPr>
          <w:t>סעיף 144(א)</w:t>
        </w:r>
      </w:hyperlink>
      <w:r w:rsidRPr="0088286F">
        <w:rPr>
          <w:rFonts w:ascii="David" w:hAnsi="David"/>
          <w:rtl/>
        </w:rPr>
        <w:t xml:space="preserve"> רישא +</w:t>
      </w:r>
      <w:hyperlink r:id="rId15" w:history="1">
        <w:r w:rsidR="009F2D06" w:rsidRPr="009F2D06">
          <w:rPr>
            <w:rStyle w:val="Hyperlink"/>
            <w:rFonts w:ascii="David" w:hAnsi="David"/>
            <w:color w:val="0000FF"/>
            <w:rtl/>
          </w:rPr>
          <w:t>סעיף 31</w:t>
        </w:r>
      </w:hyperlink>
      <w:r w:rsidRPr="0088286F">
        <w:rPr>
          <w:rFonts w:ascii="David" w:hAnsi="David"/>
          <w:rtl/>
        </w:rPr>
        <w:t xml:space="preserve"> ל</w:t>
      </w:r>
      <w:hyperlink r:id="rId16" w:history="1">
        <w:r w:rsidR="008B3C2B" w:rsidRPr="008B3C2B">
          <w:rPr>
            <w:rFonts w:ascii="David" w:hAnsi="David"/>
            <w:color w:val="0000FF"/>
            <w:u w:val="single"/>
            <w:rtl/>
          </w:rPr>
          <w:t>חוק העונשין</w:t>
        </w:r>
      </w:hyperlink>
      <w:r w:rsidRPr="0088286F">
        <w:rPr>
          <w:rFonts w:ascii="David" w:hAnsi="David"/>
          <w:rtl/>
        </w:rPr>
        <w:t xml:space="preserve"> </w:t>
      </w:r>
      <w:r w:rsidRPr="0088286F">
        <w:rPr>
          <w:rFonts w:ascii="David" w:hAnsi="David" w:hint="cs"/>
          <w:rtl/>
        </w:rPr>
        <w:t>בכך שבתאריך 09.03.22 סייע לאחר להחזיק בביתו אקדח מסוג "</w:t>
      </w:r>
      <w:r w:rsidRPr="0088286F">
        <w:rPr>
          <w:rFonts w:ascii="David" w:hAnsi="David"/>
        </w:rPr>
        <w:t>FN</w:t>
      </w:r>
      <w:r w:rsidRPr="0088286F">
        <w:rPr>
          <w:rFonts w:ascii="David" w:hAnsi="David"/>
          <w:rtl/>
        </w:rPr>
        <w:t xml:space="preserve">" טעון במחסנית תואמת המכילה כ-15 כדורי תחמושת מסוג 9 מ"מ ובמחסנית נוספת תואמת המכילה 2 כדורי תחמושת מסוג 9 מ"מ </w:t>
      </w:r>
      <w:r>
        <w:rPr>
          <w:rFonts w:ascii="David" w:hAnsi="David" w:hint="cs"/>
          <w:rtl/>
        </w:rPr>
        <w:t>.</w:t>
      </w:r>
      <w:r w:rsidRPr="0088286F">
        <w:rPr>
          <w:rFonts w:ascii="David" w:hAnsi="David"/>
          <w:rtl/>
        </w:rPr>
        <w:t xml:space="preserve"> </w:t>
      </w:r>
    </w:p>
    <w:p w14:paraId="726B675E" w14:textId="77777777" w:rsidR="001946EE" w:rsidRDefault="001946EE" w:rsidP="001946EE">
      <w:pPr>
        <w:spacing w:line="360" w:lineRule="auto"/>
        <w:jc w:val="both"/>
        <w:rPr>
          <w:rFonts w:ascii="David" w:hAnsi="David"/>
          <w:rtl/>
        </w:rPr>
      </w:pPr>
      <w:bookmarkStart w:id="9" w:name="ABSTRACT_END"/>
      <w:bookmarkEnd w:id="9"/>
    </w:p>
    <w:p w14:paraId="1D697F1B" w14:textId="77777777" w:rsidR="001946EE" w:rsidRPr="0088286F" w:rsidRDefault="001946EE" w:rsidP="001946EE">
      <w:pPr>
        <w:spacing w:line="360" w:lineRule="auto"/>
        <w:jc w:val="both"/>
        <w:rPr>
          <w:rFonts w:ascii="David" w:hAnsi="David"/>
          <w:rtl/>
        </w:rPr>
      </w:pPr>
      <w:r w:rsidRPr="0088286F">
        <w:rPr>
          <w:rFonts w:ascii="David" w:hAnsi="David"/>
          <w:rtl/>
        </w:rPr>
        <w:t xml:space="preserve">בדיון מתאריך 06.02.23 ובהתאם להסדר הטיעון שגובש בין הצדדים, כתב האישום המקורי כנגד נאשמת 2 בוטל, כתב האישום כנגד נאשם 1 תוקן כאמור מעלה והנאשם </w:t>
      </w:r>
      <w:r>
        <w:rPr>
          <w:rFonts w:ascii="David" w:hAnsi="David" w:hint="cs"/>
          <w:rtl/>
        </w:rPr>
        <w:t xml:space="preserve">חזר בו מכפירתו, </w:t>
      </w:r>
      <w:r w:rsidRPr="0088286F">
        <w:rPr>
          <w:rFonts w:ascii="David" w:hAnsi="David"/>
          <w:rtl/>
        </w:rPr>
        <w:t xml:space="preserve">הודה </w:t>
      </w:r>
      <w:r w:rsidRPr="0088286F">
        <w:rPr>
          <w:rFonts w:ascii="David" w:hAnsi="David"/>
          <w:rtl/>
        </w:rPr>
        <w:lastRenderedPageBreak/>
        <w:t xml:space="preserve">והורשע. לבקשתו, הופנה </w:t>
      </w:r>
      <w:r>
        <w:rPr>
          <w:rFonts w:ascii="David" w:hAnsi="David" w:hint="cs"/>
          <w:rtl/>
        </w:rPr>
        <w:t xml:space="preserve">עניינו לשירות המבחן לצורך </w:t>
      </w:r>
      <w:r w:rsidRPr="0088286F">
        <w:rPr>
          <w:rFonts w:ascii="David" w:hAnsi="David"/>
          <w:rtl/>
        </w:rPr>
        <w:t>עריכת תסקיר בעניינו ו</w:t>
      </w:r>
      <w:r>
        <w:rPr>
          <w:rFonts w:ascii="David" w:hAnsi="David" w:hint="cs"/>
          <w:rtl/>
        </w:rPr>
        <w:t xml:space="preserve">במקביל הופנה גם עניינו לממונה על עבודות השירות לצורך </w:t>
      </w:r>
      <w:r w:rsidRPr="0088286F">
        <w:rPr>
          <w:rFonts w:ascii="David" w:hAnsi="David"/>
          <w:rtl/>
        </w:rPr>
        <w:t xml:space="preserve">קבלת חוות דעת </w:t>
      </w:r>
      <w:r>
        <w:rPr>
          <w:rFonts w:ascii="David" w:hAnsi="David" w:hint="cs"/>
          <w:rtl/>
        </w:rPr>
        <w:t>בדבר כשירותו והתאמתו לריצוי עונש המאסר בעבודות שירות</w:t>
      </w:r>
      <w:r w:rsidRPr="0088286F">
        <w:rPr>
          <w:rFonts w:ascii="David" w:hAnsi="David"/>
          <w:rtl/>
        </w:rPr>
        <w:t xml:space="preserve">. </w:t>
      </w:r>
    </w:p>
    <w:p w14:paraId="733DEF52" w14:textId="77777777" w:rsidR="001946EE" w:rsidRPr="0088286F" w:rsidRDefault="001946EE" w:rsidP="001946EE">
      <w:pPr>
        <w:spacing w:line="360" w:lineRule="auto"/>
        <w:jc w:val="both"/>
        <w:rPr>
          <w:rFonts w:ascii="David" w:hAnsi="David"/>
          <w:rtl/>
        </w:rPr>
      </w:pPr>
    </w:p>
    <w:p w14:paraId="2A1305B1" w14:textId="77777777" w:rsidR="001946EE" w:rsidRPr="0088286F" w:rsidRDefault="001946EE" w:rsidP="001946EE">
      <w:pPr>
        <w:spacing w:line="360" w:lineRule="auto"/>
        <w:jc w:val="both"/>
        <w:rPr>
          <w:rFonts w:ascii="David" w:hAnsi="David"/>
          <w:rtl/>
        </w:rPr>
      </w:pPr>
      <w:r w:rsidRPr="0088286F">
        <w:rPr>
          <w:rFonts w:ascii="David" w:hAnsi="David"/>
          <w:rtl/>
        </w:rPr>
        <w:t>הנאשם נעצר מאחורי סורג ובריח מתאריך 09.03.22 עד לתאריך 23.03.22, שלאחריו עבר למעצר</w:t>
      </w:r>
      <w:r>
        <w:rPr>
          <w:rFonts w:ascii="David" w:hAnsi="David" w:hint="cs"/>
          <w:rtl/>
        </w:rPr>
        <w:t xml:space="preserve"> עד תום ההליכים</w:t>
      </w:r>
      <w:r w:rsidRPr="0088286F">
        <w:rPr>
          <w:rFonts w:ascii="David" w:hAnsi="David"/>
          <w:rtl/>
        </w:rPr>
        <w:t xml:space="preserve"> בפיקוח </w:t>
      </w:r>
      <w:r>
        <w:rPr>
          <w:rFonts w:ascii="David" w:hAnsi="David" w:hint="cs"/>
          <w:rtl/>
        </w:rPr>
        <w:t xml:space="preserve">אזוק </w:t>
      </w:r>
      <w:r w:rsidRPr="0088286F">
        <w:rPr>
          <w:rFonts w:ascii="David" w:hAnsi="David"/>
          <w:rtl/>
        </w:rPr>
        <w:t xml:space="preserve">אלקטרוני עד לתאריך 27.06.22.   </w:t>
      </w:r>
    </w:p>
    <w:p w14:paraId="36CE162B" w14:textId="77777777" w:rsidR="001946EE" w:rsidRPr="0088286F" w:rsidRDefault="001946EE" w:rsidP="001946EE">
      <w:pPr>
        <w:spacing w:line="360" w:lineRule="auto"/>
        <w:jc w:val="both"/>
        <w:rPr>
          <w:rFonts w:ascii="David" w:hAnsi="David"/>
          <w:highlight w:val="yellow"/>
          <w:rtl/>
        </w:rPr>
      </w:pPr>
    </w:p>
    <w:p w14:paraId="1B35324F" w14:textId="77777777" w:rsidR="001946EE" w:rsidRPr="0088286F" w:rsidRDefault="001946EE" w:rsidP="001946EE">
      <w:pPr>
        <w:spacing w:line="360" w:lineRule="auto"/>
        <w:jc w:val="both"/>
        <w:rPr>
          <w:rFonts w:ascii="David" w:hAnsi="David"/>
          <w:b/>
          <w:bCs/>
          <w:u w:val="single"/>
          <w:rtl/>
        </w:rPr>
      </w:pPr>
      <w:r w:rsidRPr="0088286F">
        <w:rPr>
          <w:rFonts w:ascii="David" w:hAnsi="David"/>
          <w:b/>
          <w:bCs/>
          <w:u w:val="single"/>
          <w:rtl/>
        </w:rPr>
        <w:t>תסקיר שירות המבחן וחוות דעת הממונה על עבודות השירות</w:t>
      </w:r>
    </w:p>
    <w:p w14:paraId="62D7CD80" w14:textId="77777777" w:rsidR="001946EE" w:rsidRPr="0088286F" w:rsidRDefault="001946EE" w:rsidP="001946EE">
      <w:pPr>
        <w:spacing w:line="360" w:lineRule="auto"/>
        <w:jc w:val="both"/>
        <w:rPr>
          <w:rFonts w:ascii="David" w:hAnsi="David"/>
          <w:rtl/>
        </w:rPr>
      </w:pPr>
      <w:r w:rsidRPr="0088286F">
        <w:rPr>
          <w:rFonts w:ascii="David" w:hAnsi="David"/>
          <w:rtl/>
        </w:rPr>
        <w:t xml:space="preserve">בתאריך 08.11.23, התקבל תסקיר שירות המבחן לפיו מדובר בנאשם בן 53, נשוי ואב לארבעה ילדים בגירים, נכה 100% המתקיים מקצבת נכות. הנאשם כאמור נשוי וגם אשתו סובלת מבעיות בריאותיות ומוכרת כנכה. לנאשם אין הרשעות קודמות בפלילים. </w:t>
      </w:r>
    </w:p>
    <w:p w14:paraId="0BF38850" w14:textId="77777777" w:rsidR="001946EE" w:rsidRPr="0088286F" w:rsidRDefault="001946EE" w:rsidP="001946EE">
      <w:pPr>
        <w:spacing w:line="360" w:lineRule="auto"/>
        <w:jc w:val="both"/>
        <w:rPr>
          <w:rFonts w:ascii="David" w:hAnsi="David"/>
          <w:rtl/>
        </w:rPr>
      </w:pPr>
    </w:p>
    <w:p w14:paraId="18C10C41" w14:textId="77777777" w:rsidR="001946EE" w:rsidRPr="0088286F" w:rsidRDefault="001946EE" w:rsidP="001946EE">
      <w:pPr>
        <w:spacing w:line="360" w:lineRule="auto"/>
        <w:jc w:val="both"/>
        <w:rPr>
          <w:rFonts w:ascii="David" w:hAnsi="David"/>
          <w:rtl/>
        </w:rPr>
      </w:pPr>
      <w:r w:rsidRPr="0088286F">
        <w:rPr>
          <w:rFonts w:ascii="David" w:hAnsi="David"/>
          <w:rtl/>
        </w:rPr>
        <w:t>במסגרת הליך המעצר, שירות המבחן התרשם שהנאשם מציג עצמו כאדם נורמטיבי בעל אורח חיים תקין, אך משתף מעצמו באופן מצומצם ובעיקר מבליט את חלקיו המתפקדים באופן בו רב הנסתר על הגלוי. בהתאם, לא הומלץ על הקלה בתנאי מעצרו.</w:t>
      </w:r>
    </w:p>
    <w:p w14:paraId="40FFCD04" w14:textId="77777777" w:rsidR="001946EE" w:rsidRPr="0088286F" w:rsidRDefault="001946EE" w:rsidP="001946EE">
      <w:pPr>
        <w:spacing w:line="360" w:lineRule="auto"/>
        <w:jc w:val="both"/>
        <w:rPr>
          <w:rFonts w:ascii="David" w:hAnsi="David"/>
          <w:rtl/>
        </w:rPr>
      </w:pPr>
    </w:p>
    <w:p w14:paraId="3068DD28" w14:textId="77777777" w:rsidR="001946EE" w:rsidRPr="0088286F" w:rsidRDefault="001946EE" w:rsidP="001946EE">
      <w:pPr>
        <w:spacing w:line="360" w:lineRule="auto"/>
        <w:jc w:val="both"/>
        <w:rPr>
          <w:rFonts w:ascii="David" w:hAnsi="David"/>
          <w:rtl/>
        </w:rPr>
      </w:pPr>
      <w:r w:rsidRPr="0088286F">
        <w:rPr>
          <w:rFonts w:ascii="David" w:hAnsi="David"/>
          <w:rtl/>
        </w:rPr>
        <w:t xml:space="preserve">בהתייחסותו לעבירה, הנאשם לקח אחריות ברמה המילולית בלבד, שלל קיומם של סכסוכים או קשרים שוליים ונקט בגישה מצמצמת אודות סיועו להחזקת הנשק. פעם נוספת הנאשם העצים את חלקיו המתפקדים והנורמטיביים והכחיש דפוסי התנהגות בעייתיים. </w:t>
      </w:r>
    </w:p>
    <w:p w14:paraId="41F9250B" w14:textId="77777777" w:rsidR="001946EE" w:rsidRPr="0088286F" w:rsidRDefault="001946EE" w:rsidP="001946EE">
      <w:pPr>
        <w:spacing w:line="360" w:lineRule="auto"/>
        <w:jc w:val="both"/>
        <w:rPr>
          <w:rFonts w:ascii="David" w:hAnsi="David"/>
          <w:rtl/>
        </w:rPr>
      </w:pPr>
    </w:p>
    <w:p w14:paraId="0E0EE4DA" w14:textId="77777777" w:rsidR="001946EE" w:rsidRPr="0088286F" w:rsidRDefault="001946EE" w:rsidP="001946EE">
      <w:pPr>
        <w:spacing w:line="360" w:lineRule="auto"/>
        <w:jc w:val="both"/>
        <w:rPr>
          <w:rFonts w:ascii="David" w:hAnsi="David"/>
          <w:rtl/>
        </w:rPr>
      </w:pPr>
      <w:r w:rsidRPr="0088286F">
        <w:rPr>
          <w:rFonts w:ascii="David" w:hAnsi="David"/>
          <w:rtl/>
        </w:rPr>
        <w:t>לאור האמור, שירות המבחן התקשה לגבש הערכת סיכון ונמנע מהמלצה שיקומית אך המליץ לקחת בחשבון את קשייו הרפואיים במסגרת שיקולי הענישה.</w:t>
      </w:r>
    </w:p>
    <w:p w14:paraId="6C6E281B" w14:textId="77777777" w:rsidR="001946EE" w:rsidRPr="0088286F" w:rsidRDefault="001946EE" w:rsidP="001946EE">
      <w:pPr>
        <w:spacing w:line="360" w:lineRule="auto"/>
        <w:jc w:val="both"/>
        <w:rPr>
          <w:rFonts w:ascii="David" w:hAnsi="David"/>
          <w:rtl/>
        </w:rPr>
      </w:pPr>
      <w:r w:rsidRPr="0088286F">
        <w:rPr>
          <w:rFonts w:ascii="David" w:hAnsi="David"/>
          <w:rtl/>
        </w:rPr>
        <w:t xml:space="preserve"> </w:t>
      </w:r>
    </w:p>
    <w:p w14:paraId="59057464" w14:textId="77777777" w:rsidR="001946EE" w:rsidRPr="0088286F" w:rsidRDefault="001946EE" w:rsidP="001946EE">
      <w:pPr>
        <w:spacing w:line="360" w:lineRule="auto"/>
        <w:jc w:val="both"/>
        <w:rPr>
          <w:rFonts w:ascii="David" w:hAnsi="David"/>
          <w:rtl/>
        </w:rPr>
      </w:pPr>
      <w:r w:rsidRPr="0088286F">
        <w:rPr>
          <w:rFonts w:ascii="David" w:hAnsi="David"/>
          <w:rtl/>
        </w:rPr>
        <w:t>בתאריך 24.03.24 התקבלה חוות דעתו של הממונה על עבודות השירות</w:t>
      </w:r>
      <w:r w:rsidRPr="0088286F">
        <w:rPr>
          <w:rFonts w:ascii="David" w:hAnsi="David"/>
          <w:b/>
          <w:bCs/>
          <w:rtl/>
        </w:rPr>
        <w:t xml:space="preserve"> </w:t>
      </w:r>
      <w:r w:rsidRPr="0088286F">
        <w:rPr>
          <w:rFonts w:ascii="David" w:hAnsi="David"/>
          <w:rtl/>
        </w:rPr>
        <w:t>ולפיה הנאשם נמצא כשיר לנשיאת עונש מאסר בעבודות שירות ב"אקי"ם גלבוע" שבמושב יעל וזאת ככל שכך יקבע בגזר הדין.</w:t>
      </w:r>
    </w:p>
    <w:p w14:paraId="414EFF6A" w14:textId="77777777" w:rsidR="001946EE" w:rsidRPr="0088286F" w:rsidRDefault="001946EE" w:rsidP="001946EE">
      <w:pPr>
        <w:spacing w:line="360" w:lineRule="auto"/>
        <w:jc w:val="both"/>
        <w:rPr>
          <w:rFonts w:ascii="David" w:hAnsi="David"/>
          <w:rtl/>
        </w:rPr>
      </w:pPr>
    </w:p>
    <w:p w14:paraId="0EA94C3E" w14:textId="77777777" w:rsidR="001946EE" w:rsidRPr="0088286F" w:rsidRDefault="001946EE" w:rsidP="001946EE">
      <w:pPr>
        <w:spacing w:line="360" w:lineRule="auto"/>
        <w:jc w:val="both"/>
        <w:rPr>
          <w:rFonts w:ascii="David" w:hAnsi="David"/>
          <w:b/>
          <w:bCs/>
          <w:u w:val="single"/>
          <w:rtl/>
        </w:rPr>
      </w:pPr>
      <w:r w:rsidRPr="0088286F">
        <w:rPr>
          <w:rFonts w:ascii="David" w:hAnsi="David"/>
          <w:b/>
          <w:bCs/>
          <w:u w:val="single"/>
          <w:rtl/>
        </w:rPr>
        <w:t>טיעוני המאשימה לעונש</w:t>
      </w:r>
    </w:p>
    <w:p w14:paraId="0FDEABFC"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ב"כ המאשימה עמד על חומרת מעשיו של הנאשם ועל הערכים החברתיים שנפגעו, שלום הצי</w:t>
      </w:r>
      <w:r>
        <w:rPr>
          <w:rFonts w:ascii="David" w:eastAsia="Calibri" w:hAnsi="David"/>
          <w:rtl/>
        </w:rPr>
        <w:t xml:space="preserve">בור ובטחונו. ב"כ המאשימה הדגיש </w:t>
      </w:r>
      <w:r>
        <w:rPr>
          <w:rFonts w:ascii="David" w:eastAsia="Calibri" w:hAnsi="David" w:hint="cs"/>
          <w:rtl/>
        </w:rPr>
        <w:t xml:space="preserve">כי </w:t>
      </w:r>
      <w:r w:rsidRPr="0088286F">
        <w:rPr>
          <w:rFonts w:ascii="David" w:eastAsia="Calibri" w:hAnsi="David"/>
          <w:rtl/>
        </w:rPr>
        <w:t xml:space="preserve">מידת הפגיעה בערכים אלה איננה מסתכמת רק בנזק שאירע בפועל אלא גם בפוטנציאל של פגיעה בחפים מפשע וערעור בטחון הציבור והסדר החברתי, הנובע </w:t>
      </w:r>
      <w:r>
        <w:rPr>
          <w:rFonts w:ascii="David" w:eastAsia="Calibri" w:hAnsi="David"/>
          <w:rtl/>
        </w:rPr>
        <w:t xml:space="preserve">מאותן עבירות. </w:t>
      </w:r>
      <w:r w:rsidRPr="0088286F">
        <w:rPr>
          <w:rFonts w:ascii="David" w:eastAsia="Calibri" w:hAnsi="David"/>
          <w:rtl/>
        </w:rPr>
        <w:t>ה</w:t>
      </w:r>
      <w:r>
        <w:rPr>
          <w:rFonts w:ascii="David" w:eastAsia="Calibri" w:hAnsi="David" w:hint="cs"/>
          <w:rtl/>
        </w:rPr>
        <w:t>ו</w:t>
      </w:r>
      <w:r>
        <w:rPr>
          <w:rFonts w:ascii="David" w:eastAsia="Calibri" w:hAnsi="David"/>
          <w:rtl/>
        </w:rPr>
        <w:t>דג</w:t>
      </w:r>
      <w:r w:rsidRPr="0088286F">
        <w:rPr>
          <w:rFonts w:ascii="David" w:eastAsia="Calibri" w:hAnsi="David"/>
          <w:rtl/>
        </w:rPr>
        <w:t xml:space="preserve">ש כי מיגור הנגע של </w:t>
      </w:r>
      <w:r>
        <w:rPr>
          <w:rFonts w:ascii="David" w:eastAsia="Calibri" w:hAnsi="David" w:hint="cs"/>
          <w:rtl/>
        </w:rPr>
        <w:t xml:space="preserve">עבירות </w:t>
      </w:r>
      <w:r w:rsidRPr="0088286F">
        <w:rPr>
          <w:rFonts w:ascii="David" w:eastAsia="Calibri" w:hAnsi="David"/>
          <w:rtl/>
        </w:rPr>
        <w:t>החזקת נשק בלתי חוקי והשימוש בו, הפך למטרת על בקרב גורמי אכיפת החוק, ובתי המשפט ראו בעבירות הנשק כעבירות שיש להחמיר עם מבצעיהם על ידי הטלת מאסרים ממושכים, במיוחד מאחר שהפכו למכת מדינה.</w:t>
      </w:r>
    </w:p>
    <w:p w14:paraId="6C78A4A2" w14:textId="77777777" w:rsidR="001946EE" w:rsidRPr="0088286F" w:rsidRDefault="001946EE" w:rsidP="001946EE">
      <w:pPr>
        <w:spacing w:line="360" w:lineRule="auto"/>
        <w:jc w:val="both"/>
        <w:rPr>
          <w:rFonts w:ascii="David" w:eastAsia="Calibri" w:hAnsi="David"/>
          <w:rtl/>
        </w:rPr>
      </w:pPr>
    </w:p>
    <w:p w14:paraId="6B50BCA1"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lastRenderedPageBreak/>
        <w:t xml:space="preserve">בקביעת מתחם העונש ההולם את מעשיו של הנאשם, עמד ב"כ המאשימה על </w:t>
      </w:r>
      <w:r w:rsidRPr="0088286F">
        <w:rPr>
          <w:rFonts w:ascii="David" w:eastAsia="Calibri" w:hAnsi="David"/>
          <w:u w:val="single"/>
          <w:rtl/>
        </w:rPr>
        <w:t>מדיניות הענישה הנהוגה בעבירות החזקת נשק (אקדח ותת מקלע מאולתר)</w:t>
      </w:r>
      <w:r w:rsidRPr="0088286F">
        <w:rPr>
          <w:rFonts w:ascii="David" w:eastAsia="Calibri" w:hAnsi="David"/>
          <w:rtl/>
        </w:rPr>
        <w:t>, על הנסיבות הקשורות בביצוע העבירה ובכלל זה, העובדה שהנשק היה טעון במחסנית ו-15 כדורים וכן מחסנית טעונה נוספת ליד (תמונות הנשק והמחסניות סומנו ת/2).</w:t>
      </w:r>
    </w:p>
    <w:p w14:paraId="13616E58" w14:textId="77777777" w:rsidR="001946EE" w:rsidRPr="0088286F" w:rsidRDefault="001946EE" w:rsidP="001946EE">
      <w:pPr>
        <w:spacing w:line="360" w:lineRule="auto"/>
        <w:jc w:val="both"/>
        <w:rPr>
          <w:rFonts w:ascii="David" w:eastAsia="Calibri" w:hAnsi="David"/>
          <w:rtl/>
        </w:rPr>
      </w:pPr>
    </w:p>
    <w:p w14:paraId="1BD2D134"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 xml:space="preserve">ב"כ </w:t>
      </w:r>
      <w:r>
        <w:rPr>
          <w:rFonts w:ascii="David" w:eastAsia="Calibri" w:hAnsi="David"/>
          <w:rtl/>
        </w:rPr>
        <w:t xml:space="preserve">המאשימה </w:t>
      </w:r>
      <w:r>
        <w:rPr>
          <w:rFonts w:ascii="David" w:eastAsia="Calibri" w:hAnsi="David" w:hint="cs"/>
          <w:rtl/>
        </w:rPr>
        <w:t xml:space="preserve">ביקש לקבוע כי </w:t>
      </w:r>
      <w:r w:rsidRPr="0088286F">
        <w:rPr>
          <w:rFonts w:ascii="David" w:eastAsia="Calibri" w:hAnsi="David"/>
          <w:rtl/>
        </w:rPr>
        <w:t>מתחם העונש ההולם את מעשיו של ה</w:t>
      </w:r>
      <w:r>
        <w:rPr>
          <w:rFonts w:ascii="David" w:eastAsia="Calibri" w:hAnsi="David"/>
          <w:rtl/>
        </w:rPr>
        <w:t>נאשם נע בין 15 ל- 24 חודשי מאסר</w:t>
      </w:r>
      <w:r>
        <w:rPr>
          <w:rFonts w:ascii="David" w:eastAsia="Calibri" w:hAnsi="David" w:hint="cs"/>
          <w:rtl/>
        </w:rPr>
        <w:t>, לצד ענישה הצופה פני עתיד וקנס.</w:t>
      </w:r>
    </w:p>
    <w:p w14:paraId="01B08A51" w14:textId="77777777" w:rsidR="001946EE" w:rsidRPr="0088286F" w:rsidRDefault="001946EE" w:rsidP="001946EE">
      <w:pPr>
        <w:spacing w:line="360" w:lineRule="auto"/>
        <w:jc w:val="both"/>
        <w:rPr>
          <w:rFonts w:ascii="David" w:eastAsia="Calibri" w:hAnsi="David"/>
          <w:rtl/>
        </w:rPr>
      </w:pPr>
    </w:p>
    <w:p w14:paraId="6CB6F168" w14:textId="77777777" w:rsidR="001946EE" w:rsidRDefault="001946EE" w:rsidP="001946EE">
      <w:pPr>
        <w:spacing w:line="360" w:lineRule="auto"/>
        <w:jc w:val="both"/>
        <w:rPr>
          <w:rFonts w:ascii="David" w:hAnsi="David"/>
          <w:rtl/>
        </w:rPr>
      </w:pPr>
      <w:r w:rsidRPr="0088286F">
        <w:rPr>
          <w:rFonts w:ascii="David" w:eastAsia="Calibri" w:hAnsi="David"/>
          <w:rtl/>
        </w:rPr>
        <w:t>ב"כ המאשימה טען שהנאשם הודה בכתב האישום המתוקן לאחר שנשמעו הראיות ושתסקיר שירות המבחן לא בא בהמלצה טיפולית ולכן, על אף שהנאשם נעדר הרשעות קודמות, ביקש ב"כ המאשימה שלא לחרוג ממתחם העונש ההולם ולגזור על הנאשם 15 חודשי מאסר בפועל, מאסר על תנאי ארוך, קנס שלא יפחת מ-10,000 ₪ והתחייבות. עוד נתבקש השמדת המוצגים.</w:t>
      </w:r>
    </w:p>
    <w:p w14:paraId="41581486" w14:textId="77777777" w:rsidR="001946EE" w:rsidRPr="0088286F" w:rsidRDefault="001946EE" w:rsidP="001946EE">
      <w:pPr>
        <w:spacing w:line="360" w:lineRule="auto"/>
        <w:jc w:val="both"/>
        <w:rPr>
          <w:rFonts w:ascii="David" w:hAnsi="David"/>
          <w:b/>
          <w:bCs/>
          <w:u w:val="single"/>
          <w:rtl/>
        </w:rPr>
      </w:pPr>
    </w:p>
    <w:p w14:paraId="6B183F41" w14:textId="77777777" w:rsidR="001946EE" w:rsidRPr="0088286F" w:rsidRDefault="001946EE" w:rsidP="001946EE">
      <w:pPr>
        <w:spacing w:line="360" w:lineRule="auto"/>
        <w:jc w:val="both"/>
        <w:rPr>
          <w:rFonts w:ascii="David" w:hAnsi="David"/>
          <w:b/>
          <w:bCs/>
          <w:u w:val="single"/>
          <w:rtl/>
        </w:rPr>
      </w:pPr>
      <w:r w:rsidRPr="0088286F">
        <w:rPr>
          <w:rFonts w:ascii="David" w:hAnsi="David"/>
          <w:b/>
          <w:bCs/>
          <w:u w:val="single"/>
          <w:rtl/>
        </w:rPr>
        <w:t>טיעוני ב"כ הנאשם לעונש</w:t>
      </w:r>
    </w:p>
    <w:p w14:paraId="1C3F9401" w14:textId="77777777" w:rsidR="001946EE" w:rsidRPr="0088286F" w:rsidRDefault="001946EE" w:rsidP="001946EE">
      <w:pPr>
        <w:spacing w:line="360" w:lineRule="auto"/>
        <w:jc w:val="both"/>
        <w:rPr>
          <w:rFonts w:ascii="David" w:hAnsi="David"/>
          <w:rtl/>
        </w:rPr>
      </w:pPr>
      <w:r w:rsidRPr="0088286F">
        <w:rPr>
          <w:rFonts w:ascii="David" w:hAnsi="David"/>
          <w:rtl/>
        </w:rPr>
        <w:t xml:space="preserve">ב"כ הנאשם הפנה למצבו הבריאותי של הנאשם (נ/1) וביקש לחרוג ממתחם הענישה ולהסתפק בענישה צופה פני עתיד בלבד. הנאשם היה עצור מאחורי סורג ובריח משך כשבועיים ובפיקוח </w:t>
      </w:r>
      <w:r>
        <w:rPr>
          <w:rFonts w:ascii="David" w:hAnsi="David" w:hint="cs"/>
          <w:rtl/>
        </w:rPr>
        <w:t xml:space="preserve">אזוק </w:t>
      </w:r>
      <w:r w:rsidRPr="0088286F">
        <w:rPr>
          <w:rFonts w:ascii="David" w:hAnsi="David"/>
          <w:rtl/>
        </w:rPr>
        <w:t>אלקטרוני משך 3 חודשים.</w:t>
      </w:r>
    </w:p>
    <w:p w14:paraId="4E1DB9B6" w14:textId="77777777" w:rsidR="001946EE" w:rsidRDefault="001946EE" w:rsidP="001946EE">
      <w:pPr>
        <w:spacing w:line="360" w:lineRule="auto"/>
        <w:jc w:val="both"/>
        <w:rPr>
          <w:rFonts w:ascii="David" w:hAnsi="David"/>
          <w:rtl/>
        </w:rPr>
      </w:pPr>
    </w:p>
    <w:p w14:paraId="656A62AB" w14:textId="77777777" w:rsidR="001946EE" w:rsidRPr="0088286F" w:rsidRDefault="001946EE" w:rsidP="001946EE">
      <w:pPr>
        <w:spacing w:line="360" w:lineRule="auto"/>
        <w:jc w:val="both"/>
        <w:rPr>
          <w:rFonts w:ascii="David" w:hAnsi="David"/>
          <w:rtl/>
        </w:rPr>
      </w:pPr>
      <w:r w:rsidRPr="0088286F">
        <w:rPr>
          <w:rFonts w:ascii="David" w:hAnsi="David"/>
          <w:rtl/>
        </w:rPr>
        <w:t>אמנם הנאשם הודה לאחר שנשמעו עדויות השוטרים ואולם, רק בעקבות שמיעתם תוקן כתב האישום לקולא.</w:t>
      </w:r>
    </w:p>
    <w:p w14:paraId="3D581502" w14:textId="77777777" w:rsidR="001946EE" w:rsidRDefault="001946EE" w:rsidP="001946EE">
      <w:pPr>
        <w:spacing w:line="360" w:lineRule="auto"/>
        <w:jc w:val="both"/>
        <w:rPr>
          <w:rFonts w:ascii="David" w:hAnsi="David"/>
          <w:rtl/>
        </w:rPr>
      </w:pPr>
    </w:p>
    <w:p w14:paraId="772AD43A" w14:textId="77777777" w:rsidR="001946EE" w:rsidRPr="0088286F" w:rsidRDefault="001946EE" w:rsidP="001946EE">
      <w:pPr>
        <w:spacing w:line="360" w:lineRule="auto"/>
        <w:jc w:val="both"/>
        <w:rPr>
          <w:rFonts w:ascii="David" w:hAnsi="David"/>
          <w:rtl/>
        </w:rPr>
      </w:pPr>
      <w:r w:rsidRPr="0088286F">
        <w:rPr>
          <w:rFonts w:ascii="David" w:hAnsi="David"/>
          <w:rtl/>
        </w:rPr>
        <w:t>ב"כ הנאשם התייחס למתחם הענישה אותו ביקשה המאשימה וטען שהמתחם מתאים לעבירת החזקה שהיא עבירה מושלמת ולא לעבירת הסיוע שהעונש בגינה מחצית.</w:t>
      </w:r>
    </w:p>
    <w:p w14:paraId="411CA17E" w14:textId="77777777" w:rsidR="001946EE" w:rsidRDefault="001946EE" w:rsidP="001946EE">
      <w:pPr>
        <w:spacing w:line="360" w:lineRule="auto"/>
        <w:jc w:val="both"/>
        <w:rPr>
          <w:rFonts w:ascii="David" w:hAnsi="David"/>
          <w:rtl/>
        </w:rPr>
      </w:pPr>
    </w:p>
    <w:p w14:paraId="026C3253" w14:textId="77777777" w:rsidR="001946EE" w:rsidRPr="0088286F" w:rsidRDefault="001946EE" w:rsidP="001946EE">
      <w:pPr>
        <w:spacing w:line="360" w:lineRule="auto"/>
        <w:jc w:val="both"/>
        <w:rPr>
          <w:rFonts w:ascii="David" w:hAnsi="David"/>
          <w:rtl/>
        </w:rPr>
      </w:pPr>
      <w:r w:rsidRPr="0088286F">
        <w:rPr>
          <w:rFonts w:ascii="David" w:hAnsi="David"/>
          <w:rtl/>
        </w:rPr>
        <w:t>ב"כ הנאשם הפנה לפסיקה רלוונטית בה הוטלו עבודות שירות בגין עבירות סיוע וחזר על בקשתו שלאור מצבו הרפואי של הנאשם, תיגזר ענישה צופה פני עתיד בלבד.</w:t>
      </w:r>
    </w:p>
    <w:p w14:paraId="0BD33B93" w14:textId="77777777" w:rsidR="001946EE" w:rsidRPr="0088286F" w:rsidRDefault="001946EE" w:rsidP="001946EE">
      <w:pPr>
        <w:spacing w:line="360" w:lineRule="auto"/>
        <w:jc w:val="both"/>
        <w:rPr>
          <w:rFonts w:ascii="David" w:hAnsi="David"/>
          <w:rtl/>
        </w:rPr>
      </w:pPr>
    </w:p>
    <w:p w14:paraId="41A12A55" w14:textId="77777777" w:rsidR="001946EE" w:rsidRPr="0088286F" w:rsidRDefault="001946EE" w:rsidP="001946EE">
      <w:pPr>
        <w:spacing w:line="360" w:lineRule="auto"/>
        <w:jc w:val="both"/>
        <w:rPr>
          <w:rFonts w:ascii="David" w:hAnsi="David"/>
          <w:rtl/>
        </w:rPr>
      </w:pPr>
      <w:r w:rsidRPr="0088286F">
        <w:rPr>
          <w:rFonts w:ascii="David" w:hAnsi="David"/>
          <w:rtl/>
        </w:rPr>
        <w:t>הנאשם ביקש לומר את דברו ואמר שהוא מצטער על מה קרה להם ולאן שהגיעו, מצבו הבריאותי קשה והוא מקבל שיקבל את העונש המתאים.</w:t>
      </w:r>
    </w:p>
    <w:p w14:paraId="5EE1C4A0" w14:textId="77777777" w:rsidR="001946EE" w:rsidRPr="0088286F" w:rsidRDefault="001946EE" w:rsidP="001946EE">
      <w:pPr>
        <w:spacing w:line="360" w:lineRule="auto"/>
        <w:jc w:val="both"/>
        <w:rPr>
          <w:rFonts w:ascii="David" w:hAnsi="David"/>
          <w:rtl/>
        </w:rPr>
      </w:pPr>
    </w:p>
    <w:p w14:paraId="1641232A" w14:textId="77777777" w:rsidR="001946EE" w:rsidRPr="0088286F" w:rsidRDefault="001946EE" w:rsidP="001946EE">
      <w:pPr>
        <w:spacing w:line="360" w:lineRule="auto"/>
        <w:jc w:val="both"/>
        <w:rPr>
          <w:rFonts w:ascii="David" w:hAnsi="David"/>
          <w:b/>
          <w:bCs/>
          <w:u w:val="single"/>
          <w:rtl/>
        </w:rPr>
      </w:pPr>
      <w:r w:rsidRPr="0088286F">
        <w:rPr>
          <w:rFonts w:ascii="David" w:hAnsi="David"/>
          <w:b/>
          <w:bCs/>
          <w:u w:val="single"/>
          <w:rtl/>
        </w:rPr>
        <w:t>דיון והכרעה</w:t>
      </w:r>
    </w:p>
    <w:p w14:paraId="5BEED175" w14:textId="77777777" w:rsidR="001946EE" w:rsidRPr="0088286F" w:rsidRDefault="001946EE" w:rsidP="001946EE">
      <w:pPr>
        <w:spacing w:line="360" w:lineRule="auto"/>
        <w:jc w:val="both"/>
        <w:rPr>
          <w:rFonts w:ascii="David" w:hAnsi="David"/>
          <w:rtl/>
        </w:rPr>
      </w:pPr>
      <w:r w:rsidRPr="0088286F">
        <w:rPr>
          <w:rFonts w:ascii="David" w:hAnsi="David"/>
          <w:rtl/>
        </w:rPr>
        <w:t>תיקון 113 ל</w:t>
      </w:r>
      <w:hyperlink r:id="rId17" w:history="1">
        <w:r w:rsidR="008B3C2B" w:rsidRPr="008B3C2B">
          <w:rPr>
            <w:rFonts w:ascii="David" w:hAnsi="David"/>
            <w:color w:val="0000FF"/>
            <w:u w:val="single"/>
            <w:rtl/>
          </w:rPr>
          <w:t>חוק העונשין</w:t>
        </w:r>
      </w:hyperlink>
      <w:r w:rsidRPr="0088286F">
        <w:rPr>
          <w:rFonts w:ascii="David" w:hAnsi="David"/>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8" w:history="1">
        <w:r w:rsidR="009F2D06" w:rsidRPr="009F2D06">
          <w:rPr>
            <w:rStyle w:val="Hyperlink"/>
            <w:rFonts w:ascii="David" w:hAnsi="David"/>
            <w:color w:val="0000FF"/>
            <w:rtl/>
          </w:rPr>
          <w:t>בסעיף 40ט'</w:t>
        </w:r>
      </w:hyperlink>
      <w:r w:rsidRPr="0088286F">
        <w:rPr>
          <w:rFonts w:ascii="David" w:hAnsi="David"/>
          <w:rtl/>
        </w:rPr>
        <w:t xml:space="preserve"> ל</w:t>
      </w:r>
      <w:hyperlink r:id="rId19" w:history="1">
        <w:r w:rsidR="008B3C2B" w:rsidRPr="008B3C2B">
          <w:rPr>
            <w:rFonts w:ascii="David" w:hAnsi="David"/>
            <w:color w:val="0000FF"/>
            <w:u w:val="single"/>
            <w:rtl/>
          </w:rPr>
          <w:t>חוק העונשין</w:t>
        </w:r>
      </w:hyperlink>
      <w:r w:rsidRPr="0088286F">
        <w:rPr>
          <w:rFonts w:ascii="David" w:hAnsi="David"/>
          <w:rtl/>
        </w:rPr>
        <w:t xml:space="preserve">. </w:t>
      </w:r>
    </w:p>
    <w:p w14:paraId="73E64F1E" w14:textId="77777777" w:rsidR="001946EE" w:rsidRPr="0088286F" w:rsidRDefault="001946EE" w:rsidP="001946EE">
      <w:pPr>
        <w:spacing w:line="360" w:lineRule="auto"/>
        <w:jc w:val="both"/>
        <w:rPr>
          <w:rFonts w:ascii="David" w:hAnsi="David"/>
          <w:rtl/>
        </w:rPr>
      </w:pPr>
    </w:p>
    <w:p w14:paraId="65761507" w14:textId="77777777" w:rsidR="001946EE" w:rsidRPr="0088286F" w:rsidRDefault="001946EE" w:rsidP="001946EE">
      <w:pPr>
        <w:spacing w:line="360" w:lineRule="auto"/>
        <w:jc w:val="both"/>
        <w:rPr>
          <w:rFonts w:ascii="David" w:hAnsi="David"/>
          <w:rtl/>
        </w:rPr>
      </w:pPr>
      <w:r w:rsidRPr="0088286F">
        <w:rPr>
          <w:rFonts w:ascii="David"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0" w:history="1">
        <w:r w:rsidR="009F2D06" w:rsidRPr="009F2D06">
          <w:rPr>
            <w:rStyle w:val="Hyperlink"/>
            <w:rFonts w:ascii="David" w:hAnsi="David"/>
            <w:color w:val="0000FF"/>
            <w:rtl/>
          </w:rPr>
          <w:t>בסעיף 40יא'</w:t>
        </w:r>
      </w:hyperlink>
      <w:r w:rsidRPr="0088286F">
        <w:rPr>
          <w:rFonts w:ascii="David" w:hAnsi="David"/>
          <w:rtl/>
        </w:rPr>
        <w:t xml:space="preserve"> לחוק. </w:t>
      </w:r>
    </w:p>
    <w:p w14:paraId="7E11935E" w14:textId="77777777" w:rsidR="001946EE" w:rsidRPr="0088286F" w:rsidRDefault="001946EE" w:rsidP="001946EE">
      <w:pPr>
        <w:spacing w:line="360" w:lineRule="auto"/>
        <w:jc w:val="both"/>
        <w:rPr>
          <w:rFonts w:ascii="David" w:hAnsi="David"/>
          <w:rtl/>
        </w:rPr>
      </w:pPr>
    </w:p>
    <w:p w14:paraId="034F7796" w14:textId="77777777" w:rsidR="001946EE" w:rsidRPr="0088286F" w:rsidRDefault="001946EE" w:rsidP="001946EE">
      <w:pPr>
        <w:spacing w:line="360" w:lineRule="auto"/>
        <w:jc w:val="both"/>
        <w:rPr>
          <w:rFonts w:ascii="David" w:hAnsi="David"/>
          <w:rtl/>
        </w:rPr>
      </w:pPr>
      <w:r w:rsidRPr="0088286F">
        <w:rPr>
          <w:rFonts w:ascii="David" w:hAnsi="David"/>
          <w:rtl/>
        </w:rPr>
        <w:t xml:space="preserve">בית המשפט רשאי לחרוג ממתחם העונש ההולם בשל שיקולי שיקום או הגנה על שלום הציבור לפי </w:t>
      </w:r>
      <w:hyperlink r:id="rId21" w:history="1">
        <w:r w:rsidR="009F2D06" w:rsidRPr="009F2D06">
          <w:rPr>
            <w:rStyle w:val="Hyperlink"/>
            <w:rFonts w:ascii="David" w:hAnsi="David"/>
            <w:color w:val="0000FF"/>
            <w:rtl/>
          </w:rPr>
          <w:t>סעיפים 40ד'</w:t>
        </w:r>
      </w:hyperlink>
      <w:r w:rsidRPr="0088286F">
        <w:rPr>
          <w:rFonts w:ascii="David" w:hAnsi="David"/>
          <w:rtl/>
        </w:rPr>
        <w:t xml:space="preserve"> ו</w:t>
      </w:r>
      <w:hyperlink r:id="rId22" w:history="1">
        <w:r w:rsidR="009F2D06" w:rsidRPr="009F2D06">
          <w:rPr>
            <w:rStyle w:val="Hyperlink"/>
            <w:rFonts w:ascii="David" w:hAnsi="David"/>
            <w:color w:val="0000FF"/>
            <w:rtl/>
          </w:rPr>
          <w:t>40 ה'</w:t>
        </w:r>
      </w:hyperlink>
      <w:r w:rsidRPr="0088286F">
        <w:rPr>
          <w:rFonts w:ascii="David" w:hAnsi="David"/>
          <w:rtl/>
        </w:rPr>
        <w:t xml:space="preserve"> לחוק. </w:t>
      </w:r>
    </w:p>
    <w:p w14:paraId="1AAB617A" w14:textId="77777777" w:rsidR="001946EE" w:rsidRPr="0088286F" w:rsidRDefault="001946EE" w:rsidP="001946EE">
      <w:pPr>
        <w:spacing w:line="360" w:lineRule="auto"/>
        <w:jc w:val="both"/>
        <w:rPr>
          <w:rFonts w:ascii="David" w:hAnsi="David"/>
          <w:rtl/>
        </w:rPr>
      </w:pPr>
    </w:p>
    <w:p w14:paraId="3BC750B3" w14:textId="77777777" w:rsidR="001946EE" w:rsidRPr="005A5DCD" w:rsidRDefault="001946EE" w:rsidP="001946EE">
      <w:pPr>
        <w:spacing w:line="360" w:lineRule="auto"/>
        <w:jc w:val="both"/>
        <w:rPr>
          <w:rFonts w:ascii="David" w:hAnsi="David"/>
          <w:b/>
          <w:bCs/>
          <w:u w:val="single"/>
          <w:rtl/>
        </w:rPr>
      </w:pPr>
      <w:r w:rsidRPr="005A5DCD">
        <w:rPr>
          <w:rFonts w:ascii="David" w:hAnsi="David"/>
          <w:b/>
          <w:bCs/>
          <w:u w:val="single"/>
          <w:rtl/>
        </w:rPr>
        <w:t>קביעת מתחם העונש ההולם – נסיבות הקשורות לאירוע</w:t>
      </w:r>
    </w:p>
    <w:p w14:paraId="686FC987" w14:textId="77777777" w:rsidR="001946EE" w:rsidRPr="0088286F" w:rsidRDefault="001946EE" w:rsidP="001946EE">
      <w:pPr>
        <w:spacing w:line="360" w:lineRule="auto"/>
        <w:jc w:val="both"/>
        <w:rPr>
          <w:rFonts w:ascii="David" w:hAnsi="David"/>
          <w:rtl/>
        </w:rPr>
      </w:pPr>
      <w:r w:rsidRPr="0088286F">
        <w:rPr>
          <w:rFonts w:ascii="David" w:hAnsi="David"/>
          <w:rtl/>
        </w:rPr>
        <w:t xml:space="preserve">אין צורך להכביר מילים בדבר חומרת העבירה של סיוע להחזקת נשק. הנאשם במעשיו פגע בערכים חברתיים של שלום הציבור ובטחונו, הגנה על חיי אדם ועל הסדר הציבורי הואיל ונשק המוחזק שלא כדין עלול להביא לפגיעה בשלטון החוק ובנושאי שלטון החוק המבצעים את תפקידם. </w:t>
      </w:r>
    </w:p>
    <w:p w14:paraId="23932C77" w14:textId="77777777" w:rsidR="001946EE" w:rsidRPr="0088286F" w:rsidRDefault="001946EE" w:rsidP="001946EE">
      <w:pPr>
        <w:spacing w:line="360" w:lineRule="auto"/>
        <w:jc w:val="both"/>
        <w:rPr>
          <w:rFonts w:ascii="David" w:hAnsi="David"/>
          <w:rtl/>
        </w:rPr>
      </w:pPr>
    </w:p>
    <w:p w14:paraId="601DA4B3" w14:textId="77777777" w:rsidR="001946EE" w:rsidRPr="0088286F" w:rsidRDefault="001946EE" w:rsidP="001946EE">
      <w:pPr>
        <w:spacing w:line="360" w:lineRule="auto"/>
        <w:jc w:val="both"/>
        <w:rPr>
          <w:rFonts w:ascii="David" w:hAnsi="David"/>
        </w:rPr>
      </w:pPr>
      <w:r w:rsidRPr="0088286F">
        <w:rPr>
          <w:rFonts w:ascii="David" w:hAnsi="David"/>
          <w:rtl/>
        </w:rPr>
        <w:t xml:space="preserve">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בין אם הנשק מגיע לידי מי שמנסים לפגוע בביטחונם ובשלומם של תושבי המדינה ובין אם מחמת שנגרמות תאונות כתוצאה מהשימוש בנשק. </w:t>
      </w:r>
    </w:p>
    <w:p w14:paraId="6C444E34" w14:textId="77777777" w:rsidR="001946EE" w:rsidRPr="0088286F" w:rsidRDefault="001946EE" w:rsidP="001946EE">
      <w:pPr>
        <w:spacing w:line="360" w:lineRule="auto"/>
        <w:jc w:val="both"/>
        <w:rPr>
          <w:rFonts w:ascii="David" w:hAnsi="David"/>
        </w:rPr>
      </w:pPr>
    </w:p>
    <w:p w14:paraId="1378FF4E" w14:textId="77777777" w:rsidR="001946EE" w:rsidRPr="0088286F" w:rsidRDefault="001946EE" w:rsidP="001946EE">
      <w:pPr>
        <w:spacing w:line="360" w:lineRule="auto"/>
        <w:jc w:val="both"/>
        <w:rPr>
          <w:rFonts w:ascii="David" w:hAnsi="David"/>
          <w:rtl/>
        </w:rPr>
      </w:pPr>
      <w:r w:rsidRPr="005A5DCD">
        <w:rPr>
          <w:rFonts w:ascii="David" w:hAnsi="David"/>
          <w:u w:val="single"/>
          <w:rtl/>
        </w:rPr>
        <w:t xml:space="preserve">ביהמ"ש העליון חזר והזכיר </w:t>
      </w:r>
      <w:r>
        <w:rPr>
          <w:rFonts w:ascii="David" w:hAnsi="David" w:hint="cs"/>
          <w:u w:val="single"/>
          <w:rtl/>
        </w:rPr>
        <w:t>כי</w:t>
      </w:r>
      <w:r w:rsidRPr="0088286F">
        <w:rPr>
          <w:rFonts w:ascii="David" w:hAnsi="David"/>
          <w:rtl/>
        </w:rPr>
        <w:t>:</w:t>
      </w:r>
    </w:p>
    <w:p w14:paraId="23E701B8" w14:textId="77777777" w:rsidR="001946EE" w:rsidRPr="0088286F" w:rsidRDefault="001946EE" w:rsidP="001946EE">
      <w:pPr>
        <w:spacing w:line="360" w:lineRule="auto"/>
        <w:jc w:val="both"/>
        <w:rPr>
          <w:rFonts w:ascii="David" w:hAnsi="David"/>
          <w:b/>
          <w:bCs/>
          <w:rtl/>
        </w:rPr>
      </w:pPr>
      <w:r w:rsidRPr="0088286F">
        <w:rPr>
          <w:rFonts w:ascii="David" w:hAnsi="David"/>
          <w:rtl/>
        </w:rPr>
        <w:t>"</w:t>
      </w:r>
      <w:r w:rsidRPr="0088286F">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w:t>
      </w:r>
      <w:r w:rsidRPr="0088286F">
        <w:rPr>
          <w:rFonts w:ascii="David" w:hAnsi="David"/>
          <w:rtl/>
        </w:rPr>
        <w:t xml:space="preserve"> </w:t>
      </w:r>
      <w:r w:rsidRPr="0088286F">
        <w:rPr>
          <w:rFonts w:ascii="David" w:hAnsi="David"/>
          <w:b/>
          <w:bCs/>
          <w:rtl/>
        </w:rPr>
        <w:t>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r w:rsidRPr="0088286F">
        <w:rPr>
          <w:rFonts w:ascii="David" w:hAnsi="David"/>
          <w:rtl/>
        </w:rPr>
        <w:t xml:space="preserve"> (</w:t>
      </w:r>
      <w:hyperlink r:id="rId23" w:history="1">
        <w:r w:rsidR="008B3C2B" w:rsidRPr="008B3C2B">
          <w:rPr>
            <w:rFonts w:ascii="David" w:hAnsi="David"/>
            <w:color w:val="0000FF"/>
            <w:u w:val="single"/>
            <w:rtl/>
          </w:rPr>
          <w:t>ע"פ 2482/22</w:t>
        </w:r>
      </w:hyperlink>
      <w:r w:rsidRPr="0088286F">
        <w:rPr>
          <w:rFonts w:ascii="David" w:hAnsi="David"/>
          <w:rtl/>
        </w:rPr>
        <w:t xml:space="preserve"> </w:t>
      </w:r>
      <w:r w:rsidRPr="0088286F">
        <w:rPr>
          <w:rFonts w:ascii="David" w:hAnsi="David"/>
          <w:b/>
          <w:bCs/>
          <w:rtl/>
        </w:rPr>
        <w:t>מדינת ישראל נ' אחמד קדורה</w:t>
      </w:r>
      <w:r w:rsidRPr="0088286F">
        <w:rPr>
          <w:rFonts w:ascii="David" w:hAnsi="David"/>
          <w:rtl/>
        </w:rPr>
        <w:t xml:space="preserve"> (14.04.22)).</w:t>
      </w:r>
    </w:p>
    <w:p w14:paraId="7039B407" w14:textId="77777777" w:rsidR="001946EE" w:rsidRPr="0088286F" w:rsidRDefault="001946EE" w:rsidP="001946EE">
      <w:pPr>
        <w:spacing w:line="360" w:lineRule="auto"/>
        <w:jc w:val="both"/>
        <w:rPr>
          <w:rFonts w:ascii="David" w:hAnsi="David"/>
        </w:rPr>
      </w:pPr>
    </w:p>
    <w:p w14:paraId="70BC559E" w14:textId="77777777" w:rsidR="001946EE" w:rsidRPr="0088286F" w:rsidRDefault="001946EE" w:rsidP="001946EE">
      <w:pPr>
        <w:spacing w:line="360" w:lineRule="auto"/>
        <w:jc w:val="both"/>
        <w:rPr>
          <w:rFonts w:ascii="David" w:hAnsi="David"/>
          <w:rtl/>
        </w:rPr>
      </w:pPr>
      <w:r w:rsidRPr="0088286F">
        <w:rPr>
          <w:rFonts w:ascii="David" w:hAnsi="David"/>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24" w:history="1">
        <w:r w:rsidR="008B3C2B" w:rsidRPr="008B3C2B">
          <w:rPr>
            <w:rFonts w:ascii="David" w:hAnsi="David"/>
            <w:color w:val="0000FF"/>
            <w:u w:val="single"/>
            <w:rtl/>
          </w:rPr>
          <w:t>חוק העונשין</w:t>
        </w:r>
      </w:hyperlink>
      <w:r w:rsidRPr="0088286F">
        <w:rPr>
          <w:rFonts w:ascii="David" w:hAnsi="David"/>
          <w:rtl/>
        </w:rPr>
        <w:t xml:space="preserve"> קבע עונש מינימום ביחס לעבירה בה הורשע הנאשם בהליך זה.</w:t>
      </w:r>
      <w:r w:rsidRPr="0088286F">
        <w:rPr>
          <w:rFonts w:ascii="David" w:hAnsi="David"/>
          <w:color w:val="FF0000"/>
          <w:rtl/>
        </w:rPr>
        <w:t xml:space="preserve"> </w:t>
      </w:r>
      <w:r w:rsidRPr="0088286F">
        <w:rPr>
          <w:rFonts w:ascii="David" w:hAnsi="David"/>
          <w:rtl/>
        </w:rPr>
        <w:t>כפי שנכתב ב</w:t>
      </w:r>
      <w:hyperlink r:id="rId25" w:history="1">
        <w:r w:rsidR="008B3C2B" w:rsidRPr="008B3C2B">
          <w:rPr>
            <w:rFonts w:ascii="David" w:hAnsi="David"/>
            <w:color w:val="0000FF"/>
            <w:u w:val="single"/>
            <w:rtl/>
          </w:rPr>
          <w:t>ע"פ 147/21</w:t>
        </w:r>
      </w:hyperlink>
      <w:r w:rsidRPr="0088286F">
        <w:rPr>
          <w:rFonts w:ascii="David" w:hAnsi="David"/>
          <w:rtl/>
        </w:rPr>
        <w:t xml:space="preserve"> </w:t>
      </w:r>
      <w:r w:rsidRPr="0088286F">
        <w:rPr>
          <w:rFonts w:ascii="David" w:hAnsi="David"/>
          <w:b/>
          <w:bCs/>
          <w:rtl/>
        </w:rPr>
        <w:t>מדינת ישראל נ' ירין ביטון</w:t>
      </w:r>
      <w:r w:rsidRPr="0088286F">
        <w:rPr>
          <w:rFonts w:ascii="David" w:hAnsi="David"/>
          <w:rtl/>
        </w:rPr>
        <w:t xml:space="preserve"> (14.02.21): </w:t>
      </w:r>
    </w:p>
    <w:p w14:paraId="042D8FF4" w14:textId="77777777" w:rsidR="001946EE" w:rsidRPr="0088286F" w:rsidRDefault="001946EE" w:rsidP="001946EE">
      <w:pPr>
        <w:spacing w:line="360" w:lineRule="auto"/>
        <w:jc w:val="both"/>
        <w:rPr>
          <w:rFonts w:ascii="David" w:hAnsi="David"/>
        </w:rPr>
      </w:pPr>
      <w:r w:rsidRPr="0088286F">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6" w:history="1">
        <w:r w:rsidR="008B3C2B" w:rsidRPr="008B3C2B">
          <w:rPr>
            <w:rFonts w:ascii="David" w:hAnsi="David"/>
            <w:b/>
            <w:bCs/>
            <w:color w:val="0000FF"/>
            <w:u w:val="single"/>
            <w:rtl/>
          </w:rPr>
          <w:t>יסודות בדיני עונשין</w:t>
        </w:r>
      </w:hyperlink>
      <w:r w:rsidRPr="0088286F">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7" w:history="1">
        <w:r w:rsidR="008B3C2B" w:rsidRPr="008B3C2B">
          <w:rPr>
            <w:rFonts w:ascii="David" w:hAnsi="David"/>
            <w:b/>
            <w:bCs/>
            <w:color w:val="0000FF"/>
            <w:u w:val="single"/>
            <w:rtl/>
          </w:rPr>
          <w:t>חוק העונשין</w:t>
        </w:r>
      </w:hyperlink>
      <w:r w:rsidRPr="0088286F">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8" w:history="1">
        <w:r w:rsidR="008B3C2B" w:rsidRPr="008B3C2B">
          <w:rPr>
            <w:rFonts w:ascii="David" w:hAnsi="David"/>
            <w:b/>
            <w:bCs/>
            <w:color w:val="0000FF"/>
            <w:u w:val="single"/>
            <w:rtl/>
          </w:rPr>
          <w:t>ע"פ 4406/19</w:t>
        </w:r>
      </w:hyperlink>
      <w:r w:rsidRPr="0088286F">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62F8395D" w14:textId="77777777" w:rsidR="001946EE" w:rsidRPr="0088286F" w:rsidRDefault="001946EE" w:rsidP="001946EE">
      <w:pPr>
        <w:spacing w:line="360" w:lineRule="auto"/>
        <w:jc w:val="both"/>
        <w:rPr>
          <w:rFonts w:ascii="David" w:hAnsi="David"/>
          <w:rtl/>
        </w:rPr>
      </w:pPr>
    </w:p>
    <w:p w14:paraId="67BD87B0" w14:textId="77777777" w:rsidR="001946EE" w:rsidRPr="0088286F" w:rsidRDefault="001946EE" w:rsidP="001946EE">
      <w:pPr>
        <w:spacing w:line="360" w:lineRule="auto"/>
        <w:jc w:val="both"/>
        <w:rPr>
          <w:rFonts w:ascii="David" w:hAnsi="David"/>
          <w:b/>
          <w:bCs/>
          <w:rtl/>
        </w:rPr>
      </w:pPr>
      <w:r w:rsidRPr="0088286F">
        <w:rPr>
          <w:rFonts w:ascii="David" w:hAnsi="David"/>
          <w:rtl/>
        </w:rPr>
        <w:t>מגמת ההחמרה קיבלה ביטוי בפסיקתו של ביהמ"ש העליון באשר לכל עבירות הנשק לרבות העבירות בהן עסקינן:</w:t>
      </w:r>
    </w:p>
    <w:p w14:paraId="6D0B6225" w14:textId="77777777" w:rsidR="001946EE" w:rsidRPr="0088286F" w:rsidRDefault="001946EE" w:rsidP="001946EE">
      <w:pPr>
        <w:spacing w:line="360" w:lineRule="auto"/>
        <w:jc w:val="both"/>
        <w:rPr>
          <w:rFonts w:ascii="David" w:hAnsi="David"/>
          <w:rtl/>
        </w:rPr>
      </w:pPr>
      <w:r w:rsidRPr="0088286F">
        <w:rPr>
          <w:rFonts w:ascii="David" w:hAnsi="David"/>
          <w:rtl/>
        </w:rPr>
        <w:t>"</w:t>
      </w:r>
      <w:r w:rsidRPr="0088286F">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hyperlink r:id="rId29" w:history="1">
        <w:r w:rsidR="008B3C2B" w:rsidRPr="008B3C2B">
          <w:rPr>
            <w:rFonts w:ascii="David" w:hAnsi="David"/>
            <w:b/>
            <w:bCs/>
            <w:color w:val="0000FF"/>
            <w:u w:val="single"/>
            <w:rtl/>
          </w:rPr>
          <w:t>ע"פ 5602/22</w:t>
        </w:r>
      </w:hyperlink>
      <w:r w:rsidRPr="0088286F">
        <w:rPr>
          <w:rFonts w:ascii="David" w:hAnsi="David"/>
          <w:b/>
          <w:bCs/>
          <w:rtl/>
        </w:rPr>
        <w:t xml:space="preserve"> מדינת ישראל נ' פלוני, פסקה 15 (14.9.22); ראו גם </w:t>
      </w:r>
      <w:hyperlink r:id="rId30" w:history="1">
        <w:r w:rsidR="008B3C2B" w:rsidRPr="008B3C2B">
          <w:rPr>
            <w:rFonts w:ascii="David" w:hAnsi="David"/>
            <w:b/>
            <w:bCs/>
            <w:color w:val="0000FF"/>
            <w:u w:val="single"/>
            <w:rtl/>
          </w:rPr>
          <w:t>ע"פ 4103/22</w:t>
        </w:r>
      </w:hyperlink>
      <w:r w:rsidRPr="0088286F">
        <w:rPr>
          <w:rFonts w:ascii="David" w:hAnsi="David"/>
          <w:b/>
          <w:bCs/>
          <w:rtl/>
        </w:rPr>
        <w:t xml:space="preserve"> מדינת ישראל נ' מוחמד אמון</w:t>
      </w:r>
      <w:r w:rsidRPr="0088286F">
        <w:rPr>
          <w:rFonts w:ascii="David" w:hAnsi="David"/>
          <w:rtl/>
        </w:rPr>
        <w:t>, פסקה 9 (6.11.22).</w:t>
      </w:r>
    </w:p>
    <w:p w14:paraId="68C12544" w14:textId="77777777" w:rsidR="001946EE" w:rsidRPr="0088286F" w:rsidRDefault="001946EE" w:rsidP="001946EE">
      <w:pPr>
        <w:spacing w:line="360" w:lineRule="auto"/>
        <w:jc w:val="both"/>
        <w:rPr>
          <w:rFonts w:ascii="David" w:hAnsi="David"/>
          <w:rtl/>
        </w:rPr>
      </w:pPr>
    </w:p>
    <w:p w14:paraId="54BF9D69" w14:textId="77777777" w:rsidR="001946EE" w:rsidRPr="0088286F" w:rsidRDefault="001946EE" w:rsidP="001946EE">
      <w:pPr>
        <w:spacing w:line="360" w:lineRule="auto"/>
        <w:jc w:val="both"/>
        <w:rPr>
          <w:rFonts w:ascii="David" w:hAnsi="David"/>
          <w:rtl/>
        </w:rPr>
      </w:pPr>
      <w:r w:rsidRPr="0088286F">
        <w:rPr>
          <w:rFonts w:ascii="David" w:hAnsi="David"/>
          <w:rtl/>
        </w:rPr>
        <w:t xml:space="preserve">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לאחרונה, אנו עדים לקריאות של בתי המשפט בכל הערכאות, להעלות את רף הענישה בעבירות הנשק לסוגיהן. </w:t>
      </w:r>
    </w:p>
    <w:p w14:paraId="56069AB6" w14:textId="77777777" w:rsidR="001946EE" w:rsidRPr="0088286F" w:rsidRDefault="001946EE" w:rsidP="001946EE">
      <w:pPr>
        <w:spacing w:line="360" w:lineRule="auto"/>
        <w:jc w:val="both"/>
        <w:rPr>
          <w:rFonts w:ascii="David" w:hAnsi="David"/>
          <w:rtl/>
        </w:rPr>
      </w:pPr>
      <w:r w:rsidRPr="0088286F">
        <w:rPr>
          <w:rFonts w:ascii="David" w:hAnsi="David"/>
          <w:rtl/>
        </w:rPr>
        <w:t xml:space="preserve">            </w:t>
      </w:r>
    </w:p>
    <w:p w14:paraId="566A2297" w14:textId="77777777" w:rsidR="001946EE" w:rsidRPr="0088286F" w:rsidRDefault="001946EE" w:rsidP="001946EE">
      <w:pPr>
        <w:spacing w:line="360" w:lineRule="auto"/>
        <w:jc w:val="both"/>
        <w:rPr>
          <w:rFonts w:ascii="David" w:hAnsi="David"/>
          <w:rtl/>
        </w:rPr>
      </w:pPr>
      <w:r w:rsidRPr="0088286F">
        <w:rPr>
          <w:rFonts w:ascii="David" w:hAnsi="David"/>
          <w:rtl/>
        </w:rPr>
        <w:t>כפי שנאמר ב</w:t>
      </w:r>
      <w:hyperlink r:id="rId31" w:history="1">
        <w:r w:rsidR="008B3C2B" w:rsidRPr="008B3C2B">
          <w:rPr>
            <w:rFonts w:ascii="David" w:hAnsi="David"/>
            <w:color w:val="0000FF"/>
            <w:u w:val="single"/>
            <w:rtl/>
          </w:rPr>
          <w:t>עפ"ג (חי') 23517-02-20</w:t>
        </w:r>
      </w:hyperlink>
      <w:r w:rsidRPr="0088286F">
        <w:rPr>
          <w:rFonts w:ascii="David" w:hAnsi="David"/>
          <w:rtl/>
        </w:rPr>
        <w:t xml:space="preserve"> </w:t>
      </w:r>
      <w:r w:rsidRPr="0088286F">
        <w:rPr>
          <w:rFonts w:ascii="David" w:hAnsi="David"/>
          <w:b/>
          <w:bCs/>
          <w:rtl/>
        </w:rPr>
        <w:t>מדינת ישראל נ' אלכילאני</w:t>
      </w:r>
      <w:r w:rsidRPr="0088286F">
        <w:rPr>
          <w:rFonts w:ascii="David" w:hAnsi="David"/>
          <w:rtl/>
        </w:rPr>
        <w:t xml:space="preserve"> [פורסם בנבו] (28.07.20): "</w:t>
      </w:r>
      <w:r w:rsidRPr="0088286F">
        <w:rPr>
          <w:rFonts w:ascii="David" w:hAnsi="David"/>
          <w:b/>
          <w:bCs/>
          <w:rtl/>
        </w:rPr>
        <w:t>מגמת</w:t>
      </w:r>
      <w:r w:rsidRPr="0088286F">
        <w:rPr>
          <w:rFonts w:ascii="David" w:hAnsi="David"/>
          <w:b/>
          <w:bCs/>
        </w:rPr>
        <w:t xml:space="preserve"> </w:t>
      </w:r>
      <w:r w:rsidRPr="0088286F">
        <w:rPr>
          <w:rFonts w:ascii="David" w:hAnsi="David"/>
          <w:b/>
          <w:bCs/>
          <w:rtl/>
        </w:rPr>
        <w:t>החמרה</w:t>
      </w:r>
      <w:r w:rsidRPr="0088286F">
        <w:rPr>
          <w:rFonts w:ascii="David" w:hAnsi="David"/>
          <w:b/>
          <w:bCs/>
        </w:rPr>
        <w:t xml:space="preserve"> </w:t>
      </w:r>
      <w:r w:rsidRPr="0088286F">
        <w:rPr>
          <w:rFonts w:ascii="David" w:hAnsi="David"/>
          <w:b/>
          <w:bCs/>
          <w:rtl/>
        </w:rPr>
        <w:t>זו</w:t>
      </w:r>
      <w:r w:rsidRPr="0088286F">
        <w:rPr>
          <w:rFonts w:ascii="David" w:hAnsi="David"/>
          <w:b/>
          <w:bCs/>
        </w:rPr>
        <w:t xml:space="preserve"> </w:t>
      </w:r>
      <w:r w:rsidRPr="0088286F">
        <w:rPr>
          <w:rFonts w:ascii="David" w:hAnsi="David"/>
          <w:b/>
          <w:bCs/>
          <w:rtl/>
        </w:rPr>
        <w:t>ניכרת</w:t>
      </w:r>
      <w:r w:rsidRPr="0088286F">
        <w:rPr>
          <w:rFonts w:ascii="David" w:hAnsi="David"/>
          <w:b/>
          <w:bCs/>
        </w:rPr>
        <w:t xml:space="preserve"> </w:t>
      </w:r>
      <w:r w:rsidRPr="0088286F">
        <w:rPr>
          <w:rFonts w:ascii="David" w:hAnsi="David"/>
          <w:b/>
          <w:bCs/>
          <w:rtl/>
        </w:rPr>
        <w:t>במיוחד</w:t>
      </w:r>
      <w:r w:rsidRPr="0088286F">
        <w:rPr>
          <w:rFonts w:ascii="David" w:hAnsi="David"/>
          <w:b/>
          <w:bCs/>
        </w:rPr>
        <w:t xml:space="preserve"> </w:t>
      </w:r>
      <w:r w:rsidRPr="0088286F">
        <w:rPr>
          <w:rFonts w:ascii="David" w:hAnsi="David"/>
          <w:b/>
          <w:bCs/>
          <w:rtl/>
        </w:rPr>
        <w:t>בפסיקה</w:t>
      </w:r>
      <w:r w:rsidRPr="0088286F">
        <w:rPr>
          <w:rFonts w:ascii="David" w:hAnsi="David"/>
          <w:b/>
          <w:bCs/>
        </w:rPr>
        <w:t xml:space="preserve"> </w:t>
      </w:r>
      <w:r w:rsidRPr="0088286F">
        <w:rPr>
          <w:rFonts w:ascii="David" w:hAnsi="David"/>
          <w:b/>
          <w:bCs/>
          <w:rtl/>
        </w:rPr>
        <w:t>מן</w:t>
      </w:r>
      <w:r w:rsidRPr="0088286F">
        <w:rPr>
          <w:rFonts w:ascii="David" w:hAnsi="David"/>
          <w:b/>
          <w:bCs/>
        </w:rPr>
        <w:t xml:space="preserve"> </w:t>
      </w:r>
      <w:r w:rsidRPr="0088286F">
        <w:rPr>
          <w:rFonts w:ascii="David" w:hAnsi="David"/>
          <w:b/>
          <w:bCs/>
          <w:rtl/>
        </w:rPr>
        <w:t>התקופה</w:t>
      </w:r>
      <w:r w:rsidRPr="0088286F">
        <w:rPr>
          <w:rFonts w:ascii="David" w:hAnsi="David"/>
          <w:b/>
          <w:bCs/>
        </w:rPr>
        <w:t xml:space="preserve"> </w:t>
      </w:r>
      <w:r w:rsidRPr="0088286F">
        <w:rPr>
          <w:rFonts w:ascii="David" w:hAnsi="David"/>
          <w:b/>
          <w:bCs/>
          <w:u w:val="single"/>
          <w:rtl/>
        </w:rPr>
        <w:t>האחרונה</w:t>
      </w:r>
      <w:r w:rsidRPr="0088286F">
        <w:rPr>
          <w:rFonts w:ascii="David" w:hAnsi="David"/>
          <w:b/>
          <w:bCs/>
          <w:rtl/>
        </w:rPr>
        <w:t>, החמרה</w:t>
      </w:r>
      <w:r w:rsidRPr="0088286F">
        <w:rPr>
          <w:rFonts w:ascii="David" w:hAnsi="David"/>
          <w:b/>
          <w:bCs/>
        </w:rPr>
        <w:t xml:space="preserve"> </w:t>
      </w:r>
      <w:r w:rsidRPr="0088286F">
        <w:rPr>
          <w:rFonts w:ascii="David" w:hAnsi="David"/>
          <w:b/>
          <w:bCs/>
          <w:rtl/>
        </w:rPr>
        <w:t>אשר</w:t>
      </w:r>
      <w:r w:rsidRPr="0088286F">
        <w:rPr>
          <w:rFonts w:ascii="David" w:hAnsi="David"/>
          <w:b/>
          <w:bCs/>
        </w:rPr>
        <w:t xml:space="preserve"> </w:t>
      </w:r>
      <w:r w:rsidRPr="0088286F">
        <w:rPr>
          <w:rFonts w:ascii="David" w:hAnsi="David"/>
          <w:b/>
          <w:bCs/>
          <w:rtl/>
        </w:rPr>
        <w:t>באה לידי</w:t>
      </w:r>
      <w:r w:rsidRPr="0088286F">
        <w:rPr>
          <w:rFonts w:ascii="David" w:hAnsi="David"/>
          <w:b/>
          <w:bCs/>
        </w:rPr>
        <w:t xml:space="preserve"> </w:t>
      </w:r>
      <w:r w:rsidRPr="0088286F">
        <w:rPr>
          <w:rFonts w:ascii="David" w:hAnsi="David"/>
          <w:b/>
          <w:bCs/>
          <w:rtl/>
        </w:rPr>
        <w:t>ביטוי, בין</w:t>
      </w:r>
      <w:r w:rsidRPr="0088286F">
        <w:rPr>
          <w:rFonts w:ascii="David" w:hAnsi="David"/>
          <w:b/>
          <w:bCs/>
        </w:rPr>
        <w:t xml:space="preserve"> </w:t>
      </w:r>
      <w:r w:rsidRPr="0088286F">
        <w:rPr>
          <w:rFonts w:ascii="David" w:hAnsi="David"/>
          <w:b/>
          <w:bCs/>
          <w:rtl/>
        </w:rPr>
        <w:t>היתר, בכך</w:t>
      </w:r>
      <w:r w:rsidRPr="0088286F">
        <w:rPr>
          <w:rFonts w:ascii="David" w:hAnsi="David"/>
          <w:b/>
          <w:bCs/>
        </w:rPr>
        <w:t xml:space="preserve"> </w:t>
      </w:r>
      <w:r w:rsidRPr="0088286F">
        <w:rPr>
          <w:rFonts w:ascii="David" w:hAnsi="David"/>
          <w:b/>
          <w:bCs/>
          <w:rtl/>
        </w:rPr>
        <w:t>שהסף</w:t>
      </w:r>
      <w:r w:rsidRPr="0088286F">
        <w:rPr>
          <w:rFonts w:ascii="David" w:hAnsi="David"/>
          <w:b/>
          <w:bCs/>
        </w:rPr>
        <w:t xml:space="preserve"> </w:t>
      </w:r>
      <w:r w:rsidRPr="0088286F">
        <w:rPr>
          <w:rFonts w:ascii="David" w:hAnsi="David"/>
          <w:b/>
          <w:bCs/>
          <w:rtl/>
        </w:rPr>
        <w:t>התחתון</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מתחם</w:t>
      </w:r>
      <w:r w:rsidRPr="0088286F">
        <w:rPr>
          <w:rFonts w:ascii="David" w:hAnsi="David"/>
          <w:b/>
          <w:bCs/>
        </w:rPr>
        <w:t xml:space="preserve"> </w:t>
      </w:r>
      <w:r w:rsidRPr="0088286F">
        <w:rPr>
          <w:rFonts w:ascii="David" w:hAnsi="David"/>
          <w:b/>
          <w:bCs/>
          <w:rtl/>
        </w:rPr>
        <w:t>הענישה</w:t>
      </w:r>
      <w:r w:rsidRPr="0088286F">
        <w:rPr>
          <w:rFonts w:ascii="David" w:hAnsi="David"/>
          <w:b/>
          <w:bCs/>
        </w:rPr>
        <w:t xml:space="preserve"> </w:t>
      </w:r>
      <w:r w:rsidRPr="0088286F">
        <w:rPr>
          <w:rFonts w:ascii="David" w:hAnsi="David"/>
          <w:b/>
          <w:bCs/>
          <w:rtl/>
        </w:rPr>
        <w:t>בעבירה</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החזקת נשק</w:t>
      </w:r>
      <w:r w:rsidRPr="0088286F">
        <w:rPr>
          <w:rFonts w:ascii="David" w:hAnsi="David"/>
          <w:b/>
          <w:bCs/>
        </w:rPr>
        <w:t xml:space="preserve"> </w:t>
      </w:r>
      <w:r w:rsidRPr="0088286F">
        <w:rPr>
          <w:rFonts w:ascii="David" w:hAnsi="David"/>
          <w:b/>
          <w:bCs/>
          <w:rtl/>
        </w:rPr>
        <w:t>שלא</w:t>
      </w:r>
      <w:r w:rsidRPr="0088286F">
        <w:rPr>
          <w:rFonts w:ascii="David" w:hAnsi="David"/>
          <w:b/>
          <w:bCs/>
        </w:rPr>
        <w:t xml:space="preserve"> </w:t>
      </w:r>
      <w:r w:rsidRPr="0088286F">
        <w:rPr>
          <w:rFonts w:ascii="David" w:hAnsi="David"/>
          <w:b/>
          <w:bCs/>
          <w:rtl/>
        </w:rPr>
        <w:t>כדין,</w:t>
      </w:r>
      <w:r w:rsidRPr="0088286F">
        <w:rPr>
          <w:rFonts w:ascii="David" w:hAnsi="David"/>
          <w:b/>
          <w:bCs/>
        </w:rPr>
        <w:t xml:space="preserve"> </w:t>
      </w:r>
      <w:r w:rsidRPr="0088286F">
        <w:rPr>
          <w:rFonts w:ascii="David" w:hAnsi="David"/>
          <w:b/>
          <w:bCs/>
          <w:rtl/>
        </w:rPr>
        <w:t>גם</w:t>
      </w:r>
      <w:r w:rsidRPr="0088286F">
        <w:rPr>
          <w:rFonts w:ascii="David" w:hAnsi="David"/>
          <w:b/>
          <w:bCs/>
        </w:rPr>
        <w:t xml:space="preserve"> </w:t>
      </w:r>
      <w:r w:rsidRPr="0088286F">
        <w:rPr>
          <w:rFonts w:ascii="David" w:hAnsi="David"/>
          <w:b/>
          <w:bCs/>
          <w:rtl/>
        </w:rPr>
        <w:t>כאשר</w:t>
      </w:r>
      <w:r w:rsidRPr="0088286F">
        <w:rPr>
          <w:rFonts w:ascii="David" w:hAnsi="David"/>
          <w:b/>
          <w:bCs/>
        </w:rPr>
        <w:t xml:space="preserve"> </w:t>
      </w:r>
      <w:r w:rsidRPr="0088286F">
        <w:rPr>
          <w:rFonts w:ascii="David" w:hAnsi="David"/>
          <w:b/>
          <w:bCs/>
          <w:rtl/>
        </w:rPr>
        <w:t>הנאשם</w:t>
      </w:r>
      <w:r w:rsidRPr="0088286F">
        <w:rPr>
          <w:rFonts w:ascii="David" w:hAnsi="David"/>
          <w:b/>
          <w:bCs/>
        </w:rPr>
        <w:t xml:space="preserve"> </w:t>
      </w:r>
      <w:r w:rsidRPr="0088286F">
        <w:rPr>
          <w:rFonts w:ascii="David" w:hAnsi="David"/>
          <w:b/>
          <w:bCs/>
          <w:rtl/>
        </w:rPr>
        <w:t>נעדר</w:t>
      </w:r>
      <w:r w:rsidRPr="0088286F">
        <w:rPr>
          <w:rFonts w:ascii="David" w:hAnsi="David"/>
          <w:b/>
          <w:bCs/>
        </w:rPr>
        <w:t xml:space="preserve"> </w:t>
      </w:r>
      <w:r w:rsidRPr="0088286F">
        <w:rPr>
          <w:rFonts w:ascii="David" w:hAnsi="David"/>
          <w:b/>
          <w:bCs/>
          <w:rtl/>
        </w:rPr>
        <w:t>עבר</w:t>
      </w:r>
      <w:r w:rsidRPr="0088286F">
        <w:rPr>
          <w:rFonts w:ascii="David" w:hAnsi="David"/>
          <w:b/>
          <w:bCs/>
        </w:rPr>
        <w:t xml:space="preserve"> </w:t>
      </w:r>
      <w:r w:rsidRPr="0088286F">
        <w:rPr>
          <w:rFonts w:ascii="David" w:hAnsi="David"/>
          <w:b/>
          <w:bCs/>
          <w:rtl/>
        </w:rPr>
        <w:t>פלילי, עולה</w:t>
      </w:r>
      <w:r w:rsidRPr="0088286F">
        <w:rPr>
          <w:rFonts w:ascii="David" w:hAnsi="David"/>
          <w:b/>
          <w:bCs/>
        </w:rPr>
        <w:t xml:space="preserve"> </w:t>
      </w:r>
      <w:r w:rsidRPr="0088286F">
        <w:rPr>
          <w:rFonts w:ascii="David" w:hAnsi="David"/>
          <w:b/>
          <w:bCs/>
          <w:rtl/>
        </w:rPr>
        <w:t>על</w:t>
      </w:r>
      <w:r w:rsidRPr="0088286F">
        <w:rPr>
          <w:rFonts w:ascii="David" w:hAnsi="David"/>
          <w:b/>
          <w:bCs/>
        </w:rPr>
        <w:t xml:space="preserve"> </w:t>
      </w:r>
      <w:r w:rsidRPr="0088286F">
        <w:rPr>
          <w:rFonts w:ascii="David" w:hAnsi="David"/>
          <w:b/>
          <w:bCs/>
          <w:rtl/>
        </w:rPr>
        <w:t>תשעה</w:t>
      </w:r>
      <w:r w:rsidRPr="0088286F">
        <w:rPr>
          <w:rFonts w:ascii="David" w:hAnsi="David"/>
          <w:b/>
          <w:bCs/>
        </w:rPr>
        <w:t xml:space="preserve"> </w:t>
      </w:r>
      <w:r w:rsidRPr="0088286F">
        <w:rPr>
          <w:rFonts w:ascii="David" w:hAnsi="David"/>
          <w:b/>
          <w:bCs/>
          <w:rtl/>
        </w:rPr>
        <w:t>חודשי</w:t>
      </w:r>
      <w:r w:rsidRPr="0088286F">
        <w:rPr>
          <w:rFonts w:ascii="David" w:hAnsi="David"/>
          <w:b/>
          <w:bCs/>
        </w:rPr>
        <w:t xml:space="preserve"> </w:t>
      </w:r>
      <w:r w:rsidRPr="0088286F">
        <w:rPr>
          <w:rFonts w:ascii="David" w:hAnsi="David"/>
          <w:b/>
          <w:bCs/>
          <w:rtl/>
        </w:rPr>
        <w:t>מאסר, דהיינו, פרק</w:t>
      </w:r>
      <w:r w:rsidRPr="0088286F">
        <w:rPr>
          <w:rFonts w:ascii="David" w:hAnsi="David"/>
          <w:b/>
          <w:bCs/>
        </w:rPr>
        <w:t xml:space="preserve"> </w:t>
      </w:r>
      <w:r w:rsidRPr="0088286F">
        <w:rPr>
          <w:rFonts w:ascii="David" w:hAnsi="David"/>
          <w:b/>
          <w:bCs/>
          <w:rtl/>
        </w:rPr>
        <w:t>זמן</w:t>
      </w:r>
      <w:r w:rsidRPr="0088286F">
        <w:rPr>
          <w:rFonts w:ascii="David" w:hAnsi="David"/>
          <w:b/>
          <w:bCs/>
        </w:rPr>
        <w:t xml:space="preserve"> </w:t>
      </w:r>
      <w:r w:rsidRPr="0088286F">
        <w:rPr>
          <w:rFonts w:ascii="David" w:hAnsi="David"/>
          <w:b/>
          <w:bCs/>
          <w:rtl/>
        </w:rPr>
        <w:t>אשר</w:t>
      </w:r>
      <w:r w:rsidRPr="0088286F">
        <w:rPr>
          <w:rFonts w:ascii="David" w:hAnsi="David"/>
          <w:b/>
          <w:bCs/>
        </w:rPr>
        <w:t xml:space="preserve"> </w:t>
      </w:r>
      <w:r w:rsidRPr="0088286F">
        <w:rPr>
          <w:rFonts w:ascii="David" w:hAnsi="David"/>
          <w:b/>
          <w:bCs/>
          <w:rtl/>
        </w:rPr>
        <w:t>אינו</w:t>
      </w:r>
      <w:r w:rsidRPr="0088286F">
        <w:rPr>
          <w:rFonts w:ascii="David" w:hAnsi="David"/>
          <w:b/>
          <w:bCs/>
        </w:rPr>
        <w:t xml:space="preserve"> </w:t>
      </w:r>
      <w:r w:rsidRPr="0088286F">
        <w:rPr>
          <w:rFonts w:ascii="David" w:hAnsi="David"/>
          <w:b/>
          <w:bCs/>
          <w:rtl/>
        </w:rPr>
        <w:t>מאפשר</w:t>
      </w:r>
      <w:r w:rsidRPr="0088286F">
        <w:rPr>
          <w:rFonts w:ascii="David" w:hAnsi="David"/>
          <w:b/>
          <w:bCs/>
        </w:rPr>
        <w:t xml:space="preserve"> </w:t>
      </w:r>
      <w:r w:rsidRPr="0088286F">
        <w:rPr>
          <w:rFonts w:ascii="David" w:hAnsi="David"/>
          <w:b/>
          <w:bCs/>
          <w:rtl/>
        </w:rPr>
        <w:t>ריצוי</w:t>
      </w:r>
      <w:r w:rsidRPr="0088286F">
        <w:rPr>
          <w:rFonts w:ascii="David" w:hAnsi="David"/>
          <w:b/>
          <w:bCs/>
        </w:rPr>
        <w:t xml:space="preserve"> </w:t>
      </w:r>
      <w:r w:rsidRPr="0088286F">
        <w:rPr>
          <w:rFonts w:ascii="David" w:hAnsi="David"/>
          <w:b/>
          <w:bCs/>
          <w:rtl/>
        </w:rPr>
        <w:t>עונש</w:t>
      </w:r>
      <w:r w:rsidRPr="0088286F">
        <w:rPr>
          <w:rFonts w:ascii="David" w:hAnsi="David"/>
          <w:b/>
          <w:bCs/>
        </w:rPr>
        <w:t xml:space="preserve"> </w:t>
      </w:r>
      <w:r w:rsidRPr="0088286F">
        <w:rPr>
          <w:rFonts w:ascii="David" w:hAnsi="David"/>
          <w:b/>
          <w:bCs/>
          <w:rtl/>
        </w:rPr>
        <w:t>המאסר</w:t>
      </w:r>
      <w:r w:rsidRPr="0088286F">
        <w:rPr>
          <w:rFonts w:ascii="David" w:hAnsi="David"/>
          <w:b/>
          <w:bCs/>
        </w:rPr>
        <w:t xml:space="preserve"> </w:t>
      </w:r>
      <w:r w:rsidRPr="0088286F">
        <w:rPr>
          <w:rFonts w:ascii="David" w:hAnsi="David"/>
          <w:b/>
          <w:bCs/>
          <w:rtl/>
        </w:rPr>
        <w:t>על</w:t>
      </w:r>
      <w:r w:rsidRPr="0088286F">
        <w:rPr>
          <w:rFonts w:ascii="David" w:hAnsi="David"/>
          <w:b/>
          <w:bCs/>
        </w:rPr>
        <w:t xml:space="preserve"> </w:t>
      </w:r>
      <w:r w:rsidRPr="0088286F">
        <w:rPr>
          <w:rFonts w:ascii="David" w:hAnsi="David"/>
          <w:b/>
          <w:bCs/>
          <w:rtl/>
        </w:rPr>
        <w:t>דרך</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עבודות</w:t>
      </w:r>
      <w:r w:rsidRPr="0088286F">
        <w:rPr>
          <w:rFonts w:ascii="David" w:hAnsi="David"/>
          <w:b/>
          <w:bCs/>
        </w:rPr>
        <w:t xml:space="preserve"> </w:t>
      </w:r>
      <w:r w:rsidRPr="0088286F">
        <w:rPr>
          <w:rFonts w:ascii="David" w:hAnsi="David"/>
          <w:b/>
          <w:bCs/>
          <w:rtl/>
        </w:rPr>
        <w:t>שירות</w:t>
      </w:r>
      <w:r w:rsidRPr="0088286F">
        <w:rPr>
          <w:rFonts w:ascii="David" w:hAnsi="David"/>
          <w:rtl/>
        </w:rPr>
        <w:t>." וכן בהמשך: "</w:t>
      </w:r>
      <w:r w:rsidRPr="0088286F">
        <w:rPr>
          <w:rFonts w:ascii="David" w:hAnsi="David"/>
          <w:b/>
          <w:bCs/>
          <w:rtl/>
        </w:rPr>
        <w:t>אם</w:t>
      </w:r>
      <w:r w:rsidRPr="0088286F">
        <w:rPr>
          <w:rFonts w:ascii="David" w:hAnsi="David"/>
          <w:b/>
          <w:bCs/>
        </w:rPr>
        <w:t xml:space="preserve"> </w:t>
      </w:r>
      <w:r w:rsidRPr="0088286F">
        <w:rPr>
          <w:rFonts w:ascii="David" w:hAnsi="David"/>
          <w:b/>
          <w:bCs/>
          <w:rtl/>
        </w:rPr>
        <w:t>נסכם</w:t>
      </w:r>
      <w:r w:rsidRPr="0088286F">
        <w:rPr>
          <w:rFonts w:ascii="David" w:hAnsi="David"/>
          <w:b/>
          <w:bCs/>
        </w:rPr>
        <w:t xml:space="preserve"> </w:t>
      </w:r>
      <w:r w:rsidRPr="0088286F">
        <w:rPr>
          <w:rFonts w:ascii="David" w:hAnsi="David"/>
          <w:b/>
          <w:bCs/>
          <w:rtl/>
        </w:rPr>
        <w:t>את</w:t>
      </w:r>
      <w:r w:rsidRPr="0088286F">
        <w:rPr>
          <w:rFonts w:ascii="David" w:hAnsi="David"/>
          <w:b/>
          <w:bCs/>
        </w:rPr>
        <w:t xml:space="preserve"> </w:t>
      </w:r>
      <w:r w:rsidRPr="0088286F">
        <w:rPr>
          <w:rFonts w:ascii="David" w:hAnsi="David"/>
          <w:b/>
          <w:bCs/>
          <w:rtl/>
        </w:rPr>
        <w:t>הדברים: גזר</w:t>
      </w:r>
      <w:r w:rsidRPr="0088286F">
        <w:rPr>
          <w:rFonts w:ascii="David" w:hAnsi="David"/>
          <w:b/>
          <w:bCs/>
        </w:rPr>
        <w:t>-</w:t>
      </w:r>
      <w:r w:rsidRPr="0088286F">
        <w:rPr>
          <w:rFonts w:ascii="David" w:hAnsi="David"/>
          <w:b/>
          <w:bCs/>
          <w:rtl/>
        </w:rPr>
        <w:t>דינו</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בית</w:t>
      </w:r>
      <w:r w:rsidRPr="0088286F">
        <w:rPr>
          <w:rFonts w:ascii="David" w:hAnsi="David"/>
          <w:b/>
          <w:bCs/>
        </w:rPr>
        <w:t>-</w:t>
      </w:r>
      <w:r w:rsidRPr="0088286F">
        <w:rPr>
          <w:rFonts w:ascii="David" w:hAnsi="David"/>
          <w:b/>
          <w:bCs/>
          <w:rtl/>
        </w:rPr>
        <w:t>משפט</w:t>
      </w:r>
      <w:r w:rsidRPr="0088286F">
        <w:rPr>
          <w:rFonts w:ascii="David" w:hAnsi="David"/>
          <w:b/>
          <w:bCs/>
        </w:rPr>
        <w:t xml:space="preserve"> </w:t>
      </w:r>
      <w:r w:rsidRPr="0088286F">
        <w:rPr>
          <w:rFonts w:ascii="David" w:hAnsi="David"/>
          <w:b/>
          <w:bCs/>
          <w:rtl/>
        </w:rPr>
        <w:t>השלום, שהסתפק</w:t>
      </w:r>
      <w:r w:rsidRPr="0088286F">
        <w:rPr>
          <w:rFonts w:ascii="David" w:hAnsi="David"/>
          <w:b/>
          <w:bCs/>
        </w:rPr>
        <w:t xml:space="preserve"> </w:t>
      </w:r>
      <w:r w:rsidRPr="0088286F">
        <w:rPr>
          <w:rFonts w:ascii="David" w:hAnsi="David"/>
          <w:b/>
          <w:bCs/>
          <w:rtl/>
        </w:rPr>
        <w:t>בהטלת</w:t>
      </w:r>
      <w:r w:rsidRPr="0088286F">
        <w:rPr>
          <w:rFonts w:ascii="David" w:hAnsi="David"/>
          <w:b/>
          <w:bCs/>
        </w:rPr>
        <w:t xml:space="preserve"> </w:t>
      </w:r>
      <w:r w:rsidRPr="0088286F">
        <w:rPr>
          <w:rFonts w:ascii="David" w:hAnsi="David"/>
          <w:b/>
          <w:bCs/>
          <w:rtl/>
        </w:rPr>
        <w:t>ענישה</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שמונה</w:t>
      </w:r>
      <w:r w:rsidRPr="0088286F">
        <w:rPr>
          <w:rFonts w:ascii="David" w:hAnsi="David"/>
          <w:b/>
          <w:bCs/>
        </w:rPr>
        <w:t xml:space="preserve"> </w:t>
      </w:r>
      <w:r w:rsidRPr="0088286F">
        <w:rPr>
          <w:rFonts w:ascii="David" w:hAnsi="David"/>
          <w:b/>
          <w:bCs/>
          <w:rtl/>
        </w:rPr>
        <w:t>חודשי</w:t>
      </w:r>
      <w:r w:rsidRPr="0088286F">
        <w:rPr>
          <w:rFonts w:ascii="David" w:hAnsi="David"/>
          <w:b/>
          <w:bCs/>
        </w:rPr>
        <w:t xml:space="preserve"> </w:t>
      </w:r>
      <w:r w:rsidRPr="0088286F">
        <w:rPr>
          <w:rFonts w:ascii="David" w:hAnsi="David"/>
          <w:b/>
          <w:bCs/>
          <w:rtl/>
        </w:rPr>
        <w:t>מאסר</w:t>
      </w:r>
      <w:r w:rsidRPr="0088286F">
        <w:rPr>
          <w:rFonts w:ascii="David" w:hAnsi="David"/>
          <w:b/>
          <w:bCs/>
        </w:rPr>
        <w:t xml:space="preserve"> </w:t>
      </w:r>
      <w:r w:rsidRPr="0088286F">
        <w:rPr>
          <w:rFonts w:ascii="David" w:hAnsi="David"/>
          <w:b/>
          <w:bCs/>
          <w:rtl/>
        </w:rPr>
        <w:t>לריצוי</w:t>
      </w:r>
      <w:r w:rsidRPr="0088286F">
        <w:rPr>
          <w:rFonts w:ascii="David" w:hAnsi="David"/>
          <w:b/>
          <w:bCs/>
        </w:rPr>
        <w:t xml:space="preserve"> </w:t>
      </w:r>
      <w:r w:rsidRPr="0088286F">
        <w:rPr>
          <w:rFonts w:ascii="David" w:hAnsi="David"/>
          <w:b/>
          <w:bCs/>
          <w:rtl/>
        </w:rPr>
        <w:t>בעבודות</w:t>
      </w:r>
      <w:r w:rsidRPr="0088286F">
        <w:rPr>
          <w:rFonts w:ascii="David" w:hAnsi="David"/>
          <w:b/>
          <w:bCs/>
        </w:rPr>
        <w:t xml:space="preserve"> </w:t>
      </w:r>
      <w:r w:rsidRPr="0088286F">
        <w:rPr>
          <w:rFonts w:ascii="David" w:hAnsi="David"/>
          <w:b/>
          <w:bCs/>
          <w:rtl/>
        </w:rPr>
        <w:t>שירות, אינו</w:t>
      </w:r>
      <w:r w:rsidRPr="0088286F">
        <w:rPr>
          <w:rFonts w:ascii="David" w:hAnsi="David"/>
          <w:b/>
          <w:bCs/>
        </w:rPr>
        <w:t xml:space="preserve"> </w:t>
      </w:r>
      <w:r w:rsidRPr="0088286F">
        <w:rPr>
          <w:rFonts w:ascii="David" w:hAnsi="David"/>
          <w:b/>
          <w:bCs/>
          <w:rtl/>
        </w:rPr>
        <w:t>יכול</w:t>
      </w:r>
      <w:r w:rsidRPr="0088286F">
        <w:rPr>
          <w:rFonts w:ascii="David" w:hAnsi="David"/>
          <w:b/>
          <w:bCs/>
        </w:rPr>
        <w:t xml:space="preserve"> </w:t>
      </w:r>
      <w:r w:rsidRPr="0088286F">
        <w:rPr>
          <w:rFonts w:ascii="David" w:hAnsi="David"/>
          <w:b/>
          <w:bCs/>
          <w:rtl/>
        </w:rPr>
        <w:t>לעמוד, וזאת</w:t>
      </w:r>
      <w:r w:rsidRPr="0088286F">
        <w:rPr>
          <w:rFonts w:ascii="David" w:hAnsi="David"/>
          <w:b/>
          <w:bCs/>
        </w:rPr>
        <w:t xml:space="preserve"> </w:t>
      </w:r>
      <w:r w:rsidRPr="0088286F">
        <w:rPr>
          <w:rFonts w:ascii="David" w:hAnsi="David"/>
          <w:b/>
          <w:bCs/>
          <w:rtl/>
        </w:rPr>
        <w:t>בשים</w:t>
      </w:r>
      <w:r w:rsidRPr="0088286F">
        <w:rPr>
          <w:rFonts w:ascii="David" w:hAnsi="David"/>
          <w:b/>
          <w:bCs/>
        </w:rPr>
        <w:t xml:space="preserve"> </w:t>
      </w:r>
      <w:r w:rsidRPr="0088286F">
        <w:rPr>
          <w:rFonts w:ascii="David" w:hAnsi="David"/>
          <w:b/>
          <w:bCs/>
          <w:rtl/>
        </w:rPr>
        <w:t>לב</w:t>
      </w:r>
      <w:r w:rsidRPr="0088286F">
        <w:rPr>
          <w:rFonts w:ascii="David" w:hAnsi="David"/>
          <w:b/>
          <w:bCs/>
        </w:rPr>
        <w:t xml:space="preserve"> </w:t>
      </w:r>
      <w:r w:rsidRPr="0088286F">
        <w:rPr>
          <w:rFonts w:ascii="David" w:hAnsi="David"/>
          <w:b/>
          <w:bCs/>
          <w:rtl/>
        </w:rPr>
        <w:t>לחומרת</w:t>
      </w:r>
      <w:r w:rsidRPr="0088286F">
        <w:rPr>
          <w:rFonts w:ascii="David" w:hAnsi="David"/>
          <w:b/>
          <w:bCs/>
        </w:rPr>
        <w:t xml:space="preserve"> </w:t>
      </w:r>
      <w:r w:rsidRPr="0088286F">
        <w:rPr>
          <w:rFonts w:ascii="David" w:hAnsi="David"/>
          <w:b/>
          <w:bCs/>
          <w:rtl/>
        </w:rPr>
        <w:t>העבירה</w:t>
      </w:r>
      <w:r w:rsidRPr="0088286F">
        <w:rPr>
          <w:rFonts w:ascii="David" w:hAnsi="David"/>
          <w:b/>
          <w:bCs/>
        </w:rPr>
        <w:t xml:space="preserve"> </w:t>
      </w:r>
      <w:r w:rsidRPr="0088286F">
        <w:rPr>
          <w:rFonts w:ascii="David" w:hAnsi="David"/>
          <w:b/>
          <w:bCs/>
          <w:rtl/>
        </w:rPr>
        <w:t>של</w:t>
      </w:r>
      <w:r w:rsidRPr="0088286F">
        <w:rPr>
          <w:rFonts w:ascii="David" w:hAnsi="David"/>
          <w:b/>
          <w:bCs/>
        </w:rPr>
        <w:t xml:space="preserve"> </w:t>
      </w:r>
      <w:r w:rsidRPr="0088286F">
        <w:rPr>
          <w:rFonts w:ascii="David" w:hAnsi="David"/>
          <w:b/>
          <w:bCs/>
          <w:rtl/>
        </w:rPr>
        <w:t>החזקת</w:t>
      </w:r>
      <w:r w:rsidRPr="0088286F">
        <w:rPr>
          <w:rFonts w:ascii="David" w:hAnsi="David"/>
          <w:b/>
          <w:bCs/>
        </w:rPr>
        <w:t xml:space="preserve"> </w:t>
      </w:r>
      <w:r w:rsidRPr="0088286F">
        <w:rPr>
          <w:rFonts w:ascii="David" w:hAnsi="David"/>
          <w:b/>
          <w:bCs/>
          <w:rtl/>
        </w:rPr>
        <w:t>נשק</w:t>
      </w:r>
      <w:r w:rsidRPr="0088286F">
        <w:rPr>
          <w:rFonts w:ascii="David" w:hAnsi="David"/>
          <w:b/>
          <w:bCs/>
        </w:rPr>
        <w:t xml:space="preserve"> </w:t>
      </w:r>
      <w:r w:rsidRPr="0088286F">
        <w:rPr>
          <w:rFonts w:ascii="David" w:hAnsi="David"/>
          <w:b/>
          <w:bCs/>
          <w:rtl/>
        </w:rPr>
        <w:t>שלא</w:t>
      </w:r>
      <w:r w:rsidRPr="0088286F">
        <w:rPr>
          <w:rFonts w:ascii="David" w:hAnsi="David"/>
          <w:b/>
          <w:bCs/>
        </w:rPr>
        <w:t xml:space="preserve"> </w:t>
      </w:r>
      <w:r w:rsidRPr="0088286F">
        <w:rPr>
          <w:rFonts w:ascii="David" w:hAnsi="David"/>
          <w:b/>
          <w:bCs/>
          <w:rtl/>
        </w:rPr>
        <w:t>כדין, ופוטנציאל</w:t>
      </w:r>
      <w:r w:rsidRPr="0088286F">
        <w:rPr>
          <w:rFonts w:ascii="David" w:hAnsi="David"/>
          <w:b/>
          <w:bCs/>
        </w:rPr>
        <w:t xml:space="preserve"> </w:t>
      </w:r>
      <w:r w:rsidRPr="0088286F">
        <w:rPr>
          <w:rFonts w:ascii="David" w:hAnsi="David"/>
          <w:b/>
          <w:bCs/>
          <w:rtl/>
        </w:rPr>
        <w:t>הסיכון</w:t>
      </w:r>
      <w:r w:rsidRPr="0088286F">
        <w:rPr>
          <w:rFonts w:ascii="David" w:hAnsi="David"/>
          <w:b/>
          <w:bCs/>
        </w:rPr>
        <w:t xml:space="preserve"> </w:t>
      </w:r>
      <w:r w:rsidRPr="0088286F">
        <w:rPr>
          <w:rFonts w:ascii="David" w:hAnsi="David"/>
          <w:b/>
          <w:bCs/>
          <w:rtl/>
        </w:rPr>
        <w:t>הטמון</w:t>
      </w:r>
      <w:r w:rsidRPr="0088286F">
        <w:rPr>
          <w:rFonts w:ascii="David" w:hAnsi="David"/>
          <w:b/>
          <w:bCs/>
        </w:rPr>
        <w:t xml:space="preserve"> </w:t>
      </w:r>
      <w:r w:rsidRPr="0088286F">
        <w:rPr>
          <w:rFonts w:ascii="David" w:hAnsi="David"/>
          <w:b/>
          <w:bCs/>
          <w:rtl/>
        </w:rPr>
        <w:t>בהחזקת</w:t>
      </w:r>
      <w:r w:rsidRPr="0088286F">
        <w:rPr>
          <w:rFonts w:ascii="David" w:hAnsi="David"/>
          <w:b/>
          <w:bCs/>
        </w:rPr>
        <w:t xml:space="preserve"> </w:t>
      </w:r>
      <w:r w:rsidRPr="0088286F">
        <w:rPr>
          <w:rFonts w:ascii="David" w:hAnsi="David"/>
          <w:b/>
          <w:bCs/>
          <w:rtl/>
        </w:rPr>
        <w:t>הנשק</w:t>
      </w:r>
      <w:r w:rsidRPr="0088286F">
        <w:rPr>
          <w:rFonts w:ascii="David" w:hAnsi="David"/>
          <w:b/>
          <w:bCs/>
        </w:rPr>
        <w:t xml:space="preserve"> </w:t>
      </w:r>
      <w:r w:rsidRPr="0088286F">
        <w:rPr>
          <w:rFonts w:ascii="David" w:hAnsi="David"/>
          <w:b/>
          <w:bCs/>
          <w:rtl/>
        </w:rPr>
        <w:t>ללא</w:t>
      </w:r>
      <w:r w:rsidRPr="0088286F">
        <w:rPr>
          <w:rFonts w:ascii="David" w:hAnsi="David"/>
          <w:b/>
          <w:bCs/>
        </w:rPr>
        <w:t xml:space="preserve"> </w:t>
      </w:r>
      <w:r w:rsidRPr="0088286F">
        <w:rPr>
          <w:rFonts w:ascii="David" w:hAnsi="David"/>
          <w:b/>
          <w:bCs/>
          <w:rtl/>
        </w:rPr>
        <w:t>היתר, עבירה</w:t>
      </w:r>
      <w:r w:rsidRPr="0088286F">
        <w:rPr>
          <w:rFonts w:ascii="David" w:hAnsi="David"/>
          <w:b/>
          <w:bCs/>
        </w:rPr>
        <w:t xml:space="preserve"> </w:t>
      </w:r>
      <w:r w:rsidRPr="0088286F">
        <w:rPr>
          <w:rFonts w:ascii="David" w:hAnsi="David"/>
          <w:b/>
          <w:bCs/>
          <w:rtl/>
        </w:rPr>
        <w:t>שהפכה</w:t>
      </w:r>
      <w:r w:rsidRPr="0088286F">
        <w:rPr>
          <w:rFonts w:ascii="David" w:hAnsi="David"/>
          <w:b/>
          <w:bCs/>
        </w:rPr>
        <w:t xml:space="preserve"> </w:t>
      </w:r>
      <w:r w:rsidRPr="0088286F">
        <w:rPr>
          <w:rFonts w:ascii="David" w:hAnsi="David"/>
          <w:b/>
          <w:bCs/>
          <w:rtl/>
        </w:rPr>
        <w:t>ל</w:t>
      </w:r>
      <w:r w:rsidRPr="0088286F">
        <w:rPr>
          <w:rFonts w:ascii="David" w:hAnsi="David"/>
          <w:b/>
          <w:bCs/>
        </w:rPr>
        <w:t>"</w:t>
      </w:r>
      <w:r w:rsidRPr="0088286F">
        <w:rPr>
          <w:rFonts w:ascii="David" w:hAnsi="David"/>
          <w:b/>
          <w:bCs/>
          <w:rtl/>
        </w:rPr>
        <w:t>מכת</w:t>
      </w:r>
      <w:r w:rsidRPr="0088286F">
        <w:rPr>
          <w:rFonts w:ascii="David" w:hAnsi="David"/>
          <w:b/>
          <w:bCs/>
        </w:rPr>
        <w:t xml:space="preserve"> </w:t>
      </w:r>
      <w:r w:rsidRPr="0088286F">
        <w:rPr>
          <w:rFonts w:ascii="David" w:hAnsi="David"/>
          <w:b/>
          <w:bCs/>
          <w:rtl/>
        </w:rPr>
        <w:t>מדינה", והביאה</w:t>
      </w:r>
      <w:r w:rsidRPr="0088286F">
        <w:rPr>
          <w:rFonts w:ascii="David" w:hAnsi="David"/>
          <w:b/>
          <w:bCs/>
        </w:rPr>
        <w:t xml:space="preserve"> </w:t>
      </w:r>
      <w:r w:rsidRPr="0088286F">
        <w:rPr>
          <w:rFonts w:ascii="David" w:hAnsi="David"/>
          <w:b/>
          <w:bCs/>
          <w:rtl/>
        </w:rPr>
        <w:t>למגמת</w:t>
      </w:r>
      <w:r w:rsidRPr="0088286F">
        <w:rPr>
          <w:rFonts w:ascii="David" w:hAnsi="David"/>
          <w:b/>
          <w:bCs/>
        </w:rPr>
        <w:t xml:space="preserve"> </w:t>
      </w:r>
      <w:r w:rsidRPr="0088286F">
        <w:rPr>
          <w:rFonts w:ascii="David" w:hAnsi="David"/>
          <w:b/>
          <w:bCs/>
          <w:rtl/>
        </w:rPr>
        <w:t>החמרה</w:t>
      </w:r>
      <w:r w:rsidRPr="0088286F">
        <w:rPr>
          <w:rFonts w:ascii="David" w:hAnsi="David"/>
          <w:b/>
          <w:bCs/>
        </w:rPr>
        <w:t xml:space="preserve"> </w:t>
      </w:r>
      <w:r w:rsidRPr="0088286F">
        <w:rPr>
          <w:rFonts w:ascii="David" w:hAnsi="David"/>
          <w:b/>
          <w:bCs/>
          <w:rtl/>
        </w:rPr>
        <w:t>בפסיקה</w:t>
      </w:r>
      <w:r w:rsidRPr="0088286F">
        <w:rPr>
          <w:rFonts w:ascii="David" w:hAnsi="David"/>
          <w:b/>
          <w:bCs/>
        </w:rPr>
        <w:t xml:space="preserve"> </w:t>
      </w:r>
      <w:r w:rsidRPr="0088286F">
        <w:rPr>
          <w:rFonts w:ascii="David" w:hAnsi="David"/>
          <w:b/>
          <w:bCs/>
          <w:rtl/>
        </w:rPr>
        <w:t>כשבית</w:t>
      </w:r>
      <w:r w:rsidRPr="0088286F">
        <w:rPr>
          <w:rFonts w:ascii="David" w:hAnsi="David"/>
          <w:b/>
          <w:bCs/>
        </w:rPr>
        <w:t xml:space="preserve"> </w:t>
      </w:r>
      <w:r w:rsidRPr="0088286F">
        <w:rPr>
          <w:rFonts w:ascii="David" w:hAnsi="David"/>
          <w:b/>
          <w:bCs/>
          <w:rtl/>
        </w:rPr>
        <w:t>המשפט</w:t>
      </w:r>
      <w:r w:rsidRPr="0088286F">
        <w:rPr>
          <w:rFonts w:ascii="David" w:hAnsi="David"/>
          <w:b/>
          <w:bCs/>
        </w:rPr>
        <w:t xml:space="preserve"> </w:t>
      </w:r>
      <w:r w:rsidRPr="0088286F">
        <w:rPr>
          <w:rFonts w:ascii="David" w:hAnsi="David"/>
          <w:b/>
          <w:bCs/>
          <w:rtl/>
        </w:rPr>
        <w:t>נקרא</w:t>
      </w:r>
      <w:r w:rsidRPr="0088286F">
        <w:rPr>
          <w:rFonts w:ascii="David" w:hAnsi="David"/>
          <w:b/>
          <w:bCs/>
        </w:rPr>
        <w:t xml:space="preserve"> </w:t>
      </w:r>
      <w:r w:rsidRPr="0088286F">
        <w:rPr>
          <w:rFonts w:ascii="David" w:hAnsi="David"/>
          <w:b/>
          <w:bCs/>
          <w:rtl/>
        </w:rPr>
        <w:t>להירתם</w:t>
      </w:r>
      <w:r w:rsidRPr="0088286F">
        <w:rPr>
          <w:rFonts w:ascii="David" w:hAnsi="David"/>
          <w:b/>
          <w:bCs/>
        </w:rPr>
        <w:t xml:space="preserve"> </w:t>
      </w:r>
      <w:r w:rsidRPr="0088286F">
        <w:rPr>
          <w:rFonts w:ascii="David" w:hAnsi="David"/>
          <w:b/>
          <w:bCs/>
          <w:rtl/>
        </w:rPr>
        <w:t>למאבק</w:t>
      </w:r>
      <w:r w:rsidRPr="0088286F">
        <w:rPr>
          <w:rFonts w:ascii="David" w:hAnsi="David"/>
          <w:b/>
          <w:bCs/>
        </w:rPr>
        <w:t xml:space="preserve"> </w:t>
      </w:r>
      <w:r w:rsidRPr="0088286F">
        <w:rPr>
          <w:rFonts w:ascii="David" w:hAnsi="David"/>
          <w:b/>
          <w:bCs/>
          <w:rtl/>
        </w:rPr>
        <w:t>בעבירה</w:t>
      </w:r>
      <w:r w:rsidRPr="0088286F">
        <w:rPr>
          <w:rFonts w:ascii="David" w:hAnsi="David"/>
          <w:b/>
          <w:bCs/>
        </w:rPr>
        <w:t xml:space="preserve"> </w:t>
      </w:r>
      <w:r w:rsidRPr="0088286F">
        <w:rPr>
          <w:rFonts w:ascii="David" w:hAnsi="David"/>
          <w:b/>
          <w:bCs/>
          <w:rtl/>
        </w:rPr>
        <w:t>זו."</w:t>
      </w:r>
    </w:p>
    <w:p w14:paraId="40BDD8F7" w14:textId="77777777" w:rsidR="001946EE" w:rsidRPr="0088286F" w:rsidRDefault="001946EE" w:rsidP="001946EE">
      <w:pPr>
        <w:spacing w:line="360" w:lineRule="auto"/>
        <w:jc w:val="both"/>
        <w:rPr>
          <w:rFonts w:ascii="David" w:hAnsi="David"/>
          <w:rtl/>
        </w:rPr>
      </w:pPr>
    </w:p>
    <w:p w14:paraId="4E395AF7" w14:textId="77777777" w:rsidR="001946EE" w:rsidRPr="0088286F" w:rsidRDefault="001946EE" w:rsidP="001946EE">
      <w:pPr>
        <w:spacing w:line="360" w:lineRule="auto"/>
        <w:jc w:val="both"/>
        <w:rPr>
          <w:rFonts w:ascii="David" w:hAnsi="David"/>
          <w:rtl/>
        </w:rPr>
      </w:pPr>
      <w:r w:rsidRPr="0088286F">
        <w:rPr>
          <w:rFonts w:ascii="David" w:hAnsi="David"/>
          <w:rtl/>
        </w:rPr>
        <w:t>ומן הכלל אל הפרט, סקירת מדיניות הענישה הנהוגה בעבירת החזקת נשק מלמדת על טווח ענישה רחב התלוי לרוב בנסיבותיו של כל מקרה ומקרה, כאשר חלק מפסקי הדין ניתנו בטרם נכנס לתוקף עונש המינימום בעבירות נשק:</w:t>
      </w:r>
    </w:p>
    <w:p w14:paraId="09638A67" w14:textId="77777777" w:rsidR="001946EE" w:rsidRPr="0088286F" w:rsidRDefault="001946EE" w:rsidP="001946EE">
      <w:pPr>
        <w:spacing w:line="360" w:lineRule="auto"/>
        <w:jc w:val="both"/>
        <w:rPr>
          <w:rFonts w:ascii="David" w:hAnsi="David"/>
          <w:rtl/>
        </w:rPr>
      </w:pPr>
    </w:p>
    <w:p w14:paraId="4AC14EA2" w14:textId="77777777" w:rsidR="001946EE" w:rsidRPr="0088286F" w:rsidRDefault="001946EE" w:rsidP="001946EE">
      <w:pPr>
        <w:spacing w:line="360" w:lineRule="auto"/>
        <w:jc w:val="both"/>
        <w:rPr>
          <w:rFonts w:ascii="David" w:hAnsi="David"/>
          <w:rtl/>
        </w:rPr>
      </w:pPr>
      <w:r w:rsidRPr="0088286F">
        <w:rPr>
          <w:rFonts w:ascii="David" w:hAnsi="David"/>
          <w:rtl/>
        </w:rPr>
        <w:t>ב</w:t>
      </w:r>
      <w:hyperlink r:id="rId32" w:history="1">
        <w:r w:rsidR="008B3C2B" w:rsidRPr="008B3C2B">
          <w:rPr>
            <w:rFonts w:ascii="David" w:hAnsi="David"/>
            <w:color w:val="0000FF"/>
            <w:u w:val="single"/>
            <w:rtl/>
          </w:rPr>
          <w:t>ע"פ 545/20</w:t>
        </w:r>
      </w:hyperlink>
      <w:r w:rsidRPr="0088286F">
        <w:rPr>
          <w:rFonts w:ascii="David" w:hAnsi="David"/>
          <w:rtl/>
        </w:rPr>
        <w:t xml:space="preserve"> </w:t>
      </w:r>
      <w:r w:rsidRPr="0088286F">
        <w:rPr>
          <w:rFonts w:ascii="David" w:hAnsi="David"/>
          <w:b/>
          <w:bCs/>
          <w:rtl/>
        </w:rPr>
        <w:t>פלוני נ' מדינת ישראל</w:t>
      </w:r>
      <w:r w:rsidRPr="0088286F">
        <w:rPr>
          <w:rFonts w:ascii="David" w:hAnsi="David"/>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74F2860C" w14:textId="77777777" w:rsidR="001946EE" w:rsidRPr="0088286F" w:rsidRDefault="001946EE" w:rsidP="001946EE">
      <w:pPr>
        <w:spacing w:line="360" w:lineRule="auto"/>
        <w:jc w:val="both"/>
        <w:rPr>
          <w:rFonts w:ascii="David" w:hAnsi="David"/>
          <w:rtl/>
        </w:rPr>
      </w:pPr>
    </w:p>
    <w:p w14:paraId="170D7B77" w14:textId="77777777" w:rsidR="001946EE" w:rsidRPr="0088286F" w:rsidRDefault="001946EE" w:rsidP="001946EE">
      <w:pPr>
        <w:spacing w:line="360" w:lineRule="auto"/>
        <w:jc w:val="both"/>
        <w:rPr>
          <w:rFonts w:ascii="David" w:hAnsi="David"/>
          <w:rtl/>
        </w:rPr>
      </w:pPr>
      <w:r w:rsidRPr="0088286F">
        <w:rPr>
          <w:rFonts w:ascii="David" w:hAnsi="David"/>
          <w:rtl/>
        </w:rPr>
        <w:t>ב</w:t>
      </w:r>
      <w:hyperlink r:id="rId33" w:history="1">
        <w:r w:rsidR="008B3C2B" w:rsidRPr="008B3C2B">
          <w:rPr>
            <w:rFonts w:ascii="David" w:hAnsi="David"/>
            <w:color w:val="0000FF"/>
            <w:u w:val="single"/>
            <w:rtl/>
          </w:rPr>
          <w:t>רע"פ 4079/21</w:t>
        </w:r>
      </w:hyperlink>
      <w:r w:rsidRPr="0088286F">
        <w:rPr>
          <w:rFonts w:ascii="David" w:hAnsi="David"/>
          <w:rtl/>
        </w:rPr>
        <w:t xml:space="preserve"> </w:t>
      </w:r>
      <w:r w:rsidRPr="0088286F">
        <w:rPr>
          <w:rFonts w:ascii="David" w:hAnsi="David"/>
          <w:b/>
          <w:bCs/>
          <w:rtl/>
        </w:rPr>
        <w:t>פלוני נ' מדינת ישראל</w:t>
      </w:r>
      <w:r w:rsidRPr="0088286F">
        <w:rPr>
          <w:rFonts w:ascii="David" w:hAnsi="David"/>
          <w:rtl/>
        </w:rPr>
        <w:t xml:space="preserve"> (20.6.21) נדחה ערעור על חומרת העונש שנגזר – 6 חודשי מאסר בפועל שהוטל תוך חריגה ממתחם הענישה בשל שיקולי שיקום ונקבע: </w:t>
      </w:r>
      <w:r w:rsidRPr="0088286F">
        <w:rPr>
          <w:rFonts w:ascii="David" w:hAnsi="David"/>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7B463681" w14:textId="77777777" w:rsidR="001946EE" w:rsidRPr="0088286F" w:rsidRDefault="001946EE" w:rsidP="001946EE">
      <w:pPr>
        <w:spacing w:line="360" w:lineRule="auto"/>
        <w:jc w:val="both"/>
        <w:rPr>
          <w:rFonts w:ascii="David" w:hAnsi="David"/>
          <w:rtl/>
        </w:rPr>
      </w:pPr>
    </w:p>
    <w:p w14:paraId="4FA5EE7F" w14:textId="77777777" w:rsidR="001946EE" w:rsidRPr="0088286F" w:rsidRDefault="001946EE" w:rsidP="001946EE">
      <w:pPr>
        <w:spacing w:line="360" w:lineRule="auto"/>
        <w:jc w:val="both"/>
        <w:rPr>
          <w:rFonts w:ascii="David" w:hAnsi="David"/>
          <w:b/>
          <w:bCs/>
          <w:rtl/>
        </w:rPr>
      </w:pPr>
      <w:r w:rsidRPr="0088286F">
        <w:rPr>
          <w:rFonts w:ascii="David" w:hAnsi="David"/>
          <w:rtl/>
        </w:rPr>
        <w:t>ב</w:t>
      </w:r>
      <w:hyperlink r:id="rId34" w:history="1">
        <w:r w:rsidR="008B3C2B" w:rsidRPr="008B3C2B">
          <w:rPr>
            <w:rFonts w:ascii="David" w:hAnsi="David"/>
            <w:color w:val="0000FF"/>
            <w:u w:val="single"/>
            <w:rtl/>
          </w:rPr>
          <w:t>רע"פ 3619/21</w:t>
        </w:r>
      </w:hyperlink>
      <w:r w:rsidRPr="0088286F">
        <w:rPr>
          <w:rFonts w:ascii="David" w:hAnsi="David"/>
          <w:rtl/>
        </w:rPr>
        <w:t xml:space="preserve"> </w:t>
      </w:r>
      <w:r w:rsidRPr="0088286F">
        <w:rPr>
          <w:rFonts w:ascii="David" w:hAnsi="David"/>
          <w:b/>
          <w:bCs/>
          <w:rtl/>
        </w:rPr>
        <w:t>אבו הלאל נ' מדינת ישראל</w:t>
      </w:r>
      <w:r w:rsidRPr="0088286F">
        <w:rPr>
          <w:rFonts w:ascii="David" w:hAnsi="David"/>
          <w:rtl/>
        </w:rPr>
        <w:t xml:space="preserve"> (26.5.21) נדחה ערעור על חומרת העונש שנגזר – 10 חודשי מאסר בפועל ונאמר: </w:t>
      </w:r>
      <w:r w:rsidRPr="0088286F">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35" w:history="1">
        <w:r w:rsidR="008B3C2B" w:rsidRPr="008B3C2B">
          <w:rPr>
            <w:rFonts w:ascii="David" w:hAnsi="David"/>
            <w:b/>
            <w:bCs/>
            <w:color w:val="0000FF"/>
            <w:u w:val="single"/>
            <w:rtl/>
          </w:rPr>
          <w:t>רע"פ 5613/20</w:t>
        </w:r>
      </w:hyperlink>
      <w:r w:rsidRPr="0088286F">
        <w:rPr>
          <w:rFonts w:ascii="David" w:hAnsi="David"/>
          <w:b/>
          <w:bCs/>
          <w:rtl/>
        </w:rPr>
        <w:t xml:space="preserve"> אלהוזייל נ' מדינת ישראל [פורסם בנבו] (25.8.2020); </w:t>
      </w:r>
      <w:hyperlink r:id="rId36" w:history="1">
        <w:r w:rsidR="008B3C2B" w:rsidRPr="008B3C2B">
          <w:rPr>
            <w:rFonts w:ascii="David" w:hAnsi="David"/>
            <w:b/>
            <w:bCs/>
            <w:color w:val="0000FF"/>
            <w:u w:val="single"/>
            <w:rtl/>
          </w:rPr>
          <w:t>רע"פ 4065/18</w:t>
        </w:r>
      </w:hyperlink>
      <w:r w:rsidRPr="0088286F">
        <w:rPr>
          <w:rFonts w:ascii="David" w:hAnsi="David"/>
          <w:b/>
          <w:bCs/>
          <w:rtl/>
        </w:rPr>
        <w:t xml:space="preserve"> איאסו נ' מדינת ישראל [פורסם בנבו] (30.8.2018)). </w:t>
      </w:r>
    </w:p>
    <w:p w14:paraId="2BBB4CE3" w14:textId="77777777" w:rsidR="001946EE" w:rsidRPr="0088286F" w:rsidRDefault="001946EE" w:rsidP="001946EE">
      <w:pPr>
        <w:spacing w:line="360" w:lineRule="auto"/>
        <w:jc w:val="both"/>
        <w:rPr>
          <w:rFonts w:ascii="David" w:hAnsi="David"/>
          <w:b/>
          <w:bCs/>
          <w:rtl/>
        </w:rPr>
      </w:pPr>
      <w:r w:rsidRPr="0088286F">
        <w:rPr>
          <w:rFonts w:ascii="David" w:hAnsi="David"/>
          <w:b/>
          <w:bCs/>
          <w:rtl/>
        </w:rPr>
        <w:t>במכלול הנסיבות, אני סבור כי העונש שהושת על המבקשים אף מקל עמם ואין בו כדי לבטא את החומרה שיש בהחזקת כלי הנשק המאולתרים."</w:t>
      </w:r>
    </w:p>
    <w:p w14:paraId="4B8176A2" w14:textId="77777777" w:rsidR="001946EE" w:rsidRPr="0088286F" w:rsidRDefault="001946EE" w:rsidP="001946EE">
      <w:pPr>
        <w:spacing w:line="360" w:lineRule="auto"/>
        <w:jc w:val="both"/>
        <w:rPr>
          <w:rFonts w:ascii="David" w:hAnsi="David"/>
          <w:rtl/>
        </w:rPr>
      </w:pPr>
    </w:p>
    <w:p w14:paraId="40B0FA58" w14:textId="77777777" w:rsidR="001946EE" w:rsidRPr="0088286F" w:rsidRDefault="001946EE" w:rsidP="001946EE">
      <w:pPr>
        <w:spacing w:line="360" w:lineRule="auto"/>
        <w:jc w:val="both"/>
        <w:rPr>
          <w:rFonts w:ascii="David" w:hAnsi="David"/>
          <w:rtl/>
        </w:rPr>
      </w:pPr>
    </w:p>
    <w:p w14:paraId="6080E579" w14:textId="77777777" w:rsidR="001946EE" w:rsidRPr="0088286F" w:rsidRDefault="001946EE" w:rsidP="001946EE">
      <w:pPr>
        <w:spacing w:line="360" w:lineRule="auto"/>
        <w:jc w:val="both"/>
        <w:rPr>
          <w:rFonts w:ascii="David" w:hAnsi="David"/>
          <w:b/>
          <w:bCs/>
          <w:rtl/>
        </w:rPr>
      </w:pPr>
      <w:r w:rsidRPr="0088286F">
        <w:rPr>
          <w:rFonts w:ascii="David" w:hAnsi="David"/>
          <w:rtl/>
        </w:rPr>
        <w:t>ב</w:t>
      </w:r>
      <w:hyperlink r:id="rId37" w:history="1">
        <w:r w:rsidR="008B3C2B" w:rsidRPr="008B3C2B">
          <w:rPr>
            <w:rFonts w:ascii="David" w:hAnsi="David"/>
            <w:color w:val="0000FF"/>
            <w:u w:val="single"/>
            <w:rtl/>
          </w:rPr>
          <w:t>עפ"ג 50840-03-22</w:t>
        </w:r>
      </w:hyperlink>
      <w:r w:rsidRPr="0088286F">
        <w:rPr>
          <w:rFonts w:ascii="David" w:hAnsi="David"/>
          <w:rtl/>
        </w:rPr>
        <w:t xml:space="preserve"> </w:t>
      </w:r>
      <w:r w:rsidRPr="0088286F">
        <w:rPr>
          <w:rFonts w:ascii="David" w:hAnsi="David"/>
          <w:b/>
          <w:bCs/>
          <w:rtl/>
        </w:rPr>
        <w:t>מדינת ישראל נ' סלאמה</w:t>
      </w:r>
      <w:r w:rsidRPr="0088286F">
        <w:rPr>
          <w:rFonts w:ascii="David" w:hAnsi="David"/>
          <w:rtl/>
        </w:rPr>
        <w:t xml:space="preserve"> (04.04.22)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88286F">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4BF03530" w14:textId="77777777" w:rsidR="001946EE" w:rsidRPr="0088286F" w:rsidRDefault="001946EE" w:rsidP="001946EE">
      <w:pPr>
        <w:spacing w:line="360" w:lineRule="auto"/>
        <w:jc w:val="both"/>
        <w:rPr>
          <w:rFonts w:ascii="David" w:hAnsi="David"/>
          <w:b/>
          <w:bCs/>
        </w:rPr>
      </w:pPr>
    </w:p>
    <w:p w14:paraId="5935514C" w14:textId="77777777" w:rsidR="001946EE" w:rsidRPr="0088286F" w:rsidRDefault="001946EE" w:rsidP="001946EE">
      <w:pPr>
        <w:spacing w:after="120" w:line="360" w:lineRule="auto"/>
        <w:jc w:val="both"/>
        <w:rPr>
          <w:rFonts w:ascii="David" w:hAnsi="David"/>
          <w:rtl/>
        </w:rPr>
      </w:pPr>
      <w:r w:rsidRPr="0088286F">
        <w:rPr>
          <w:rFonts w:ascii="David" w:hAnsi="David"/>
          <w:rtl/>
        </w:rPr>
        <w:t>ב</w:t>
      </w:r>
      <w:hyperlink r:id="rId38" w:history="1">
        <w:r w:rsidR="008B3C2B" w:rsidRPr="008B3C2B">
          <w:rPr>
            <w:rFonts w:ascii="David" w:hAnsi="David"/>
            <w:color w:val="0000FF"/>
            <w:u w:val="single"/>
            <w:rtl/>
          </w:rPr>
          <w:t>עפ"ג 12888-03-22</w:t>
        </w:r>
      </w:hyperlink>
      <w:r w:rsidRPr="0088286F">
        <w:rPr>
          <w:rFonts w:ascii="David" w:hAnsi="David"/>
          <w:rtl/>
        </w:rPr>
        <w:t xml:space="preserve"> </w:t>
      </w:r>
      <w:r w:rsidRPr="0088286F">
        <w:rPr>
          <w:rFonts w:ascii="David" w:hAnsi="David"/>
          <w:b/>
          <w:bCs/>
          <w:rtl/>
        </w:rPr>
        <w:t>מדינת ישראל נ' אגבריה</w:t>
      </w:r>
      <w:r w:rsidRPr="0088286F">
        <w:rPr>
          <w:rFonts w:ascii="David" w:hAnsi="David"/>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6D7CA8CC" w14:textId="77777777" w:rsidR="001946EE" w:rsidRPr="0088286F" w:rsidRDefault="001946EE" w:rsidP="001946EE">
      <w:pPr>
        <w:spacing w:after="120" w:line="360" w:lineRule="auto"/>
        <w:jc w:val="both"/>
        <w:rPr>
          <w:rFonts w:ascii="David" w:hAnsi="David"/>
          <w:rtl/>
        </w:rPr>
      </w:pPr>
      <w:r w:rsidRPr="0088286F">
        <w:rPr>
          <w:rFonts w:ascii="David" w:hAnsi="David"/>
          <w:rtl/>
        </w:rPr>
        <w:t>ב</w:t>
      </w:r>
      <w:hyperlink r:id="rId39" w:history="1">
        <w:r w:rsidR="008B3C2B" w:rsidRPr="008B3C2B">
          <w:rPr>
            <w:rFonts w:ascii="David" w:hAnsi="David"/>
            <w:color w:val="0000FF"/>
            <w:u w:val="single"/>
            <w:rtl/>
          </w:rPr>
          <w:t>ת"פ 50406-08-15</w:t>
        </w:r>
      </w:hyperlink>
      <w:r w:rsidRPr="0088286F">
        <w:rPr>
          <w:rFonts w:ascii="David" w:hAnsi="David"/>
          <w:rtl/>
        </w:rPr>
        <w:t xml:space="preserve"> </w:t>
      </w:r>
      <w:r w:rsidRPr="0088286F">
        <w:rPr>
          <w:rFonts w:ascii="David" w:hAnsi="David"/>
          <w:b/>
          <w:bCs/>
          <w:rtl/>
        </w:rPr>
        <w:t>מדינת ישראל</w:t>
      </w:r>
      <w:r w:rsidR="008B3C2B">
        <w:rPr>
          <w:rFonts w:ascii="David" w:hAnsi="David"/>
          <w:b/>
          <w:bCs/>
          <w:rtl/>
        </w:rPr>
        <w:t xml:space="preserve"> </w:t>
      </w:r>
      <w:r w:rsidRPr="0088286F">
        <w:rPr>
          <w:rFonts w:ascii="David" w:hAnsi="David"/>
          <w:b/>
          <w:bCs/>
          <w:rtl/>
        </w:rPr>
        <w:t>נ' מטיר</w:t>
      </w:r>
      <w:r w:rsidRPr="0088286F">
        <w:rPr>
          <w:rFonts w:ascii="David" w:hAnsi="David"/>
          <w:rtl/>
        </w:rPr>
        <w:t xml:space="preserve"> (26.7.17): הנאשמת הורשעה בסיוע להחזקת נשק ובשיבוש מהלכי משפט. נקבע כי מתחם העונש ההולם לעבירת הסיוע ועבירת השיבוש נע בין מספר חודשי מאסר בודדים בעבודות שירות ועד לשנת מאסר. נגזרו על הנאשמת 3 חודשי מאסר ויום אחד בניכוי ימי מעצרה לצד ענישה נלווית. </w:t>
      </w:r>
    </w:p>
    <w:p w14:paraId="6264924B" w14:textId="77777777" w:rsidR="001946EE" w:rsidRPr="0088286F" w:rsidRDefault="001946EE" w:rsidP="001946EE">
      <w:pPr>
        <w:spacing w:before="120" w:line="360" w:lineRule="auto"/>
        <w:jc w:val="both"/>
        <w:rPr>
          <w:rFonts w:ascii="David" w:hAnsi="David"/>
          <w:rtl/>
        </w:rPr>
      </w:pPr>
      <w:r w:rsidRPr="0088286F">
        <w:rPr>
          <w:rFonts w:ascii="David" w:hAnsi="David"/>
          <w:rtl/>
        </w:rPr>
        <w:t>ב</w:t>
      </w:r>
      <w:hyperlink r:id="rId40" w:history="1">
        <w:r w:rsidR="008B3C2B" w:rsidRPr="008B3C2B">
          <w:rPr>
            <w:rFonts w:ascii="David" w:hAnsi="David"/>
            <w:color w:val="0000FF"/>
            <w:u w:val="single"/>
            <w:rtl/>
          </w:rPr>
          <w:t>ת"פ 1363-04-22</w:t>
        </w:r>
      </w:hyperlink>
      <w:r w:rsidRPr="0088286F">
        <w:rPr>
          <w:rFonts w:ascii="David" w:hAnsi="David"/>
          <w:rtl/>
        </w:rPr>
        <w:t xml:space="preserve"> </w:t>
      </w:r>
      <w:r w:rsidRPr="0088286F">
        <w:rPr>
          <w:rFonts w:ascii="David" w:hAnsi="David"/>
          <w:b/>
          <w:bCs/>
          <w:rtl/>
        </w:rPr>
        <w:t>מדינת ישראל נ' גרבאן</w:t>
      </w:r>
      <w:r w:rsidRPr="0088286F">
        <w:rPr>
          <w:rFonts w:ascii="David" w:hAnsi="David"/>
          <w:rtl/>
        </w:rPr>
        <w:t xml:space="preserve"> (23.2.23): בגזר דין שניתן על ידי מותב זה, הנאשם הורשע על פי הודאתו בעבירה של סיוע בהחזקת נשק. נקבע מחצית ממתחם ענישה בין 12 ל- 30 חודשי מאסר בפועל,</w:t>
      </w:r>
      <w:r w:rsidRPr="0088286F">
        <w:rPr>
          <w:rFonts w:ascii="David" w:hAnsi="David"/>
          <w:b/>
          <w:bCs/>
          <w:rtl/>
        </w:rPr>
        <w:t xml:space="preserve"> </w:t>
      </w:r>
      <w:r w:rsidRPr="0088286F">
        <w:rPr>
          <w:rFonts w:ascii="David" w:hAnsi="David"/>
          <w:rtl/>
        </w:rPr>
        <w:t xml:space="preserve">ועל הנאשם נגזרו 8 חודשי מאסר בפועל בעבודות שירות לצד ענישה נלווית. </w:t>
      </w:r>
    </w:p>
    <w:p w14:paraId="474D2E92" w14:textId="77777777" w:rsidR="001946EE" w:rsidRPr="0088286F" w:rsidRDefault="001946EE" w:rsidP="001946EE">
      <w:pPr>
        <w:spacing w:before="120" w:line="360" w:lineRule="auto"/>
        <w:jc w:val="both"/>
        <w:rPr>
          <w:rFonts w:ascii="David" w:hAnsi="David"/>
          <w:rtl/>
        </w:rPr>
      </w:pPr>
      <w:r w:rsidRPr="0088286F">
        <w:rPr>
          <w:rFonts w:ascii="David" w:hAnsi="David"/>
          <w:rtl/>
        </w:rPr>
        <w:t>ב</w:t>
      </w:r>
      <w:hyperlink r:id="rId41" w:history="1">
        <w:r w:rsidR="008B3C2B" w:rsidRPr="008B3C2B">
          <w:rPr>
            <w:rFonts w:ascii="David" w:hAnsi="David"/>
            <w:color w:val="0000FF"/>
            <w:u w:val="single"/>
            <w:rtl/>
          </w:rPr>
          <w:t>ת"פ 46549-03-22</w:t>
        </w:r>
      </w:hyperlink>
      <w:r w:rsidRPr="0088286F">
        <w:rPr>
          <w:rFonts w:ascii="David" w:hAnsi="David"/>
          <w:rtl/>
        </w:rPr>
        <w:t xml:space="preserve"> </w:t>
      </w:r>
      <w:r w:rsidRPr="0088286F">
        <w:rPr>
          <w:rFonts w:ascii="David" w:hAnsi="David"/>
          <w:b/>
          <w:bCs/>
          <w:rtl/>
        </w:rPr>
        <w:t>מדינת ישראל נ' גרבאן</w:t>
      </w:r>
      <w:r w:rsidRPr="0088286F">
        <w:rPr>
          <w:rFonts w:ascii="David" w:hAnsi="David"/>
          <w:rtl/>
        </w:rPr>
        <w:t xml:space="preserve"> (05.3.24): הנאשם הורשע על פי הודאתו בעבירה של סיוע בהחזקת נשק. נקבע מתחם ענישה בין 6 ל- 18 חודשי מאסר בפועל,</w:t>
      </w:r>
      <w:r w:rsidRPr="0088286F">
        <w:rPr>
          <w:rFonts w:ascii="David" w:hAnsi="David"/>
          <w:b/>
          <w:bCs/>
          <w:rtl/>
        </w:rPr>
        <w:t xml:space="preserve"> </w:t>
      </w:r>
      <w:r w:rsidRPr="0088286F">
        <w:rPr>
          <w:rFonts w:ascii="David" w:hAnsi="David"/>
          <w:rtl/>
        </w:rPr>
        <w:t>ועל הנאשם נגזרו 8 חודשי מאסר בפועל בעבודות שירות לצד ענישה נלווית.</w:t>
      </w:r>
    </w:p>
    <w:p w14:paraId="77008362" w14:textId="77777777" w:rsidR="001946EE" w:rsidRPr="0088286F" w:rsidRDefault="001946EE" w:rsidP="001946EE">
      <w:pPr>
        <w:spacing w:line="360" w:lineRule="auto"/>
        <w:jc w:val="both"/>
        <w:rPr>
          <w:rFonts w:ascii="David" w:hAnsi="David"/>
          <w:rtl/>
        </w:rPr>
      </w:pPr>
    </w:p>
    <w:p w14:paraId="69BD3977" w14:textId="77777777" w:rsidR="001946EE" w:rsidRPr="0088286F" w:rsidRDefault="001946EE" w:rsidP="001946EE">
      <w:pPr>
        <w:spacing w:line="360" w:lineRule="auto"/>
        <w:jc w:val="both"/>
        <w:rPr>
          <w:rFonts w:ascii="David" w:hAnsi="David"/>
          <w:rtl/>
        </w:rPr>
      </w:pPr>
      <w:r w:rsidRPr="0088286F">
        <w:rPr>
          <w:rFonts w:ascii="David" w:hAnsi="David"/>
          <w:rtl/>
        </w:rPr>
        <w:t xml:space="preserve">בהתאם לאמור, מדיניות הענישה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1B52759B" w14:textId="77777777" w:rsidR="001946EE" w:rsidRPr="0088286F" w:rsidRDefault="001946EE" w:rsidP="001946EE">
      <w:pPr>
        <w:spacing w:line="360" w:lineRule="auto"/>
        <w:jc w:val="both"/>
        <w:rPr>
          <w:rFonts w:ascii="David" w:hAnsi="David"/>
          <w:rtl/>
        </w:rPr>
      </w:pPr>
    </w:p>
    <w:p w14:paraId="457679F3" w14:textId="77777777" w:rsidR="001946EE" w:rsidRPr="0088286F" w:rsidRDefault="001946EE" w:rsidP="001946EE">
      <w:pPr>
        <w:spacing w:line="360" w:lineRule="auto"/>
        <w:jc w:val="both"/>
        <w:rPr>
          <w:rFonts w:ascii="David" w:hAnsi="David"/>
          <w:rtl/>
        </w:rPr>
      </w:pPr>
      <w:r w:rsidRPr="0088286F">
        <w:rPr>
          <w:rFonts w:ascii="David" w:hAnsi="David"/>
          <w:rtl/>
        </w:rPr>
        <w:t xml:space="preserve">בענייננו, </w:t>
      </w:r>
      <w:r w:rsidRPr="005A5DCD">
        <w:rPr>
          <w:rFonts w:ascii="David" w:hAnsi="David"/>
          <w:u w:val="single"/>
          <w:rtl/>
        </w:rPr>
        <w:t xml:space="preserve">הנאשם </w:t>
      </w:r>
      <w:r w:rsidRPr="005A5DCD">
        <w:rPr>
          <w:rFonts w:ascii="David" w:hAnsi="David"/>
          <w:b/>
          <w:bCs/>
          <w:u w:val="single"/>
          <w:rtl/>
        </w:rPr>
        <w:t>סייע</w:t>
      </w:r>
      <w:r w:rsidRPr="005A5DCD">
        <w:rPr>
          <w:rFonts w:ascii="David" w:hAnsi="David"/>
          <w:u w:val="single"/>
          <w:rtl/>
        </w:rPr>
        <w:t xml:space="preserve"> בהחזקת נשק </w:t>
      </w:r>
      <w:r w:rsidRPr="0088286F">
        <w:rPr>
          <w:rFonts w:ascii="David" w:hAnsi="David"/>
          <w:rtl/>
        </w:rPr>
        <w:t>אקדח שמסוגל לירות כדור או קלע ובכוחו להמית אדם, טע</w:t>
      </w:r>
      <w:r>
        <w:rPr>
          <w:rFonts w:ascii="David" w:hAnsi="David" w:hint="cs"/>
          <w:rtl/>
        </w:rPr>
        <w:t>ו</w:t>
      </w:r>
      <w:r w:rsidRPr="0088286F">
        <w:rPr>
          <w:rFonts w:ascii="David" w:hAnsi="David"/>
          <w:rtl/>
        </w:rPr>
        <w:t xml:space="preserve">ן במחסנית ו-15 כדורים ולידו מחסנית נוספת טעונה בכדורים כך שהנזק הטמון בו רב לאין ערוך. אמנם, בסופו של יום לא נעשה שימוש בנשק, עם זאת לא ניתן להתעלם מהפגיעות הפוטנציאליות שהיו עלולות להתרחש. </w:t>
      </w:r>
      <w:r>
        <w:rPr>
          <w:rFonts w:ascii="David" w:hAnsi="David" w:hint="cs"/>
          <w:rtl/>
        </w:rPr>
        <w:t xml:space="preserve">כך גם יש לקחת בחשבון שהנאשם הורשע בעבירה של </w:t>
      </w:r>
      <w:r w:rsidRPr="005A5DCD">
        <w:rPr>
          <w:rFonts w:ascii="David" w:hAnsi="David" w:hint="cs"/>
          <w:b/>
          <w:bCs/>
          <w:rtl/>
        </w:rPr>
        <w:t>סיוע</w:t>
      </w:r>
      <w:r>
        <w:rPr>
          <w:rFonts w:ascii="David" w:hAnsi="David" w:hint="cs"/>
          <w:rtl/>
        </w:rPr>
        <w:t xml:space="preserve"> לאחזקת נשק וזאת לאחר תיקון כתב האישום.</w:t>
      </w:r>
    </w:p>
    <w:p w14:paraId="6D31336B" w14:textId="77777777" w:rsidR="001946EE" w:rsidRPr="0088286F" w:rsidRDefault="001946EE" w:rsidP="001946EE">
      <w:pPr>
        <w:spacing w:line="360" w:lineRule="auto"/>
        <w:jc w:val="both"/>
        <w:rPr>
          <w:rFonts w:ascii="David" w:eastAsia="Calibri" w:hAnsi="David"/>
          <w:rtl/>
        </w:rPr>
      </w:pPr>
    </w:p>
    <w:p w14:paraId="138E8F67"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 xml:space="preserve">לאור האמור </w:t>
      </w:r>
      <w:r>
        <w:rPr>
          <w:rFonts w:ascii="David" w:eastAsia="Calibri" w:hAnsi="David" w:hint="cs"/>
          <w:rtl/>
        </w:rPr>
        <w:t xml:space="preserve">בנסיבות אלה, </w:t>
      </w:r>
      <w:r w:rsidRPr="0088286F">
        <w:rPr>
          <w:rFonts w:ascii="David" w:eastAsia="Calibri" w:hAnsi="David"/>
          <w:rtl/>
        </w:rPr>
        <w:t xml:space="preserve">אני קובע שמתחם העונש ההולם לעבירה שביצע הנאשם בהליך זה שלפני, בהתחשב בעובדות הסיוע וכן בעונש המינימום הקבוע בחוק, נע בין 8 חודשי מאסר שירוצו בעבודות שירות ועד ל – 18 חודשי מאסר בפועל, לצד ענישה נלווית. </w:t>
      </w:r>
    </w:p>
    <w:p w14:paraId="5F201BE3" w14:textId="77777777" w:rsidR="001946EE" w:rsidRPr="0088286F" w:rsidRDefault="001946EE" w:rsidP="001946EE">
      <w:pPr>
        <w:spacing w:line="360" w:lineRule="auto"/>
        <w:jc w:val="both"/>
        <w:rPr>
          <w:rFonts w:ascii="David" w:eastAsia="Calibri" w:hAnsi="David"/>
          <w:rtl/>
        </w:rPr>
      </w:pPr>
    </w:p>
    <w:p w14:paraId="6DDAB984" w14:textId="77777777" w:rsidR="001946EE" w:rsidRPr="005A5DCD" w:rsidRDefault="001946EE" w:rsidP="001946EE">
      <w:pPr>
        <w:spacing w:line="360" w:lineRule="auto"/>
        <w:jc w:val="both"/>
        <w:rPr>
          <w:rFonts w:ascii="David" w:eastAsia="Calibri" w:hAnsi="David"/>
          <w:b/>
          <w:bCs/>
          <w:u w:val="single"/>
          <w:rtl/>
        </w:rPr>
      </w:pPr>
      <w:r w:rsidRPr="005A5DCD">
        <w:rPr>
          <w:rFonts w:ascii="David" w:eastAsia="Calibri" w:hAnsi="David"/>
          <w:b/>
          <w:bCs/>
          <w:u w:val="single"/>
          <w:rtl/>
        </w:rPr>
        <w:t>קביעת העונש ההולם בתוך המתחם - נסיבות שאינן קשורות בביצוע העבירות</w:t>
      </w:r>
    </w:p>
    <w:p w14:paraId="7B0BE5ED"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הנאשם הודה בעבירות המיוחסות לו בכתב האישום המתוקן, אמנם לאחר שמיעת עדויות השוטרים, אך ויתר על שמיעת עדים אחרים, הודה בטרם הסתיים הליך ההוכחות ובעקבות הראיות שנשמעו, נערך התיקון המקל בכתב האישום. בנסיבות אלה, הנאשם עדיין חסך זמן שיפוטי יקר ולא ניתן לומר שהראיות נשמעו לחינם.</w:t>
      </w:r>
    </w:p>
    <w:p w14:paraId="1280A15F" w14:textId="77777777" w:rsidR="001946EE" w:rsidRPr="0088286F" w:rsidRDefault="001946EE" w:rsidP="001946EE">
      <w:pPr>
        <w:spacing w:line="360" w:lineRule="auto"/>
        <w:jc w:val="both"/>
        <w:rPr>
          <w:rFonts w:ascii="David" w:eastAsia="Calibri" w:hAnsi="David"/>
          <w:rtl/>
        </w:rPr>
      </w:pPr>
    </w:p>
    <w:p w14:paraId="6BBB7F1E"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הנאשם בן 54, סובל מבעיות בריאותיות רבות, מקבל טיפולי דיאליזה 4 פעמים בשבוע, מתנהל בעזרת קביים ומוכר כנכה 100% (נ/1) ואין לחובתו הרשעות קודמות.</w:t>
      </w:r>
    </w:p>
    <w:p w14:paraId="1308984A" w14:textId="77777777" w:rsidR="001946EE" w:rsidRDefault="001946EE" w:rsidP="001946EE">
      <w:pPr>
        <w:spacing w:line="360" w:lineRule="auto"/>
        <w:jc w:val="both"/>
        <w:rPr>
          <w:rFonts w:ascii="David" w:eastAsia="Calibri" w:hAnsi="David"/>
          <w:rtl/>
        </w:rPr>
      </w:pPr>
    </w:p>
    <w:p w14:paraId="4BC7020F"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בנוסף, הנאשם היה עצור מאחורי סורג ובריח למשך שבועיים (אותם יש לנכות מהעונש שייגזר) ובפיקוח אלקטרוני משך 3 חודשים נוספים. תקופה זו אין לנכות אך יש להתחשב בה בעת מיקומו של הנאשם בתוך המתחם.</w:t>
      </w:r>
    </w:p>
    <w:p w14:paraId="2CA6D59D" w14:textId="77777777" w:rsidR="001946EE" w:rsidRPr="0088286F" w:rsidRDefault="001946EE" w:rsidP="001946EE">
      <w:pPr>
        <w:spacing w:line="360" w:lineRule="auto"/>
        <w:jc w:val="both"/>
        <w:rPr>
          <w:rFonts w:ascii="David" w:eastAsia="Calibri" w:hAnsi="David"/>
          <w:rtl/>
        </w:rPr>
      </w:pPr>
    </w:p>
    <w:p w14:paraId="175DAB8C"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 xml:space="preserve">מנגד, בתסקיר שהוגש בעניינו, מתואר הנאשם כאדם המבליט את חלקיו המתפקדים, תוך שמצמצם בדפוסי התנהלותו הבעייתיים ומותיר תחושה שרב הנסתר על הגלוי. בנסיבות אלה שירות המבחן לא המליץ על הטלת ענישה טיפולית אלא המליץ לקחת בחשבון בעת שיקולי הענישה את מצבו הבריאותי של הנאשם. </w:t>
      </w:r>
    </w:p>
    <w:p w14:paraId="7F8AE695" w14:textId="77777777" w:rsidR="001946EE" w:rsidRPr="0088286F" w:rsidRDefault="001946EE" w:rsidP="001946EE">
      <w:pPr>
        <w:spacing w:line="360" w:lineRule="auto"/>
        <w:jc w:val="both"/>
        <w:rPr>
          <w:rFonts w:ascii="David" w:eastAsia="Calibri" w:hAnsi="David"/>
          <w:rtl/>
        </w:rPr>
      </w:pPr>
    </w:p>
    <w:p w14:paraId="0EBCE256" w14:textId="77777777" w:rsidR="001946EE" w:rsidRPr="0088286F" w:rsidRDefault="001946EE" w:rsidP="001946EE">
      <w:pPr>
        <w:spacing w:line="360" w:lineRule="auto"/>
        <w:jc w:val="both"/>
        <w:rPr>
          <w:rFonts w:ascii="David" w:eastAsia="David" w:hAnsi="David"/>
          <w:rtl/>
        </w:rPr>
      </w:pPr>
      <w:r w:rsidRPr="0088286F">
        <w:rPr>
          <w:rFonts w:ascii="David" w:eastAsia="David" w:hAnsi="David"/>
          <w:rtl/>
        </w:rPr>
        <w:t>במקרה דנן יש צורך גם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w:t>
      </w:r>
    </w:p>
    <w:p w14:paraId="7F43A89F" w14:textId="77777777" w:rsidR="001946EE" w:rsidRPr="0088286F" w:rsidRDefault="001946EE" w:rsidP="001946EE">
      <w:pPr>
        <w:spacing w:line="360" w:lineRule="auto"/>
        <w:jc w:val="both"/>
        <w:rPr>
          <w:rFonts w:ascii="David" w:eastAsia="Calibri" w:hAnsi="David"/>
          <w:rtl/>
        </w:rPr>
      </w:pPr>
    </w:p>
    <w:p w14:paraId="61A8E27B" w14:textId="77777777" w:rsidR="001946EE" w:rsidRPr="0088286F" w:rsidRDefault="001946EE" w:rsidP="001946EE">
      <w:pPr>
        <w:spacing w:line="360" w:lineRule="auto"/>
        <w:jc w:val="both"/>
        <w:rPr>
          <w:rFonts w:ascii="David" w:eastAsia="Calibri" w:hAnsi="David"/>
          <w:rtl/>
        </w:rPr>
      </w:pPr>
      <w:r w:rsidRPr="0088286F">
        <w:rPr>
          <w:rFonts w:ascii="David" w:eastAsia="Calibri" w:hAnsi="David"/>
          <w:rtl/>
        </w:rPr>
        <w:t>במצב דברים זה ושנמצא שהנאשם כשיר לבצע עבודות שירות, אינני סבור שיש מקום לקבל את עתירת ב"כ הנאשם, לחרוג ממתחם העונש ההולם ולהסתפק בענישה צופה פני עתיד בלבד. העבירה אותה ביצע הנאשם חמורה מאוד ועליו להפנים ולדעת, וכך גם יתר הציבור, שבעבירה מסוג זה לא יינתן פטור מעונש חמור, אפילו לא בשל מצב בריאותי וכי אין במצב בריאותי מורכב כדי לתת פטור מענישה בגין עבירות נשק.</w:t>
      </w:r>
    </w:p>
    <w:p w14:paraId="2705794D" w14:textId="77777777" w:rsidR="001946EE" w:rsidRPr="0088286F" w:rsidRDefault="001946EE" w:rsidP="001946EE">
      <w:pPr>
        <w:spacing w:line="360" w:lineRule="auto"/>
        <w:jc w:val="both"/>
        <w:rPr>
          <w:rFonts w:ascii="David" w:eastAsia="Calibri" w:hAnsi="David"/>
          <w:rtl/>
        </w:rPr>
      </w:pPr>
    </w:p>
    <w:p w14:paraId="180B590A" w14:textId="77777777" w:rsidR="001946EE" w:rsidRDefault="001946EE" w:rsidP="001946EE">
      <w:pPr>
        <w:spacing w:line="360" w:lineRule="auto"/>
        <w:jc w:val="both"/>
        <w:rPr>
          <w:rFonts w:ascii="David" w:eastAsia="Calibri" w:hAnsi="David"/>
          <w:rtl/>
        </w:rPr>
      </w:pPr>
      <w:r w:rsidRPr="0088286F">
        <w:rPr>
          <w:rFonts w:ascii="David" w:eastAsia="Calibri" w:hAnsi="David"/>
          <w:rtl/>
        </w:rPr>
        <w:t>לאור האמור ובהמשך לעתירת המאשימה למקם את הנאשם ברף התחתון של מתחם העונש ההולם, מצאתי לנכון למקם את הנאשם ברף התחתון של המתחם ולגזור על הנאשם את העונשים הבאים:</w:t>
      </w:r>
    </w:p>
    <w:p w14:paraId="066394DA" w14:textId="77777777" w:rsidR="001946EE" w:rsidRPr="0088286F" w:rsidRDefault="001946EE" w:rsidP="001946EE">
      <w:pPr>
        <w:spacing w:line="360" w:lineRule="auto"/>
        <w:jc w:val="both"/>
        <w:rPr>
          <w:rFonts w:ascii="David" w:eastAsia="Calibri" w:hAnsi="David"/>
          <w:rtl/>
        </w:rPr>
      </w:pPr>
    </w:p>
    <w:p w14:paraId="355215DC" w14:textId="77777777" w:rsidR="001946EE" w:rsidRPr="0088286F" w:rsidRDefault="001946EE" w:rsidP="001946EE">
      <w:pPr>
        <w:numPr>
          <w:ilvl w:val="0"/>
          <w:numId w:val="1"/>
        </w:numPr>
        <w:spacing w:after="160" w:line="360" w:lineRule="auto"/>
        <w:contextualSpacing/>
        <w:jc w:val="both"/>
        <w:rPr>
          <w:rFonts w:ascii="David" w:hAnsi="David"/>
          <w:rtl/>
        </w:rPr>
      </w:pPr>
      <w:r w:rsidRPr="0088286F">
        <w:rPr>
          <w:rFonts w:ascii="David" w:hAnsi="David"/>
          <w:rtl/>
        </w:rPr>
        <w:t xml:space="preserve">מאסר בפועל למשך 8 חודשים </w:t>
      </w:r>
      <w:r>
        <w:rPr>
          <w:rFonts w:ascii="David" w:hAnsi="David" w:hint="cs"/>
          <w:rtl/>
        </w:rPr>
        <w:t xml:space="preserve">אשר ירוצה </w:t>
      </w:r>
      <w:r w:rsidRPr="0088286F">
        <w:rPr>
          <w:rFonts w:ascii="David" w:hAnsi="David"/>
          <w:rtl/>
        </w:rPr>
        <w:t xml:space="preserve">בעבודות שירות ב"אקי"ם גלבוע" במושב יעל וזאת החל מתאריך 25.06.24. הנאשם יתייצב לתחילת ריצוי עבודות השירות במועד זה בשעה 08:00 במשרדי הממונה על עבודות השירות </w:t>
      </w:r>
      <w:r w:rsidRPr="0088286F">
        <w:rPr>
          <w:rFonts w:ascii="David" w:hAnsi="David"/>
          <w:b/>
          <w:bCs/>
          <w:rtl/>
        </w:rPr>
        <w:t xml:space="preserve">– </w:t>
      </w:r>
      <w:r w:rsidRPr="0088286F">
        <w:rPr>
          <w:rFonts w:ascii="David" w:hAnsi="David"/>
          <w:b/>
          <w:bCs/>
          <w:u w:val="single"/>
          <w:rtl/>
        </w:rPr>
        <w:t>יחידת ברקאי שלוחת צפון מתחם כלא מגידו</w:t>
      </w:r>
      <w:r w:rsidRPr="0088286F">
        <w:rPr>
          <w:rFonts w:ascii="David" w:hAnsi="David"/>
          <w:rtl/>
        </w:rPr>
        <w:t xml:space="preserve"> וזאת לצורך קליטתו. </w:t>
      </w:r>
    </w:p>
    <w:p w14:paraId="291D6846" w14:textId="77777777" w:rsidR="001946EE" w:rsidRDefault="001946EE" w:rsidP="001946EE">
      <w:pPr>
        <w:spacing w:after="160" w:line="360" w:lineRule="auto"/>
        <w:ind w:left="720"/>
        <w:contextualSpacing/>
        <w:jc w:val="both"/>
        <w:rPr>
          <w:rFonts w:ascii="David" w:hAnsi="David"/>
          <w:rtl/>
        </w:rPr>
      </w:pPr>
    </w:p>
    <w:p w14:paraId="6836069D" w14:textId="77777777" w:rsidR="001946EE" w:rsidRPr="0088286F" w:rsidRDefault="001946EE" w:rsidP="001946EE">
      <w:pPr>
        <w:spacing w:after="160" w:line="360" w:lineRule="auto"/>
        <w:ind w:left="720"/>
        <w:contextualSpacing/>
        <w:jc w:val="both"/>
        <w:rPr>
          <w:rFonts w:ascii="David" w:hAnsi="David"/>
        </w:rPr>
      </w:pPr>
      <w:r w:rsidRPr="0088286F">
        <w:rPr>
          <w:rFonts w:ascii="David" w:hAnsi="David"/>
          <w:rtl/>
        </w:rPr>
        <w:t xml:space="preserve">מתקופה זו יש לנכות את תקופת המעצר בה שהה הנאשם מאחורי סורג ובריח על פי נתוני ותחשיבי שב"ס (אין לנכות מתקופה זו את תקופת המעצר בפיקוח האזוק האלקטרוני). </w:t>
      </w:r>
    </w:p>
    <w:p w14:paraId="7BA8B648" w14:textId="77777777" w:rsidR="001946EE" w:rsidRPr="0088286F" w:rsidRDefault="001946EE" w:rsidP="001946EE">
      <w:pPr>
        <w:spacing w:line="360" w:lineRule="auto"/>
        <w:ind w:left="720"/>
        <w:contextualSpacing/>
        <w:jc w:val="both"/>
        <w:rPr>
          <w:rFonts w:ascii="David" w:hAnsi="David"/>
          <w:rtl/>
        </w:rPr>
      </w:pPr>
    </w:p>
    <w:p w14:paraId="1265F506" w14:textId="77777777" w:rsidR="001946EE" w:rsidRPr="0088286F" w:rsidRDefault="001946EE" w:rsidP="001946EE">
      <w:pPr>
        <w:numPr>
          <w:ilvl w:val="0"/>
          <w:numId w:val="1"/>
        </w:numPr>
        <w:spacing w:after="160" w:line="360" w:lineRule="auto"/>
        <w:contextualSpacing/>
        <w:jc w:val="both"/>
        <w:rPr>
          <w:rFonts w:ascii="David" w:hAnsi="David"/>
        </w:rPr>
      </w:pPr>
      <w:r w:rsidRPr="0088286F">
        <w:rPr>
          <w:rFonts w:ascii="David" w:hAnsi="David"/>
          <w:rtl/>
        </w:rPr>
        <w:t xml:space="preserve">מאסר על תנאי לתקופה של </w:t>
      </w:r>
      <w:r>
        <w:rPr>
          <w:rFonts w:ascii="David" w:hAnsi="David" w:hint="cs"/>
          <w:rtl/>
        </w:rPr>
        <w:t>10</w:t>
      </w:r>
      <w:r w:rsidRPr="0088286F">
        <w:rPr>
          <w:rFonts w:ascii="David" w:hAnsi="David"/>
          <w:rtl/>
        </w:rPr>
        <w:t xml:space="preserve"> חודשים למשך 3 שנים והתנאי הוא שהנאשם לא יעבור בפרק זמן זה, על העבירה בה הורשע בהליך </w:t>
      </w:r>
      <w:r>
        <w:rPr>
          <w:rFonts w:ascii="David" w:hAnsi="David" w:hint="cs"/>
          <w:rtl/>
        </w:rPr>
        <w:t xml:space="preserve">שבפני או על </w:t>
      </w:r>
      <w:r w:rsidRPr="0088286F">
        <w:rPr>
          <w:rFonts w:ascii="David" w:hAnsi="David"/>
          <w:rtl/>
        </w:rPr>
        <w:t>עבירת נשק</w:t>
      </w:r>
      <w:r>
        <w:rPr>
          <w:rFonts w:ascii="David" w:hAnsi="David" w:hint="cs"/>
          <w:rtl/>
        </w:rPr>
        <w:t xml:space="preserve"> לפי </w:t>
      </w:r>
      <w:hyperlink r:id="rId42" w:history="1">
        <w:r w:rsidR="008B3C2B" w:rsidRPr="008B3C2B">
          <w:rPr>
            <w:rFonts w:ascii="David" w:hAnsi="David"/>
            <w:color w:val="0000FF"/>
            <w:u w:val="single"/>
            <w:rtl/>
          </w:rPr>
          <w:t>חוק העונשין</w:t>
        </w:r>
      </w:hyperlink>
      <w:r>
        <w:rPr>
          <w:rFonts w:ascii="David" w:hAnsi="David" w:hint="cs"/>
          <w:rtl/>
        </w:rPr>
        <w:t xml:space="preserve"> ויורשע בה.</w:t>
      </w:r>
    </w:p>
    <w:p w14:paraId="6C75AD3C" w14:textId="77777777" w:rsidR="001946EE" w:rsidRDefault="001946EE" w:rsidP="001946EE">
      <w:pPr>
        <w:spacing w:line="360" w:lineRule="auto"/>
        <w:jc w:val="both"/>
        <w:rPr>
          <w:rtl/>
        </w:rPr>
      </w:pPr>
    </w:p>
    <w:p w14:paraId="7983D0A1" w14:textId="77777777" w:rsidR="001946EE" w:rsidRDefault="001946EE" w:rsidP="001946EE">
      <w:pPr>
        <w:spacing w:line="360" w:lineRule="auto"/>
        <w:ind w:left="720" w:hanging="720"/>
        <w:jc w:val="both"/>
        <w:rPr>
          <w:rFonts w:ascii="David" w:hAnsi="David"/>
        </w:rPr>
      </w:pPr>
      <w:r>
        <w:rPr>
          <w:rFonts w:hint="cs"/>
          <w:rtl/>
        </w:rPr>
        <w:t>3.</w:t>
      </w:r>
      <w:r>
        <w:rPr>
          <w:rFonts w:hint="cs"/>
          <w:rtl/>
        </w:rPr>
        <w:tab/>
      </w:r>
      <w:r w:rsidRPr="007E182A">
        <w:rPr>
          <w:rFonts w:hint="cs"/>
          <w:rtl/>
        </w:rPr>
        <w:t xml:space="preserve">קנס בסך של </w:t>
      </w:r>
      <w:r>
        <w:rPr>
          <w:rFonts w:hint="cs"/>
          <w:rtl/>
        </w:rPr>
        <w:t xml:space="preserve">7,000 </w:t>
      </w:r>
      <w:r w:rsidRPr="007E182A">
        <w:rPr>
          <w:rFonts w:hint="cs"/>
          <w:rtl/>
        </w:rPr>
        <w:t xml:space="preserve">₪. </w:t>
      </w:r>
      <w:r>
        <w:rPr>
          <w:rFonts w:hint="cs"/>
          <w:rtl/>
        </w:rPr>
        <w:t xml:space="preserve">סכום הקנס יקוזז מסכום הפיקדון שהופקד בתיק </w:t>
      </w:r>
      <w:hyperlink r:id="rId43" w:history="1">
        <w:r w:rsidR="008B3C2B" w:rsidRPr="008B3C2B">
          <w:rPr>
            <w:color w:val="0000FF"/>
            <w:u w:val="single"/>
            <w:rtl/>
          </w:rPr>
          <w:t>מ"ת 41653-03-22</w:t>
        </w:r>
      </w:hyperlink>
      <w:r>
        <w:rPr>
          <w:rFonts w:hint="cs"/>
          <w:rtl/>
        </w:rPr>
        <w:t xml:space="preserve"> וככל שהדבר לא יתאפשר </w:t>
      </w:r>
      <w:r>
        <w:rPr>
          <w:rFonts w:ascii="David" w:hAnsi="David"/>
          <w:rtl/>
        </w:rPr>
        <w:t>יש לשלם את הקנס לחשבון המרכז לגביית קנסות, אגרות והוצאות ברשות האכיפה והגבייה, החל מחלוף 3 ימים מרגע מתן גזר הדין ועד ליום</w:t>
      </w:r>
      <w:r>
        <w:rPr>
          <w:rFonts w:ascii="David" w:hAnsi="David" w:hint="cs"/>
          <w:rtl/>
        </w:rPr>
        <w:t xml:space="preserve"> 10/10/24</w:t>
      </w:r>
      <w:r>
        <w:rPr>
          <w:rFonts w:ascii="David" w:hAnsi="David"/>
          <w:rtl/>
        </w:rPr>
        <w:t xml:space="preserve"> וזאת באחת מהדרכים הבאות:</w:t>
      </w:r>
    </w:p>
    <w:p w14:paraId="50E797D0" w14:textId="77777777" w:rsidR="001946EE" w:rsidRDefault="001946EE" w:rsidP="001946EE">
      <w:pPr>
        <w:pStyle w:val="a9"/>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44" w:history="1">
        <w:r>
          <w:rPr>
            <w:rStyle w:val="Hyperlink"/>
            <w:rFonts w:ascii="Arial" w:hAnsi="Arial" w:cs="Arial"/>
          </w:rPr>
          <w:t>www.eca.gov.il</w:t>
        </w:r>
      </w:hyperlink>
      <w:r>
        <w:rPr>
          <w:rFonts w:ascii="Arial" w:hAnsi="Arial" w:cs="Arial"/>
        </w:rPr>
        <w:t xml:space="preserve"> </w:t>
      </w:r>
      <w:r w:rsidR="008B3C2B">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5FB7F2FB" w14:textId="77777777" w:rsidR="001946EE" w:rsidRDefault="001946EE" w:rsidP="001946EE">
      <w:pPr>
        <w:pStyle w:val="a9"/>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8B3C2B">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2EF18105" w14:textId="77777777" w:rsidR="001946EE" w:rsidRDefault="001946EE" w:rsidP="001946EE">
      <w:pPr>
        <w:pStyle w:val="a9"/>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1EF5DA2" w14:textId="77777777" w:rsidR="001946EE" w:rsidRDefault="001946EE" w:rsidP="001946EE">
      <w:pPr>
        <w:spacing w:line="360" w:lineRule="auto"/>
        <w:rPr>
          <w:rFonts w:ascii="David" w:hAnsi="David"/>
          <w:b/>
          <w:bCs/>
          <w:rtl/>
        </w:rPr>
      </w:pPr>
    </w:p>
    <w:p w14:paraId="56E7C7E6" w14:textId="77777777" w:rsidR="001946EE" w:rsidRDefault="001946EE" w:rsidP="001946EE">
      <w:pPr>
        <w:spacing w:line="360" w:lineRule="auto"/>
        <w:rPr>
          <w:rFonts w:ascii="David" w:hAnsi="David"/>
          <w:b/>
          <w:bCs/>
          <w:rtl/>
        </w:rPr>
      </w:pPr>
    </w:p>
    <w:p w14:paraId="14EC974E" w14:textId="77777777" w:rsidR="001946EE" w:rsidRDefault="001946EE" w:rsidP="001946EE">
      <w:pPr>
        <w:spacing w:line="360" w:lineRule="auto"/>
        <w:rPr>
          <w:rFonts w:ascii="David" w:hAnsi="David"/>
          <w:b/>
          <w:bCs/>
          <w:rtl/>
        </w:rPr>
      </w:pPr>
    </w:p>
    <w:p w14:paraId="53754029" w14:textId="77777777" w:rsidR="001946EE" w:rsidRDefault="001946EE" w:rsidP="001946EE">
      <w:pPr>
        <w:spacing w:line="360" w:lineRule="auto"/>
        <w:rPr>
          <w:rFonts w:ascii="David" w:hAnsi="David"/>
          <w:b/>
          <w:bCs/>
          <w:rtl/>
        </w:rPr>
      </w:pPr>
    </w:p>
    <w:p w14:paraId="542B40E8" w14:textId="77777777" w:rsidR="001946EE" w:rsidRDefault="001946EE" w:rsidP="001946EE">
      <w:pPr>
        <w:spacing w:line="360" w:lineRule="auto"/>
        <w:rPr>
          <w:rFonts w:ascii="David" w:hAnsi="David"/>
          <w:b/>
          <w:bCs/>
          <w:rtl/>
        </w:rPr>
      </w:pPr>
    </w:p>
    <w:p w14:paraId="1A65E039" w14:textId="77777777" w:rsidR="001946EE" w:rsidRDefault="001946EE" w:rsidP="001946EE">
      <w:pPr>
        <w:spacing w:line="360" w:lineRule="auto"/>
        <w:rPr>
          <w:rFonts w:ascii="David" w:hAnsi="David"/>
          <w:b/>
          <w:bCs/>
          <w:rtl/>
        </w:rPr>
      </w:pPr>
    </w:p>
    <w:p w14:paraId="51579950" w14:textId="77777777" w:rsidR="001946EE" w:rsidRDefault="001946EE" w:rsidP="001946EE">
      <w:pPr>
        <w:spacing w:line="360" w:lineRule="auto"/>
        <w:rPr>
          <w:rFonts w:ascii="David" w:hAnsi="David"/>
          <w:b/>
          <w:bCs/>
          <w:rtl/>
        </w:rPr>
      </w:pPr>
    </w:p>
    <w:p w14:paraId="28A16B27" w14:textId="77777777" w:rsidR="001946EE" w:rsidRDefault="001946EE" w:rsidP="001946EE">
      <w:pPr>
        <w:spacing w:line="360" w:lineRule="auto"/>
        <w:rPr>
          <w:rFonts w:ascii="David" w:hAnsi="David"/>
          <w:b/>
          <w:bCs/>
          <w:rtl/>
        </w:rPr>
      </w:pPr>
      <w:r>
        <w:rPr>
          <w:rFonts w:ascii="David" w:hAnsi="David" w:hint="cs"/>
          <w:b/>
          <w:bCs/>
          <w:rtl/>
        </w:rPr>
        <w:t xml:space="preserve"> ניתן בזאת צו להשמדת מוצגים. </w:t>
      </w:r>
    </w:p>
    <w:p w14:paraId="53988FE2" w14:textId="77777777" w:rsidR="001946EE" w:rsidRDefault="001946EE" w:rsidP="001946EE">
      <w:pPr>
        <w:spacing w:line="360" w:lineRule="auto"/>
        <w:jc w:val="both"/>
        <w:rPr>
          <w:b/>
          <w:bCs/>
          <w:rtl/>
        </w:rPr>
      </w:pPr>
    </w:p>
    <w:p w14:paraId="1ED4AD57" w14:textId="77777777" w:rsidR="001946EE" w:rsidRDefault="008B3C2B" w:rsidP="001946EE">
      <w:pPr>
        <w:spacing w:line="360" w:lineRule="auto"/>
        <w:jc w:val="both"/>
      </w:pPr>
      <w:r w:rsidRPr="008B3C2B">
        <w:rPr>
          <w:b/>
          <w:bCs/>
          <w:color w:val="FFFFFF"/>
          <w:sz w:val="2"/>
          <w:szCs w:val="2"/>
          <w:rtl/>
        </w:rPr>
        <w:t>5129371</w:t>
      </w:r>
      <w:r w:rsidR="001946EE">
        <w:rPr>
          <w:rFonts w:hint="cs"/>
          <w:b/>
          <w:bCs/>
          <w:rtl/>
        </w:rPr>
        <w:t xml:space="preserve">זכות ערעור לבית המשפט המחוזי בחיפה  תוך 45 ימים מהיום. </w:t>
      </w:r>
    </w:p>
    <w:p w14:paraId="600AAD15" w14:textId="77777777" w:rsidR="001946EE" w:rsidRPr="008B3C2B" w:rsidRDefault="008B3C2B" w:rsidP="001946EE">
      <w:pPr>
        <w:spacing w:after="160" w:line="256" w:lineRule="auto"/>
        <w:rPr>
          <w:rFonts w:ascii="Calibri" w:eastAsia="Calibri" w:hAnsi="Calibri" w:cs="Arial"/>
          <w:color w:val="FFFFFF"/>
          <w:sz w:val="2"/>
          <w:szCs w:val="2"/>
          <w:rtl/>
        </w:rPr>
      </w:pPr>
      <w:r w:rsidRPr="008B3C2B">
        <w:rPr>
          <w:rFonts w:ascii="Calibri" w:eastAsia="Calibri" w:hAnsi="Calibri" w:cs="Arial"/>
          <w:color w:val="FFFFFF"/>
          <w:sz w:val="2"/>
          <w:szCs w:val="2"/>
          <w:rtl/>
        </w:rPr>
        <w:t>54678313</w:t>
      </w:r>
    </w:p>
    <w:p w14:paraId="149EED9A" w14:textId="77777777" w:rsidR="001946EE" w:rsidRPr="000F2247" w:rsidRDefault="001946EE" w:rsidP="001946EE">
      <w:pPr>
        <w:rPr>
          <w:rFonts w:ascii="Arial" w:hAnsi="Arial"/>
          <w:b/>
          <w:bCs/>
          <w:sz w:val="26"/>
          <w:szCs w:val="26"/>
          <w:rtl/>
        </w:rPr>
      </w:pPr>
    </w:p>
    <w:p w14:paraId="300DE0CC" w14:textId="77777777" w:rsidR="001946EE" w:rsidRPr="000F2247" w:rsidRDefault="008B3C2B" w:rsidP="001946EE">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כ"ט אייר תשפ"ד, 06 יוני 2024, במעמד הצדדים. </w:t>
      </w:r>
      <w:bookmarkEnd w:id="10"/>
      <w:r w:rsidR="001946EE">
        <w:rPr>
          <w:rFonts w:ascii="Arial" w:hAnsi="Arial"/>
          <w:b/>
          <w:bCs/>
          <w:sz w:val="26"/>
          <w:szCs w:val="26"/>
          <w:rtl/>
        </w:rPr>
        <w:tab/>
      </w:r>
      <w:r w:rsidR="001946EE">
        <w:rPr>
          <w:rFonts w:ascii="Arial" w:hAnsi="Arial"/>
          <w:b/>
          <w:bCs/>
          <w:sz w:val="26"/>
          <w:szCs w:val="26"/>
          <w:rtl/>
        </w:rPr>
        <w:tab/>
      </w:r>
      <w:r w:rsidR="001946EE">
        <w:rPr>
          <w:rFonts w:ascii="Arial" w:hAnsi="Arial"/>
          <w:b/>
          <w:bCs/>
          <w:sz w:val="26"/>
          <w:szCs w:val="26"/>
          <w:rtl/>
        </w:rPr>
        <w:tab/>
      </w:r>
      <w:r w:rsidR="001946EE">
        <w:rPr>
          <w:rFonts w:ascii="Arial" w:hAnsi="Arial"/>
          <w:b/>
          <w:bCs/>
          <w:sz w:val="26"/>
          <w:szCs w:val="26"/>
          <w:rtl/>
        </w:rPr>
        <w:tab/>
      </w:r>
      <w:r w:rsidR="001946EE">
        <w:rPr>
          <w:rFonts w:ascii="Arial" w:hAnsi="Arial"/>
          <w:b/>
          <w:bCs/>
          <w:sz w:val="26"/>
          <w:szCs w:val="26"/>
          <w:rtl/>
        </w:rPr>
        <w:tab/>
      </w:r>
      <w:r w:rsidR="001946EE">
        <w:rPr>
          <w:rFonts w:ascii="Arial" w:hAnsi="Arial"/>
          <w:b/>
          <w:bCs/>
          <w:sz w:val="26"/>
          <w:szCs w:val="26"/>
          <w:rtl/>
        </w:rPr>
        <w:tab/>
      </w:r>
      <w:r w:rsidR="001946EE">
        <w:rPr>
          <w:rFonts w:ascii="Arial" w:hAnsi="Arial"/>
          <w:b/>
          <w:bCs/>
          <w:sz w:val="26"/>
          <w:szCs w:val="26"/>
          <w:rtl/>
        </w:rPr>
        <w:tab/>
      </w:r>
      <w:r w:rsidR="001946EE">
        <w:rPr>
          <w:rFonts w:ascii="Arial" w:hAnsi="Arial" w:hint="cs"/>
          <w:b/>
          <w:bCs/>
          <w:sz w:val="26"/>
          <w:szCs w:val="26"/>
          <w:rtl/>
        </w:rPr>
        <w:t xml:space="preserve">         </w:t>
      </w:r>
    </w:p>
    <w:p w14:paraId="1F75C043" w14:textId="77777777" w:rsidR="001946EE" w:rsidRPr="000F2247" w:rsidRDefault="001946EE" w:rsidP="008B3C2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5D8F21" w14:textId="77777777" w:rsidR="001946EE" w:rsidRPr="000F2247" w:rsidRDefault="001946EE" w:rsidP="001946EE">
      <w:pPr>
        <w:jc w:val="center"/>
        <w:rPr>
          <w:rFonts w:ascii="Arial" w:hAnsi="Arial"/>
          <w:b/>
          <w:bCs/>
          <w:sz w:val="26"/>
          <w:szCs w:val="26"/>
          <w:rtl/>
        </w:rPr>
      </w:pPr>
    </w:p>
    <w:p w14:paraId="37488EB9" w14:textId="77777777" w:rsidR="00156FDC" w:rsidRPr="008B3C2B" w:rsidRDefault="00156FDC" w:rsidP="008B3C2B">
      <w:pPr>
        <w:keepNext/>
        <w:rPr>
          <w:rFonts w:ascii="David" w:hAnsi="David"/>
          <w:color w:val="000000"/>
          <w:sz w:val="22"/>
          <w:szCs w:val="22"/>
          <w:rtl/>
        </w:rPr>
      </w:pPr>
    </w:p>
    <w:p w14:paraId="75982FB6" w14:textId="77777777" w:rsidR="008B3C2B" w:rsidRPr="008B3C2B" w:rsidRDefault="008B3C2B" w:rsidP="008B3C2B">
      <w:pPr>
        <w:keepNext/>
        <w:rPr>
          <w:rFonts w:ascii="David" w:hAnsi="David"/>
          <w:color w:val="000000"/>
          <w:sz w:val="22"/>
          <w:szCs w:val="22"/>
          <w:rtl/>
        </w:rPr>
      </w:pPr>
      <w:r w:rsidRPr="008B3C2B">
        <w:rPr>
          <w:rFonts w:ascii="David" w:hAnsi="David"/>
          <w:color w:val="000000"/>
          <w:sz w:val="22"/>
          <w:szCs w:val="22"/>
          <w:rtl/>
        </w:rPr>
        <w:t>אלכס אחטר 54678313</w:t>
      </w:r>
    </w:p>
    <w:p w14:paraId="6A6B5785" w14:textId="77777777" w:rsidR="008B3C2B" w:rsidRDefault="008B3C2B" w:rsidP="008B3C2B">
      <w:r w:rsidRPr="008B3C2B">
        <w:rPr>
          <w:color w:val="000000"/>
          <w:rtl/>
        </w:rPr>
        <w:t>נוסח מסמך זה כפוף לשינויי ניסוח ועריכה</w:t>
      </w:r>
    </w:p>
    <w:p w14:paraId="330973A4" w14:textId="77777777" w:rsidR="008B3C2B" w:rsidRDefault="008B3C2B" w:rsidP="008B3C2B">
      <w:pPr>
        <w:rPr>
          <w:rtl/>
        </w:rPr>
      </w:pPr>
    </w:p>
    <w:p w14:paraId="0CA62AC1" w14:textId="77777777" w:rsidR="008B3C2B" w:rsidRDefault="008B3C2B" w:rsidP="008B3C2B">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DC2EF39" w14:textId="77777777" w:rsidR="008B3C2B" w:rsidRPr="008B3C2B" w:rsidRDefault="008B3C2B" w:rsidP="008B3C2B">
      <w:pPr>
        <w:jc w:val="center"/>
        <w:rPr>
          <w:color w:val="0000FF"/>
          <w:u w:val="single"/>
        </w:rPr>
      </w:pPr>
    </w:p>
    <w:sectPr w:rsidR="008B3C2B" w:rsidRPr="008B3C2B" w:rsidSect="008B3C2B">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00A" w14:textId="77777777" w:rsidR="00755289" w:rsidRDefault="00755289" w:rsidP="001A1AD0">
      <w:r>
        <w:separator/>
      </w:r>
    </w:p>
  </w:endnote>
  <w:endnote w:type="continuationSeparator" w:id="0">
    <w:p w14:paraId="464DCDFC" w14:textId="77777777" w:rsidR="00755289" w:rsidRDefault="00755289" w:rsidP="001A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43A16" w14:textId="77777777" w:rsidR="008B3C2B" w:rsidRDefault="008B3C2B" w:rsidP="008B3C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051EF6" w14:textId="77777777" w:rsidR="00F33870" w:rsidRPr="008B3C2B" w:rsidRDefault="008B3C2B" w:rsidP="008B3C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5BEA" w14:textId="77777777" w:rsidR="008B3C2B" w:rsidRDefault="008B3C2B" w:rsidP="008B3C2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15CD">
      <w:rPr>
        <w:rFonts w:ascii="FrankRuehl" w:hAnsi="FrankRuehl" w:cs="FrankRuehl"/>
        <w:noProof/>
        <w:rtl/>
      </w:rPr>
      <w:t>1</w:t>
    </w:r>
    <w:r>
      <w:rPr>
        <w:rFonts w:ascii="FrankRuehl" w:hAnsi="FrankRuehl" w:cs="FrankRuehl"/>
        <w:rtl/>
      </w:rPr>
      <w:fldChar w:fldCharType="end"/>
    </w:r>
  </w:p>
  <w:p w14:paraId="2535DEF3" w14:textId="77777777" w:rsidR="00F33870" w:rsidRPr="008B3C2B" w:rsidRDefault="008B3C2B" w:rsidP="008B3C2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B5A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C6F88" w14:textId="77777777" w:rsidR="00755289" w:rsidRDefault="00755289" w:rsidP="001A1AD0">
      <w:r>
        <w:separator/>
      </w:r>
    </w:p>
  </w:footnote>
  <w:footnote w:type="continuationSeparator" w:id="0">
    <w:p w14:paraId="71EB5948" w14:textId="77777777" w:rsidR="00755289" w:rsidRDefault="00755289" w:rsidP="001A1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4ED24" w14:textId="77777777" w:rsidR="008B3C2B" w:rsidRPr="008B3C2B" w:rsidRDefault="008B3C2B" w:rsidP="008B3C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41599-03-22</w:t>
    </w:r>
    <w:r>
      <w:rPr>
        <w:rFonts w:ascii="David" w:hAnsi="David"/>
        <w:color w:val="000000"/>
        <w:sz w:val="22"/>
        <w:szCs w:val="22"/>
        <w:rtl/>
      </w:rPr>
      <w:tab/>
      <w:t xml:space="preserve"> מדינת ישראל נ' מוחמד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DD7C6" w14:textId="77777777" w:rsidR="008B3C2B" w:rsidRPr="008B3C2B" w:rsidRDefault="008B3C2B" w:rsidP="008B3C2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41599-03-22</w:t>
    </w:r>
    <w:r>
      <w:rPr>
        <w:rFonts w:ascii="David" w:hAnsi="David"/>
        <w:color w:val="000000"/>
        <w:sz w:val="22"/>
        <w:szCs w:val="22"/>
        <w:rtl/>
      </w:rPr>
      <w:tab/>
      <w:t xml:space="preserve"> מדינת ישראל נ' מוחמד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3B01551C"/>
    <w:multiLevelType w:val="hybridMultilevel"/>
    <w:tmpl w:val="1F30D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14385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473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46EE"/>
    <w:rsid w:val="00156FDC"/>
    <w:rsid w:val="001946EE"/>
    <w:rsid w:val="001A1AD0"/>
    <w:rsid w:val="001B5A3B"/>
    <w:rsid w:val="004E1649"/>
    <w:rsid w:val="004F5B38"/>
    <w:rsid w:val="00755289"/>
    <w:rsid w:val="008B3C2B"/>
    <w:rsid w:val="009F2D06"/>
    <w:rsid w:val="00B615CD"/>
    <w:rsid w:val="00F338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69F9BC"/>
  <w15:chartTrackingRefBased/>
  <w15:docId w15:val="{5AB4AE1B-866A-484A-86C8-E3F8A565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46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46EE"/>
    <w:pPr>
      <w:tabs>
        <w:tab w:val="center" w:pos="4153"/>
        <w:tab w:val="right" w:pos="8306"/>
      </w:tabs>
    </w:pPr>
  </w:style>
  <w:style w:type="character" w:customStyle="1" w:styleId="a4">
    <w:name w:val="כותרת עליונה תו"/>
    <w:link w:val="a3"/>
    <w:rsid w:val="001946EE"/>
    <w:rPr>
      <w:rFonts w:ascii="Times New Roman" w:eastAsia="Times New Roman" w:hAnsi="Times New Roman" w:cs="David"/>
      <w:sz w:val="24"/>
      <w:szCs w:val="24"/>
    </w:rPr>
  </w:style>
  <w:style w:type="paragraph" w:styleId="a5">
    <w:name w:val="footer"/>
    <w:basedOn w:val="a"/>
    <w:link w:val="a6"/>
    <w:rsid w:val="001946EE"/>
    <w:pPr>
      <w:tabs>
        <w:tab w:val="center" w:pos="4153"/>
        <w:tab w:val="right" w:pos="8306"/>
      </w:tabs>
    </w:pPr>
  </w:style>
  <w:style w:type="character" w:customStyle="1" w:styleId="a6">
    <w:name w:val="כותרת תחתונה תו"/>
    <w:link w:val="a5"/>
    <w:rsid w:val="001946EE"/>
    <w:rPr>
      <w:rFonts w:ascii="Times New Roman" w:eastAsia="Times New Roman" w:hAnsi="Times New Roman" w:cs="David"/>
      <w:sz w:val="24"/>
      <w:szCs w:val="24"/>
    </w:rPr>
  </w:style>
  <w:style w:type="table" w:styleId="a7">
    <w:name w:val="Table Grid"/>
    <w:basedOn w:val="a1"/>
    <w:rsid w:val="001946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46EE"/>
  </w:style>
  <w:style w:type="paragraph" w:styleId="a9">
    <w:name w:val="List Paragraph"/>
    <w:basedOn w:val="a"/>
    <w:qFormat/>
    <w:rsid w:val="001946EE"/>
    <w:pPr>
      <w:ind w:left="720"/>
      <w:contextualSpacing/>
    </w:pPr>
  </w:style>
  <w:style w:type="character" w:styleId="Hyperlink">
    <w:name w:val="Hyperlink"/>
    <w:rsid w:val="001946EE"/>
    <w:rPr>
      <w:color w:val="0563C1"/>
      <w:u w:val="single"/>
    </w:rPr>
  </w:style>
  <w:style w:type="character" w:styleId="aa">
    <w:name w:val="line number"/>
    <w:rsid w:val="00194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safrut/bookgroup/412" TargetMode="External"/><Relationship Id="rId39" Type="http://schemas.openxmlformats.org/officeDocument/2006/relationships/hyperlink" Target="http://www.nevo.co.il/case/20536580" TargetMode="External"/><Relationship Id="rId21" Type="http://schemas.openxmlformats.org/officeDocument/2006/relationships/hyperlink" Target="http://www.nevo.co.il/law/70301/40d" TargetMode="External"/><Relationship Id="rId34" Type="http://schemas.openxmlformats.org/officeDocument/2006/relationships/hyperlink" Target="http://www.nevo.co.il/case/27648787"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383419" TargetMode="External"/><Relationship Id="rId37" Type="http://schemas.openxmlformats.org/officeDocument/2006/relationships/hyperlink" Target="http://www.nevo.co.il/case/28424228" TargetMode="External"/><Relationship Id="rId40" Type="http://schemas.openxmlformats.org/officeDocument/2006/relationships/hyperlink" Target="http://www.nevo.co.il/case/2845057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24263426" TargetMode="External"/><Relationship Id="rId49" Type="http://schemas.openxmlformats.org/officeDocument/2006/relationships/footer" Target="footer2.xml"/><Relationship Id="rId10" Type="http://schemas.openxmlformats.org/officeDocument/2006/relationships/hyperlink" Target="http://www.nevo.co.il/law/70301/40e"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442335"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e"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8697218" TargetMode="External"/><Relationship Id="rId35" Type="http://schemas.openxmlformats.org/officeDocument/2006/relationships/hyperlink" Target="http://www.nevo.co.il/case/26913995" TargetMode="External"/><Relationship Id="rId43" Type="http://schemas.openxmlformats.org/officeDocument/2006/relationships/hyperlink" Target="http://www.nevo.co.il/case/28413552" TargetMode="External"/><Relationship Id="rId48"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7693610" TargetMode="External"/><Relationship Id="rId38" Type="http://schemas.openxmlformats.org/officeDocument/2006/relationships/hyperlink" Target="http://www.nevo.co.il/case/28378067" TargetMode="External"/><Relationship Id="rId46" Type="http://schemas.openxmlformats.org/officeDocument/2006/relationships/header" Target="header1.xml"/><Relationship Id="rId20" Type="http://schemas.openxmlformats.org/officeDocument/2006/relationships/hyperlink" Target="http://www.nevo.co.il/law/70301/40ja" TargetMode="External"/><Relationship Id="rId41" Type="http://schemas.openxmlformats.org/officeDocument/2006/relationships/hyperlink" Target="http://www.nevo.co.il/case/2841929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3263</Words>
  <Characters>16316</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19540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3145848</vt:i4>
      </vt:variant>
      <vt:variant>
        <vt:i4>111</vt:i4>
      </vt:variant>
      <vt:variant>
        <vt:i4>0</vt:i4>
      </vt:variant>
      <vt:variant>
        <vt:i4>5</vt:i4>
      </vt:variant>
      <vt:variant>
        <vt:lpwstr>http://www.nevo.co.il/case/28413552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3539071</vt:i4>
      </vt:variant>
      <vt:variant>
        <vt:i4>105</vt:i4>
      </vt:variant>
      <vt:variant>
        <vt:i4>0</vt:i4>
      </vt:variant>
      <vt:variant>
        <vt:i4>5</vt:i4>
      </vt:variant>
      <vt:variant>
        <vt:lpwstr>http://www.nevo.co.il/case/28419295</vt:lpwstr>
      </vt:variant>
      <vt:variant>
        <vt:lpwstr/>
      </vt:variant>
      <vt:variant>
        <vt:i4>3211388</vt:i4>
      </vt:variant>
      <vt:variant>
        <vt:i4>102</vt:i4>
      </vt:variant>
      <vt:variant>
        <vt:i4>0</vt:i4>
      </vt:variant>
      <vt:variant>
        <vt:i4>5</vt:i4>
      </vt:variant>
      <vt:variant>
        <vt:lpwstr>http://www.nevo.co.il/case/28450570</vt:lpwstr>
      </vt:variant>
      <vt:variant>
        <vt:lpwstr/>
      </vt:variant>
      <vt:variant>
        <vt:i4>3735666</vt:i4>
      </vt:variant>
      <vt:variant>
        <vt:i4>99</vt:i4>
      </vt:variant>
      <vt:variant>
        <vt:i4>0</vt:i4>
      </vt:variant>
      <vt:variant>
        <vt:i4>5</vt:i4>
      </vt:variant>
      <vt:variant>
        <vt:lpwstr>http://www.nevo.co.il/case/20536580</vt:lpwstr>
      </vt:variant>
      <vt:variant>
        <vt:lpwstr/>
      </vt:variant>
      <vt:variant>
        <vt:i4>4128891</vt:i4>
      </vt:variant>
      <vt:variant>
        <vt:i4>96</vt:i4>
      </vt:variant>
      <vt:variant>
        <vt:i4>0</vt:i4>
      </vt:variant>
      <vt:variant>
        <vt:i4>5</vt:i4>
      </vt:variant>
      <vt:variant>
        <vt:lpwstr>http://www.nevo.co.il/case/28378067</vt:lpwstr>
      </vt:variant>
      <vt:variant>
        <vt:lpwstr/>
      </vt:variant>
      <vt:variant>
        <vt:i4>3145852</vt:i4>
      </vt:variant>
      <vt:variant>
        <vt:i4>93</vt:i4>
      </vt:variant>
      <vt:variant>
        <vt:i4>0</vt:i4>
      </vt:variant>
      <vt:variant>
        <vt:i4>5</vt:i4>
      </vt:variant>
      <vt:variant>
        <vt:lpwstr>http://www.nevo.co.il/case/28424228</vt:lpwstr>
      </vt:variant>
      <vt:variant>
        <vt:lpwstr/>
      </vt:variant>
      <vt:variant>
        <vt:i4>3211378</vt:i4>
      </vt:variant>
      <vt:variant>
        <vt:i4>90</vt:i4>
      </vt:variant>
      <vt:variant>
        <vt:i4>0</vt:i4>
      </vt:variant>
      <vt:variant>
        <vt:i4>5</vt:i4>
      </vt:variant>
      <vt:variant>
        <vt:lpwstr>http://www.nevo.co.il/case/24263426</vt:lpwstr>
      </vt:variant>
      <vt:variant>
        <vt:lpwstr/>
      </vt:variant>
      <vt:variant>
        <vt:i4>3211386</vt:i4>
      </vt:variant>
      <vt:variant>
        <vt:i4>87</vt:i4>
      </vt:variant>
      <vt:variant>
        <vt:i4>0</vt:i4>
      </vt:variant>
      <vt:variant>
        <vt:i4>5</vt:i4>
      </vt:variant>
      <vt:variant>
        <vt:lpwstr>http://www.nevo.co.il/case/26913995</vt:lpwstr>
      </vt:variant>
      <vt:variant>
        <vt:lpwstr/>
      </vt:variant>
      <vt:variant>
        <vt:i4>3407984</vt:i4>
      </vt:variant>
      <vt:variant>
        <vt:i4>84</vt:i4>
      </vt:variant>
      <vt:variant>
        <vt:i4>0</vt:i4>
      </vt:variant>
      <vt:variant>
        <vt:i4>5</vt:i4>
      </vt:variant>
      <vt:variant>
        <vt:lpwstr>http://www.nevo.co.il/case/27648787</vt:lpwstr>
      </vt:variant>
      <vt:variant>
        <vt:lpwstr/>
      </vt:variant>
      <vt:variant>
        <vt:i4>3539068</vt:i4>
      </vt:variant>
      <vt:variant>
        <vt:i4>81</vt:i4>
      </vt:variant>
      <vt:variant>
        <vt:i4>0</vt:i4>
      </vt:variant>
      <vt:variant>
        <vt:i4>5</vt:i4>
      </vt:variant>
      <vt:variant>
        <vt:lpwstr>http://www.nevo.co.il/case/27693610</vt:lpwstr>
      </vt:variant>
      <vt:variant>
        <vt:lpwstr/>
      </vt:variant>
      <vt:variant>
        <vt:i4>3342462</vt:i4>
      </vt:variant>
      <vt:variant>
        <vt:i4>78</vt:i4>
      </vt:variant>
      <vt:variant>
        <vt:i4>0</vt:i4>
      </vt:variant>
      <vt:variant>
        <vt:i4>5</vt:i4>
      </vt:variant>
      <vt:variant>
        <vt:lpwstr>http://www.nevo.co.il/case/26383419</vt:lpwstr>
      </vt:variant>
      <vt:variant>
        <vt:lpwstr/>
      </vt:variant>
      <vt:variant>
        <vt:i4>3604597</vt:i4>
      </vt:variant>
      <vt:variant>
        <vt:i4>75</vt:i4>
      </vt:variant>
      <vt:variant>
        <vt:i4>0</vt:i4>
      </vt:variant>
      <vt:variant>
        <vt:i4>5</vt:i4>
      </vt:variant>
      <vt:variant>
        <vt:lpwstr>http://www.nevo.co.il/case/26442335</vt:lpwstr>
      </vt:variant>
      <vt:variant>
        <vt:lpwstr/>
      </vt:variant>
      <vt:variant>
        <vt:i4>3276919</vt:i4>
      </vt:variant>
      <vt:variant>
        <vt:i4>72</vt:i4>
      </vt:variant>
      <vt:variant>
        <vt:i4>0</vt:i4>
      </vt:variant>
      <vt:variant>
        <vt:i4>5</vt:i4>
      </vt:variant>
      <vt:variant>
        <vt:lpwstr>http://www.nevo.co.il/case/28697218</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2097193</vt:i4>
      </vt:variant>
      <vt:variant>
        <vt:i4>60</vt:i4>
      </vt:variant>
      <vt:variant>
        <vt:i4>0</vt:i4>
      </vt:variant>
      <vt:variant>
        <vt:i4>5</vt:i4>
      </vt:variant>
      <vt:variant>
        <vt:lpwstr>http://www.nevo.co.il/safrut/bookgroup/412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7995492</vt:i4>
      </vt:variant>
      <vt:variant>
        <vt:i4>54</vt:i4>
      </vt:variant>
      <vt:variant>
        <vt:i4>0</vt:i4>
      </vt:variant>
      <vt:variant>
        <vt:i4>5</vt:i4>
      </vt:variant>
      <vt:variant>
        <vt:lpwstr>http://www.nevo.co.il/law/70301</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6619233</vt:i4>
      </vt:variant>
      <vt:variant>
        <vt:i4>48</vt:i4>
      </vt:variant>
      <vt:variant>
        <vt:i4>0</vt:i4>
      </vt:variant>
      <vt:variant>
        <vt:i4>5</vt:i4>
      </vt:variant>
      <vt:variant>
        <vt:lpwstr>http://www.nevo.co.il/law/70301/40e</vt:lpwstr>
      </vt:variant>
      <vt:variant>
        <vt:lpwstr/>
      </vt:variant>
      <vt:variant>
        <vt:i4>6619233</vt:i4>
      </vt:variant>
      <vt:variant>
        <vt:i4>45</vt:i4>
      </vt:variant>
      <vt:variant>
        <vt:i4>0</vt:i4>
      </vt:variant>
      <vt:variant>
        <vt:i4>5</vt:i4>
      </vt:variant>
      <vt:variant>
        <vt:lpwstr>http://www.nevo.co.il/law/70301/40d</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41599</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אגבאריה</vt:lpwstr>
  </property>
  <property fmtid="{D5CDD505-2E9C-101B-9397-08002B2CF9AE}" pid="10" name="LAWYER">
    <vt:lpwstr>ספיר חרזי;עאדל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20240606</vt:lpwstr>
  </property>
  <property fmtid="{D5CDD505-2E9C-101B-9397-08002B2CF9AE}" pid="14" name="TYPE_N_DATE">
    <vt:lpwstr>38020240606</vt:lpwstr>
  </property>
  <property fmtid="{D5CDD505-2E9C-101B-9397-08002B2CF9AE}" pid="15" name="CASESLISTTMP1">
    <vt:lpwstr>28513828;27309272;25824863;28883087;28697218;26442335;26383419;27693610;27648787;26913995;24263426;28424228;28378067;20536580;28450570;28419295;28413552</vt:lpwstr>
  </property>
  <property fmtid="{D5CDD505-2E9C-101B-9397-08002B2CF9AE}" pid="16" name="BOOKGROUPTMP1">
    <vt:lpwstr>412</vt:lpwstr>
  </property>
  <property fmtid="{D5CDD505-2E9C-101B-9397-08002B2CF9AE}" pid="17" name="WORDNUMPAGES">
    <vt:lpwstr>10</vt:lpwstr>
  </property>
  <property fmtid="{D5CDD505-2E9C-101B-9397-08002B2CF9AE}" pid="18" name="TYPE_ABS_DATE">
    <vt:lpwstr>380020240606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70301/144.a;031;040i;40ja;040d;040e</vt:lpwstr>
  </property>
</Properties>
</file>