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52"/>
        <w:gridCol w:w="1488"/>
        <w:gridCol w:w="3658"/>
        <w:gridCol w:w="99"/>
      </w:tblGrid>
      <w:tr w:rsidR="006030B6" w:rsidRPr="0076715B" w14:paraId="716FCAFC" w14:textId="77777777" w:rsidTr="00D5733A">
        <w:trPr>
          <w:gridAfter w:val="1"/>
          <w:wAfter w:w="99" w:type="dxa"/>
          <w:trHeight w:hRule="exact" w:val="418"/>
          <w:jc w:val="center"/>
        </w:trPr>
        <w:tc>
          <w:tcPr>
            <w:tcW w:w="8721" w:type="dxa"/>
            <w:gridSpan w:val="4"/>
          </w:tcPr>
          <w:p w14:paraId="0DB4F035" w14:textId="77777777" w:rsidR="006030B6" w:rsidRPr="0076715B" w:rsidRDefault="006030B6" w:rsidP="003B1002">
            <w:pPr>
              <w:pStyle w:val="a3"/>
              <w:jc w:val="center"/>
              <w:rPr>
                <w:rFonts w:ascii="Tahoma" w:hAnsi="Tahoma" w:cs="Tahoma"/>
                <w:color w:val="000080"/>
                <w:rtl/>
              </w:rPr>
            </w:pPr>
            <w:bookmarkStart w:id="0" w:name="LastJudge"/>
            <w:r w:rsidRPr="0076715B">
              <w:rPr>
                <w:rFonts w:ascii="Tahoma" w:hAnsi="Tahoma" w:cs="Tahoma"/>
                <w:b/>
                <w:bCs/>
                <w:color w:val="000080"/>
                <w:rtl/>
              </w:rPr>
              <w:t>בית משפט השלום בחדרה</w:t>
            </w:r>
          </w:p>
        </w:tc>
      </w:tr>
      <w:tr w:rsidR="006030B6" w:rsidRPr="0076715B" w14:paraId="5A6ADA65" w14:textId="77777777" w:rsidTr="00D5733A">
        <w:trPr>
          <w:gridAfter w:val="1"/>
          <w:wAfter w:w="99" w:type="dxa"/>
          <w:trHeight w:val="337"/>
          <w:jc w:val="center"/>
        </w:trPr>
        <w:tc>
          <w:tcPr>
            <w:tcW w:w="5063" w:type="dxa"/>
            <w:gridSpan w:val="3"/>
          </w:tcPr>
          <w:p w14:paraId="68CB2C6A" w14:textId="77777777" w:rsidR="006030B6" w:rsidRPr="0076715B" w:rsidRDefault="006030B6" w:rsidP="003B1002">
            <w:pPr>
              <w:rPr>
                <w:rFonts w:cs="FrankRuehl"/>
                <w:sz w:val="28"/>
                <w:szCs w:val="28"/>
                <w:rtl/>
              </w:rPr>
            </w:pPr>
            <w:r w:rsidRPr="0076715B">
              <w:rPr>
                <w:rFonts w:cs="FrankRuehl"/>
                <w:sz w:val="28"/>
                <w:szCs w:val="28"/>
                <w:rtl/>
              </w:rPr>
              <w:t>ת"פ</w:t>
            </w:r>
            <w:r w:rsidRPr="0076715B">
              <w:rPr>
                <w:rFonts w:cs="FrankRuehl" w:hint="cs"/>
                <w:sz w:val="28"/>
                <w:szCs w:val="28"/>
                <w:rtl/>
              </w:rPr>
              <w:t xml:space="preserve"> </w:t>
            </w:r>
            <w:r w:rsidRPr="0076715B">
              <w:rPr>
                <w:rFonts w:cs="FrankRuehl"/>
                <w:sz w:val="28"/>
                <w:szCs w:val="28"/>
                <w:rtl/>
              </w:rPr>
              <w:t>1363-04-22</w:t>
            </w:r>
            <w:r w:rsidRPr="0076715B">
              <w:rPr>
                <w:rFonts w:cs="FrankRuehl" w:hint="cs"/>
                <w:sz w:val="28"/>
                <w:szCs w:val="28"/>
                <w:rtl/>
              </w:rPr>
              <w:t xml:space="preserve"> </w:t>
            </w:r>
            <w:r w:rsidRPr="0076715B">
              <w:rPr>
                <w:rFonts w:cs="FrankRuehl"/>
                <w:sz w:val="28"/>
                <w:szCs w:val="28"/>
                <w:rtl/>
              </w:rPr>
              <w:t>מדינת ישראל נ' גרבאן(עצור/אסיר בפיקוח)</w:t>
            </w:r>
          </w:p>
          <w:p w14:paraId="5573DCE9" w14:textId="77777777" w:rsidR="006030B6" w:rsidRPr="0076715B" w:rsidRDefault="006030B6" w:rsidP="003B1002">
            <w:pPr>
              <w:pStyle w:val="a3"/>
              <w:rPr>
                <w:rFonts w:cs="FrankRuehl"/>
                <w:sz w:val="28"/>
                <w:szCs w:val="28"/>
                <w:rtl/>
              </w:rPr>
            </w:pPr>
          </w:p>
        </w:tc>
        <w:tc>
          <w:tcPr>
            <w:tcW w:w="3658" w:type="dxa"/>
          </w:tcPr>
          <w:p w14:paraId="58EEC0E4" w14:textId="77777777" w:rsidR="006030B6" w:rsidRPr="0076715B" w:rsidRDefault="006030B6" w:rsidP="003B1002">
            <w:pPr>
              <w:pStyle w:val="a3"/>
              <w:jc w:val="right"/>
              <w:rPr>
                <w:rFonts w:cs="FrankRuehl"/>
                <w:sz w:val="28"/>
                <w:szCs w:val="28"/>
                <w:rtl/>
              </w:rPr>
            </w:pPr>
          </w:p>
        </w:tc>
      </w:tr>
      <w:tr w:rsidR="006030B6" w:rsidRPr="0076715B" w14:paraId="15B3662F" w14:textId="77777777" w:rsidTr="00D57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049404A" w14:textId="77777777" w:rsidR="006030B6" w:rsidRPr="0076715B" w:rsidRDefault="006030B6" w:rsidP="006030B6">
            <w:pPr>
              <w:jc w:val="both"/>
              <w:rPr>
                <w:rFonts w:ascii="David" w:hAnsi="David"/>
                <w:sz w:val="26"/>
                <w:szCs w:val="26"/>
              </w:rPr>
            </w:pPr>
            <w:r w:rsidRPr="0076715B">
              <w:rPr>
                <w:rFonts w:hint="cs"/>
                <w:rtl/>
              </w:rPr>
              <w:t xml:space="preserve"> </w:t>
            </w:r>
            <w:r w:rsidRPr="0076715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5342A6E" w14:textId="77777777" w:rsidR="006030B6" w:rsidRPr="0076715B" w:rsidRDefault="006030B6" w:rsidP="003B1002">
            <w:pPr>
              <w:rPr>
                <w:rFonts w:ascii="David" w:hAnsi="David"/>
                <w:b/>
                <w:bCs/>
                <w:sz w:val="26"/>
                <w:szCs w:val="26"/>
                <w:rtl/>
              </w:rPr>
            </w:pPr>
            <w:r w:rsidRPr="0076715B">
              <w:rPr>
                <w:rFonts w:ascii="David" w:hAnsi="David"/>
                <w:b/>
                <w:bCs/>
                <w:sz w:val="26"/>
                <w:szCs w:val="26"/>
                <w:rtl/>
              </w:rPr>
              <w:t>כבוד השופט  אלכס אחטר</w:t>
            </w:r>
          </w:p>
          <w:p w14:paraId="5D4C85BE" w14:textId="77777777" w:rsidR="006030B6" w:rsidRPr="0076715B" w:rsidRDefault="006030B6" w:rsidP="003B1002">
            <w:pPr>
              <w:rPr>
                <w:rFonts w:ascii="David" w:hAnsi="David"/>
                <w:sz w:val="26"/>
                <w:szCs w:val="26"/>
                <w:rtl/>
              </w:rPr>
            </w:pPr>
          </w:p>
          <w:p w14:paraId="5BB3A450" w14:textId="77777777" w:rsidR="006030B6" w:rsidRPr="0076715B" w:rsidRDefault="006030B6" w:rsidP="006030B6">
            <w:pPr>
              <w:jc w:val="both"/>
              <w:rPr>
                <w:rFonts w:ascii="David" w:hAnsi="David"/>
                <w:sz w:val="26"/>
                <w:szCs w:val="26"/>
              </w:rPr>
            </w:pPr>
          </w:p>
        </w:tc>
      </w:tr>
      <w:tr w:rsidR="006030B6" w:rsidRPr="0076715B" w14:paraId="7C95FD66" w14:textId="77777777" w:rsidTr="00D57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63D9BD" w14:textId="77777777" w:rsidR="006030B6" w:rsidRPr="0076715B" w:rsidRDefault="006030B6" w:rsidP="006030B6">
            <w:pPr>
              <w:jc w:val="both"/>
              <w:rPr>
                <w:rFonts w:ascii="David" w:hAnsi="David"/>
                <w:sz w:val="26"/>
                <w:szCs w:val="26"/>
              </w:rPr>
            </w:pPr>
            <w:bookmarkStart w:id="1" w:name="FirstAppellant"/>
            <w:bookmarkStart w:id="2" w:name="FirstLawyer"/>
            <w:r w:rsidRPr="0076715B">
              <w:rPr>
                <w:rFonts w:ascii="David" w:hAnsi="David"/>
                <w:sz w:val="26"/>
                <w:szCs w:val="26"/>
                <w:rtl/>
              </w:rPr>
              <w:t>בעניין:</w:t>
            </w:r>
          </w:p>
        </w:tc>
        <w:tc>
          <w:tcPr>
            <w:tcW w:w="2652" w:type="dxa"/>
            <w:tcBorders>
              <w:top w:val="nil"/>
              <w:left w:val="nil"/>
              <w:bottom w:val="nil"/>
              <w:right w:val="nil"/>
            </w:tcBorders>
            <w:shd w:val="clear" w:color="auto" w:fill="auto"/>
          </w:tcPr>
          <w:p w14:paraId="77A4F821" w14:textId="77777777" w:rsidR="006030B6" w:rsidRPr="0076715B" w:rsidRDefault="006030B6" w:rsidP="006030B6">
            <w:pPr>
              <w:suppressLineNumbers/>
            </w:pPr>
            <w:r w:rsidRPr="0076715B">
              <w:rPr>
                <w:rFonts w:ascii="Arial" w:hAnsi="Arial" w:hint="cs"/>
                <w:b/>
                <w:bCs/>
                <w:sz w:val="26"/>
                <w:szCs w:val="26"/>
                <w:rtl/>
              </w:rPr>
              <w:t>ה</w:t>
            </w:r>
            <w:r w:rsidRPr="0076715B">
              <w:rPr>
                <w:rFonts w:ascii="Arial" w:hAnsi="Arial"/>
                <w:b/>
                <w:bCs/>
                <w:sz w:val="26"/>
                <w:szCs w:val="26"/>
                <w:rtl/>
              </w:rPr>
              <w:t>מאשימה</w:t>
            </w:r>
          </w:p>
          <w:p w14:paraId="0ED00D57" w14:textId="77777777" w:rsidR="006030B6" w:rsidRPr="0076715B" w:rsidRDefault="006030B6" w:rsidP="003B1002">
            <w:pPr>
              <w:rPr>
                <w:rFonts w:ascii="David" w:hAnsi="David"/>
                <w:sz w:val="26"/>
                <w:szCs w:val="26"/>
              </w:rPr>
            </w:pPr>
          </w:p>
        </w:tc>
        <w:tc>
          <w:tcPr>
            <w:tcW w:w="5245" w:type="dxa"/>
            <w:gridSpan w:val="3"/>
            <w:tcBorders>
              <w:top w:val="nil"/>
              <w:left w:val="nil"/>
              <w:bottom w:val="nil"/>
              <w:right w:val="nil"/>
            </w:tcBorders>
            <w:shd w:val="clear" w:color="auto" w:fill="auto"/>
            <w:vAlign w:val="center"/>
          </w:tcPr>
          <w:p w14:paraId="5E9C861D" w14:textId="77777777" w:rsidR="006030B6" w:rsidRPr="0076715B" w:rsidRDefault="006030B6" w:rsidP="006030B6">
            <w:pPr>
              <w:suppressLineNumbers/>
              <w:rPr>
                <w:rFonts w:ascii="Arial" w:hAnsi="Arial"/>
                <w:b/>
                <w:bCs/>
                <w:sz w:val="26"/>
                <w:szCs w:val="26"/>
                <w:rtl/>
              </w:rPr>
            </w:pPr>
            <w:r w:rsidRPr="0076715B">
              <w:rPr>
                <w:rFonts w:ascii="Arial" w:hAnsi="Arial"/>
                <w:b/>
                <w:bCs/>
                <w:sz w:val="26"/>
                <w:szCs w:val="26"/>
                <w:rtl/>
              </w:rPr>
              <w:t>מדינת ישראל</w:t>
            </w:r>
            <w:r w:rsidRPr="0076715B">
              <w:rPr>
                <w:rFonts w:ascii="Arial" w:hAnsi="Arial" w:hint="cs"/>
                <w:b/>
                <w:bCs/>
                <w:sz w:val="26"/>
                <w:szCs w:val="26"/>
                <w:rtl/>
              </w:rPr>
              <w:t xml:space="preserve"> </w:t>
            </w:r>
          </w:p>
          <w:p w14:paraId="35D1F9A0" w14:textId="77777777" w:rsidR="006030B6" w:rsidRPr="0076715B" w:rsidRDefault="006030B6" w:rsidP="006030B6">
            <w:pPr>
              <w:suppressLineNumbers/>
              <w:rPr>
                <w:b/>
                <w:bCs/>
              </w:rPr>
            </w:pPr>
            <w:r w:rsidRPr="0076715B">
              <w:rPr>
                <w:rFonts w:ascii="Arial" w:hAnsi="Arial"/>
                <w:b/>
                <w:bCs/>
                <w:rtl/>
              </w:rPr>
              <w:t>ע"י ב"כ עוה"ד</w:t>
            </w:r>
            <w:r w:rsidRPr="0076715B">
              <w:rPr>
                <w:rFonts w:hint="cs"/>
                <w:b/>
                <w:bCs/>
                <w:rtl/>
              </w:rPr>
              <w:t xml:space="preserve"> אופיר לבנטל</w:t>
            </w:r>
          </w:p>
          <w:p w14:paraId="536248F7" w14:textId="77777777" w:rsidR="006030B6" w:rsidRPr="0076715B" w:rsidRDefault="006030B6" w:rsidP="003B1002">
            <w:pPr>
              <w:rPr>
                <w:rFonts w:ascii="David" w:hAnsi="David"/>
                <w:sz w:val="26"/>
                <w:szCs w:val="26"/>
              </w:rPr>
            </w:pPr>
          </w:p>
        </w:tc>
      </w:tr>
      <w:bookmarkEnd w:id="1"/>
      <w:bookmarkEnd w:id="2"/>
      <w:tr w:rsidR="006030B6" w:rsidRPr="0076715B" w14:paraId="7A174F8F" w14:textId="77777777" w:rsidTr="00D57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212731CF" w14:textId="77777777" w:rsidR="006030B6" w:rsidRPr="0076715B" w:rsidRDefault="006030B6" w:rsidP="006030B6">
            <w:pPr>
              <w:jc w:val="center"/>
              <w:rPr>
                <w:rFonts w:ascii="David" w:hAnsi="David"/>
                <w:b/>
                <w:bCs/>
                <w:sz w:val="26"/>
                <w:szCs w:val="26"/>
                <w:rtl/>
              </w:rPr>
            </w:pPr>
          </w:p>
          <w:p w14:paraId="77AEA07F" w14:textId="77777777" w:rsidR="006030B6" w:rsidRPr="0076715B" w:rsidRDefault="006030B6" w:rsidP="006030B6">
            <w:pPr>
              <w:jc w:val="center"/>
              <w:rPr>
                <w:rFonts w:ascii="David" w:hAnsi="David"/>
                <w:b/>
                <w:bCs/>
                <w:sz w:val="26"/>
                <w:szCs w:val="26"/>
                <w:rtl/>
              </w:rPr>
            </w:pPr>
            <w:r w:rsidRPr="0076715B">
              <w:rPr>
                <w:rFonts w:ascii="David" w:hAnsi="David"/>
                <w:b/>
                <w:bCs/>
                <w:sz w:val="26"/>
                <w:szCs w:val="26"/>
                <w:rtl/>
              </w:rPr>
              <w:t>נגד</w:t>
            </w:r>
          </w:p>
          <w:p w14:paraId="0150213A" w14:textId="77777777" w:rsidR="006030B6" w:rsidRPr="0076715B" w:rsidRDefault="006030B6" w:rsidP="006030B6">
            <w:pPr>
              <w:jc w:val="both"/>
              <w:rPr>
                <w:rFonts w:ascii="David" w:hAnsi="David"/>
                <w:sz w:val="26"/>
                <w:szCs w:val="26"/>
              </w:rPr>
            </w:pPr>
          </w:p>
        </w:tc>
      </w:tr>
      <w:tr w:rsidR="006030B6" w:rsidRPr="0076715B" w14:paraId="71B308F3" w14:textId="77777777" w:rsidTr="00D573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542891" w14:textId="77777777" w:rsidR="006030B6" w:rsidRPr="0076715B" w:rsidRDefault="006030B6" w:rsidP="003B1002">
            <w:pPr>
              <w:rPr>
                <w:rFonts w:ascii="David" w:hAnsi="David"/>
                <w:sz w:val="26"/>
                <w:szCs w:val="26"/>
                <w:rtl/>
              </w:rPr>
            </w:pPr>
          </w:p>
        </w:tc>
        <w:tc>
          <w:tcPr>
            <w:tcW w:w="2652" w:type="dxa"/>
            <w:tcBorders>
              <w:top w:val="nil"/>
              <w:left w:val="nil"/>
              <w:bottom w:val="nil"/>
              <w:right w:val="nil"/>
            </w:tcBorders>
            <w:shd w:val="clear" w:color="auto" w:fill="auto"/>
          </w:tcPr>
          <w:p w14:paraId="16A54594" w14:textId="77777777" w:rsidR="006030B6" w:rsidRPr="0076715B" w:rsidRDefault="006030B6" w:rsidP="003B1002">
            <w:pPr>
              <w:rPr>
                <w:rFonts w:ascii="Arial" w:hAnsi="Arial"/>
                <w:b/>
                <w:bCs/>
                <w:sz w:val="26"/>
                <w:szCs w:val="26"/>
                <w:rtl/>
              </w:rPr>
            </w:pPr>
            <w:r w:rsidRPr="0076715B">
              <w:rPr>
                <w:rFonts w:ascii="Arial" w:hAnsi="Arial"/>
                <w:b/>
                <w:bCs/>
                <w:sz w:val="26"/>
                <w:szCs w:val="26"/>
                <w:rtl/>
              </w:rPr>
              <w:t>הנאשם</w:t>
            </w:r>
          </w:p>
        </w:tc>
        <w:tc>
          <w:tcPr>
            <w:tcW w:w="5245" w:type="dxa"/>
            <w:gridSpan w:val="3"/>
            <w:tcBorders>
              <w:top w:val="nil"/>
              <w:left w:val="nil"/>
              <w:bottom w:val="nil"/>
              <w:right w:val="nil"/>
            </w:tcBorders>
            <w:shd w:val="clear" w:color="auto" w:fill="auto"/>
            <w:vAlign w:val="center"/>
          </w:tcPr>
          <w:p w14:paraId="5D6AFED4" w14:textId="77777777" w:rsidR="006030B6" w:rsidRPr="0076715B" w:rsidRDefault="006030B6" w:rsidP="006030B6">
            <w:pPr>
              <w:suppressLineNumbers/>
              <w:rPr>
                <w:rFonts w:ascii="Arial" w:hAnsi="Arial"/>
                <w:b/>
                <w:bCs/>
                <w:sz w:val="26"/>
                <w:szCs w:val="26"/>
                <w:rtl/>
              </w:rPr>
            </w:pPr>
            <w:r w:rsidRPr="0076715B">
              <w:rPr>
                <w:rFonts w:ascii="Arial" w:hAnsi="Arial"/>
                <w:b/>
                <w:bCs/>
                <w:sz w:val="26"/>
                <w:szCs w:val="26"/>
                <w:rtl/>
              </w:rPr>
              <w:t>עבד אל ראוף גרבאן (עצור/אסיר בפיקוח)</w:t>
            </w:r>
            <w:r w:rsidRPr="0076715B">
              <w:rPr>
                <w:rFonts w:ascii="Arial" w:hAnsi="Arial" w:hint="cs"/>
                <w:b/>
                <w:bCs/>
                <w:sz w:val="26"/>
                <w:szCs w:val="26"/>
                <w:rtl/>
              </w:rPr>
              <w:t xml:space="preserve"> </w:t>
            </w:r>
          </w:p>
          <w:p w14:paraId="6CBEF077" w14:textId="77777777" w:rsidR="006030B6" w:rsidRPr="0076715B" w:rsidRDefault="006030B6" w:rsidP="006030B6">
            <w:pPr>
              <w:suppressLineNumbers/>
              <w:rPr>
                <w:b/>
                <w:bCs/>
              </w:rPr>
            </w:pPr>
            <w:r w:rsidRPr="0076715B">
              <w:rPr>
                <w:rFonts w:ascii="Arial" w:hAnsi="Arial"/>
                <w:b/>
                <w:bCs/>
                <w:rtl/>
              </w:rPr>
              <w:t>ע"י ב"כ עוה"ד</w:t>
            </w:r>
            <w:r w:rsidRPr="0076715B">
              <w:rPr>
                <w:rFonts w:hint="cs"/>
                <w:b/>
                <w:bCs/>
                <w:rtl/>
              </w:rPr>
              <w:t xml:space="preserve"> גיל אבנון</w:t>
            </w:r>
          </w:p>
          <w:p w14:paraId="741C032F" w14:textId="77777777" w:rsidR="006030B6" w:rsidRPr="0076715B" w:rsidRDefault="006030B6" w:rsidP="003B1002">
            <w:pPr>
              <w:rPr>
                <w:rFonts w:ascii="David" w:hAnsi="David"/>
                <w:sz w:val="26"/>
                <w:szCs w:val="26"/>
              </w:rPr>
            </w:pPr>
          </w:p>
        </w:tc>
      </w:tr>
    </w:tbl>
    <w:p w14:paraId="7C6B3B40" w14:textId="77777777" w:rsidR="0076715B" w:rsidRPr="0076715B" w:rsidRDefault="0076715B" w:rsidP="006030B6">
      <w:pPr>
        <w:rPr>
          <w:sz w:val="26"/>
          <w:szCs w:val="26"/>
          <w:rtl/>
        </w:rPr>
      </w:pPr>
    </w:p>
    <w:p w14:paraId="38CCF286" w14:textId="77777777" w:rsidR="00E77133" w:rsidRPr="00E77133" w:rsidRDefault="00E77133" w:rsidP="0076715B">
      <w:pPr>
        <w:spacing w:after="120" w:line="240" w:lineRule="exact"/>
        <w:ind w:left="283" w:hanging="283"/>
        <w:jc w:val="both"/>
        <w:rPr>
          <w:color w:val="0000FF"/>
          <w:sz w:val="26"/>
          <w:szCs w:val="26"/>
          <w:rtl/>
        </w:rPr>
      </w:pPr>
    </w:p>
    <w:p w14:paraId="2980C44A" w14:textId="77777777" w:rsidR="00E77133" w:rsidRPr="00E77133" w:rsidRDefault="00E77133" w:rsidP="00E77133">
      <w:pPr>
        <w:spacing w:after="120" w:line="240" w:lineRule="exact"/>
        <w:ind w:left="283" w:hanging="283"/>
        <w:jc w:val="both"/>
        <w:rPr>
          <w:sz w:val="26"/>
          <w:szCs w:val="26"/>
          <w:rtl/>
        </w:rPr>
      </w:pPr>
    </w:p>
    <w:p w14:paraId="4BF71AE8" w14:textId="77777777" w:rsidR="000007CF" w:rsidRPr="000007CF" w:rsidRDefault="000007CF" w:rsidP="00E77133">
      <w:pPr>
        <w:spacing w:after="120" w:line="240" w:lineRule="exact"/>
        <w:ind w:left="283" w:hanging="283"/>
        <w:jc w:val="both"/>
        <w:rPr>
          <w:sz w:val="26"/>
          <w:szCs w:val="26"/>
          <w:rtl/>
        </w:rPr>
      </w:pPr>
    </w:p>
    <w:p w14:paraId="61D00FD2" w14:textId="77777777" w:rsidR="000007CF" w:rsidRPr="000007CF" w:rsidRDefault="000007CF" w:rsidP="000007CF">
      <w:pPr>
        <w:spacing w:after="120" w:line="240" w:lineRule="exact"/>
        <w:ind w:left="283" w:hanging="283"/>
        <w:jc w:val="both"/>
        <w:rPr>
          <w:rFonts w:ascii="FrankRuehl" w:hAnsi="FrankRuehl" w:cs="FrankRuehl"/>
        </w:rPr>
      </w:pPr>
      <w:bookmarkStart w:id="3" w:name="Links_Start"/>
      <w:bookmarkEnd w:id="3"/>
      <w:r w:rsidRPr="000007CF">
        <w:rPr>
          <w:rFonts w:ascii="FrankRuehl" w:hAnsi="FrankRuehl" w:cs="FrankRuehl"/>
          <w:rtl/>
        </w:rPr>
        <w:t>ספרות:</w:t>
      </w:r>
    </w:p>
    <w:p w14:paraId="05FBC774" w14:textId="77777777" w:rsidR="000007CF" w:rsidRPr="000007CF" w:rsidRDefault="000007CF" w:rsidP="000007CF">
      <w:pPr>
        <w:spacing w:after="120" w:line="240" w:lineRule="exact"/>
        <w:ind w:left="283" w:hanging="283"/>
        <w:jc w:val="both"/>
        <w:rPr>
          <w:rStyle w:val="Hyperlink"/>
          <w:rFonts w:ascii="FrankRuehl" w:hAnsi="FrankRuehl" w:cs="FrankRuehl"/>
          <w:u w:val="none"/>
          <w:rtl/>
        </w:rPr>
      </w:pPr>
      <w:r w:rsidRPr="000007CF">
        <w:rPr>
          <w:rFonts w:ascii="FrankRuehl" w:hAnsi="FrankRuehl" w:cs="FrankRuehl"/>
          <w:color w:val="0000FF"/>
          <w:rtl/>
        </w:rPr>
        <w:fldChar w:fldCharType="begin"/>
      </w:r>
      <w:r w:rsidRPr="000007CF">
        <w:rPr>
          <w:rFonts w:ascii="FrankRuehl" w:hAnsi="FrankRuehl" w:cs="FrankRuehl"/>
          <w:color w:val="0000FF"/>
          <w:rtl/>
        </w:rPr>
        <w:instrText xml:space="preserve"> </w:instrText>
      </w:r>
      <w:r w:rsidRPr="000007CF">
        <w:rPr>
          <w:rFonts w:ascii="FrankRuehl" w:hAnsi="FrankRuehl" w:cs="FrankRuehl"/>
          <w:color w:val="0000FF"/>
        </w:rPr>
        <w:instrText xml:space="preserve">HYPERLINK </w:instrText>
      </w:r>
      <w:r w:rsidRPr="000007CF">
        <w:rPr>
          <w:rFonts w:ascii="FrankRuehl" w:hAnsi="FrankRuehl" w:cs="FrankRuehl"/>
          <w:color w:val="0000FF"/>
          <w:rtl/>
        </w:rPr>
        <w:instrText>"</w:instrText>
      </w:r>
      <w:r w:rsidRPr="000007CF">
        <w:rPr>
          <w:rFonts w:ascii="FrankRuehl" w:hAnsi="FrankRuehl" w:cs="FrankRuehl"/>
          <w:color w:val="0000FF"/>
        </w:rPr>
        <w:instrText>http://www.nevo.co.il/safrut/bookgroup/412"</w:instrText>
      </w:r>
      <w:r w:rsidRPr="000007CF">
        <w:rPr>
          <w:rFonts w:ascii="FrankRuehl" w:hAnsi="FrankRuehl" w:cs="FrankRuehl"/>
          <w:color w:val="0000FF"/>
          <w:rtl/>
        </w:rPr>
        <w:instrText xml:space="preserve"> </w:instrText>
      </w:r>
      <w:r w:rsidRPr="000007CF">
        <w:rPr>
          <w:rFonts w:ascii="FrankRuehl" w:hAnsi="FrankRuehl" w:cs="FrankRuehl"/>
          <w:color w:val="0000FF"/>
          <w:rtl/>
        </w:rPr>
      </w:r>
      <w:r w:rsidRPr="000007CF">
        <w:rPr>
          <w:rFonts w:ascii="FrankRuehl" w:hAnsi="FrankRuehl" w:cs="FrankRuehl"/>
          <w:color w:val="0000FF"/>
          <w:rtl/>
        </w:rPr>
        <w:fldChar w:fldCharType="separate"/>
      </w:r>
      <w:r w:rsidRPr="000007CF">
        <w:rPr>
          <w:rStyle w:val="Hyperlink"/>
          <w:rFonts w:ascii="FrankRuehl" w:hAnsi="FrankRuehl" w:cs="FrankRuehl"/>
          <w:u w:val="none"/>
          <w:rtl/>
        </w:rPr>
        <w:t xml:space="preserve">ש"ז פלר  </w:t>
      </w:r>
      <w:r w:rsidRPr="000007CF">
        <w:rPr>
          <w:rStyle w:val="Hyperlink"/>
          <w:rFonts w:ascii="FrankRuehl" w:hAnsi="FrankRuehl" w:cs="FrankRuehl"/>
          <w:u w:val="none"/>
        </w:rPr>
        <w:t xml:space="preserve"> </w:t>
      </w:r>
      <w:r w:rsidRPr="000007CF">
        <w:rPr>
          <w:rStyle w:val="Hyperlink"/>
          <w:rFonts w:ascii="FrankRuehl" w:hAnsi="FrankRuehl" w:cs="FrankRuehl"/>
          <w:b/>
          <w:bCs/>
          <w:u w:val="none"/>
          <w:rtl/>
        </w:rPr>
        <w:t xml:space="preserve">יסודות בדיני עונשין </w:t>
      </w:r>
    </w:p>
    <w:p w14:paraId="271F70A7" w14:textId="77777777" w:rsidR="000007CF" w:rsidRDefault="000007CF" w:rsidP="000007CF">
      <w:pPr>
        <w:spacing w:after="120" w:line="240" w:lineRule="exact"/>
        <w:ind w:left="283" w:hanging="283"/>
        <w:jc w:val="both"/>
        <w:rPr>
          <w:color w:val="0000FF"/>
          <w:sz w:val="26"/>
          <w:szCs w:val="26"/>
        </w:rPr>
      </w:pPr>
      <w:r w:rsidRPr="000007CF">
        <w:rPr>
          <w:rFonts w:ascii="FrankRuehl" w:hAnsi="FrankRuehl" w:cs="FrankRuehl"/>
          <w:color w:val="0000FF"/>
          <w:rtl/>
        </w:rPr>
        <w:fldChar w:fldCharType="end"/>
      </w:r>
      <w:bookmarkStart w:id="4" w:name="Links_End"/>
      <w:bookmarkStart w:id="5" w:name="LawTable"/>
      <w:bookmarkEnd w:id="4"/>
      <w:bookmarkEnd w:id="5"/>
    </w:p>
    <w:p w14:paraId="7C318364" w14:textId="77777777" w:rsidR="000007CF" w:rsidRPr="000007CF" w:rsidRDefault="000007CF" w:rsidP="000007CF">
      <w:pPr>
        <w:spacing w:before="120" w:after="120" w:line="240" w:lineRule="exact"/>
        <w:ind w:left="283" w:hanging="283"/>
        <w:jc w:val="both"/>
        <w:rPr>
          <w:rFonts w:ascii="FrankRuehl" w:hAnsi="FrankRuehl" w:cs="FrankRuehl"/>
          <w:color w:val="0000FF"/>
        </w:rPr>
      </w:pPr>
    </w:p>
    <w:p w14:paraId="128A9389" w14:textId="77777777" w:rsidR="000007CF" w:rsidRPr="000007CF" w:rsidRDefault="000007CF" w:rsidP="000007CF">
      <w:pPr>
        <w:spacing w:before="120" w:after="120" w:line="240" w:lineRule="exact"/>
        <w:ind w:left="283" w:hanging="283"/>
        <w:jc w:val="both"/>
        <w:rPr>
          <w:rFonts w:ascii="FrankRuehl" w:hAnsi="FrankRuehl" w:cs="FrankRuehl"/>
          <w:color w:val="0000FF"/>
          <w:rtl/>
        </w:rPr>
      </w:pPr>
    </w:p>
    <w:p w14:paraId="694A9A27" w14:textId="77777777" w:rsidR="000007CF" w:rsidRPr="000007CF" w:rsidRDefault="000007CF" w:rsidP="000007CF">
      <w:pPr>
        <w:spacing w:before="120" w:after="120" w:line="240" w:lineRule="exact"/>
        <w:ind w:left="283" w:hanging="283"/>
        <w:jc w:val="both"/>
        <w:rPr>
          <w:rFonts w:ascii="FrankRuehl" w:hAnsi="FrankRuehl" w:cs="FrankRuehl"/>
          <w:color w:val="0000FF"/>
        </w:rPr>
      </w:pPr>
      <w:r w:rsidRPr="000007CF">
        <w:rPr>
          <w:rFonts w:ascii="FrankRuehl" w:hAnsi="FrankRuehl" w:cs="FrankRuehl"/>
          <w:color w:val="0000FF"/>
          <w:rtl/>
        </w:rPr>
        <w:t xml:space="preserve">חקיקה שאוזכרה: </w:t>
      </w:r>
    </w:p>
    <w:p w14:paraId="6E08AA86" w14:textId="77777777" w:rsidR="000007CF" w:rsidRPr="000007CF" w:rsidRDefault="000007CF" w:rsidP="000007CF">
      <w:pPr>
        <w:spacing w:before="120" w:after="120" w:line="240" w:lineRule="exact"/>
        <w:ind w:left="283" w:hanging="283"/>
        <w:jc w:val="both"/>
        <w:rPr>
          <w:rFonts w:ascii="FrankRuehl" w:hAnsi="FrankRuehl" w:cs="FrankRuehl"/>
        </w:rPr>
      </w:pPr>
      <w:hyperlink r:id="rId7" w:history="1">
        <w:r w:rsidRPr="000007CF">
          <w:rPr>
            <w:rFonts w:ascii="FrankRuehl" w:hAnsi="FrankRuehl" w:cs="FrankRuehl"/>
            <w:color w:val="0000FF"/>
            <w:rtl/>
          </w:rPr>
          <w:t>חוק העונשין, תשל"ז-1977</w:t>
        </w:r>
      </w:hyperlink>
      <w:r w:rsidRPr="000007CF">
        <w:rPr>
          <w:rFonts w:ascii="FrankRuehl" w:hAnsi="FrankRuehl" w:cs="FrankRuehl"/>
        </w:rPr>
        <w:t xml:space="preserve">: </w:t>
      </w:r>
      <w:r w:rsidRPr="000007CF">
        <w:rPr>
          <w:rFonts w:ascii="FrankRuehl" w:hAnsi="FrankRuehl" w:cs="FrankRuehl"/>
          <w:rtl/>
        </w:rPr>
        <w:t>סע</w:t>
      </w:r>
      <w:r w:rsidRPr="000007CF">
        <w:rPr>
          <w:rFonts w:ascii="FrankRuehl" w:hAnsi="FrankRuehl" w:cs="FrankRuehl"/>
        </w:rPr>
        <w:t xml:space="preserve">'  </w:t>
      </w:r>
      <w:hyperlink r:id="rId8" w:history="1">
        <w:r w:rsidRPr="000007CF">
          <w:rPr>
            <w:rFonts w:ascii="FrankRuehl" w:hAnsi="FrankRuehl" w:cs="FrankRuehl"/>
            <w:color w:val="0000FF"/>
          </w:rPr>
          <w:t>31</w:t>
        </w:r>
      </w:hyperlink>
      <w:r w:rsidRPr="000007CF">
        <w:rPr>
          <w:rFonts w:ascii="FrankRuehl" w:hAnsi="FrankRuehl" w:cs="FrankRuehl"/>
        </w:rPr>
        <w:t xml:space="preserve">, </w:t>
      </w:r>
      <w:hyperlink r:id="rId9" w:history="1">
        <w:r w:rsidRPr="000007CF">
          <w:rPr>
            <w:rFonts w:ascii="FrankRuehl" w:hAnsi="FrankRuehl" w:cs="FrankRuehl"/>
            <w:color w:val="0000FF"/>
          </w:rPr>
          <w:t>32</w:t>
        </w:r>
      </w:hyperlink>
      <w:r w:rsidRPr="000007CF">
        <w:rPr>
          <w:rFonts w:ascii="FrankRuehl" w:hAnsi="FrankRuehl" w:cs="FrankRuehl"/>
        </w:rPr>
        <w:t xml:space="preserve">, </w:t>
      </w:r>
      <w:hyperlink r:id="rId10" w:history="1">
        <w:r w:rsidRPr="000007CF">
          <w:rPr>
            <w:rFonts w:ascii="FrankRuehl" w:hAnsi="FrankRuehl" w:cs="FrankRuehl"/>
            <w:color w:val="0000FF"/>
          </w:rPr>
          <w:t>40</w:t>
        </w:r>
        <w:r w:rsidRPr="000007CF">
          <w:rPr>
            <w:rFonts w:ascii="FrankRuehl" w:hAnsi="FrankRuehl" w:cs="FrankRuehl"/>
            <w:color w:val="0000FF"/>
            <w:rtl/>
          </w:rPr>
          <w:t>ד</w:t>
        </w:r>
        <w:r w:rsidRPr="000007CF">
          <w:rPr>
            <w:rFonts w:ascii="FrankRuehl" w:hAnsi="FrankRuehl" w:cs="FrankRuehl"/>
            <w:color w:val="0000FF"/>
          </w:rPr>
          <w:t>'</w:t>
        </w:r>
      </w:hyperlink>
      <w:r w:rsidRPr="000007CF">
        <w:rPr>
          <w:rFonts w:ascii="FrankRuehl" w:hAnsi="FrankRuehl" w:cs="FrankRuehl"/>
        </w:rPr>
        <w:t xml:space="preserve">, </w:t>
      </w:r>
      <w:hyperlink r:id="rId11" w:history="1">
        <w:r w:rsidRPr="000007CF">
          <w:rPr>
            <w:rFonts w:ascii="FrankRuehl" w:hAnsi="FrankRuehl" w:cs="FrankRuehl"/>
            <w:color w:val="0000FF"/>
          </w:rPr>
          <w:t xml:space="preserve">40 </w:t>
        </w:r>
        <w:r w:rsidRPr="000007CF">
          <w:rPr>
            <w:rFonts w:ascii="FrankRuehl" w:hAnsi="FrankRuehl" w:cs="FrankRuehl"/>
            <w:color w:val="0000FF"/>
            <w:rtl/>
          </w:rPr>
          <w:t>ה</w:t>
        </w:r>
        <w:r w:rsidRPr="000007CF">
          <w:rPr>
            <w:rFonts w:ascii="FrankRuehl" w:hAnsi="FrankRuehl" w:cs="FrankRuehl"/>
            <w:color w:val="0000FF"/>
          </w:rPr>
          <w:t>'</w:t>
        </w:r>
      </w:hyperlink>
      <w:r w:rsidRPr="000007CF">
        <w:rPr>
          <w:rFonts w:ascii="FrankRuehl" w:hAnsi="FrankRuehl" w:cs="FrankRuehl"/>
        </w:rPr>
        <w:t xml:space="preserve">, </w:t>
      </w:r>
      <w:hyperlink r:id="rId12" w:history="1">
        <w:r w:rsidRPr="000007CF">
          <w:rPr>
            <w:rFonts w:ascii="FrankRuehl" w:hAnsi="FrankRuehl" w:cs="FrankRuehl"/>
            <w:color w:val="0000FF"/>
          </w:rPr>
          <w:t>40</w:t>
        </w:r>
        <w:r w:rsidRPr="000007CF">
          <w:rPr>
            <w:rFonts w:ascii="FrankRuehl" w:hAnsi="FrankRuehl" w:cs="FrankRuehl"/>
            <w:color w:val="0000FF"/>
            <w:rtl/>
          </w:rPr>
          <w:t>ט</w:t>
        </w:r>
        <w:r w:rsidRPr="000007CF">
          <w:rPr>
            <w:rFonts w:ascii="FrankRuehl" w:hAnsi="FrankRuehl" w:cs="FrankRuehl"/>
            <w:color w:val="0000FF"/>
          </w:rPr>
          <w:t>'</w:t>
        </w:r>
      </w:hyperlink>
      <w:r w:rsidRPr="000007CF">
        <w:rPr>
          <w:rFonts w:ascii="FrankRuehl" w:hAnsi="FrankRuehl" w:cs="FrankRuehl"/>
        </w:rPr>
        <w:t xml:space="preserve">, </w:t>
      </w:r>
      <w:hyperlink r:id="rId13" w:history="1">
        <w:r w:rsidRPr="000007CF">
          <w:rPr>
            <w:rFonts w:ascii="FrankRuehl" w:hAnsi="FrankRuehl" w:cs="FrankRuehl"/>
            <w:color w:val="0000FF"/>
          </w:rPr>
          <w:t>144</w:t>
        </w:r>
      </w:hyperlink>
      <w:r w:rsidRPr="000007CF">
        <w:rPr>
          <w:rFonts w:ascii="FrankRuehl" w:hAnsi="FrankRuehl" w:cs="FrankRuehl"/>
        </w:rPr>
        <w:t xml:space="preserve">, </w:t>
      </w:r>
      <w:hyperlink r:id="rId14" w:history="1">
        <w:r w:rsidRPr="000007CF">
          <w:rPr>
            <w:rFonts w:ascii="FrankRuehl" w:hAnsi="FrankRuehl" w:cs="FrankRuehl"/>
            <w:color w:val="0000FF"/>
          </w:rPr>
          <w:t>144(</w:t>
        </w:r>
        <w:r w:rsidRPr="000007CF">
          <w:rPr>
            <w:rFonts w:ascii="FrankRuehl" w:hAnsi="FrankRuehl" w:cs="FrankRuehl"/>
            <w:color w:val="0000FF"/>
            <w:rtl/>
          </w:rPr>
          <w:t>א</w:t>
        </w:r>
        <w:r w:rsidRPr="000007CF">
          <w:rPr>
            <w:rFonts w:ascii="FrankRuehl" w:hAnsi="FrankRuehl" w:cs="FrankRuehl"/>
            <w:color w:val="0000FF"/>
          </w:rPr>
          <w:t>)(</w:t>
        </w:r>
      </w:hyperlink>
      <w:r w:rsidRPr="000007CF">
        <w:rPr>
          <w:rFonts w:ascii="FrankRuehl" w:hAnsi="FrankRuehl" w:cs="FrankRuehl"/>
        </w:rPr>
        <w:t xml:space="preserve">, </w:t>
      </w:r>
      <w:hyperlink r:id="rId15" w:history="1">
        <w:r w:rsidRPr="000007CF">
          <w:rPr>
            <w:rFonts w:ascii="FrankRuehl" w:hAnsi="FrankRuehl" w:cs="FrankRuehl"/>
            <w:color w:val="0000FF"/>
          </w:rPr>
          <w:t>40</w:t>
        </w:r>
        <w:r w:rsidRPr="000007CF">
          <w:rPr>
            <w:rFonts w:ascii="FrankRuehl" w:hAnsi="FrankRuehl" w:cs="FrankRuehl"/>
            <w:color w:val="0000FF"/>
            <w:rtl/>
          </w:rPr>
          <w:t>יא</w:t>
        </w:r>
        <w:r w:rsidRPr="000007CF">
          <w:rPr>
            <w:rFonts w:ascii="FrankRuehl" w:hAnsi="FrankRuehl" w:cs="FrankRuehl"/>
            <w:color w:val="0000FF"/>
          </w:rPr>
          <w:t>'</w:t>
        </w:r>
      </w:hyperlink>
    </w:p>
    <w:p w14:paraId="5D82C725" w14:textId="77777777" w:rsidR="000007CF" w:rsidRPr="000007CF" w:rsidRDefault="000007CF" w:rsidP="000007CF">
      <w:pPr>
        <w:spacing w:after="120" w:line="240" w:lineRule="exact"/>
        <w:ind w:left="283" w:hanging="283"/>
        <w:jc w:val="both"/>
        <w:rPr>
          <w:sz w:val="26"/>
          <w:szCs w:val="26"/>
        </w:rPr>
      </w:pPr>
      <w:bookmarkStart w:id="6" w:name="LawTable_End"/>
      <w:bookmarkEnd w:id="6"/>
    </w:p>
    <w:p w14:paraId="7D1EC901" w14:textId="77777777" w:rsidR="006030B6" w:rsidRPr="000007CF" w:rsidRDefault="006030B6" w:rsidP="000007CF">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30B6" w14:paraId="2D364FEC" w14:textId="77777777" w:rsidTr="006030B6">
        <w:trPr>
          <w:trHeight w:val="355"/>
          <w:jc w:val="center"/>
        </w:trPr>
        <w:tc>
          <w:tcPr>
            <w:tcW w:w="8820" w:type="dxa"/>
            <w:tcBorders>
              <w:top w:val="nil"/>
              <w:left w:val="nil"/>
              <w:bottom w:val="nil"/>
              <w:right w:val="nil"/>
            </w:tcBorders>
            <w:shd w:val="clear" w:color="auto" w:fill="auto"/>
          </w:tcPr>
          <w:p w14:paraId="21122127" w14:textId="77777777" w:rsidR="0076715B" w:rsidRPr="0076715B" w:rsidRDefault="0076715B" w:rsidP="0076715B">
            <w:pPr>
              <w:jc w:val="center"/>
              <w:rPr>
                <w:rFonts w:ascii="David" w:hAnsi="David"/>
                <w:b/>
                <w:bCs/>
                <w:sz w:val="32"/>
                <w:szCs w:val="32"/>
                <w:u w:val="single"/>
                <w:rtl/>
              </w:rPr>
            </w:pPr>
            <w:bookmarkStart w:id="7" w:name="PsakDin" w:colFirst="0" w:colLast="0"/>
            <w:bookmarkEnd w:id="0"/>
            <w:r w:rsidRPr="0076715B">
              <w:rPr>
                <w:rFonts w:ascii="David" w:hAnsi="David"/>
                <w:b/>
                <w:bCs/>
                <w:sz w:val="32"/>
                <w:szCs w:val="32"/>
                <w:u w:val="single"/>
                <w:rtl/>
              </w:rPr>
              <w:t>גזר דין</w:t>
            </w:r>
          </w:p>
          <w:p w14:paraId="4F8E9D53" w14:textId="77777777" w:rsidR="006030B6" w:rsidRPr="0076715B" w:rsidRDefault="006030B6" w:rsidP="0076715B">
            <w:pPr>
              <w:jc w:val="center"/>
              <w:rPr>
                <w:rFonts w:ascii="David" w:hAnsi="David"/>
                <w:bCs/>
                <w:sz w:val="32"/>
                <w:szCs w:val="32"/>
                <w:u w:val="single"/>
                <w:rtl/>
              </w:rPr>
            </w:pPr>
          </w:p>
        </w:tc>
      </w:tr>
    </w:tbl>
    <w:p w14:paraId="17A4D140" w14:textId="77777777" w:rsidR="006030B6" w:rsidRPr="000F2247" w:rsidRDefault="006030B6" w:rsidP="006030B6">
      <w:pPr>
        <w:rPr>
          <w:rFonts w:ascii="Arial" w:hAnsi="Arial"/>
          <w:b/>
          <w:bCs/>
          <w:sz w:val="26"/>
          <w:szCs w:val="26"/>
          <w:rtl/>
        </w:rPr>
      </w:pPr>
      <w:bookmarkStart w:id="8" w:name="ABSTRACT_START"/>
      <w:bookmarkEnd w:id="7"/>
      <w:bookmarkEnd w:id="8"/>
    </w:p>
    <w:p w14:paraId="28FC46CA" w14:textId="77777777" w:rsidR="006030B6" w:rsidRPr="00175ED0" w:rsidRDefault="006030B6" w:rsidP="006030B6">
      <w:pPr>
        <w:spacing w:line="360" w:lineRule="auto"/>
        <w:jc w:val="both"/>
        <w:rPr>
          <w:rFonts w:ascii="Arial" w:hAnsi="Arial"/>
          <w:rtl/>
        </w:rPr>
      </w:pPr>
      <w:r w:rsidRPr="00175ED0">
        <w:rPr>
          <w:rFonts w:ascii="Arial" w:hAnsi="Arial" w:hint="cs"/>
          <w:rtl/>
        </w:rPr>
        <w:t xml:space="preserve">הנאשם הורשע </w:t>
      </w:r>
      <w:r>
        <w:rPr>
          <w:rFonts w:ascii="Arial" w:hAnsi="Arial" w:hint="cs"/>
          <w:rtl/>
        </w:rPr>
        <w:t>על פי הודאתו</w:t>
      </w:r>
      <w:r w:rsidRPr="00175ED0">
        <w:rPr>
          <w:rFonts w:ascii="Arial" w:hAnsi="Arial" w:hint="cs"/>
          <w:rtl/>
        </w:rPr>
        <w:t>,</w:t>
      </w:r>
      <w:r>
        <w:rPr>
          <w:rFonts w:ascii="Arial" w:hAnsi="Arial" w:hint="cs"/>
          <w:b/>
          <w:bCs/>
          <w:rtl/>
        </w:rPr>
        <w:t xml:space="preserve"> </w:t>
      </w:r>
      <w:r w:rsidRPr="00175ED0">
        <w:rPr>
          <w:rFonts w:hint="cs"/>
          <w:rtl/>
        </w:rPr>
        <w:t>לאחר שחזר בו מכפירתו</w:t>
      </w:r>
      <w:r>
        <w:rPr>
          <w:rFonts w:ascii="Arial" w:hAnsi="Arial" w:hint="cs"/>
          <w:b/>
          <w:bCs/>
          <w:rtl/>
        </w:rPr>
        <w:t>,</w:t>
      </w:r>
      <w:r w:rsidRPr="00175ED0">
        <w:rPr>
          <w:rFonts w:ascii="Arial" w:hAnsi="Arial" w:hint="cs"/>
          <w:b/>
          <w:bCs/>
          <w:rtl/>
        </w:rPr>
        <w:t xml:space="preserve"> </w:t>
      </w:r>
      <w:r w:rsidRPr="00175ED0">
        <w:rPr>
          <w:rFonts w:ascii="Arial" w:hAnsi="Arial" w:hint="cs"/>
          <w:rtl/>
        </w:rPr>
        <w:t xml:space="preserve">בעבירה המיוחסת </w:t>
      </w:r>
      <w:r>
        <w:rPr>
          <w:rFonts w:ascii="Arial" w:hAnsi="Arial" w:hint="cs"/>
          <w:rtl/>
        </w:rPr>
        <w:t xml:space="preserve">לו בכתב האישום המתוקן סיוע בהחזקת נשק - </w:t>
      </w:r>
      <w:r w:rsidRPr="00175ED0">
        <w:rPr>
          <w:rFonts w:ascii="Arial" w:hAnsi="Arial" w:hint="cs"/>
          <w:rtl/>
        </w:rPr>
        <w:t xml:space="preserve">לפי סעיף </w:t>
      </w:r>
      <w:hyperlink r:id="rId16" w:history="1">
        <w:r w:rsidR="00D5733A" w:rsidRPr="00D5733A">
          <w:rPr>
            <w:rStyle w:val="Hyperlink"/>
            <w:rFonts w:ascii="Arial" w:hAnsi="Arial"/>
            <w:rtl/>
          </w:rPr>
          <w:t>144(א)(</w:t>
        </w:r>
      </w:hyperlink>
      <w:r w:rsidRPr="00175ED0">
        <w:rPr>
          <w:rFonts w:ascii="Arial" w:hAnsi="Arial" w:hint="cs"/>
          <w:rtl/>
        </w:rPr>
        <w:t xml:space="preserve">רישא+סיפא)+ עבירה לפי </w:t>
      </w:r>
      <w:hyperlink r:id="rId17" w:history="1">
        <w:r w:rsidR="00D5733A" w:rsidRPr="00D5733A">
          <w:rPr>
            <w:rStyle w:val="Hyperlink"/>
            <w:rFonts w:ascii="Arial" w:hAnsi="Arial" w:hint="eastAsia"/>
            <w:rtl/>
          </w:rPr>
          <w:t>סעיף</w:t>
        </w:r>
        <w:r w:rsidR="00D5733A" w:rsidRPr="00D5733A">
          <w:rPr>
            <w:rStyle w:val="Hyperlink"/>
            <w:rFonts w:ascii="Arial" w:hAnsi="Arial"/>
            <w:rtl/>
          </w:rPr>
          <w:t xml:space="preserve"> 31</w:t>
        </w:r>
      </w:hyperlink>
      <w:r w:rsidRPr="00175ED0">
        <w:rPr>
          <w:rFonts w:ascii="Arial" w:hAnsi="Arial" w:hint="cs"/>
          <w:rtl/>
        </w:rPr>
        <w:t xml:space="preserve"> ל</w:t>
      </w:r>
      <w:hyperlink r:id="rId18" w:history="1">
        <w:r w:rsidR="0076715B" w:rsidRPr="0076715B">
          <w:rPr>
            <w:rFonts w:ascii="Arial" w:hAnsi="Arial"/>
            <w:color w:val="0000FF"/>
            <w:u w:val="single"/>
            <w:rtl/>
          </w:rPr>
          <w:t>חוק העונשין</w:t>
        </w:r>
      </w:hyperlink>
      <w:r w:rsidRPr="00175ED0">
        <w:rPr>
          <w:rFonts w:ascii="Arial" w:hAnsi="Arial" w:hint="cs"/>
          <w:rtl/>
        </w:rPr>
        <w:t xml:space="preserve">. </w:t>
      </w:r>
    </w:p>
    <w:p w14:paraId="7134723F" w14:textId="77777777" w:rsidR="006030B6" w:rsidRPr="00175ED0" w:rsidRDefault="006030B6" w:rsidP="006030B6">
      <w:pPr>
        <w:spacing w:line="360" w:lineRule="auto"/>
        <w:jc w:val="both"/>
        <w:rPr>
          <w:rFonts w:ascii="Arial" w:hAnsi="Arial"/>
          <w:b/>
          <w:bCs/>
          <w:rtl/>
        </w:rPr>
      </w:pPr>
      <w:bookmarkStart w:id="9" w:name="ABSTRACT_END"/>
      <w:bookmarkEnd w:id="9"/>
    </w:p>
    <w:p w14:paraId="040FC3F1" w14:textId="77777777" w:rsidR="006030B6" w:rsidRDefault="006030B6" w:rsidP="006030B6">
      <w:pPr>
        <w:spacing w:line="360" w:lineRule="auto"/>
        <w:jc w:val="both"/>
        <w:rPr>
          <w:rFonts w:ascii="Arial" w:hAnsi="Arial"/>
          <w:rtl/>
        </w:rPr>
      </w:pPr>
      <w:r>
        <w:rPr>
          <w:rFonts w:ascii="Arial" w:hAnsi="Arial" w:hint="cs"/>
          <w:rtl/>
        </w:rPr>
        <w:t>על פי</w:t>
      </w:r>
      <w:r w:rsidRPr="00175ED0">
        <w:rPr>
          <w:rFonts w:ascii="Arial" w:hAnsi="Arial" w:hint="cs"/>
          <w:rtl/>
        </w:rPr>
        <w:t xml:space="preserve"> עובדות כתב האישום המתוקן </w:t>
      </w:r>
      <w:r>
        <w:rPr>
          <w:rFonts w:ascii="Arial" w:hAnsi="Arial" w:hint="cs"/>
          <w:rtl/>
        </w:rPr>
        <w:t xml:space="preserve">הנאשם ועבידו עמאש (להלן:"עבידו") הינם מכרים וגרים בשכונת כוש ביישוב ג'סר א-זרקא. </w:t>
      </w:r>
    </w:p>
    <w:p w14:paraId="6BDC9B23" w14:textId="77777777" w:rsidR="006030B6" w:rsidRDefault="006030B6" w:rsidP="006030B6">
      <w:pPr>
        <w:spacing w:line="360" w:lineRule="auto"/>
        <w:jc w:val="both"/>
        <w:rPr>
          <w:rFonts w:ascii="Arial" w:hAnsi="Arial"/>
          <w:rtl/>
        </w:rPr>
      </w:pPr>
      <w:r>
        <w:rPr>
          <w:rFonts w:ascii="Arial" w:hAnsi="Arial" w:hint="cs"/>
          <w:rtl/>
        </w:rPr>
        <w:t xml:space="preserve">בתאריך 20/3/22, בסמוך לשעה 13:00, במתחם ביתו של עבידו, סייע הנאשם לאחר להחזיק תת מקלע מאולתר מסוג קרלו גוסטב (להלן: "תת מקלע") ומחסנית ריקה תואמת (להלן: "המחסנית"), וזאת בלא רשות על פי דין להחזקתם, בכך שנגע באצבעותיו בנשק. </w:t>
      </w:r>
    </w:p>
    <w:p w14:paraId="09387C76" w14:textId="77777777" w:rsidR="006030B6" w:rsidRDefault="006030B6" w:rsidP="006030B6">
      <w:pPr>
        <w:spacing w:line="360" w:lineRule="auto"/>
        <w:jc w:val="both"/>
        <w:rPr>
          <w:rFonts w:ascii="Arial" w:hAnsi="Arial"/>
          <w:rtl/>
        </w:rPr>
      </w:pPr>
      <w:r>
        <w:rPr>
          <w:rFonts w:ascii="Arial" w:hAnsi="Arial" w:hint="cs"/>
          <w:rtl/>
        </w:rPr>
        <w:lastRenderedPageBreak/>
        <w:t xml:space="preserve">תת המקלע הוא כלי נשק שמסוגל לירות כדור ושבכוחו להמית אדם, והמחסנית היא אביזר לכלי נשק כאמור. </w:t>
      </w:r>
    </w:p>
    <w:p w14:paraId="570B8053" w14:textId="77777777" w:rsidR="006030B6" w:rsidRDefault="006030B6" w:rsidP="006030B6">
      <w:pPr>
        <w:spacing w:line="360" w:lineRule="auto"/>
        <w:jc w:val="both"/>
        <w:rPr>
          <w:rFonts w:ascii="Arial" w:hAnsi="Arial"/>
          <w:rtl/>
        </w:rPr>
      </w:pPr>
      <w:r>
        <w:rPr>
          <w:rFonts w:ascii="Arial" w:hAnsi="Arial" w:hint="cs"/>
          <w:rtl/>
        </w:rPr>
        <w:t xml:space="preserve">במעשיו המתוארים לעיל, סייע הנאשם לאחר להחזיק נשק ומחסנית המהווה אביזר לנשק, וזאת בלא רשות על פי דין להחזקתם. </w:t>
      </w:r>
    </w:p>
    <w:p w14:paraId="6F46D89A" w14:textId="77777777" w:rsidR="006030B6" w:rsidRDefault="006030B6" w:rsidP="006030B6">
      <w:pPr>
        <w:spacing w:line="360" w:lineRule="auto"/>
        <w:jc w:val="both"/>
        <w:rPr>
          <w:rFonts w:ascii="Arial" w:hAnsi="Arial"/>
          <w:rtl/>
        </w:rPr>
      </w:pPr>
    </w:p>
    <w:p w14:paraId="0BF06DBB" w14:textId="77777777" w:rsidR="006030B6" w:rsidRDefault="006030B6" w:rsidP="006030B6">
      <w:pPr>
        <w:spacing w:line="360" w:lineRule="auto"/>
        <w:jc w:val="both"/>
        <w:rPr>
          <w:rFonts w:ascii="Arial" w:hAnsi="Arial"/>
          <w:rtl/>
        </w:rPr>
      </w:pPr>
      <w:r>
        <w:rPr>
          <w:rFonts w:ascii="Arial" w:hAnsi="Arial" w:hint="cs"/>
          <w:rtl/>
        </w:rPr>
        <w:t xml:space="preserve">בתאריך 27/11/22, לאחר תיקון כתב האישום והרשעת הנאשם בעבירה המיוחסת לו בכתב האישום המתוקן, ביקש ב"כ הנאשם לדחות את ישיבת הטיעונים לעונש ולהפנות את עניינו של מרשו לממונה על עבודות השירות לצורך בדיקת כשירותו והתאמתו לריצוי עונש המאסר בעבודות שירות. המאשימה אומנם התנגדה לבקשה זו שכן עמדתה העונשית הינה למאסר, אולם בית המשפט נעתר לבקשה וזאת תוך הדגשת העובדה שאין בחוות דעת הממונה על עבודות השירות כדי ללמד על העונש אשר ייגזר על הנאשם בסופו של דבר. </w:t>
      </w:r>
    </w:p>
    <w:p w14:paraId="21AE540F" w14:textId="77777777" w:rsidR="006030B6" w:rsidRDefault="006030B6" w:rsidP="006030B6">
      <w:pPr>
        <w:spacing w:line="360" w:lineRule="auto"/>
        <w:jc w:val="both"/>
        <w:rPr>
          <w:rFonts w:ascii="Arial" w:hAnsi="Arial"/>
          <w:rtl/>
        </w:rPr>
      </w:pPr>
    </w:p>
    <w:p w14:paraId="37DB94F9" w14:textId="77777777" w:rsidR="006030B6" w:rsidRDefault="006030B6" w:rsidP="006030B6">
      <w:pPr>
        <w:spacing w:line="360" w:lineRule="auto"/>
        <w:jc w:val="both"/>
        <w:rPr>
          <w:rFonts w:ascii="Arial" w:hAnsi="Arial"/>
          <w:rtl/>
        </w:rPr>
      </w:pPr>
      <w:r>
        <w:rPr>
          <w:rFonts w:ascii="Arial" w:hAnsi="Arial" w:hint="cs"/>
          <w:rtl/>
        </w:rPr>
        <w:t xml:space="preserve">בתאריך 3/1/23 הוגשה מטעם הממונה על עבודות השירות חוות דעת חיובית לפיה הנאשם נמצא מתאים וכשיר לריצוי עונש המאסר בעבודות שירות. </w:t>
      </w:r>
    </w:p>
    <w:p w14:paraId="7DEEDFE8" w14:textId="77777777" w:rsidR="006030B6" w:rsidRDefault="006030B6" w:rsidP="006030B6">
      <w:pPr>
        <w:spacing w:line="360" w:lineRule="auto"/>
        <w:jc w:val="both"/>
        <w:rPr>
          <w:rFonts w:ascii="Arial" w:hAnsi="Arial"/>
          <w:rtl/>
        </w:rPr>
      </w:pPr>
    </w:p>
    <w:p w14:paraId="5010C41C" w14:textId="77777777" w:rsidR="006030B6" w:rsidRDefault="006030B6" w:rsidP="006030B6">
      <w:pPr>
        <w:spacing w:line="360" w:lineRule="auto"/>
        <w:jc w:val="both"/>
        <w:rPr>
          <w:rFonts w:ascii="Arial" w:hAnsi="Arial"/>
          <w:rtl/>
        </w:rPr>
      </w:pPr>
      <w:r>
        <w:rPr>
          <w:rFonts w:ascii="Arial" w:hAnsi="Arial" w:hint="cs"/>
          <w:rtl/>
        </w:rPr>
        <w:t xml:space="preserve">בתאריך 11/1/23 נשמעו בפני טיעוני הצדדים לעניין העונש. המאשימה הגישה טיעונים בכתב (ת/1), ועתרה במסגרת טיעוניה לקביעת מתחם ענישה של מאסר בפועל בתקופה שבין 12-24 חודשים. בנוסף, עתרה המאשימה להטלת ענישה הצופה פני עתיד. </w:t>
      </w:r>
    </w:p>
    <w:p w14:paraId="2E4057B1" w14:textId="77777777" w:rsidR="006030B6" w:rsidRDefault="006030B6" w:rsidP="006030B6">
      <w:pPr>
        <w:spacing w:line="360" w:lineRule="auto"/>
        <w:jc w:val="both"/>
        <w:rPr>
          <w:rFonts w:ascii="Arial" w:hAnsi="Arial"/>
          <w:rtl/>
        </w:rPr>
      </w:pPr>
    </w:p>
    <w:p w14:paraId="7570DBE4" w14:textId="77777777" w:rsidR="006030B6" w:rsidRDefault="006030B6" w:rsidP="006030B6">
      <w:pPr>
        <w:spacing w:line="360" w:lineRule="auto"/>
        <w:jc w:val="both"/>
        <w:rPr>
          <w:rFonts w:ascii="Arial" w:hAnsi="Arial"/>
          <w:rtl/>
        </w:rPr>
      </w:pPr>
      <w:r>
        <w:rPr>
          <w:rFonts w:ascii="Arial" w:hAnsi="Arial" w:hint="cs"/>
          <w:rtl/>
        </w:rPr>
        <w:t xml:space="preserve">המאשימה הדגישה במסגרת טיעוניה שאין להקל ראש מעצם חומרת העבירה בה הורשע הנאשם גם לאחר תיקון כתב האישום, שכן עדיין עסקינן בעבירות הקשורות בנשק. הנאשם היה מודע לביצוע העבירה ולסיכון הגלום בה. הפסיקה שדנה בעניינם של נאשמים המואשמים בעבירות הקשורות בנשק התייחסה רבות לסיכון הטמון בעבירות אלו ולחשיבות הטלת עונשים מרתיעים, עונשים שיבטאו העדפה של האינטרס הציבורי על פני נסיבותיו האישיות של הנאשם הקונקרטי העומד לדין. </w:t>
      </w:r>
    </w:p>
    <w:p w14:paraId="05B0BBAF" w14:textId="77777777" w:rsidR="006030B6" w:rsidRDefault="006030B6" w:rsidP="006030B6">
      <w:pPr>
        <w:spacing w:line="360" w:lineRule="auto"/>
        <w:jc w:val="both"/>
        <w:rPr>
          <w:rFonts w:ascii="Arial" w:hAnsi="Arial"/>
          <w:rtl/>
        </w:rPr>
      </w:pPr>
    </w:p>
    <w:p w14:paraId="681CD3CE" w14:textId="77777777" w:rsidR="006030B6" w:rsidRDefault="006030B6" w:rsidP="006030B6">
      <w:pPr>
        <w:spacing w:line="360" w:lineRule="auto"/>
        <w:jc w:val="both"/>
        <w:rPr>
          <w:rFonts w:ascii="Arial" w:hAnsi="Arial"/>
          <w:rtl/>
        </w:rPr>
      </w:pPr>
      <w:r>
        <w:rPr>
          <w:rFonts w:ascii="Arial" w:hAnsi="Arial" w:hint="cs"/>
          <w:rtl/>
        </w:rPr>
        <w:t>המאשימה הפנתה לפסיקה התומכת בעמדתה העונשית והדגישה שגם עבירת סיוע להחזקת נשק מקרבת את הסיכון לאלימות קשה. גם בעבירה שכזו, טמון פוטנציאל ממשי למסוכנות רבה ואין לדעת מתי יתממש פוטנציאל זה. בנוסף, הדגישה המאשימה שלא מדובר באירוע ספונטני ומקרי, שכן הנאשם סייע במודע להחזקת הנשק.</w:t>
      </w:r>
    </w:p>
    <w:p w14:paraId="34F67E9F" w14:textId="77777777" w:rsidR="006030B6" w:rsidRDefault="006030B6" w:rsidP="006030B6">
      <w:pPr>
        <w:spacing w:line="360" w:lineRule="auto"/>
        <w:jc w:val="both"/>
        <w:rPr>
          <w:rFonts w:ascii="Arial" w:hAnsi="Arial"/>
          <w:rtl/>
        </w:rPr>
      </w:pPr>
    </w:p>
    <w:p w14:paraId="6F646C1B" w14:textId="77777777" w:rsidR="006030B6" w:rsidRDefault="006030B6" w:rsidP="006030B6">
      <w:pPr>
        <w:spacing w:line="360" w:lineRule="auto"/>
        <w:jc w:val="both"/>
        <w:rPr>
          <w:rFonts w:ascii="Arial" w:hAnsi="Arial"/>
          <w:rtl/>
        </w:rPr>
      </w:pPr>
      <w:r>
        <w:rPr>
          <w:rFonts w:ascii="Arial" w:hAnsi="Arial" w:hint="cs"/>
          <w:rtl/>
        </w:rPr>
        <w:t>הערכים המוגנים שנפגעו ממעשה הנאשם הם הבטחת שלום הציבור והגנה על חיי אדם ובית המשפט התבקש לתת ידו על מנת להוקיע מהשורש תופעות של הימצאות נשק בקרב האוכלוסיי</w:t>
      </w:r>
      <w:r>
        <w:rPr>
          <w:rFonts w:ascii="Arial" w:hAnsi="Arial" w:hint="eastAsia"/>
          <w:rtl/>
        </w:rPr>
        <w:t>ה</w:t>
      </w:r>
      <w:r>
        <w:rPr>
          <w:rFonts w:ascii="Arial" w:hAnsi="Arial" w:hint="cs"/>
          <w:rtl/>
        </w:rPr>
        <w:t xml:space="preserve">, שעלול לזלוג לידיים עברייניות. </w:t>
      </w:r>
    </w:p>
    <w:p w14:paraId="7A94398C" w14:textId="77777777" w:rsidR="006030B6" w:rsidRDefault="006030B6" w:rsidP="006030B6">
      <w:pPr>
        <w:spacing w:line="360" w:lineRule="auto"/>
        <w:jc w:val="both"/>
        <w:rPr>
          <w:rFonts w:ascii="Arial" w:hAnsi="Arial"/>
          <w:rtl/>
        </w:rPr>
      </w:pPr>
    </w:p>
    <w:p w14:paraId="2370A5E0" w14:textId="77777777" w:rsidR="006030B6" w:rsidRDefault="006030B6" w:rsidP="006030B6">
      <w:pPr>
        <w:spacing w:line="360" w:lineRule="auto"/>
        <w:jc w:val="both"/>
        <w:rPr>
          <w:rFonts w:ascii="Arial" w:hAnsi="Arial"/>
          <w:rtl/>
        </w:rPr>
      </w:pPr>
      <w:r>
        <w:rPr>
          <w:rFonts w:ascii="Arial" w:hAnsi="Arial" w:hint="cs"/>
          <w:rtl/>
        </w:rPr>
        <w:lastRenderedPageBreak/>
        <w:t xml:space="preserve">לעמדת המאשימה הנזק הצפוי להיגרם מעבירה זו רב, גם אם בפועל לא נגרם נזק כלשהו. בנוסף, נטען שהנאשם יכול היה להבין את אשר הוא עושה ואת הפסול במעשיו ויכול היה להימנע מביצוע העבירה, על כן, סבורה המאשימה שבנסיבות אלה יש לקבוע מתחם ענישה מחמיר, כפי שנטען על ידה במסגרת טיעוניה. </w:t>
      </w:r>
    </w:p>
    <w:p w14:paraId="33983926" w14:textId="77777777" w:rsidR="006030B6" w:rsidRDefault="006030B6" w:rsidP="006030B6">
      <w:pPr>
        <w:spacing w:line="360" w:lineRule="auto"/>
        <w:jc w:val="both"/>
        <w:rPr>
          <w:rFonts w:ascii="Arial" w:hAnsi="Arial"/>
          <w:rtl/>
        </w:rPr>
      </w:pPr>
    </w:p>
    <w:p w14:paraId="71D5382D" w14:textId="77777777" w:rsidR="006030B6" w:rsidRDefault="006030B6" w:rsidP="006030B6">
      <w:pPr>
        <w:spacing w:line="360" w:lineRule="auto"/>
        <w:jc w:val="both"/>
        <w:rPr>
          <w:rFonts w:ascii="Arial" w:hAnsi="Arial"/>
          <w:rtl/>
        </w:rPr>
      </w:pPr>
      <w:r>
        <w:rPr>
          <w:rFonts w:ascii="Arial" w:hAnsi="Arial" w:hint="cs"/>
          <w:rtl/>
        </w:rPr>
        <w:t xml:space="preserve">באשר לנסיבות שאינן קשורות בביצוע העבירה, הדגישה המאשימה שלחובת הנאשם הרשעה אחת בפלילים (ת/2), הנאשם לקח אחריות על מעשיו, הודה בעבירה המיוחסת לו בכתב האישום המתוקן וחסך זמן שיפוטי יקר. במכלול הנתונים האמורים לעיל, תוך הדגשת העובדה שעונש קל יעביר מסר שגוי לציבור ולנאשם עצמו ולא יהיה בו משום הרתעה של הרבים והיחיד מפני ביצוע עבירות דומות, עתרה המאשימה להטלת עונש מאסר בפועל מעל הרף התחתון של מתחם הענישה המוצע, לצד מאסר מותנה מרתיע וקנס כספי. </w:t>
      </w:r>
    </w:p>
    <w:p w14:paraId="1BD8FA3B" w14:textId="77777777" w:rsidR="006030B6" w:rsidRDefault="006030B6" w:rsidP="006030B6">
      <w:pPr>
        <w:spacing w:line="360" w:lineRule="auto"/>
        <w:jc w:val="both"/>
        <w:rPr>
          <w:rFonts w:ascii="Arial" w:hAnsi="Arial"/>
          <w:rtl/>
        </w:rPr>
      </w:pPr>
    </w:p>
    <w:p w14:paraId="6E0461DA" w14:textId="77777777" w:rsidR="006030B6" w:rsidRDefault="006030B6" w:rsidP="006030B6">
      <w:pPr>
        <w:spacing w:line="360" w:lineRule="auto"/>
        <w:jc w:val="both"/>
        <w:rPr>
          <w:rFonts w:ascii="Arial" w:hAnsi="Arial"/>
          <w:rtl/>
        </w:rPr>
      </w:pPr>
      <w:r>
        <w:rPr>
          <w:rFonts w:ascii="Arial" w:hAnsi="Arial" w:hint="cs"/>
          <w:rtl/>
        </w:rPr>
        <w:t xml:space="preserve">בא כוח הנאשם ציין במסגרת טיעוניו שחלקו של הנאשם הוא מזערי בלבד בכך שהנאשם בסך הכל נגע באצבעו בנשק שבאותה העת הוחזק על ידי האחר שכלל לא נעצר בגין תיק זה. לדבריו, בנסיבות אלה נוצרה הפליה בין הנאשם לבין אותו אחר שלא הועמד לדין שעה שהנאשם מסר את פרטיו המלאים. </w:t>
      </w:r>
    </w:p>
    <w:p w14:paraId="392ADFC8" w14:textId="77777777" w:rsidR="006030B6" w:rsidRDefault="006030B6" w:rsidP="006030B6">
      <w:pPr>
        <w:spacing w:line="360" w:lineRule="auto"/>
        <w:jc w:val="both"/>
        <w:rPr>
          <w:rFonts w:ascii="Arial" w:hAnsi="Arial"/>
          <w:rtl/>
        </w:rPr>
      </w:pPr>
    </w:p>
    <w:p w14:paraId="3CD7D199" w14:textId="77777777" w:rsidR="006030B6" w:rsidRDefault="006030B6" w:rsidP="006030B6">
      <w:pPr>
        <w:spacing w:line="360" w:lineRule="auto"/>
        <w:jc w:val="both"/>
        <w:rPr>
          <w:rFonts w:ascii="Arial" w:hAnsi="Arial"/>
          <w:rtl/>
        </w:rPr>
      </w:pPr>
      <w:r>
        <w:rPr>
          <w:rFonts w:ascii="Arial" w:hAnsi="Arial" w:hint="cs"/>
          <w:rtl/>
        </w:rPr>
        <w:t xml:space="preserve">נטען כי ברגע שהנאשם ראה את הנשק, ביקש לעזוב את ביתו של האחר, ובעת מנוסתו מהמקום נתפס על ידי השוטרים. </w:t>
      </w:r>
    </w:p>
    <w:p w14:paraId="3E90C189" w14:textId="77777777" w:rsidR="006030B6" w:rsidRDefault="006030B6" w:rsidP="006030B6">
      <w:pPr>
        <w:spacing w:line="360" w:lineRule="auto"/>
        <w:jc w:val="both"/>
        <w:rPr>
          <w:rFonts w:ascii="Arial" w:hAnsi="Arial"/>
          <w:rtl/>
        </w:rPr>
      </w:pPr>
    </w:p>
    <w:p w14:paraId="525D6E46" w14:textId="77777777" w:rsidR="006030B6" w:rsidRDefault="006030B6" w:rsidP="006030B6">
      <w:pPr>
        <w:spacing w:line="360" w:lineRule="auto"/>
        <w:jc w:val="both"/>
        <w:rPr>
          <w:rFonts w:ascii="Arial" w:hAnsi="Arial"/>
          <w:rtl/>
        </w:rPr>
      </w:pPr>
      <w:r>
        <w:rPr>
          <w:rFonts w:ascii="Arial" w:hAnsi="Arial" w:hint="cs"/>
          <w:rtl/>
        </w:rPr>
        <w:t xml:space="preserve">בנסיבות אלה, סבור בא כוח הנאשם שהסיוע להחזקה בנשק הוא רגעי, ולא בכדי בסופו של דבר יוחסה לו עבירה שהעונש המקסימאלי שלה הוא מחצית מהעונש הקבוע בחוק. </w:t>
      </w:r>
    </w:p>
    <w:p w14:paraId="655C5489" w14:textId="77777777" w:rsidR="006030B6" w:rsidRDefault="006030B6" w:rsidP="006030B6">
      <w:pPr>
        <w:spacing w:line="360" w:lineRule="auto"/>
        <w:jc w:val="both"/>
        <w:rPr>
          <w:rFonts w:ascii="Arial" w:hAnsi="Arial"/>
          <w:rtl/>
        </w:rPr>
      </w:pPr>
    </w:p>
    <w:p w14:paraId="2223F532" w14:textId="77777777" w:rsidR="006030B6" w:rsidRDefault="006030B6" w:rsidP="006030B6">
      <w:pPr>
        <w:spacing w:line="360" w:lineRule="auto"/>
        <w:jc w:val="both"/>
        <w:rPr>
          <w:rFonts w:ascii="Arial" w:hAnsi="Arial"/>
          <w:rtl/>
        </w:rPr>
      </w:pPr>
      <w:r>
        <w:rPr>
          <w:rFonts w:ascii="Arial" w:hAnsi="Arial" w:hint="cs"/>
          <w:rtl/>
        </w:rPr>
        <w:t xml:space="preserve">הנאשם שהה במעצר מתאריך 20/3/22 ועד תאריך 21/6/22, כאשר ממועד זה נעצר עד תום ההליכים בפיקוח אזוק אלקטרוני לפרק זמן נוסף של 7 חודשים. </w:t>
      </w:r>
    </w:p>
    <w:p w14:paraId="58824871" w14:textId="77777777" w:rsidR="006030B6" w:rsidRDefault="006030B6" w:rsidP="006030B6">
      <w:pPr>
        <w:spacing w:line="360" w:lineRule="auto"/>
        <w:jc w:val="both"/>
        <w:rPr>
          <w:rFonts w:ascii="Arial" w:hAnsi="Arial"/>
          <w:rtl/>
        </w:rPr>
      </w:pPr>
    </w:p>
    <w:p w14:paraId="1922099E" w14:textId="77777777" w:rsidR="006030B6" w:rsidRDefault="006030B6" w:rsidP="006030B6">
      <w:pPr>
        <w:spacing w:line="360" w:lineRule="auto"/>
        <w:jc w:val="both"/>
        <w:rPr>
          <w:rFonts w:ascii="Arial" w:hAnsi="Arial"/>
          <w:rtl/>
        </w:rPr>
      </w:pPr>
      <w:r>
        <w:rPr>
          <w:rFonts w:ascii="Arial" w:hAnsi="Arial" w:hint="cs"/>
          <w:rtl/>
        </w:rPr>
        <w:t xml:space="preserve">לאור נסיבות ביצוע העבירה מתחם העונש ההולם נע בין מאסר על תנאי לבין מספר חודשי מאסר שירוצו בעבודות שירות ובתוך המתחם, ביקש בא כוח הנאשם למקם את עונשו של מרשו ברף התחתון. </w:t>
      </w:r>
    </w:p>
    <w:p w14:paraId="49D7C1D2" w14:textId="77777777" w:rsidR="006030B6" w:rsidRDefault="006030B6" w:rsidP="006030B6">
      <w:pPr>
        <w:spacing w:line="360" w:lineRule="auto"/>
        <w:jc w:val="both"/>
        <w:rPr>
          <w:rFonts w:ascii="Arial" w:hAnsi="Arial"/>
          <w:rtl/>
        </w:rPr>
      </w:pPr>
    </w:p>
    <w:p w14:paraId="753383CE" w14:textId="77777777" w:rsidR="006030B6" w:rsidRDefault="006030B6" w:rsidP="006030B6">
      <w:pPr>
        <w:spacing w:line="360" w:lineRule="auto"/>
        <w:jc w:val="both"/>
        <w:rPr>
          <w:rFonts w:ascii="Arial" w:hAnsi="Arial"/>
          <w:rtl/>
        </w:rPr>
      </w:pPr>
      <w:r>
        <w:rPr>
          <w:rFonts w:ascii="Arial" w:hAnsi="Arial" w:hint="cs"/>
          <w:rtl/>
        </w:rPr>
        <w:t xml:space="preserve">לחילופין נטען כי במידה ובית המשפט ימצא לנכון להטיל על הנאשם עונש מאסר שירוצה בעבודות שירות יש לנכות את תקופת מעצרו וכן לקחת בחשבון את תקופת המעצר בפיקוח האזוק האלקטרוני. </w:t>
      </w:r>
    </w:p>
    <w:p w14:paraId="545472F7" w14:textId="77777777" w:rsidR="006030B6" w:rsidRDefault="006030B6" w:rsidP="006030B6">
      <w:pPr>
        <w:spacing w:line="360" w:lineRule="auto"/>
        <w:jc w:val="both"/>
        <w:rPr>
          <w:rFonts w:ascii="Arial" w:hAnsi="Arial"/>
          <w:rtl/>
        </w:rPr>
      </w:pPr>
    </w:p>
    <w:p w14:paraId="46CB54C2" w14:textId="77777777" w:rsidR="006030B6" w:rsidRDefault="006030B6" w:rsidP="006030B6">
      <w:pPr>
        <w:spacing w:line="360" w:lineRule="auto"/>
        <w:jc w:val="both"/>
        <w:rPr>
          <w:rFonts w:ascii="Arial" w:hAnsi="Arial"/>
          <w:rtl/>
        </w:rPr>
      </w:pPr>
      <w:r>
        <w:rPr>
          <w:rFonts w:ascii="Arial" w:hAnsi="Arial" w:hint="cs"/>
          <w:rtl/>
        </w:rPr>
        <w:t xml:space="preserve">לעניין הרשעתו הקודמת של הנאשם נטען כי מדובר בהרשעה משנת 2021 בגין אירוע משנת 2019. כך שלחובת הנאשם הרשעה אחת בלבד, שאינה דומה להרשעה מושא הליך זה שבפנינו, ואין ללמוד ממנה כי אכן נשקפת מהנאשם מסוכנות ממשית. </w:t>
      </w:r>
    </w:p>
    <w:p w14:paraId="017F66F4" w14:textId="77777777" w:rsidR="006030B6" w:rsidRDefault="006030B6" w:rsidP="006030B6">
      <w:pPr>
        <w:spacing w:line="360" w:lineRule="auto"/>
        <w:jc w:val="both"/>
        <w:rPr>
          <w:rFonts w:ascii="Arial" w:hAnsi="Arial"/>
          <w:rtl/>
        </w:rPr>
      </w:pPr>
    </w:p>
    <w:p w14:paraId="0F9D5544" w14:textId="77777777" w:rsidR="006030B6" w:rsidRPr="002C29DF" w:rsidRDefault="006030B6" w:rsidP="006030B6">
      <w:pPr>
        <w:spacing w:line="360" w:lineRule="auto"/>
        <w:jc w:val="both"/>
        <w:rPr>
          <w:rFonts w:ascii="Arial" w:hAnsi="Arial"/>
          <w:b/>
          <w:bCs/>
          <w:u w:val="single"/>
          <w:rtl/>
        </w:rPr>
      </w:pPr>
      <w:r w:rsidRPr="002C29DF">
        <w:rPr>
          <w:rFonts w:ascii="Arial" w:hAnsi="Arial" w:hint="cs"/>
          <w:b/>
          <w:bCs/>
          <w:u w:val="single"/>
          <w:rtl/>
        </w:rPr>
        <w:t>דיון והכרעה</w:t>
      </w:r>
      <w:r>
        <w:rPr>
          <w:rFonts w:ascii="Arial" w:hAnsi="Arial" w:hint="cs"/>
          <w:b/>
          <w:bCs/>
          <w:u w:val="single"/>
          <w:rtl/>
        </w:rPr>
        <w:t xml:space="preserve"> </w:t>
      </w:r>
    </w:p>
    <w:p w14:paraId="21DCD524" w14:textId="77777777" w:rsidR="006030B6" w:rsidRPr="00665F01" w:rsidRDefault="006030B6" w:rsidP="006030B6">
      <w:pPr>
        <w:spacing w:line="360" w:lineRule="auto"/>
        <w:jc w:val="both"/>
        <w:rPr>
          <w:rFonts w:ascii="Arial" w:hAnsi="Arial"/>
          <w:rtl/>
        </w:rPr>
      </w:pPr>
      <w:r w:rsidRPr="00665F01">
        <w:rPr>
          <w:rFonts w:ascii="Arial" w:hAnsi="Arial"/>
          <w:rtl/>
        </w:rPr>
        <w:t>תיקון 113 ל</w:t>
      </w:r>
      <w:hyperlink r:id="rId19" w:history="1">
        <w:r w:rsidR="0076715B" w:rsidRPr="0076715B">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0" w:history="1">
        <w:r w:rsidR="00D5733A" w:rsidRPr="00D5733A">
          <w:rPr>
            <w:rStyle w:val="Hyperlink"/>
            <w:rFonts w:ascii="Arial" w:hAnsi="Arial"/>
            <w:rtl/>
          </w:rPr>
          <w:t>בסעיף 40ט'</w:t>
        </w:r>
      </w:hyperlink>
      <w:r w:rsidRPr="00665F01">
        <w:rPr>
          <w:rFonts w:ascii="Arial" w:hAnsi="Arial"/>
          <w:rtl/>
        </w:rPr>
        <w:t xml:space="preserve"> ל</w:t>
      </w:r>
      <w:hyperlink r:id="rId21" w:history="1">
        <w:r w:rsidR="0076715B" w:rsidRPr="0076715B">
          <w:rPr>
            <w:rFonts w:ascii="Arial" w:hAnsi="Arial"/>
            <w:color w:val="0000FF"/>
            <w:u w:val="single"/>
            <w:rtl/>
          </w:rPr>
          <w:t>חוק העונשין</w:t>
        </w:r>
      </w:hyperlink>
      <w:r w:rsidRPr="00665F01">
        <w:rPr>
          <w:rFonts w:ascii="Arial" w:hAnsi="Arial"/>
          <w:rtl/>
        </w:rPr>
        <w:t xml:space="preserve">. </w:t>
      </w:r>
    </w:p>
    <w:p w14:paraId="2FE99757" w14:textId="77777777" w:rsidR="006030B6" w:rsidRPr="00665F01" w:rsidRDefault="006030B6" w:rsidP="006030B6">
      <w:pPr>
        <w:spacing w:line="360" w:lineRule="auto"/>
        <w:jc w:val="both"/>
        <w:rPr>
          <w:rFonts w:ascii="Arial" w:hAnsi="Arial"/>
          <w:rtl/>
        </w:rPr>
      </w:pPr>
    </w:p>
    <w:p w14:paraId="2F5FAADA" w14:textId="77777777" w:rsidR="006030B6" w:rsidRPr="00665F01" w:rsidRDefault="006030B6" w:rsidP="006030B6">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2" w:history="1">
        <w:r w:rsidR="00D5733A" w:rsidRPr="00D5733A">
          <w:rPr>
            <w:rStyle w:val="Hyperlink"/>
            <w:rFonts w:ascii="Arial" w:hAnsi="Arial"/>
            <w:rtl/>
          </w:rPr>
          <w:t>בסעיף 40יא'</w:t>
        </w:r>
      </w:hyperlink>
      <w:r w:rsidRPr="00665F01">
        <w:rPr>
          <w:rFonts w:ascii="Arial" w:hAnsi="Arial"/>
          <w:rtl/>
        </w:rPr>
        <w:t xml:space="preserve"> לחוק. </w:t>
      </w:r>
    </w:p>
    <w:p w14:paraId="042A3EE9" w14:textId="77777777" w:rsidR="006030B6" w:rsidRPr="00665F01" w:rsidRDefault="006030B6" w:rsidP="006030B6">
      <w:pPr>
        <w:spacing w:line="360" w:lineRule="auto"/>
        <w:jc w:val="both"/>
        <w:rPr>
          <w:rFonts w:ascii="Arial" w:hAnsi="Arial"/>
          <w:rtl/>
        </w:rPr>
      </w:pPr>
    </w:p>
    <w:p w14:paraId="63BC13F9" w14:textId="77777777" w:rsidR="006030B6" w:rsidRDefault="006030B6" w:rsidP="006030B6">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3" w:history="1">
        <w:r w:rsidR="00D5733A" w:rsidRPr="00D5733A">
          <w:rPr>
            <w:rStyle w:val="Hyperlink"/>
            <w:rFonts w:ascii="Arial" w:hAnsi="Arial"/>
            <w:rtl/>
          </w:rPr>
          <w:t>סעיפים 40ד'</w:t>
        </w:r>
      </w:hyperlink>
      <w:r w:rsidRPr="00665F01">
        <w:rPr>
          <w:rFonts w:ascii="Arial" w:hAnsi="Arial"/>
          <w:rtl/>
        </w:rPr>
        <w:t xml:space="preserve"> ו</w:t>
      </w:r>
      <w:hyperlink r:id="rId24" w:history="1">
        <w:r w:rsidR="00D5733A" w:rsidRPr="00D5733A">
          <w:rPr>
            <w:rStyle w:val="Hyperlink"/>
            <w:rFonts w:ascii="Arial" w:hAnsi="Arial"/>
            <w:rtl/>
          </w:rPr>
          <w:t>40 ה'</w:t>
        </w:r>
      </w:hyperlink>
      <w:r w:rsidRPr="00665F01">
        <w:rPr>
          <w:rFonts w:ascii="Arial" w:hAnsi="Arial"/>
          <w:rtl/>
        </w:rPr>
        <w:t xml:space="preserve"> לחוק. </w:t>
      </w:r>
    </w:p>
    <w:p w14:paraId="415716CE" w14:textId="77777777" w:rsidR="006030B6" w:rsidRDefault="006030B6" w:rsidP="006030B6">
      <w:pPr>
        <w:spacing w:line="360" w:lineRule="auto"/>
        <w:jc w:val="both"/>
        <w:rPr>
          <w:rFonts w:ascii="Arial" w:hAnsi="Arial"/>
          <w:rtl/>
        </w:rPr>
      </w:pPr>
    </w:p>
    <w:p w14:paraId="4512A8D0" w14:textId="77777777" w:rsidR="006030B6" w:rsidRDefault="006030B6" w:rsidP="006030B6">
      <w:pPr>
        <w:spacing w:line="360" w:lineRule="auto"/>
        <w:jc w:val="both"/>
        <w:rPr>
          <w:rFonts w:ascii="Arial" w:hAnsi="Arial"/>
          <w:rtl/>
        </w:rPr>
      </w:pPr>
      <w:r>
        <w:rPr>
          <w:rFonts w:ascii="Arial" w:hAnsi="Arial" w:hint="cs"/>
          <w:b/>
          <w:bCs/>
          <w:u w:val="single"/>
          <w:rtl/>
        </w:rPr>
        <w:t>קביעת מתחם העונש ההולם לעבירה בה הורשע הנאשם:</w:t>
      </w:r>
    </w:p>
    <w:p w14:paraId="77E31471" w14:textId="77777777" w:rsidR="006030B6" w:rsidRDefault="006030B6" w:rsidP="006030B6">
      <w:pPr>
        <w:spacing w:line="360" w:lineRule="auto"/>
        <w:jc w:val="both"/>
        <w:rPr>
          <w:rFonts w:ascii="David" w:hAnsi="David"/>
        </w:rPr>
      </w:pPr>
      <w:r>
        <w:rPr>
          <w:rFonts w:ascii="David" w:hAnsi="David"/>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 הואיל ונשק המוחזק שלא כדין עלול להביא לפגיעה בשלטון החוק ובנושאי שלטון החוק המבצעים את תפקידם</w:t>
      </w:r>
      <w:r>
        <w:rPr>
          <w:rFonts w:ascii="David" w:hAnsi="David" w:hint="cs"/>
          <w:rtl/>
        </w:rPr>
        <w:t xml:space="preserve">. דברים אלה יפים גם ביחס לעבירה בה הורשע הנאשם בהליך זה שלפני, דהיינו, סיוע להחזקת נשק. </w:t>
      </w:r>
    </w:p>
    <w:p w14:paraId="5D942DEF" w14:textId="77777777" w:rsidR="006030B6" w:rsidRPr="006B57DE" w:rsidRDefault="006030B6" w:rsidP="006030B6">
      <w:pPr>
        <w:spacing w:line="360" w:lineRule="auto"/>
        <w:jc w:val="both"/>
        <w:rPr>
          <w:rFonts w:ascii="Arial" w:hAnsi="Arial" w:cs="Arial"/>
        </w:rPr>
      </w:pPr>
    </w:p>
    <w:p w14:paraId="18B2FF78" w14:textId="77777777" w:rsidR="006030B6" w:rsidRDefault="006030B6" w:rsidP="006030B6">
      <w:pPr>
        <w:spacing w:line="360" w:lineRule="auto"/>
        <w:jc w:val="both"/>
        <w:rPr>
          <w:rFonts w:ascii="David" w:hAnsi="David"/>
        </w:rPr>
      </w:pPr>
      <w:r>
        <w:rPr>
          <w:rFonts w:ascii="David" w:hAnsi="David"/>
          <w:rtl/>
        </w:rPr>
        <w:t xml:space="preserve">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בין אם משום שהנשק מגיע לידיים עברייניות, </w:t>
      </w:r>
      <w:r>
        <w:rPr>
          <w:rFonts w:ascii="David" w:hAnsi="David" w:hint="cs"/>
          <w:rtl/>
        </w:rPr>
        <w:t>בין אם</w:t>
      </w:r>
      <w:r>
        <w:rPr>
          <w:rFonts w:ascii="David" w:hAnsi="David"/>
          <w:rtl/>
        </w:rPr>
        <w:t xml:space="preserve"> הנשק מגיע לידי מי שמנסים לפגוע בביטחונם ובשלומם של תושבי המדינה ובין אם מחמת שנגרמות תאונות כתוצאה מהשימוש בנשק. ביהמ"ש העליון חזר והזכיר רק לאחרונה:</w:t>
      </w:r>
    </w:p>
    <w:p w14:paraId="25FF69AC" w14:textId="77777777" w:rsidR="006030B6" w:rsidRDefault="006030B6" w:rsidP="006030B6">
      <w:pPr>
        <w:spacing w:line="360" w:lineRule="auto"/>
        <w:ind w:left="567" w:right="567"/>
        <w:contextualSpacing/>
        <w:jc w:val="both"/>
        <w:rPr>
          <w:rFonts w:ascii="David" w:hAnsi="David"/>
          <w:b/>
          <w:bCs/>
        </w:rPr>
      </w:pPr>
      <w:r>
        <w:rPr>
          <w:rFonts w:ascii="David" w:hAnsi="David"/>
          <w:rtl/>
        </w:rPr>
        <w:t>"</w:t>
      </w:r>
      <w:r>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5285C579" w14:textId="77777777" w:rsidR="006030B6" w:rsidRDefault="006030B6" w:rsidP="006030B6">
      <w:pPr>
        <w:spacing w:line="360" w:lineRule="auto"/>
        <w:ind w:left="567" w:right="567"/>
        <w:contextualSpacing/>
        <w:jc w:val="both"/>
        <w:rPr>
          <w:rFonts w:ascii="David" w:hAnsi="David"/>
          <w:b/>
          <w:bCs/>
          <w:rtl/>
        </w:rPr>
      </w:pPr>
      <w:r>
        <w:rPr>
          <w:rFonts w:ascii="David" w:hAnsi="David"/>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5" w:history="1">
        <w:r w:rsidR="0076715B" w:rsidRPr="0076715B">
          <w:rPr>
            <w:rFonts w:ascii="David" w:hAnsi="David"/>
            <w:b/>
            <w:bCs/>
            <w:color w:val="0000FF"/>
            <w:u w:val="single"/>
            <w:rtl/>
          </w:rPr>
          <w:t>חוק העונשין</w:t>
        </w:r>
      </w:hyperlink>
      <w:r>
        <w:rPr>
          <w:rFonts w:ascii="David" w:hAnsi="David"/>
          <w:b/>
          <w:bCs/>
          <w:rtl/>
        </w:rPr>
        <w:t>, וראו חוק העונשין (תיקון מס' 140 - הוראת שעה), התשפ"ב-2021, ס"ח 472;"</w:t>
      </w:r>
      <w:r>
        <w:rPr>
          <w:rFonts w:ascii="David" w:hAnsi="David"/>
          <w:rtl/>
        </w:rPr>
        <w:t xml:space="preserve"> (</w:t>
      </w:r>
      <w:hyperlink r:id="rId26" w:history="1">
        <w:r w:rsidR="0076715B" w:rsidRPr="0076715B">
          <w:rPr>
            <w:rFonts w:ascii="David" w:hAnsi="David"/>
            <w:color w:val="0000FF"/>
            <w:u w:val="single"/>
            <w:rtl/>
          </w:rPr>
          <w:t>ע"פ 2482/22</w:t>
        </w:r>
      </w:hyperlink>
      <w:r>
        <w:rPr>
          <w:rFonts w:ascii="David" w:hAnsi="David"/>
          <w:rtl/>
        </w:rPr>
        <w:t xml:space="preserve"> </w:t>
      </w:r>
      <w:r>
        <w:rPr>
          <w:rFonts w:ascii="David" w:hAnsi="David"/>
          <w:b/>
          <w:bCs/>
          <w:rtl/>
        </w:rPr>
        <w:t>מדינת ישראל נ' אחמד קדורה</w:t>
      </w:r>
      <w:r>
        <w:rPr>
          <w:rFonts w:ascii="David" w:hAnsi="David"/>
          <w:rtl/>
        </w:rPr>
        <w:t xml:space="preserve"> (14.04.22)).</w:t>
      </w:r>
    </w:p>
    <w:p w14:paraId="70F59290" w14:textId="77777777" w:rsidR="006030B6" w:rsidRDefault="006030B6" w:rsidP="006030B6">
      <w:pPr>
        <w:spacing w:line="360" w:lineRule="auto"/>
        <w:ind w:left="567" w:right="567"/>
        <w:jc w:val="both"/>
        <w:rPr>
          <w:rFonts w:ascii="David" w:hAnsi="David"/>
        </w:rPr>
      </w:pPr>
    </w:p>
    <w:p w14:paraId="180495D3" w14:textId="77777777" w:rsidR="006030B6" w:rsidRDefault="006030B6" w:rsidP="006030B6">
      <w:pPr>
        <w:spacing w:line="360" w:lineRule="auto"/>
        <w:jc w:val="both"/>
        <w:rPr>
          <w:rFonts w:ascii="David" w:hAnsi="David"/>
          <w:rtl/>
        </w:rPr>
      </w:pPr>
      <w:r>
        <w:rPr>
          <w:rFonts w:ascii="David" w:hAnsi="David"/>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7" w:history="1">
        <w:r w:rsidR="0076715B" w:rsidRPr="0076715B">
          <w:rPr>
            <w:rFonts w:ascii="David" w:hAnsi="David"/>
            <w:color w:val="0000FF"/>
            <w:u w:val="single"/>
            <w:rtl/>
          </w:rPr>
          <w:t>חוק העונשין</w:t>
        </w:r>
      </w:hyperlink>
      <w:r>
        <w:rPr>
          <w:rFonts w:ascii="David" w:hAnsi="David"/>
          <w:rtl/>
        </w:rPr>
        <w:t xml:space="preserve"> קבע עונש מינימום ביחס לעבירה בה הורשע הנאשם בהליך זה שלפני. כפי שנכתב ב</w:t>
      </w:r>
      <w:hyperlink r:id="rId28" w:history="1">
        <w:r w:rsidR="0076715B" w:rsidRPr="0076715B">
          <w:rPr>
            <w:rFonts w:ascii="David" w:hAnsi="David"/>
            <w:color w:val="0000FF"/>
            <w:u w:val="single"/>
            <w:rtl/>
          </w:rPr>
          <w:t>ע"פ 147/21</w:t>
        </w:r>
      </w:hyperlink>
      <w:r>
        <w:rPr>
          <w:rFonts w:ascii="David" w:hAnsi="David"/>
          <w:rtl/>
        </w:rPr>
        <w:t xml:space="preserve"> </w:t>
      </w:r>
      <w:r>
        <w:rPr>
          <w:rFonts w:ascii="David" w:hAnsi="David"/>
          <w:b/>
          <w:bCs/>
          <w:rtl/>
        </w:rPr>
        <w:t>מדינת ישראל נ' ירין ביטון</w:t>
      </w:r>
      <w:r>
        <w:rPr>
          <w:rFonts w:ascii="David" w:hAnsi="David"/>
          <w:rtl/>
        </w:rPr>
        <w:t xml:space="preserve"> (14.02.21): </w:t>
      </w:r>
    </w:p>
    <w:p w14:paraId="02F48EB5" w14:textId="77777777" w:rsidR="006030B6" w:rsidRDefault="006030B6" w:rsidP="006030B6">
      <w:pPr>
        <w:spacing w:line="360" w:lineRule="auto"/>
        <w:ind w:left="567" w:right="567"/>
        <w:jc w:val="both"/>
        <w:rPr>
          <w:rFonts w:ascii="David" w:hAnsi="David"/>
          <w:rtl/>
        </w:rPr>
      </w:pPr>
      <w:r>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9" w:history="1">
        <w:r w:rsidR="0076715B" w:rsidRPr="0076715B">
          <w:rPr>
            <w:rFonts w:ascii="David" w:hAnsi="David"/>
            <w:b/>
            <w:bCs/>
            <w:color w:val="0000FF"/>
            <w:u w:val="single"/>
            <w:rtl/>
          </w:rPr>
          <w:t>יסודות בדיני עונשין</w:t>
        </w:r>
      </w:hyperlink>
      <w:r>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0" w:history="1">
        <w:r w:rsidR="0076715B" w:rsidRPr="0076715B">
          <w:rPr>
            <w:rFonts w:ascii="David" w:hAnsi="David"/>
            <w:b/>
            <w:bCs/>
            <w:color w:val="0000FF"/>
            <w:u w:val="single"/>
            <w:rtl/>
          </w:rPr>
          <w:t>חוק העונשין</w:t>
        </w:r>
      </w:hyperlink>
      <w:r>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1" w:history="1">
        <w:r w:rsidR="0076715B" w:rsidRPr="0076715B">
          <w:rPr>
            <w:rFonts w:ascii="David" w:hAnsi="David"/>
            <w:b/>
            <w:bCs/>
            <w:color w:val="0000FF"/>
            <w:u w:val="single"/>
            <w:rtl/>
          </w:rPr>
          <w:t>ע"פ 4406/19</w:t>
        </w:r>
      </w:hyperlink>
      <w:r>
        <w:rPr>
          <w:rFonts w:ascii="David"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7B135B11" w14:textId="77777777" w:rsidR="006030B6" w:rsidRDefault="006030B6" w:rsidP="006030B6">
      <w:pPr>
        <w:spacing w:line="360" w:lineRule="auto"/>
        <w:ind w:left="567" w:right="567"/>
        <w:jc w:val="both"/>
        <w:rPr>
          <w:rFonts w:ascii="David" w:hAnsi="David"/>
          <w:rtl/>
        </w:rPr>
      </w:pPr>
    </w:p>
    <w:p w14:paraId="3099868D" w14:textId="77777777" w:rsidR="006030B6" w:rsidRDefault="006030B6" w:rsidP="006030B6">
      <w:pPr>
        <w:spacing w:line="360" w:lineRule="auto"/>
        <w:jc w:val="both"/>
        <w:rPr>
          <w:rFonts w:ascii="David" w:hAnsi="David"/>
          <w:b/>
          <w:bCs/>
          <w:rtl/>
        </w:rPr>
      </w:pPr>
      <w:r>
        <w:rPr>
          <w:rFonts w:ascii="David" w:hAnsi="David"/>
          <w:rtl/>
        </w:rPr>
        <w:t>מגמת ההחמרה קיבלה ביטוי בפסיקתו של ביהמ"ש העליון באשר לכל עבירות הנשק לרבות העבירות בהן עסקינן:</w:t>
      </w:r>
    </w:p>
    <w:p w14:paraId="0CCBA4DF" w14:textId="77777777" w:rsidR="006030B6" w:rsidRDefault="006030B6" w:rsidP="006030B6">
      <w:pPr>
        <w:spacing w:line="360" w:lineRule="auto"/>
        <w:ind w:left="567" w:right="567"/>
        <w:contextualSpacing/>
        <w:jc w:val="both"/>
        <w:rPr>
          <w:rFonts w:ascii="David" w:hAnsi="David"/>
          <w:rtl/>
        </w:rPr>
      </w:pPr>
      <w:r>
        <w:rPr>
          <w:rFonts w:ascii="David" w:hAnsi="David"/>
          <w:rtl/>
        </w:rPr>
        <w:t>"</w:t>
      </w:r>
      <w:r>
        <w:rPr>
          <w:rFonts w:ascii="David" w:hAnsi="David"/>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Pr>
          <w:rFonts w:ascii="David" w:hAnsi="David"/>
          <w:rtl/>
        </w:rPr>
        <w:t>"(</w:t>
      </w:r>
      <w:hyperlink r:id="rId32" w:history="1">
        <w:r w:rsidR="0076715B" w:rsidRPr="0076715B">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פסקה 15 (14.9.22); ראו גם </w:t>
      </w:r>
      <w:hyperlink r:id="rId33" w:history="1">
        <w:r w:rsidR="0076715B" w:rsidRPr="0076715B">
          <w:rPr>
            <w:rFonts w:ascii="David" w:hAnsi="David"/>
            <w:color w:val="0000FF"/>
            <w:u w:val="single"/>
            <w:rtl/>
          </w:rPr>
          <w:t>ע"פ 4103/22</w:t>
        </w:r>
      </w:hyperlink>
      <w:r>
        <w:rPr>
          <w:rFonts w:ascii="David" w:hAnsi="David"/>
          <w:rtl/>
        </w:rPr>
        <w:t xml:space="preserve"> </w:t>
      </w:r>
      <w:r>
        <w:rPr>
          <w:rFonts w:ascii="David" w:hAnsi="David"/>
          <w:b/>
          <w:bCs/>
          <w:rtl/>
        </w:rPr>
        <w:t>מדינת ישראל נ' מוחמד אמון</w:t>
      </w:r>
      <w:r>
        <w:rPr>
          <w:rFonts w:ascii="David" w:hAnsi="David"/>
          <w:rtl/>
        </w:rPr>
        <w:t>, פסקה 9 (6.11.22).</w:t>
      </w:r>
    </w:p>
    <w:p w14:paraId="7B80A3B9" w14:textId="77777777" w:rsidR="006030B6" w:rsidRDefault="006030B6" w:rsidP="006030B6">
      <w:pPr>
        <w:spacing w:line="360" w:lineRule="auto"/>
        <w:jc w:val="both"/>
        <w:rPr>
          <w:rFonts w:cs="Times New Roman"/>
          <w:rtl/>
        </w:rPr>
      </w:pPr>
    </w:p>
    <w:p w14:paraId="1115F090" w14:textId="77777777" w:rsidR="006030B6" w:rsidRDefault="006030B6" w:rsidP="006030B6">
      <w:pPr>
        <w:spacing w:line="360" w:lineRule="auto"/>
        <w:jc w:val="both"/>
        <w:rPr>
          <w:rFonts w:ascii="David" w:hAnsi="David"/>
        </w:rPr>
      </w:pPr>
      <w:r>
        <w:rPr>
          <w:rFonts w:ascii="David" w:hAnsi="David"/>
          <w:rtl/>
        </w:rPr>
        <w:t>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כפי שנכתב ב</w:t>
      </w:r>
      <w:hyperlink r:id="rId34" w:history="1">
        <w:r w:rsidR="0076715B" w:rsidRPr="0076715B">
          <w:rPr>
            <w:rFonts w:ascii="David" w:hAnsi="David"/>
            <w:color w:val="0000FF"/>
            <w:u w:val="single"/>
            <w:rtl/>
          </w:rPr>
          <w:t>ע"פ 6383/21</w:t>
        </w:r>
      </w:hyperlink>
      <w:r>
        <w:rPr>
          <w:rFonts w:ascii="David" w:hAnsi="David"/>
          <w:rtl/>
        </w:rPr>
        <w:t xml:space="preserve"> </w:t>
      </w:r>
      <w:r>
        <w:rPr>
          <w:rFonts w:ascii="David" w:hAnsi="David"/>
          <w:b/>
          <w:bCs/>
          <w:rtl/>
        </w:rPr>
        <w:t>קריף נ' מדינת ישראל</w:t>
      </w:r>
      <w:r>
        <w:rPr>
          <w:rFonts w:ascii="David" w:hAnsi="David"/>
          <w:rtl/>
        </w:rPr>
        <w:t xml:space="preserve"> [פורסם בנבו] (13.02.22):</w:t>
      </w:r>
    </w:p>
    <w:p w14:paraId="11BA7DA3" w14:textId="77777777" w:rsidR="006030B6" w:rsidRDefault="006030B6" w:rsidP="006030B6">
      <w:pPr>
        <w:autoSpaceDE w:val="0"/>
        <w:autoSpaceDN w:val="0"/>
        <w:spacing w:line="360" w:lineRule="auto"/>
        <w:ind w:left="567" w:right="567"/>
        <w:jc w:val="both"/>
        <w:rPr>
          <w:rFonts w:ascii="David" w:hAnsi="David"/>
          <w:b/>
          <w:bCs/>
        </w:rPr>
      </w:pPr>
      <w:r>
        <w:rPr>
          <w:rFonts w:ascii="David" w:hAnsi="David"/>
          <w:rtl/>
        </w:rPr>
        <w:t>"</w:t>
      </w:r>
      <w:r>
        <w:rPr>
          <w:rFonts w:ascii="David"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3A7287F8" w14:textId="77777777" w:rsidR="006030B6" w:rsidRDefault="0076715B" w:rsidP="006030B6">
      <w:pPr>
        <w:autoSpaceDE w:val="0"/>
        <w:autoSpaceDN w:val="0"/>
        <w:spacing w:line="360" w:lineRule="auto"/>
        <w:ind w:left="567" w:right="567"/>
        <w:jc w:val="both"/>
        <w:rPr>
          <w:rFonts w:ascii="David" w:hAnsi="David"/>
          <w:rtl/>
        </w:rPr>
      </w:pPr>
      <w:r>
        <w:rPr>
          <w:rFonts w:ascii="David" w:hAnsi="David"/>
          <w:b/>
          <w:bCs/>
          <w:rtl/>
        </w:rPr>
        <w:t xml:space="preserve">  </w:t>
      </w:r>
      <w:r w:rsidR="006030B6">
        <w:rPr>
          <w:rFonts w:ascii="David" w:hAnsi="David"/>
          <w:b/>
          <w:bCs/>
          <w:rtl/>
        </w:rPr>
        <w:t xml:space="preserve"> 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006030B6">
        <w:rPr>
          <w:rFonts w:ascii="David" w:hAnsi="David"/>
          <w:rtl/>
        </w:rPr>
        <w:t xml:space="preserve">" </w:t>
      </w:r>
    </w:p>
    <w:p w14:paraId="56D6FFF2" w14:textId="77777777" w:rsidR="006030B6" w:rsidRDefault="006030B6" w:rsidP="006030B6">
      <w:pPr>
        <w:autoSpaceDE w:val="0"/>
        <w:autoSpaceDN w:val="0"/>
        <w:spacing w:line="360" w:lineRule="auto"/>
        <w:ind w:left="567" w:right="567"/>
        <w:jc w:val="both"/>
        <w:rPr>
          <w:rFonts w:ascii="David" w:hAnsi="David"/>
          <w:rtl/>
        </w:rPr>
      </w:pPr>
    </w:p>
    <w:p w14:paraId="1125D25D" w14:textId="77777777" w:rsidR="006030B6" w:rsidRDefault="006030B6" w:rsidP="006030B6">
      <w:pPr>
        <w:spacing w:line="360" w:lineRule="auto"/>
        <w:jc w:val="both"/>
        <w:rPr>
          <w:rFonts w:ascii="David" w:hAnsi="David"/>
          <w:rtl/>
        </w:rPr>
      </w:pPr>
      <w:r>
        <w:rPr>
          <w:rFonts w:ascii="David" w:hAnsi="David"/>
          <w:rtl/>
        </w:rPr>
        <w:t>לאחרונה, אנו עדים לקריאות של בתי המשפט בכל הערכאות, להעלות את רף הענישה בעבירות הנשק לסוגיהן. ב</w:t>
      </w:r>
      <w:hyperlink r:id="rId35" w:history="1">
        <w:r w:rsidR="0076715B" w:rsidRPr="0076715B">
          <w:rPr>
            <w:rFonts w:ascii="David" w:hAnsi="David"/>
            <w:color w:val="0000FF"/>
            <w:u w:val="single"/>
            <w:rtl/>
          </w:rPr>
          <w:t>ע"פ 4406/19</w:t>
        </w:r>
      </w:hyperlink>
      <w:r>
        <w:rPr>
          <w:rFonts w:ascii="David" w:hAnsi="David"/>
          <w:rtl/>
        </w:rPr>
        <w:t xml:space="preserve"> </w:t>
      </w:r>
      <w:r>
        <w:rPr>
          <w:rFonts w:ascii="David" w:hAnsi="David"/>
          <w:b/>
          <w:bCs/>
          <w:rtl/>
        </w:rPr>
        <w:t>מדינת ישראל נ' יונס סובח</w:t>
      </w:r>
      <w:r>
        <w:rPr>
          <w:rFonts w:ascii="David" w:hAnsi="David"/>
          <w:rtl/>
        </w:rPr>
        <w:t xml:space="preserve"> (05.11.19 [פורסם בנבו]) יצאה קריאה ברורה ומפורשת להחמיר בענישה בעבירות נשק:</w:t>
      </w:r>
    </w:p>
    <w:p w14:paraId="7303FF64" w14:textId="77777777" w:rsidR="006030B6" w:rsidRDefault="006030B6" w:rsidP="006030B6">
      <w:pPr>
        <w:autoSpaceDE w:val="0"/>
        <w:autoSpaceDN w:val="0"/>
        <w:spacing w:line="360" w:lineRule="auto"/>
        <w:ind w:left="567" w:right="567"/>
        <w:jc w:val="both"/>
        <w:rPr>
          <w:rFonts w:ascii="David" w:hAnsi="David"/>
          <w:b/>
          <w:bCs/>
          <w:rtl/>
        </w:rPr>
      </w:pPr>
      <w:r>
        <w:rPr>
          <w:rFonts w:ascii="David"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7B6995B6" w14:textId="77777777" w:rsidR="006030B6" w:rsidRDefault="0076715B" w:rsidP="006030B6">
      <w:pPr>
        <w:spacing w:line="360" w:lineRule="auto"/>
        <w:jc w:val="both"/>
        <w:rPr>
          <w:rFonts w:ascii="David" w:hAnsi="David"/>
          <w:rtl/>
        </w:rPr>
      </w:pPr>
      <w:r>
        <w:rPr>
          <w:rFonts w:ascii="David" w:hAnsi="David"/>
          <w:rtl/>
        </w:rPr>
        <w:t xml:space="preserve">           </w:t>
      </w:r>
      <w:r w:rsidR="006030B6">
        <w:rPr>
          <w:rFonts w:ascii="David" w:hAnsi="David"/>
          <w:rtl/>
        </w:rPr>
        <w:t xml:space="preserve"> </w:t>
      </w:r>
    </w:p>
    <w:p w14:paraId="1CA16706" w14:textId="77777777" w:rsidR="006030B6" w:rsidRDefault="006030B6" w:rsidP="006030B6">
      <w:pPr>
        <w:spacing w:line="360" w:lineRule="auto"/>
        <w:jc w:val="both"/>
        <w:rPr>
          <w:rFonts w:ascii="David" w:hAnsi="David"/>
          <w:rtl/>
        </w:rPr>
      </w:pPr>
      <w:r>
        <w:rPr>
          <w:rFonts w:ascii="David" w:hAnsi="David"/>
          <w:rtl/>
        </w:rPr>
        <w:t>כפי שנאמר ב</w:t>
      </w:r>
      <w:hyperlink r:id="rId36" w:history="1">
        <w:r w:rsidR="0076715B" w:rsidRPr="0076715B">
          <w:rPr>
            <w:rFonts w:ascii="David" w:hAnsi="David"/>
            <w:color w:val="0000FF"/>
            <w:u w:val="single"/>
            <w:rtl/>
          </w:rPr>
          <w:t>עפ"ג (חי') 23517-02-20</w:t>
        </w:r>
      </w:hyperlink>
      <w:r>
        <w:rPr>
          <w:rFonts w:ascii="David" w:hAnsi="David"/>
          <w:rtl/>
        </w:rPr>
        <w:t xml:space="preserve"> </w:t>
      </w:r>
      <w:r>
        <w:rPr>
          <w:rFonts w:ascii="David" w:hAnsi="David"/>
          <w:b/>
          <w:bCs/>
          <w:rtl/>
        </w:rPr>
        <w:t>מדינת ישראל נ' אלכילאני</w:t>
      </w:r>
      <w:r>
        <w:rPr>
          <w:rFonts w:ascii="David" w:hAnsi="David"/>
          <w:rtl/>
        </w:rPr>
        <w:t xml:space="preserve"> [פורסם בנבו] (28.07.20): "</w:t>
      </w:r>
      <w:r>
        <w:rPr>
          <w:rFonts w:ascii="David" w:hAnsi="David"/>
          <w:b/>
          <w:bCs/>
          <w:rtl/>
        </w:rPr>
        <w:t>מגמת</w:t>
      </w:r>
      <w:r>
        <w:rPr>
          <w:rFonts w:ascii="David" w:hAnsi="David"/>
          <w:b/>
          <w:bCs/>
        </w:rPr>
        <w:t xml:space="preserve"> </w:t>
      </w:r>
      <w:r>
        <w:rPr>
          <w:rFonts w:ascii="David" w:hAnsi="David"/>
          <w:b/>
          <w:bCs/>
          <w:rtl/>
        </w:rPr>
        <w:t>החמרה</w:t>
      </w:r>
      <w:r>
        <w:rPr>
          <w:rFonts w:ascii="David" w:hAnsi="David"/>
          <w:b/>
          <w:bCs/>
        </w:rPr>
        <w:t xml:space="preserve"> </w:t>
      </w:r>
      <w:r>
        <w:rPr>
          <w:rFonts w:ascii="David" w:hAnsi="David"/>
          <w:b/>
          <w:bCs/>
          <w:rtl/>
        </w:rPr>
        <w:t>זו</w:t>
      </w:r>
      <w:r>
        <w:rPr>
          <w:rFonts w:ascii="David" w:hAnsi="David"/>
          <w:b/>
          <w:bCs/>
        </w:rPr>
        <w:t xml:space="preserve"> </w:t>
      </w:r>
      <w:r>
        <w:rPr>
          <w:rFonts w:ascii="David" w:hAnsi="David"/>
          <w:b/>
          <w:bCs/>
          <w:rtl/>
        </w:rPr>
        <w:t>ניכרת</w:t>
      </w:r>
      <w:r>
        <w:rPr>
          <w:rFonts w:ascii="David" w:hAnsi="David"/>
          <w:b/>
          <w:bCs/>
        </w:rPr>
        <w:t xml:space="preserve"> </w:t>
      </w:r>
      <w:r>
        <w:rPr>
          <w:rFonts w:ascii="David" w:hAnsi="David"/>
          <w:b/>
          <w:bCs/>
          <w:rtl/>
        </w:rPr>
        <w:t>במיוחד</w:t>
      </w:r>
      <w:r>
        <w:rPr>
          <w:rFonts w:ascii="David" w:hAnsi="David"/>
          <w:b/>
          <w:bCs/>
        </w:rPr>
        <w:t xml:space="preserve"> </w:t>
      </w:r>
      <w:r>
        <w:rPr>
          <w:rFonts w:ascii="David" w:hAnsi="David"/>
          <w:b/>
          <w:bCs/>
          <w:rtl/>
        </w:rPr>
        <w:t>בפסיקה</w:t>
      </w:r>
      <w:r>
        <w:rPr>
          <w:rFonts w:ascii="David" w:hAnsi="David"/>
          <w:b/>
          <w:bCs/>
        </w:rPr>
        <w:t xml:space="preserve"> </w:t>
      </w:r>
      <w:r>
        <w:rPr>
          <w:rFonts w:ascii="David" w:hAnsi="David"/>
          <w:b/>
          <w:bCs/>
          <w:rtl/>
        </w:rPr>
        <w:t>מן</w:t>
      </w:r>
      <w:r>
        <w:rPr>
          <w:rFonts w:ascii="David" w:hAnsi="David"/>
          <w:b/>
          <w:bCs/>
        </w:rPr>
        <w:t xml:space="preserve"> </w:t>
      </w:r>
      <w:r>
        <w:rPr>
          <w:rFonts w:ascii="David" w:hAnsi="David"/>
          <w:b/>
          <w:bCs/>
          <w:rtl/>
        </w:rPr>
        <w:t>התקופה</w:t>
      </w:r>
      <w:r>
        <w:rPr>
          <w:rFonts w:ascii="David" w:hAnsi="David"/>
          <w:b/>
          <w:bCs/>
        </w:rPr>
        <w:t xml:space="preserve"> </w:t>
      </w:r>
      <w:r>
        <w:rPr>
          <w:rFonts w:ascii="David" w:hAnsi="David"/>
          <w:b/>
          <w:bCs/>
          <w:u w:val="single"/>
          <w:rtl/>
        </w:rPr>
        <w:t>האחרונה</w:t>
      </w:r>
      <w:r>
        <w:rPr>
          <w:rFonts w:ascii="David" w:hAnsi="David"/>
          <w:b/>
          <w:bCs/>
          <w:rtl/>
        </w:rPr>
        <w:t>, החמרה</w:t>
      </w:r>
      <w:r>
        <w:rPr>
          <w:rFonts w:ascii="David" w:hAnsi="David"/>
          <w:b/>
          <w:bCs/>
        </w:rPr>
        <w:t xml:space="preserve"> </w:t>
      </w:r>
      <w:r>
        <w:rPr>
          <w:rFonts w:ascii="David" w:hAnsi="David"/>
          <w:b/>
          <w:bCs/>
          <w:rtl/>
        </w:rPr>
        <w:t>אשר</w:t>
      </w:r>
      <w:r>
        <w:rPr>
          <w:rFonts w:ascii="David" w:hAnsi="David"/>
          <w:b/>
          <w:bCs/>
        </w:rPr>
        <w:t xml:space="preserve"> </w:t>
      </w:r>
      <w:r>
        <w:rPr>
          <w:rFonts w:ascii="David" w:hAnsi="David"/>
          <w:b/>
          <w:bCs/>
          <w:rtl/>
        </w:rPr>
        <w:t>באה לידי</w:t>
      </w:r>
      <w:r>
        <w:rPr>
          <w:rFonts w:ascii="David" w:hAnsi="David"/>
          <w:b/>
          <w:bCs/>
        </w:rPr>
        <w:t xml:space="preserve"> </w:t>
      </w:r>
      <w:r>
        <w:rPr>
          <w:rFonts w:ascii="David" w:hAnsi="David"/>
          <w:b/>
          <w:bCs/>
          <w:rtl/>
        </w:rPr>
        <w:t>ביטוי, בין</w:t>
      </w:r>
      <w:r>
        <w:rPr>
          <w:rFonts w:ascii="David" w:hAnsi="David"/>
          <w:b/>
          <w:bCs/>
        </w:rPr>
        <w:t xml:space="preserve"> </w:t>
      </w:r>
      <w:r>
        <w:rPr>
          <w:rFonts w:ascii="David" w:hAnsi="David"/>
          <w:b/>
          <w:bCs/>
          <w:rtl/>
        </w:rPr>
        <w:t>היתר, בכך</w:t>
      </w:r>
      <w:r>
        <w:rPr>
          <w:rFonts w:ascii="David" w:hAnsi="David"/>
          <w:b/>
          <w:bCs/>
        </w:rPr>
        <w:t xml:space="preserve"> </w:t>
      </w:r>
      <w:r>
        <w:rPr>
          <w:rFonts w:ascii="David" w:hAnsi="David"/>
          <w:b/>
          <w:bCs/>
          <w:rtl/>
        </w:rPr>
        <w:t>שהסף</w:t>
      </w:r>
      <w:r>
        <w:rPr>
          <w:rFonts w:ascii="David" w:hAnsi="David"/>
          <w:b/>
          <w:bCs/>
        </w:rPr>
        <w:t xml:space="preserve"> </w:t>
      </w:r>
      <w:r>
        <w:rPr>
          <w:rFonts w:ascii="David" w:hAnsi="David"/>
          <w:b/>
          <w:bCs/>
          <w:rtl/>
        </w:rPr>
        <w:t>התחתון</w:t>
      </w:r>
      <w:r>
        <w:rPr>
          <w:rFonts w:ascii="David" w:hAnsi="David"/>
          <w:b/>
          <w:bCs/>
        </w:rPr>
        <w:t xml:space="preserve"> </w:t>
      </w:r>
      <w:r>
        <w:rPr>
          <w:rFonts w:ascii="David" w:hAnsi="David"/>
          <w:b/>
          <w:bCs/>
          <w:rtl/>
        </w:rPr>
        <w:t>של</w:t>
      </w:r>
      <w:r>
        <w:rPr>
          <w:rFonts w:ascii="David" w:hAnsi="David"/>
          <w:b/>
          <w:bCs/>
        </w:rPr>
        <w:t xml:space="preserve"> </w:t>
      </w:r>
      <w:r>
        <w:rPr>
          <w:rFonts w:ascii="David" w:hAnsi="David"/>
          <w:b/>
          <w:bCs/>
          <w:rtl/>
        </w:rPr>
        <w:t>מתחם</w:t>
      </w:r>
      <w:r>
        <w:rPr>
          <w:rFonts w:ascii="David" w:hAnsi="David"/>
          <w:b/>
          <w:bCs/>
        </w:rPr>
        <w:t xml:space="preserve"> </w:t>
      </w:r>
      <w:r>
        <w:rPr>
          <w:rFonts w:ascii="David" w:hAnsi="David"/>
          <w:b/>
          <w:bCs/>
          <w:rtl/>
        </w:rPr>
        <w:t>הענישה</w:t>
      </w:r>
      <w:r>
        <w:rPr>
          <w:rFonts w:ascii="David" w:hAnsi="David"/>
          <w:b/>
          <w:bCs/>
        </w:rPr>
        <w:t xml:space="preserve"> </w:t>
      </w:r>
      <w:r>
        <w:rPr>
          <w:rFonts w:ascii="David" w:hAnsi="David"/>
          <w:b/>
          <w:bCs/>
          <w:rtl/>
        </w:rPr>
        <w:t>בעבירה</w:t>
      </w:r>
      <w:r>
        <w:rPr>
          <w:rFonts w:ascii="David" w:hAnsi="David"/>
          <w:b/>
          <w:bCs/>
        </w:rPr>
        <w:t xml:space="preserve"> </w:t>
      </w:r>
      <w:r>
        <w:rPr>
          <w:rFonts w:ascii="David" w:hAnsi="David"/>
          <w:b/>
          <w:bCs/>
          <w:rtl/>
        </w:rPr>
        <w:t>של</w:t>
      </w:r>
      <w:r>
        <w:rPr>
          <w:rFonts w:ascii="David" w:hAnsi="David"/>
          <w:b/>
          <w:bCs/>
        </w:rPr>
        <w:t xml:space="preserve"> </w:t>
      </w:r>
      <w:r>
        <w:rPr>
          <w:rFonts w:ascii="David" w:hAnsi="David"/>
          <w:b/>
          <w:bCs/>
          <w:rtl/>
        </w:rPr>
        <w:t>החזקת נשק</w:t>
      </w:r>
      <w:r>
        <w:rPr>
          <w:rFonts w:ascii="David" w:hAnsi="David"/>
          <w:b/>
          <w:bCs/>
        </w:rPr>
        <w:t xml:space="preserve"> </w:t>
      </w:r>
      <w:r>
        <w:rPr>
          <w:rFonts w:ascii="David" w:hAnsi="David"/>
          <w:b/>
          <w:bCs/>
          <w:rtl/>
        </w:rPr>
        <w:t>שלא</w:t>
      </w:r>
      <w:r>
        <w:rPr>
          <w:rFonts w:ascii="David" w:hAnsi="David"/>
          <w:b/>
          <w:bCs/>
        </w:rPr>
        <w:t xml:space="preserve"> </w:t>
      </w:r>
      <w:r>
        <w:rPr>
          <w:rFonts w:ascii="David" w:hAnsi="David"/>
          <w:b/>
          <w:bCs/>
          <w:rtl/>
        </w:rPr>
        <w:t>כדין,</w:t>
      </w:r>
      <w:r>
        <w:rPr>
          <w:rFonts w:ascii="David" w:hAnsi="David"/>
          <w:b/>
          <w:bCs/>
        </w:rPr>
        <w:t xml:space="preserve"> </w:t>
      </w:r>
      <w:r>
        <w:rPr>
          <w:rFonts w:ascii="David" w:hAnsi="David"/>
          <w:b/>
          <w:bCs/>
          <w:rtl/>
        </w:rPr>
        <w:t>גם</w:t>
      </w:r>
      <w:r>
        <w:rPr>
          <w:rFonts w:ascii="David" w:hAnsi="David"/>
          <w:b/>
          <w:bCs/>
        </w:rPr>
        <w:t xml:space="preserve"> </w:t>
      </w:r>
      <w:r>
        <w:rPr>
          <w:rFonts w:ascii="David" w:hAnsi="David"/>
          <w:b/>
          <w:bCs/>
          <w:rtl/>
        </w:rPr>
        <w:t>כאשר</w:t>
      </w:r>
      <w:r>
        <w:rPr>
          <w:rFonts w:ascii="David" w:hAnsi="David"/>
          <w:b/>
          <w:bCs/>
        </w:rPr>
        <w:t xml:space="preserve"> </w:t>
      </w:r>
      <w:r>
        <w:rPr>
          <w:rFonts w:ascii="David" w:hAnsi="David"/>
          <w:b/>
          <w:bCs/>
          <w:rtl/>
        </w:rPr>
        <w:t>הנאשם</w:t>
      </w:r>
      <w:r>
        <w:rPr>
          <w:rFonts w:ascii="David" w:hAnsi="David"/>
          <w:b/>
          <w:bCs/>
        </w:rPr>
        <w:t xml:space="preserve"> </w:t>
      </w:r>
      <w:r>
        <w:rPr>
          <w:rFonts w:ascii="David" w:hAnsi="David"/>
          <w:b/>
          <w:bCs/>
          <w:rtl/>
        </w:rPr>
        <w:t>נעדר</w:t>
      </w:r>
      <w:r>
        <w:rPr>
          <w:rFonts w:ascii="David" w:hAnsi="David"/>
          <w:b/>
          <w:bCs/>
        </w:rPr>
        <w:t xml:space="preserve"> </w:t>
      </w:r>
      <w:r>
        <w:rPr>
          <w:rFonts w:ascii="David" w:hAnsi="David"/>
          <w:b/>
          <w:bCs/>
          <w:rtl/>
        </w:rPr>
        <w:t>עבר</w:t>
      </w:r>
      <w:r>
        <w:rPr>
          <w:rFonts w:ascii="David" w:hAnsi="David"/>
          <w:b/>
          <w:bCs/>
        </w:rPr>
        <w:t xml:space="preserve"> </w:t>
      </w:r>
      <w:r>
        <w:rPr>
          <w:rFonts w:ascii="David" w:hAnsi="David"/>
          <w:b/>
          <w:bCs/>
          <w:rtl/>
        </w:rPr>
        <w:t>פלילי, עולה</w:t>
      </w:r>
      <w:r>
        <w:rPr>
          <w:rFonts w:ascii="David" w:hAnsi="David"/>
          <w:b/>
          <w:bCs/>
        </w:rPr>
        <w:t xml:space="preserve"> </w:t>
      </w:r>
      <w:r>
        <w:rPr>
          <w:rFonts w:ascii="David" w:hAnsi="David"/>
          <w:b/>
          <w:bCs/>
          <w:rtl/>
        </w:rPr>
        <w:t>על</w:t>
      </w:r>
      <w:r>
        <w:rPr>
          <w:rFonts w:ascii="David" w:hAnsi="David"/>
          <w:b/>
          <w:bCs/>
        </w:rPr>
        <w:t xml:space="preserve"> </w:t>
      </w:r>
      <w:r>
        <w:rPr>
          <w:rFonts w:ascii="David" w:hAnsi="David"/>
          <w:b/>
          <w:bCs/>
          <w:rtl/>
        </w:rPr>
        <w:t>תשעה</w:t>
      </w:r>
      <w:r>
        <w:rPr>
          <w:rFonts w:ascii="David" w:hAnsi="David"/>
          <w:b/>
          <w:bCs/>
        </w:rPr>
        <w:t xml:space="preserve"> </w:t>
      </w:r>
      <w:r>
        <w:rPr>
          <w:rFonts w:ascii="David" w:hAnsi="David"/>
          <w:b/>
          <w:bCs/>
          <w:rtl/>
        </w:rPr>
        <w:t>חודשי</w:t>
      </w:r>
      <w:r>
        <w:rPr>
          <w:rFonts w:ascii="David" w:hAnsi="David"/>
          <w:b/>
          <w:bCs/>
        </w:rPr>
        <w:t xml:space="preserve"> </w:t>
      </w:r>
      <w:r>
        <w:rPr>
          <w:rFonts w:ascii="David" w:hAnsi="David"/>
          <w:b/>
          <w:bCs/>
          <w:rtl/>
        </w:rPr>
        <w:t>מאסר, דהיינו, פרק</w:t>
      </w:r>
      <w:r>
        <w:rPr>
          <w:rFonts w:ascii="David" w:hAnsi="David"/>
          <w:b/>
          <w:bCs/>
        </w:rPr>
        <w:t xml:space="preserve"> </w:t>
      </w:r>
      <w:r>
        <w:rPr>
          <w:rFonts w:ascii="David" w:hAnsi="David"/>
          <w:b/>
          <w:bCs/>
          <w:rtl/>
        </w:rPr>
        <w:t>זמן</w:t>
      </w:r>
      <w:r>
        <w:rPr>
          <w:rFonts w:ascii="David" w:hAnsi="David"/>
          <w:b/>
          <w:bCs/>
        </w:rPr>
        <w:t xml:space="preserve"> </w:t>
      </w:r>
      <w:r>
        <w:rPr>
          <w:rFonts w:ascii="David" w:hAnsi="David"/>
          <w:b/>
          <w:bCs/>
          <w:rtl/>
        </w:rPr>
        <w:t>אשר</w:t>
      </w:r>
      <w:r>
        <w:rPr>
          <w:rFonts w:ascii="David" w:hAnsi="David"/>
          <w:b/>
          <w:bCs/>
        </w:rPr>
        <w:t xml:space="preserve"> </w:t>
      </w:r>
      <w:r>
        <w:rPr>
          <w:rFonts w:ascii="David" w:hAnsi="David"/>
          <w:b/>
          <w:bCs/>
          <w:rtl/>
        </w:rPr>
        <w:t>אינו</w:t>
      </w:r>
      <w:r>
        <w:rPr>
          <w:rFonts w:ascii="David" w:hAnsi="David"/>
          <w:b/>
          <w:bCs/>
        </w:rPr>
        <w:t xml:space="preserve"> </w:t>
      </w:r>
      <w:r>
        <w:rPr>
          <w:rFonts w:ascii="David" w:hAnsi="David"/>
          <w:b/>
          <w:bCs/>
          <w:rtl/>
        </w:rPr>
        <w:t>מאפשר</w:t>
      </w:r>
      <w:r>
        <w:rPr>
          <w:rFonts w:ascii="David" w:hAnsi="David"/>
          <w:b/>
          <w:bCs/>
        </w:rPr>
        <w:t xml:space="preserve"> </w:t>
      </w:r>
      <w:r>
        <w:rPr>
          <w:rFonts w:ascii="David" w:hAnsi="David"/>
          <w:b/>
          <w:bCs/>
          <w:rtl/>
        </w:rPr>
        <w:t>ריצוי</w:t>
      </w:r>
      <w:r>
        <w:rPr>
          <w:rFonts w:ascii="David" w:hAnsi="David"/>
          <w:b/>
          <w:bCs/>
        </w:rPr>
        <w:t xml:space="preserve"> </w:t>
      </w:r>
      <w:r>
        <w:rPr>
          <w:rFonts w:ascii="David" w:hAnsi="David"/>
          <w:b/>
          <w:bCs/>
          <w:rtl/>
        </w:rPr>
        <w:t>עונש</w:t>
      </w:r>
      <w:r>
        <w:rPr>
          <w:rFonts w:ascii="David" w:hAnsi="David"/>
          <w:b/>
          <w:bCs/>
        </w:rPr>
        <w:t xml:space="preserve"> </w:t>
      </w:r>
      <w:r>
        <w:rPr>
          <w:rFonts w:ascii="David" w:hAnsi="David"/>
          <w:b/>
          <w:bCs/>
          <w:rtl/>
        </w:rPr>
        <w:t>המאסר</w:t>
      </w:r>
      <w:r>
        <w:rPr>
          <w:rFonts w:ascii="David" w:hAnsi="David"/>
          <w:b/>
          <w:bCs/>
        </w:rPr>
        <w:t xml:space="preserve"> </w:t>
      </w:r>
      <w:r>
        <w:rPr>
          <w:rFonts w:ascii="David" w:hAnsi="David"/>
          <w:b/>
          <w:bCs/>
          <w:rtl/>
        </w:rPr>
        <w:t>על</w:t>
      </w:r>
      <w:r>
        <w:rPr>
          <w:rFonts w:ascii="David" w:hAnsi="David"/>
          <w:b/>
          <w:bCs/>
        </w:rPr>
        <w:t xml:space="preserve"> </w:t>
      </w:r>
      <w:r>
        <w:rPr>
          <w:rFonts w:ascii="David" w:hAnsi="David"/>
          <w:b/>
          <w:bCs/>
          <w:rtl/>
        </w:rPr>
        <w:t>דרך</w:t>
      </w:r>
      <w:r>
        <w:rPr>
          <w:rFonts w:ascii="David" w:hAnsi="David"/>
          <w:b/>
          <w:bCs/>
        </w:rPr>
        <w:t xml:space="preserve"> </w:t>
      </w:r>
      <w:r>
        <w:rPr>
          <w:rFonts w:ascii="David" w:hAnsi="David"/>
          <w:b/>
          <w:bCs/>
          <w:rtl/>
        </w:rPr>
        <w:t>של</w:t>
      </w:r>
      <w:r>
        <w:rPr>
          <w:rFonts w:ascii="David" w:hAnsi="David"/>
          <w:b/>
          <w:bCs/>
        </w:rPr>
        <w:t xml:space="preserve"> </w:t>
      </w:r>
      <w:r>
        <w:rPr>
          <w:rFonts w:ascii="David" w:hAnsi="David"/>
          <w:b/>
          <w:bCs/>
          <w:rtl/>
        </w:rPr>
        <w:t>עבודות</w:t>
      </w:r>
      <w:r>
        <w:rPr>
          <w:rFonts w:ascii="David" w:hAnsi="David"/>
          <w:b/>
          <w:bCs/>
        </w:rPr>
        <w:t xml:space="preserve"> </w:t>
      </w:r>
      <w:r>
        <w:rPr>
          <w:rFonts w:ascii="David" w:hAnsi="David"/>
          <w:b/>
          <w:bCs/>
          <w:rtl/>
        </w:rPr>
        <w:t>שירות</w:t>
      </w:r>
      <w:r>
        <w:rPr>
          <w:rFonts w:ascii="David" w:hAnsi="David"/>
          <w:rtl/>
        </w:rPr>
        <w:t>." וכן בהמשך: "</w:t>
      </w:r>
      <w:r>
        <w:rPr>
          <w:rFonts w:ascii="David" w:hAnsi="David"/>
          <w:b/>
          <w:bCs/>
          <w:rtl/>
        </w:rPr>
        <w:t>אם</w:t>
      </w:r>
      <w:r>
        <w:rPr>
          <w:rFonts w:ascii="David" w:hAnsi="David"/>
          <w:b/>
          <w:bCs/>
        </w:rPr>
        <w:t xml:space="preserve"> </w:t>
      </w:r>
      <w:r>
        <w:rPr>
          <w:rFonts w:ascii="David" w:hAnsi="David"/>
          <w:b/>
          <w:bCs/>
          <w:rtl/>
        </w:rPr>
        <w:t>נסכם</w:t>
      </w:r>
      <w:r>
        <w:rPr>
          <w:rFonts w:ascii="David" w:hAnsi="David"/>
          <w:b/>
          <w:bCs/>
        </w:rPr>
        <w:t xml:space="preserve"> </w:t>
      </w:r>
      <w:r>
        <w:rPr>
          <w:rFonts w:ascii="David" w:hAnsi="David"/>
          <w:b/>
          <w:bCs/>
          <w:rtl/>
        </w:rPr>
        <w:t>את</w:t>
      </w:r>
      <w:r>
        <w:rPr>
          <w:rFonts w:ascii="David" w:hAnsi="David"/>
          <w:b/>
          <w:bCs/>
        </w:rPr>
        <w:t xml:space="preserve"> </w:t>
      </w:r>
      <w:r>
        <w:rPr>
          <w:rFonts w:ascii="David" w:hAnsi="David"/>
          <w:b/>
          <w:bCs/>
          <w:rtl/>
        </w:rPr>
        <w:t>הדברים: גזר</w:t>
      </w:r>
      <w:r>
        <w:rPr>
          <w:rFonts w:ascii="David" w:hAnsi="David"/>
          <w:b/>
          <w:bCs/>
        </w:rPr>
        <w:t>-</w:t>
      </w:r>
      <w:r>
        <w:rPr>
          <w:rFonts w:ascii="David" w:hAnsi="David"/>
          <w:b/>
          <w:bCs/>
          <w:rtl/>
        </w:rPr>
        <w:t>דינו</w:t>
      </w:r>
      <w:r>
        <w:rPr>
          <w:rFonts w:ascii="David" w:hAnsi="David"/>
          <w:b/>
          <w:bCs/>
        </w:rPr>
        <w:t xml:space="preserve"> </w:t>
      </w:r>
      <w:r>
        <w:rPr>
          <w:rFonts w:ascii="David" w:hAnsi="David"/>
          <w:b/>
          <w:bCs/>
          <w:rtl/>
        </w:rPr>
        <w:t>של</w:t>
      </w:r>
      <w:r>
        <w:rPr>
          <w:rFonts w:ascii="David" w:hAnsi="David"/>
          <w:b/>
          <w:bCs/>
        </w:rPr>
        <w:t xml:space="preserve"> </w:t>
      </w:r>
      <w:r>
        <w:rPr>
          <w:rFonts w:ascii="David" w:hAnsi="David"/>
          <w:b/>
          <w:bCs/>
          <w:rtl/>
        </w:rPr>
        <w:t>בית</w:t>
      </w:r>
      <w:r>
        <w:rPr>
          <w:rFonts w:ascii="David" w:hAnsi="David"/>
          <w:b/>
          <w:bCs/>
        </w:rPr>
        <w:t>-</w:t>
      </w:r>
      <w:r>
        <w:rPr>
          <w:rFonts w:ascii="David" w:hAnsi="David"/>
          <w:b/>
          <w:bCs/>
          <w:rtl/>
        </w:rPr>
        <w:t>משפט</w:t>
      </w:r>
      <w:r>
        <w:rPr>
          <w:rFonts w:ascii="David" w:hAnsi="David"/>
          <w:b/>
          <w:bCs/>
        </w:rPr>
        <w:t xml:space="preserve"> </w:t>
      </w:r>
      <w:r>
        <w:rPr>
          <w:rFonts w:ascii="David" w:hAnsi="David"/>
          <w:b/>
          <w:bCs/>
          <w:rtl/>
        </w:rPr>
        <w:t>השלום, שהסתפק</w:t>
      </w:r>
      <w:r>
        <w:rPr>
          <w:rFonts w:ascii="David" w:hAnsi="David"/>
          <w:b/>
          <w:bCs/>
        </w:rPr>
        <w:t xml:space="preserve"> </w:t>
      </w:r>
      <w:r>
        <w:rPr>
          <w:rFonts w:ascii="David" w:hAnsi="David"/>
          <w:b/>
          <w:bCs/>
          <w:rtl/>
        </w:rPr>
        <w:t>בהטלת</w:t>
      </w:r>
      <w:r>
        <w:rPr>
          <w:rFonts w:ascii="David" w:hAnsi="David"/>
          <w:b/>
          <w:bCs/>
        </w:rPr>
        <w:t xml:space="preserve"> </w:t>
      </w:r>
      <w:r>
        <w:rPr>
          <w:rFonts w:ascii="David" w:hAnsi="David"/>
          <w:b/>
          <w:bCs/>
          <w:rtl/>
        </w:rPr>
        <w:t>ענישה</w:t>
      </w:r>
      <w:r>
        <w:rPr>
          <w:rFonts w:ascii="David" w:hAnsi="David"/>
          <w:b/>
          <w:bCs/>
        </w:rPr>
        <w:t xml:space="preserve"> </w:t>
      </w:r>
      <w:r>
        <w:rPr>
          <w:rFonts w:ascii="David" w:hAnsi="David"/>
          <w:b/>
          <w:bCs/>
          <w:rtl/>
        </w:rPr>
        <w:t>של</w:t>
      </w:r>
      <w:r>
        <w:rPr>
          <w:rFonts w:ascii="David" w:hAnsi="David"/>
          <w:b/>
          <w:bCs/>
        </w:rPr>
        <w:t xml:space="preserve"> </w:t>
      </w:r>
      <w:r>
        <w:rPr>
          <w:rFonts w:ascii="David" w:hAnsi="David"/>
          <w:b/>
          <w:bCs/>
          <w:rtl/>
        </w:rPr>
        <w:t>שמונה</w:t>
      </w:r>
      <w:r>
        <w:rPr>
          <w:rFonts w:ascii="David" w:hAnsi="David"/>
          <w:b/>
          <w:bCs/>
        </w:rPr>
        <w:t xml:space="preserve"> </w:t>
      </w:r>
      <w:r>
        <w:rPr>
          <w:rFonts w:ascii="David" w:hAnsi="David"/>
          <w:b/>
          <w:bCs/>
          <w:rtl/>
        </w:rPr>
        <w:t>חודשי</w:t>
      </w:r>
      <w:r>
        <w:rPr>
          <w:rFonts w:ascii="David" w:hAnsi="David"/>
          <w:b/>
          <w:bCs/>
        </w:rPr>
        <w:t xml:space="preserve"> </w:t>
      </w:r>
      <w:r>
        <w:rPr>
          <w:rFonts w:ascii="David" w:hAnsi="David"/>
          <w:b/>
          <w:bCs/>
          <w:rtl/>
        </w:rPr>
        <w:t>מאסר</w:t>
      </w:r>
      <w:r>
        <w:rPr>
          <w:rFonts w:ascii="David" w:hAnsi="David"/>
          <w:b/>
          <w:bCs/>
        </w:rPr>
        <w:t xml:space="preserve"> </w:t>
      </w:r>
      <w:r>
        <w:rPr>
          <w:rFonts w:ascii="David" w:hAnsi="David"/>
          <w:b/>
          <w:bCs/>
          <w:rtl/>
        </w:rPr>
        <w:t>לריצוי</w:t>
      </w:r>
      <w:r>
        <w:rPr>
          <w:rFonts w:ascii="David" w:hAnsi="David"/>
          <w:b/>
          <w:bCs/>
        </w:rPr>
        <w:t xml:space="preserve"> </w:t>
      </w:r>
      <w:r>
        <w:rPr>
          <w:rFonts w:ascii="David" w:hAnsi="David"/>
          <w:b/>
          <w:bCs/>
          <w:rtl/>
        </w:rPr>
        <w:t>בעבודות</w:t>
      </w:r>
      <w:r>
        <w:rPr>
          <w:rFonts w:ascii="David" w:hAnsi="David"/>
          <w:b/>
          <w:bCs/>
        </w:rPr>
        <w:t xml:space="preserve"> </w:t>
      </w:r>
      <w:r>
        <w:rPr>
          <w:rFonts w:ascii="David" w:hAnsi="David"/>
          <w:b/>
          <w:bCs/>
          <w:rtl/>
        </w:rPr>
        <w:t>שירות, אינו</w:t>
      </w:r>
      <w:r>
        <w:rPr>
          <w:rFonts w:ascii="David" w:hAnsi="David"/>
          <w:b/>
          <w:bCs/>
        </w:rPr>
        <w:t xml:space="preserve"> </w:t>
      </w:r>
      <w:r>
        <w:rPr>
          <w:rFonts w:ascii="David" w:hAnsi="David"/>
          <w:b/>
          <w:bCs/>
          <w:rtl/>
        </w:rPr>
        <w:t>יכול</w:t>
      </w:r>
      <w:r>
        <w:rPr>
          <w:rFonts w:ascii="David" w:hAnsi="David"/>
          <w:b/>
          <w:bCs/>
        </w:rPr>
        <w:t xml:space="preserve"> </w:t>
      </w:r>
      <w:r>
        <w:rPr>
          <w:rFonts w:ascii="David" w:hAnsi="David"/>
          <w:b/>
          <w:bCs/>
          <w:rtl/>
        </w:rPr>
        <w:t>לעמוד, וזאת</w:t>
      </w:r>
      <w:r>
        <w:rPr>
          <w:rFonts w:ascii="David" w:hAnsi="David"/>
          <w:b/>
          <w:bCs/>
        </w:rPr>
        <w:t xml:space="preserve"> </w:t>
      </w:r>
      <w:r>
        <w:rPr>
          <w:rFonts w:ascii="David" w:hAnsi="David"/>
          <w:b/>
          <w:bCs/>
          <w:rtl/>
        </w:rPr>
        <w:t>בשים</w:t>
      </w:r>
      <w:r>
        <w:rPr>
          <w:rFonts w:ascii="David" w:hAnsi="David"/>
          <w:b/>
          <w:bCs/>
        </w:rPr>
        <w:t xml:space="preserve"> </w:t>
      </w:r>
      <w:r>
        <w:rPr>
          <w:rFonts w:ascii="David" w:hAnsi="David"/>
          <w:b/>
          <w:bCs/>
          <w:rtl/>
        </w:rPr>
        <w:t>לב</w:t>
      </w:r>
      <w:r>
        <w:rPr>
          <w:rFonts w:ascii="David" w:hAnsi="David"/>
          <w:b/>
          <w:bCs/>
        </w:rPr>
        <w:t xml:space="preserve"> </w:t>
      </w:r>
      <w:r>
        <w:rPr>
          <w:rFonts w:ascii="David" w:hAnsi="David"/>
          <w:b/>
          <w:bCs/>
          <w:rtl/>
        </w:rPr>
        <w:t>לחומרת</w:t>
      </w:r>
      <w:r>
        <w:rPr>
          <w:rFonts w:ascii="David" w:hAnsi="David"/>
          <w:b/>
          <w:bCs/>
        </w:rPr>
        <w:t xml:space="preserve"> </w:t>
      </w:r>
      <w:r>
        <w:rPr>
          <w:rFonts w:ascii="David" w:hAnsi="David"/>
          <w:b/>
          <w:bCs/>
          <w:rtl/>
        </w:rPr>
        <w:t>העבירה</w:t>
      </w:r>
      <w:r>
        <w:rPr>
          <w:rFonts w:ascii="David" w:hAnsi="David"/>
          <w:b/>
          <w:bCs/>
        </w:rPr>
        <w:t xml:space="preserve"> </w:t>
      </w:r>
      <w:r>
        <w:rPr>
          <w:rFonts w:ascii="David" w:hAnsi="David"/>
          <w:b/>
          <w:bCs/>
          <w:rtl/>
        </w:rPr>
        <w:t>של</w:t>
      </w:r>
      <w:r>
        <w:rPr>
          <w:rFonts w:ascii="David" w:hAnsi="David"/>
          <w:b/>
          <w:bCs/>
        </w:rPr>
        <w:t xml:space="preserve"> </w:t>
      </w:r>
      <w:r>
        <w:rPr>
          <w:rFonts w:ascii="David" w:hAnsi="David"/>
          <w:b/>
          <w:bCs/>
          <w:rtl/>
        </w:rPr>
        <w:t>החזקת</w:t>
      </w:r>
      <w:r>
        <w:rPr>
          <w:rFonts w:ascii="David" w:hAnsi="David"/>
          <w:b/>
          <w:bCs/>
        </w:rPr>
        <w:t xml:space="preserve"> </w:t>
      </w:r>
      <w:r>
        <w:rPr>
          <w:rFonts w:ascii="David" w:hAnsi="David"/>
          <w:b/>
          <w:bCs/>
          <w:rtl/>
        </w:rPr>
        <w:t>נשק</w:t>
      </w:r>
      <w:r>
        <w:rPr>
          <w:rFonts w:ascii="David" w:hAnsi="David"/>
          <w:b/>
          <w:bCs/>
        </w:rPr>
        <w:t xml:space="preserve"> </w:t>
      </w:r>
      <w:r>
        <w:rPr>
          <w:rFonts w:ascii="David" w:hAnsi="David"/>
          <w:b/>
          <w:bCs/>
          <w:rtl/>
        </w:rPr>
        <w:t>שלא</w:t>
      </w:r>
      <w:r>
        <w:rPr>
          <w:rFonts w:ascii="David" w:hAnsi="David"/>
          <w:b/>
          <w:bCs/>
        </w:rPr>
        <w:t xml:space="preserve"> </w:t>
      </w:r>
      <w:r>
        <w:rPr>
          <w:rFonts w:ascii="David" w:hAnsi="David"/>
          <w:b/>
          <w:bCs/>
          <w:rtl/>
        </w:rPr>
        <w:t>כדין, ופוטנציאל</w:t>
      </w:r>
      <w:r>
        <w:rPr>
          <w:rFonts w:ascii="David" w:hAnsi="David"/>
          <w:b/>
          <w:bCs/>
        </w:rPr>
        <w:t xml:space="preserve"> </w:t>
      </w:r>
      <w:r>
        <w:rPr>
          <w:rFonts w:ascii="David" w:hAnsi="David"/>
          <w:b/>
          <w:bCs/>
          <w:rtl/>
        </w:rPr>
        <w:t>הסיכון</w:t>
      </w:r>
      <w:r>
        <w:rPr>
          <w:rFonts w:ascii="David" w:hAnsi="David"/>
          <w:b/>
          <w:bCs/>
        </w:rPr>
        <w:t xml:space="preserve"> </w:t>
      </w:r>
      <w:r>
        <w:rPr>
          <w:rFonts w:ascii="David" w:hAnsi="David"/>
          <w:b/>
          <w:bCs/>
          <w:rtl/>
        </w:rPr>
        <w:t>הטמון</w:t>
      </w:r>
      <w:r>
        <w:rPr>
          <w:rFonts w:ascii="David" w:hAnsi="David"/>
          <w:b/>
          <w:bCs/>
        </w:rPr>
        <w:t xml:space="preserve"> </w:t>
      </w:r>
      <w:r>
        <w:rPr>
          <w:rFonts w:ascii="David" w:hAnsi="David"/>
          <w:b/>
          <w:bCs/>
          <w:rtl/>
        </w:rPr>
        <w:t>בהחזקת</w:t>
      </w:r>
      <w:r>
        <w:rPr>
          <w:rFonts w:ascii="David" w:hAnsi="David"/>
          <w:b/>
          <w:bCs/>
        </w:rPr>
        <w:t xml:space="preserve"> </w:t>
      </w:r>
      <w:r>
        <w:rPr>
          <w:rFonts w:ascii="David" w:hAnsi="David"/>
          <w:b/>
          <w:bCs/>
          <w:rtl/>
        </w:rPr>
        <w:t>הנשק</w:t>
      </w:r>
      <w:r>
        <w:rPr>
          <w:rFonts w:ascii="David" w:hAnsi="David"/>
          <w:b/>
          <w:bCs/>
        </w:rPr>
        <w:t xml:space="preserve"> </w:t>
      </w:r>
      <w:r>
        <w:rPr>
          <w:rFonts w:ascii="David" w:hAnsi="David"/>
          <w:b/>
          <w:bCs/>
          <w:rtl/>
        </w:rPr>
        <w:t>ללא</w:t>
      </w:r>
      <w:r>
        <w:rPr>
          <w:rFonts w:ascii="David" w:hAnsi="David"/>
          <w:b/>
          <w:bCs/>
        </w:rPr>
        <w:t xml:space="preserve"> </w:t>
      </w:r>
      <w:r>
        <w:rPr>
          <w:rFonts w:ascii="David" w:hAnsi="David"/>
          <w:b/>
          <w:bCs/>
          <w:rtl/>
        </w:rPr>
        <w:t>היתר, עבירה</w:t>
      </w:r>
      <w:r>
        <w:rPr>
          <w:rFonts w:ascii="David" w:hAnsi="David"/>
          <w:b/>
          <w:bCs/>
        </w:rPr>
        <w:t xml:space="preserve"> </w:t>
      </w:r>
      <w:r>
        <w:rPr>
          <w:rFonts w:ascii="David" w:hAnsi="David"/>
          <w:b/>
          <w:bCs/>
          <w:rtl/>
        </w:rPr>
        <w:t>שהפכה</w:t>
      </w:r>
      <w:r>
        <w:rPr>
          <w:rFonts w:ascii="David" w:hAnsi="David"/>
          <w:b/>
          <w:bCs/>
        </w:rPr>
        <w:t xml:space="preserve"> </w:t>
      </w:r>
      <w:r>
        <w:rPr>
          <w:rFonts w:ascii="David" w:hAnsi="David"/>
          <w:b/>
          <w:bCs/>
          <w:rtl/>
        </w:rPr>
        <w:t>ל</w:t>
      </w:r>
      <w:r>
        <w:rPr>
          <w:rFonts w:ascii="David" w:hAnsi="David"/>
          <w:b/>
          <w:bCs/>
        </w:rPr>
        <w:t>"</w:t>
      </w:r>
      <w:r>
        <w:rPr>
          <w:rFonts w:ascii="David" w:hAnsi="David"/>
          <w:b/>
          <w:bCs/>
          <w:rtl/>
        </w:rPr>
        <w:t>מכת</w:t>
      </w:r>
      <w:r>
        <w:rPr>
          <w:rFonts w:ascii="David" w:hAnsi="David"/>
          <w:b/>
          <w:bCs/>
        </w:rPr>
        <w:t xml:space="preserve"> </w:t>
      </w:r>
      <w:r>
        <w:rPr>
          <w:rFonts w:ascii="David" w:hAnsi="David"/>
          <w:b/>
          <w:bCs/>
          <w:rtl/>
        </w:rPr>
        <w:t>מדינה", והביאה</w:t>
      </w:r>
      <w:r>
        <w:rPr>
          <w:rFonts w:ascii="David" w:hAnsi="David"/>
          <w:b/>
          <w:bCs/>
        </w:rPr>
        <w:t xml:space="preserve"> </w:t>
      </w:r>
      <w:r>
        <w:rPr>
          <w:rFonts w:ascii="David" w:hAnsi="David"/>
          <w:b/>
          <w:bCs/>
          <w:rtl/>
        </w:rPr>
        <w:t>למגמת</w:t>
      </w:r>
      <w:r>
        <w:rPr>
          <w:rFonts w:ascii="David" w:hAnsi="David"/>
          <w:b/>
          <w:bCs/>
        </w:rPr>
        <w:t xml:space="preserve"> </w:t>
      </w:r>
      <w:r>
        <w:rPr>
          <w:rFonts w:ascii="David" w:hAnsi="David"/>
          <w:b/>
          <w:bCs/>
          <w:rtl/>
        </w:rPr>
        <w:t>החמרה</w:t>
      </w:r>
      <w:r>
        <w:rPr>
          <w:rFonts w:ascii="David" w:hAnsi="David"/>
          <w:b/>
          <w:bCs/>
        </w:rPr>
        <w:t xml:space="preserve"> </w:t>
      </w:r>
      <w:r>
        <w:rPr>
          <w:rFonts w:ascii="David" w:hAnsi="David"/>
          <w:b/>
          <w:bCs/>
          <w:rtl/>
        </w:rPr>
        <w:t>בפסיקה</w:t>
      </w:r>
      <w:r>
        <w:rPr>
          <w:rFonts w:ascii="David" w:hAnsi="David"/>
          <w:b/>
          <w:bCs/>
        </w:rPr>
        <w:t xml:space="preserve"> </w:t>
      </w:r>
      <w:r>
        <w:rPr>
          <w:rFonts w:ascii="David" w:hAnsi="David"/>
          <w:b/>
          <w:bCs/>
          <w:rtl/>
        </w:rPr>
        <w:t>כשבית</w:t>
      </w:r>
      <w:r>
        <w:rPr>
          <w:rFonts w:ascii="David" w:hAnsi="David"/>
          <w:b/>
          <w:bCs/>
        </w:rPr>
        <w:t xml:space="preserve"> </w:t>
      </w:r>
      <w:r>
        <w:rPr>
          <w:rFonts w:ascii="David" w:hAnsi="David"/>
          <w:b/>
          <w:bCs/>
          <w:rtl/>
        </w:rPr>
        <w:t>המשפט</w:t>
      </w:r>
      <w:r>
        <w:rPr>
          <w:rFonts w:ascii="David" w:hAnsi="David"/>
          <w:b/>
          <w:bCs/>
        </w:rPr>
        <w:t xml:space="preserve"> </w:t>
      </w:r>
      <w:r>
        <w:rPr>
          <w:rFonts w:ascii="David" w:hAnsi="David"/>
          <w:b/>
          <w:bCs/>
          <w:rtl/>
        </w:rPr>
        <w:t>נקרא</w:t>
      </w:r>
      <w:r>
        <w:rPr>
          <w:rFonts w:ascii="David" w:hAnsi="David"/>
          <w:b/>
          <w:bCs/>
        </w:rPr>
        <w:t xml:space="preserve"> </w:t>
      </w:r>
      <w:r>
        <w:rPr>
          <w:rFonts w:ascii="David" w:hAnsi="David"/>
          <w:b/>
          <w:bCs/>
          <w:rtl/>
        </w:rPr>
        <w:t>להירתם</w:t>
      </w:r>
      <w:r>
        <w:rPr>
          <w:rFonts w:cs="Times New Roman"/>
          <w:b/>
          <w:bCs/>
        </w:rPr>
        <w:t xml:space="preserve"> </w:t>
      </w:r>
      <w:r>
        <w:rPr>
          <w:rFonts w:ascii="David" w:hAnsi="David"/>
          <w:b/>
          <w:bCs/>
          <w:rtl/>
        </w:rPr>
        <w:t>למאבק</w:t>
      </w:r>
      <w:r>
        <w:rPr>
          <w:rFonts w:cs="Times New Roman"/>
          <w:b/>
          <w:bCs/>
        </w:rPr>
        <w:t xml:space="preserve"> </w:t>
      </w:r>
      <w:r>
        <w:rPr>
          <w:rFonts w:ascii="David" w:hAnsi="David"/>
          <w:b/>
          <w:bCs/>
          <w:rtl/>
        </w:rPr>
        <w:t>בעבירה</w:t>
      </w:r>
      <w:r>
        <w:rPr>
          <w:rFonts w:cs="Times New Roman"/>
          <w:b/>
          <w:bCs/>
        </w:rPr>
        <w:t xml:space="preserve"> </w:t>
      </w:r>
      <w:r>
        <w:rPr>
          <w:rFonts w:ascii="David" w:hAnsi="David"/>
          <w:b/>
          <w:bCs/>
          <w:rtl/>
        </w:rPr>
        <w:t>זו."</w:t>
      </w:r>
    </w:p>
    <w:p w14:paraId="76FA070D" w14:textId="77777777" w:rsidR="006030B6" w:rsidRDefault="006030B6" w:rsidP="006030B6">
      <w:pPr>
        <w:overflowPunct w:val="0"/>
        <w:autoSpaceDE w:val="0"/>
        <w:autoSpaceDN w:val="0"/>
        <w:ind w:left="1642" w:right="1282"/>
        <w:jc w:val="both"/>
        <w:rPr>
          <w:rFonts w:ascii="Arial TUR" w:hAnsi="Arial TUR" w:cs="Arial TUR"/>
          <w:spacing w:val="10"/>
          <w:sz w:val="22"/>
          <w:szCs w:val="22"/>
          <w:rtl/>
        </w:rPr>
      </w:pPr>
    </w:p>
    <w:p w14:paraId="70ED6E90" w14:textId="77777777" w:rsidR="006030B6" w:rsidRDefault="006030B6" w:rsidP="006030B6">
      <w:pPr>
        <w:overflowPunct w:val="0"/>
        <w:autoSpaceDE w:val="0"/>
        <w:autoSpaceDN w:val="0"/>
        <w:spacing w:line="360" w:lineRule="auto"/>
        <w:jc w:val="both"/>
        <w:rPr>
          <w:rFonts w:ascii="David" w:hAnsi="David"/>
          <w:rtl/>
        </w:rPr>
      </w:pPr>
      <w:r>
        <w:rPr>
          <w:rFonts w:ascii="David" w:hAnsi="David"/>
          <w:rtl/>
        </w:rPr>
        <w:t xml:space="preserve">ומן הכלל אל הפרט, סקירת מדיניות הענישה הנהוגה בעבירת החזקת נשק מלמדת על טווח ענישה רחב התלוי לרוב בנסיבותיו של כל מקרה ומקרה. </w:t>
      </w:r>
    </w:p>
    <w:p w14:paraId="5FB7796E" w14:textId="77777777" w:rsidR="006030B6" w:rsidRDefault="006030B6" w:rsidP="006030B6">
      <w:pPr>
        <w:overflowPunct w:val="0"/>
        <w:autoSpaceDE w:val="0"/>
        <w:autoSpaceDN w:val="0"/>
        <w:spacing w:line="360" w:lineRule="auto"/>
        <w:jc w:val="both"/>
        <w:rPr>
          <w:rFonts w:ascii="David" w:hAnsi="David"/>
          <w:rtl/>
        </w:rPr>
      </w:pPr>
      <w:r>
        <w:rPr>
          <w:rFonts w:ascii="David" w:hAnsi="David"/>
          <w:rtl/>
        </w:rPr>
        <w:t>ב</w:t>
      </w:r>
      <w:hyperlink r:id="rId37" w:history="1">
        <w:r w:rsidR="0076715B" w:rsidRPr="0076715B">
          <w:rPr>
            <w:rFonts w:ascii="David" w:hAnsi="David"/>
            <w:color w:val="0000FF"/>
            <w:u w:val="single"/>
            <w:rtl/>
          </w:rPr>
          <w:t>ע"פ 545/20</w:t>
        </w:r>
      </w:hyperlink>
      <w:r>
        <w:rPr>
          <w:rFonts w:ascii="David" w:hAnsi="David"/>
          <w:rtl/>
        </w:rPr>
        <w:t xml:space="preserve"> </w:t>
      </w:r>
      <w:r>
        <w:rPr>
          <w:rFonts w:ascii="David" w:hAnsi="David"/>
          <w:b/>
          <w:bCs/>
          <w:rtl/>
        </w:rPr>
        <w:t>פלוני נ' מדינת ישראל</w:t>
      </w:r>
      <w:r>
        <w:rPr>
          <w:rFonts w:ascii="David" w:hAnsi="David"/>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1CBA5930" w14:textId="77777777" w:rsidR="006030B6" w:rsidRDefault="006030B6" w:rsidP="006030B6">
      <w:pPr>
        <w:overflowPunct w:val="0"/>
        <w:autoSpaceDE w:val="0"/>
        <w:autoSpaceDN w:val="0"/>
        <w:spacing w:line="360" w:lineRule="auto"/>
        <w:jc w:val="both"/>
        <w:rPr>
          <w:rFonts w:ascii="David" w:hAnsi="David"/>
          <w:rtl/>
        </w:rPr>
      </w:pPr>
    </w:p>
    <w:p w14:paraId="33FC5351" w14:textId="77777777" w:rsidR="006030B6" w:rsidRDefault="006030B6" w:rsidP="006030B6">
      <w:pPr>
        <w:overflowPunct w:val="0"/>
        <w:autoSpaceDE w:val="0"/>
        <w:autoSpaceDN w:val="0"/>
        <w:spacing w:line="360" w:lineRule="auto"/>
        <w:jc w:val="both"/>
        <w:rPr>
          <w:rFonts w:ascii="David" w:hAnsi="David"/>
          <w:b/>
          <w:bCs/>
          <w:rtl/>
        </w:rPr>
      </w:pPr>
      <w:r>
        <w:rPr>
          <w:rFonts w:ascii="David" w:hAnsi="David"/>
          <w:rtl/>
        </w:rPr>
        <w:t>ב</w:t>
      </w:r>
      <w:hyperlink r:id="rId38" w:history="1">
        <w:r w:rsidR="0076715B" w:rsidRPr="0076715B">
          <w:rPr>
            <w:rFonts w:ascii="David" w:hAnsi="David"/>
            <w:color w:val="0000FF"/>
            <w:u w:val="single"/>
            <w:rtl/>
          </w:rPr>
          <w:t>ע"פ 5765/20</w:t>
        </w:r>
      </w:hyperlink>
      <w:r>
        <w:rPr>
          <w:rFonts w:ascii="David" w:hAnsi="David"/>
          <w:rtl/>
        </w:rPr>
        <w:t xml:space="preserve"> </w:t>
      </w:r>
      <w:r>
        <w:rPr>
          <w:rFonts w:ascii="David" w:hAnsi="David"/>
          <w:b/>
          <w:bCs/>
          <w:rtl/>
        </w:rPr>
        <w:t>אבו בכר נ' מדינת ישראל</w:t>
      </w:r>
      <w:r>
        <w:rPr>
          <w:rFonts w:ascii="David" w:hAnsi="David"/>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w:t>
      </w:r>
      <w:r>
        <w:rPr>
          <w:rFonts w:ascii="David" w:hAnsi="David"/>
          <w:b/>
          <w:bCs/>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72150BD6" w14:textId="77777777" w:rsidR="006030B6" w:rsidRDefault="006030B6" w:rsidP="006030B6">
      <w:pPr>
        <w:overflowPunct w:val="0"/>
        <w:autoSpaceDE w:val="0"/>
        <w:autoSpaceDN w:val="0"/>
        <w:spacing w:line="360" w:lineRule="auto"/>
        <w:jc w:val="both"/>
        <w:rPr>
          <w:rFonts w:ascii="David" w:hAnsi="David"/>
          <w:spacing w:val="10"/>
          <w:rtl/>
        </w:rPr>
      </w:pPr>
    </w:p>
    <w:p w14:paraId="2C740089" w14:textId="77777777" w:rsidR="006030B6" w:rsidRDefault="006030B6" w:rsidP="006030B6">
      <w:pPr>
        <w:overflowPunct w:val="0"/>
        <w:autoSpaceDE w:val="0"/>
        <w:autoSpaceDN w:val="0"/>
        <w:spacing w:line="360" w:lineRule="auto"/>
        <w:jc w:val="both"/>
        <w:rPr>
          <w:rFonts w:ascii="David" w:hAnsi="David"/>
          <w:rtl/>
        </w:rPr>
      </w:pPr>
      <w:r>
        <w:rPr>
          <w:rFonts w:ascii="David" w:hAnsi="David"/>
          <w:rtl/>
        </w:rPr>
        <w:t>ב</w:t>
      </w:r>
      <w:hyperlink r:id="rId39" w:history="1">
        <w:r w:rsidR="0076715B" w:rsidRPr="0076715B">
          <w:rPr>
            <w:rFonts w:ascii="David" w:hAnsi="David"/>
            <w:color w:val="0000FF"/>
            <w:u w:val="single"/>
            <w:rtl/>
          </w:rPr>
          <w:t>רע"פ 4079/21</w:t>
        </w:r>
      </w:hyperlink>
      <w:r>
        <w:rPr>
          <w:rFonts w:ascii="David" w:hAnsi="David"/>
          <w:rtl/>
        </w:rPr>
        <w:t xml:space="preserve"> </w:t>
      </w:r>
      <w:r>
        <w:rPr>
          <w:rFonts w:ascii="David" w:hAnsi="David"/>
          <w:b/>
          <w:bCs/>
          <w:rtl/>
        </w:rPr>
        <w:t>פלוני נ' מדינת ישראל</w:t>
      </w:r>
      <w:r>
        <w:rPr>
          <w:rFonts w:ascii="David" w:hAnsi="David"/>
          <w:rtl/>
        </w:rPr>
        <w:t xml:space="preserve"> (20.6.21) נדחה ערעור על חומרת העונש שנגזר – 6 חודשי מאסר בפועל שהוטל תוך חריגה ממתחם הענישה בשל שיקולי שיקום ונקבע: </w:t>
      </w:r>
      <w:r>
        <w:rPr>
          <w:rFonts w:ascii="David" w:hAnsi="David"/>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794561E8" w14:textId="77777777" w:rsidR="006030B6" w:rsidRDefault="006030B6" w:rsidP="006030B6">
      <w:pPr>
        <w:overflowPunct w:val="0"/>
        <w:autoSpaceDE w:val="0"/>
        <w:autoSpaceDN w:val="0"/>
        <w:ind w:right="1282"/>
        <w:jc w:val="both"/>
        <w:rPr>
          <w:rFonts w:ascii="David" w:hAnsi="David"/>
          <w:rtl/>
        </w:rPr>
      </w:pPr>
    </w:p>
    <w:p w14:paraId="75C9EED3" w14:textId="77777777" w:rsidR="006030B6" w:rsidRDefault="006030B6" w:rsidP="006030B6">
      <w:pPr>
        <w:overflowPunct w:val="0"/>
        <w:autoSpaceDE w:val="0"/>
        <w:autoSpaceDN w:val="0"/>
        <w:spacing w:line="360" w:lineRule="auto"/>
        <w:jc w:val="both"/>
        <w:rPr>
          <w:rFonts w:ascii="David" w:hAnsi="David"/>
          <w:b/>
          <w:bCs/>
          <w:rtl/>
        </w:rPr>
      </w:pPr>
      <w:r>
        <w:rPr>
          <w:rFonts w:ascii="David" w:hAnsi="David"/>
          <w:rtl/>
        </w:rPr>
        <w:t>ב</w:t>
      </w:r>
      <w:hyperlink r:id="rId40" w:history="1">
        <w:r w:rsidR="0076715B" w:rsidRPr="0076715B">
          <w:rPr>
            <w:rFonts w:ascii="David" w:hAnsi="David"/>
            <w:color w:val="0000FF"/>
            <w:u w:val="single"/>
            <w:rtl/>
          </w:rPr>
          <w:t>רע"פ 3619/21</w:t>
        </w:r>
      </w:hyperlink>
      <w:r>
        <w:rPr>
          <w:rFonts w:ascii="David" w:hAnsi="David"/>
          <w:rtl/>
        </w:rPr>
        <w:t xml:space="preserve"> </w:t>
      </w:r>
      <w:r>
        <w:rPr>
          <w:rFonts w:ascii="David" w:hAnsi="David"/>
          <w:b/>
          <w:bCs/>
          <w:rtl/>
        </w:rPr>
        <w:t>אבו הלאל נ' מדינת ישראל</w:t>
      </w:r>
      <w:r>
        <w:rPr>
          <w:rFonts w:ascii="David" w:hAnsi="David"/>
          <w:rtl/>
        </w:rPr>
        <w:t xml:space="preserve"> (26.5.21) נדחה ערעור על חומרת העונש שנגזר – 10 חודשי מאסר בפועל ונאמר: </w:t>
      </w:r>
      <w:r>
        <w:rPr>
          <w:rFonts w:ascii="David" w:hAnsi="David"/>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1" w:history="1">
        <w:r w:rsidR="0076715B" w:rsidRPr="0076715B">
          <w:rPr>
            <w:rFonts w:ascii="David" w:hAnsi="David"/>
            <w:b/>
            <w:bCs/>
            <w:color w:val="0000FF"/>
            <w:u w:val="single"/>
            <w:rtl/>
          </w:rPr>
          <w:t>רע"פ 5613/20</w:t>
        </w:r>
      </w:hyperlink>
      <w:r>
        <w:rPr>
          <w:rFonts w:ascii="David" w:hAnsi="David"/>
          <w:b/>
          <w:bCs/>
          <w:rtl/>
        </w:rPr>
        <w:t xml:space="preserve"> אלהוזייל נ' מדינת ישראל [פורסם בנבו] (25.8.2020); </w:t>
      </w:r>
      <w:hyperlink r:id="rId42" w:history="1">
        <w:r w:rsidR="0076715B" w:rsidRPr="0076715B">
          <w:rPr>
            <w:rFonts w:ascii="David" w:hAnsi="David"/>
            <w:b/>
            <w:bCs/>
            <w:color w:val="0000FF"/>
            <w:u w:val="single"/>
            <w:rtl/>
          </w:rPr>
          <w:t>רע"פ 4065/18</w:t>
        </w:r>
      </w:hyperlink>
      <w:r>
        <w:rPr>
          <w:rFonts w:ascii="David" w:hAnsi="David"/>
          <w:b/>
          <w:bCs/>
          <w:rtl/>
        </w:rPr>
        <w:t xml:space="preserve"> איאסו נ' מדינת ישראל [פורסם בנבו] (30.8.2018)). </w:t>
      </w:r>
    </w:p>
    <w:p w14:paraId="5EDC0412" w14:textId="77777777" w:rsidR="006030B6" w:rsidRDefault="006030B6" w:rsidP="006030B6">
      <w:pPr>
        <w:overflowPunct w:val="0"/>
        <w:autoSpaceDE w:val="0"/>
        <w:autoSpaceDN w:val="0"/>
        <w:spacing w:line="360" w:lineRule="auto"/>
        <w:jc w:val="both"/>
        <w:rPr>
          <w:rFonts w:ascii="David" w:hAnsi="David"/>
          <w:b/>
          <w:bCs/>
          <w:rtl/>
        </w:rPr>
      </w:pPr>
      <w:r>
        <w:rPr>
          <w:rFonts w:ascii="David" w:hAnsi="David"/>
          <w:b/>
          <w:bCs/>
          <w:rtl/>
        </w:rPr>
        <w:t>במכלול הנסיבות, אני סבור כי העונש שהושת על המבקשים אף מקל עמם ואין בו כדי לבטא את החומרה שיש בהחזקת כלי הנשק המאולתרים."</w:t>
      </w:r>
    </w:p>
    <w:p w14:paraId="39950446" w14:textId="77777777" w:rsidR="006030B6" w:rsidRDefault="006030B6" w:rsidP="006030B6">
      <w:pPr>
        <w:spacing w:line="360" w:lineRule="auto"/>
        <w:jc w:val="both"/>
        <w:rPr>
          <w:rFonts w:ascii="David" w:hAnsi="David"/>
          <w:rtl/>
        </w:rPr>
      </w:pPr>
    </w:p>
    <w:p w14:paraId="24D1D430" w14:textId="77777777" w:rsidR="006030B6" w:rsidRDefault="006030B6" w:rsidP="006030B6">
      <w:pPr>
        <w:spacing w:line="360" w:lineRule="auto"/>
        <w:jc w:val="both"/>
        <w:rPr>
          <w:rFonts w:ascii="David" w:hAnsi="David"/>
          <w:rtl/>
        </w:rPr>
      </w:pPr>
      <w:r>
        <w:rPr>
          <w:rFonts w:ascii="David" w:hAnsi="David"/>
          <w:rtl/>
        </w:rPr>
        <w:t>ב</w:t>
      </w:r>
      <w:hyperlink r:id="rId43" w:history="1">
        <w:r w:rsidR="0076715B" w:rsidRPr="0076715B">
          <w:rPr>
            <w:rFonts w:ascii="David" w:hAnsi="David"/>
            <w:color w:val="0000FF"/>
            <w:u w:val="single"/>
            <w:rtl/>
          </w:rPr>
          <w:t>ע"פ 3632/14</w:t>
        </w:r>
      </w:hyperlink>
      <w:r>
        <w:rPr>
          <w:rFonts w:ascii="David" w:hAnsi="David"/>
          <w:rtl/>
        </w:rPr>
        <w:t xml:space="preserve"> </w:t>
      </w:r>
      <w:r>
        <w:rPr>
          <w:rFonts w:ascii="David" w:hAnsi="David"/>
          <w:b/>
          <w:bCs/>
          <w:rtl/>
        </w:rPr>
        <w:t>אנואר אבו סבית נ' מדינת ישראל</w:t>
      </w:r>
      <w:r>
        <w:rPr>
          <w:rFonts w:ascii="David" w:hAnsi="David"/>
          <w:rtl/>
        </w:rPr>
        <w:t xml:space="preserve"> (08.12.14), בית המשפט העליון דחה ערעורו של המערער על גזר דינו של בית המשפט המחוזי במסגרתו הושתו עליו 18 חודשי מאסר בפועל ומאסר מותנה בגין עבירה של החזקת נשק מסוג תת מקלע מאולתר. עוד נקבע כי המתחם שקבע בית המשפט המחוזי אשר נע בין 12-36 חודשי מאסר בפועל, הינו מתחם הענישה המקובל כיום בעבירות אלה. המדובר בצעיר, נעדר עבר פלילי.</w:t>
      </w:r>
    </w:p>
    <w:p w14:paraId="20C5F85A" w14:textId="77777777" w:rsidR="006030B6" w:rsidRDefault="006030B6" w:rsidP="006030B6">
      <w:pPr>
        <w:spacing w:line="360" w:lineRule="auto"/>
        <w:jc w:val="both"/>
        <w:rPr>
          <w:rFonts w:cs="Times New Roman"/>
          <w:rtl/>
        </w:rPr>
      </w:pPr>
    </w:p>
    <w:p w14:paraId="65D55009" w14:textId="77777777" w:rsidR="006030B6" w:rsidRDefault="006030B6" w:rsidP="006030B6">
      <w:pPr>
        <w:spacing w:line="360" w:lineRule="auto"/>
        <w:jc w:val="both"/>
        <w:rPr>
          <w:rFonts w:ascii="David" w:hAnsi="David"/>
          <w:rtl/>
        </w:rPr>
      </w:pPr>
      <w:r>
        <w:rPr>
          <w:rFonts w:ascii="David" w:hAnsi="David"/>
          <w:rtl/>
        </w:rPr>
        <w:t>ב</w:t>
      </w:r>
      <w:hyperlink r:id="rId44" w:history="1">
        <w:r w:rsidR="0076715B" w:rsidRPr="0076715B">
          <w:rPr>
            <w:rFonts w:ascii="David" w:hAnsi="David"/>
            <w:color w:val="0000FF"/>
            <w:u w:val="single"/>
            <w:rtl/>
          </w:rPr>
          <w:t>ע"פ 4722/20</w:t>
        </w:r>
      </w:hyperlink>
      <w:r>
        <w:rPr>
          <w:rFonts w:ascii="David" w:hAnsi="David"/>
          <w:rtl/>
        </w:rPr>
        <w:t xml:space="preserve"> </w:t>
      </w:r>
      <w:r>
        <w:rPr>
          <w:rFonts w:ascii="David" w:hAnsi="David"/>
          <w:b/>
          <w:bCs/>
          <w:rtl/>
        </w:rPr>
        <w:t>בזייג נגד מדינת ישראל</w:t>
      </w:r>
      <w:r>
        <w:rPr>
          <w:rFonts w:ascii="David" w:hAnsi="David"/>
          <w:rtl/>
        </w:rPr>
        <w:t xml:space="preserve"> (09.08.20), המערער הורשע בביצוע עבירות החזקת נשק שלא כדין והחזקת אבזר לנשק שלא כדין כך שנהג ברכב בנוף הגליל כשהוא מחזיק ברכב, נשק מסוג דמוי רובה סער </w:t>
      </w:r>
      <w:r>
        <w:rPr>
          <w:rFonts w:cs="Times New Roman"/>
        </w:rPr>
        <w:t>M-16</w:t>
      </w:r>
      <w:r>
        <w:rPr>
          <w:rFonts w:ascii="David" w:hAnsi="David"/>
          <w:rtl/>
        </w:rPr>
        <w:t xml:space="preserve"> המכיל חלקים של כלי נשק תקניים ומחסנית תואמת ריקה מתחמושת. בית המשפט המחוזי, קבע מתחם עונש הנע בין 12 ל- 36 חודשי מאסר וגזר על הנאשם 18 חודשי מאסר בפועל. ערעור שהוגש לבית המשפט העליון, נדחה.</w:t>
      </w:r>
    </w:p>
    <w:p w14:paraId="436C6414" w14:textId="77777777" w:rsidR="006030B6" w:rsidRDefault="006030B6" w:rsidP="006030B6">
      <w:pPr>
        <w:spacing w:line="360" w:lineRule="auto"/>
        <w:jc w:val="both"/>
        <w:rPr>
          <w:rFonts w:ascii="David" w:hAnsi="David"/>
        </w:rPr>
      </w:pPr>
    </w:p>
    <w:p w14:paraId="304821F1" w14:textId="77777777" w:rsidR="006030B6" w:rsidRDefault="006030B6" w:rsidP="006030B6">
      <w:pPr>
        <w:spacing w:line="360" w:lineRule="auto"/>
        <w:jc w:val="both"/>
        <w:rPr>
          <w:rFonts w:ascii="David" w:hAnsi="David"/>
          <w:b/>
          <w:bCs/>
          <w:rtl/>
        </w:rPr>
      </w:pPr>
      <w:r>
        <w:rPr>
          <w:rFonts w:ascii="David" w:hAnsi="David"/>
          <w:rtl/>
        </w:rPr>
        <w:t>ב</w:t>
      </w:r>
      <w:hyperlink r:id="rId45" w:history="1">
        <w:r w:rsidR="0076715B" w:rsidRPr="0076715B">
          <w:rPr>
            <w:rFonts w:ascii="David" w:hAnsi="David"/>
            <w:color w:val="0000FF"/>
            <w:u w:val="single"/>
            <w:rtl/>
          </w:rPr>
          <w:t>עפ"ג 50840-03-22</w:t>
        </w:r>
      </w:hyperlink>
      <w:r>
        <w:rPr>
          <w:rFonts w:ascii="David" w:hAnsi="David"/>
          <w:rtl/>
        </w:rPr>
        <w:t xml:space="preserve"> </w:t>
      </w:r>
      <w:r>
        <w:rPr>
          <w:rFonts w:ascii="David" w:hAnsi="David"/>
          <w:b/>
          <w:bCs/>
          <w:rtl/>
        </w:rPr>
        <w:t>מדינת ישראל נ' סלאמה</w:t>
      </w:r>
      <w:r>
        <w:rPr>
          <w:rFonts w:ascii="David" w:hAnsi="David"/>
          <w:rtl/>
        </w:rPr>
        <w:t xml:space="preserve"> (04.04.22)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5A4AE9C0" w14:textId="77777777" w:rsidR="006030B6" w:rsidRDefault="006030B6" w:rsidP="006030B6">
      <w:pPr>
        <w:spacing w:line="360" w:lineRule="auto"/>
        <w:jc w:val="both"/>
        <w:rPr>
          <w:rFonts w:ascii="David" w:hAnsi="David"/>
          <w:b/>
          <w:bCs/>
          <w:rtl/>
        </w:rPr>
      </w:pPr>
    </w:p>
    <w:p w14:paraId="06F6445E" w14:textId="77777777" w:rsidR="006030B6" w:rsidRDefault="006030B6" w:rsidP="006030B6">
      <w:pPr>
        <w:spacing w:line="360" w:lineRule="auto"/>
        <w:jc w:val="both"/>
        <w:rPr>
          <w:rFonts w:ascii="David" w:hAnsi="David"/>
          <w:rtl/>
        </w:rPr>
      </w:pPr>
      <w:r>
        <w:rPr>
          <w:rFonts w:ascii="David" w:hAnsi="David"/>
          <w:rtl/>
        </w:rPr>
        <w:t>ב</w:t>
      </w:r>
      <w:hyperlink r:id="rId46" w:history="1">
        <w:r w:rsidR="0076715B" w:rsidRPr="0076715B">
          <w:rPr>
            <w:rFonts w:ascii="David" w:hAnsi="David"/>
            <w:color w:val="0000FF"/>
            <w:u w:val="single"/>
            <w:rtl/>
          </w:rPr>
          <w:t>עפ"ג 12888-03-22</w:t>
        </w:r>
      </w:hyperlink>
      <w:r>
        <w:rPr>
          <w:rFonts w:ascii="David" w:hAnsi="David"/>
          <w:rtl/>
        </w:rPr>
        <w:t xml:space="preserve"> </w:t>
      </w:r>
      <w:r>
        <w:rPr>
          <w:rFonts w:ascii="David" w:hAnsi="David"/>
          <w:b/>
          <w:bCs/>
          <w:rtl/>
        </w:rPr>
        <w:t>מדינת ישראל נ' אגבריה</w:t>
      </w:r>
      <w:r>
        <w:rPr>
          <w:rFonts w:ascii="David" w:hAnsi="David"/>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30A986EB" w14:textId="77777777" w:rsidR="006030B6" w:rsidRDefault="006030B6" w:rsidP="006030B6">
      <w:pPr>
        <w:spacing w:line="360" w:lineRule="auto"/>
        <w:jc w:val="both"/>
        <w:rPr>
          <w:rFonts w:ascii="David" w:hAnsi="David"/>
          <w:rtl/>
        </w:rPr>
      </w:pPr>
    </w:p>
    <w:p w14:paraId="72A9A4C2" w14:textId="77777777" w:rsidR="006030B6" w:rsidRDefault="006030B6" w:rsidP="006030B6">
      <w:pPr>
        <w:spacing w:line="360" w:lineRule="auto"/>
        <w:jc w:val="both"/>
        <w:rPr>
          <w:rFonts w:ascii="David" w:hAnsi="David"/>
          <w:rtl/>
        </w:rPr>
      </w:pPr>
      <w:r>
        <w:rPr>
          <w:rFonts w:ascii="David" w:hAnsi="David"/>
          <w:rtl/>
        </w:rPr>
        <w:t xml:space="preserve">בהתאם לאמור, מדיניות הענישה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712299F0" w14:textId="77777777" w:rsidR="006030B6" w:rsidRDefault="006030B6" w:rsidP="006030B6">
      <w:pPr>
        <w:spacing w:line="360" w:lineRule="auto"/>
        <w:jc w:val="both"/>
        <w:rPr>
          <w:rFonts w:ascii="David" w:hAnsi="David"/>
          <w:rtl/>
        </w:rPr>
      </w:pPr>
    </w:p>
    <w:p w14:paraId="577888F1" w14:textId="77777777" w:rsidR="006030B6" w:rsidRDefault="006030B6" w:rsidP="006030B6">
      <w:pPr>
        <w:spacing w:line="360" w:lineRule="auto"/>
        <w:jc w:val="both"/>
        <w:rPr>
          <w:rFonts w:ascii="David" w:hAnsi="David"/>
          <w:rtl/>
        </w:rPr>
      </w:pPr>
      <w:r>
        <w:rPr>
          <w:rFonts w:ascii="David" w:hAnsi="David"/>
          <w:rtl/>
        </w:rPr>
        <w:t xml:space="preserve">בענייננו, הנאשם </w:t>
      </w:r>
      <w:r>
        <w:rPr>
          <w:rFonts w:ascii="David" w:hAnsi="David" w:hint="cs"/>
          <w:rtl/>
        </w:rPr>
        <w:t xml:space="preserve">סייע בהחזקת נשק </w:t>
      </w:r>
      <w:r>
        <w:rPr>
          <w:rFonts w:ascii="David" w:hAnsi="David"/>
          <w:rtl/>
        </w:rPr>
        <w:t>–</w:t>
      </w:r>
      <w:r>
        <w:rPr>
          <w:rFonts w:ascii="David" w:hAnsi="David" w:hint="cs"/>
          <w:rtl/>
        </w:rPr>
        <w:t xml:space="preserve"> תת מקלע מ</w:t>
      </w:r>
      <w:r>
        <w:rPr>
          <w:rFonts w:ascii="David" w:hAnsi="David"/>
          <w:rtl/>
        </w:rPr>
        <w:t xml:space="preserve">אולתר </w:t>
      </w:r>
      <w:r>
        <w:rPr>
          <w:rFonts w:ascii="David" w:hAnsi="David" w:hint="cs"/>
          <w:rtl/>
        </w:rPr>
        <w:t xml:space="preserve">מסוג קרלו גוסטב ומחסנית ריקה תואמת </w:t>
      </w:r>
      <w:r>
        <w:rPr>
          <w:rFonts w:ascii="David" w:hAnsi="David"/>
          <w:rtl/>
        </w:rPr>
        <w:t>שמסוגל לירות כדור ובכוחו להמית אדם, כך שהנזק הטמון בו רב לאין ערוך. אמנם, בסופו של יום לא נעשה שימוש בנשק, עם זאת אין בכך כאמור כדי להפחית מחומרת הנסיבות הקשורות בביצוע המעשים ולהתעלם מהפגיעות הפוטנציאליות שהיו עלולות להתרחש</w:t>
      </w:r>
      <w:r>
        <w:rPr>
          <w:rFonts w:ascii="David" w:hAnsi="David" w:hint="cs"/>
          <w:rtl/>
        </w:rPr>
        <w:t xml:space="preserve"> וזאת גם אם מדובר בעבירת סיוע המתבטאת בכך שהנאשם נגע באצבעותיו בנשק הנ"ל. </w:t>
      </w:r>
    </w:p>
    <w:p w14:paraId="462A7006" w14:textId="77777777" w:rsidR="006030B6" w:rsidRDefault="006030B6" w:rsidP="006030B6">
      <w:pPr>
        <w:spacing w:line="360" w:lineRule="auto"/>
        <w:jc w:val="both"/>
        <w:rPr>
          <w:rFonts w:ascii="David" w:hAnsi="David"/>
          <w:rtl/>
        </w:rPr>
      </w:pPr>
    </w:p>
    <w:p w14:paraId="6518744A" w14:textId="77777777" w:rsidR="006030B6" w:rsidRDefault="006030B6" w:rsidP="006030B6">
      <w:pPr>
        <w:spacing w:line="360" w:lineRule="auto"/>
        <w:jc w:val="both"/>
        <w:rPr>
          <w:rFonts w:ascii="David" w:hAnsi="David"/>
          <w:rtl/>
        </w:rPr>
      </w:pPr>
      <w:r>
        <w:rPr>
          <w:rFonts w:ascii="David" w:hAnsi="David" w:hint="cs"/>
          <w:rtl/>
        </w:rPr>
        <w:t xml:space="preserve">בקביעת מתחם העונש ההולם, יש לקחת בחשבון לצד הנסיבות אשר אוזכרו בפסיקה האמורה לעיל את נסיבותיו המיוחדות והייחודיות של מקרה זה אשר משקפות אירוע נקודתי, רגעי, המתבטא בסיוע להחזקת נשק ומחסנית. הנשק הוחזק על ידי אחר והנאשם נגע בו באצבעותיו בלבד ומכאן אחריותו הנקודתית לביצוע העבירות. </w:t>
      </w:r>
    </w:p>
    <w:p w14:paraId="76321A1D" w14:textId="77777777" w:rsidR="006030B6" w:rsidRDefault="006030B6" w:rsidP="006030B6">
      <w:pPr>
        <w:spacing w:line="360" w:lineRule="auto"/>
        <w:jc w:val="both"/>
        <w:rPr>
          <w:rFonts w:ascii="David" w:hAnsi="David"/>
          <w:rtl/>
        </w:rPr>
      </w:pPr>
    </w:p>
    <w:p w14:paraId="7B20C590" w14:textId="77777777" w:rsidR="006030B6" w:rsidRDefault="006030B6" w:rsidP="006030B6">
      <w:pPr>
        <w:spacing w:line="360" w:lineRule="auto"/>
        <w:jc w:val="both"/>
        <w:rPr>
          <w:rFonts w:ascii="David" w:hAnsi="David"/>
          <w:rtl/>
        </w:rPr>
      </w:pPr>
      <w:r>
        <w:rPr>
          <w:rFonts w:ascii="David" w:hAnsi="David"/>
          <w:rtl/>
        </w:rPr>
        <w:t>בהתחשב בעובדות ו</w:t>
      </w:r>
      <w:r>
        <w:rPr>
          <w:rFonts w:ascii="David" w:hAnsi="David" w:hint="cs"/>
          <w:rtl/>
        </w:rPr>
        <w:t>ב</w:t>
      </w:r>
      <w:r>
        <w:rPr>
          <w:rFonts w:ascii="David" w:hAnsi="David"/>
          <w:rtl/>
        </w:rPr>
        <w:t>נסיבות</w:t>
      </w:r>
      <w:r>
        <w:rPr>
          <w:rFonts w:ascii="David" w:hAnsi="David" w:hint="cs"/>
          <w:rtl/>
        </w:rPr>
        <w:t xml:space="preserve"> האמורות לעיל, ולאור </w:t>
      </w:r>
      <w:r>
        <w:rPr>
          <w:rFonts w:ascii="David" w:hAnsi="David"/>
          <w:rtl/>
        </w:rPr>
        <w:t xml:space="preserve">מגמת </w:t>
      </w:r>
      <w:r>
        <w:rPr>
          <w:rFonts w:ascii="David" w:hAnsi="David" w:hint="cs"/>
          <w:rtl/>
        </w:rPr>
        <w:t xml:space="preserve">הענישה </w:t>
      </w:r>
      <w:r>
        <w:rPr>
          <w:rFonts w:ascii="David" w:hAnsi="David"/>
          <w:rtl/>
        </w:rPr>
        <w:t>ההדרגתית של בית המשפט העליון בעבירות נשק, מצאתי כי מתחם העונש ההולם בעניינו של הנאשם</w:t>
      </w:r>
      <w:r>
        <w:rPr>
          <w:rFonts w:ascii="David" w:hAnsi="David"/>
          <w:b/>
          <w:bCs/>
          <w:rtl/>
        </w:rPr>
        <w:t xml:space="preserve"> </w:t>
      </w:r>
      <w:r>
        <w:rPr>
          <w:rFonts w:ascii="David" w:hAnsi="David"/>
          <w:rtl/>
        </w:rPr>
        <w:t>נע בין 12 ל- 30 חודשי מאסר בפועל,</w:t>
      </w:r>
      <w:r>
        <w:rPr>
          <w:rFonts w:ascii="David" w:hAnsi="David" w:hint="cs"/>
          <w:b/>
          <w:bCs/>
          <w:rtl/>
        </w:rPr>
        <w:t xml:space="preserve"> </w:t>
      </w:r>
      <w:r>
        <w:rPr>
          <w:rFonts w:ascii="David" w:hAnsi="David" w:hint="cs"/>
          <w:rtl/>
        </w:rPr>
        <w:t xml:space="preserve">וזאת אילו היה הנאשם מורשע בעבירה של החזקת נשק ומחסנית. מאחר ובענייננו הנאשם הורשע בעבירה של סיוע להחזקת הנשק והמחסנית, ובהתאם לאמור </w:t>
      </w:r>
      <w:hyperlink r:id="rId47" w:history="1">
        <w:r w:rsidR="00D5733A" w:rsidRPr="00D5733A">
          <w:rPr>
            <w:rStyle w:val="Hyperlink"/>
            <w:rFonts w:ascii="David" w:hAnsi="David" w:hint="eastAsia"/>
            <w:rtl/>
          </w:rPr>
          <w:t>בסעיף</w:t>
        </w:r>
        <w:r w:rsidR="00D5733A" w:rsidRPr="00D5733A">
          <w:rPr>
            <w:rStyle w:val="Hyperlink"/>
            <w:rFonts w:ascii="David" w:hAnsi="David"/>
            <w:rtl/>
          </w:rPr>
          <w:t xml:space="preserve"> 32</w:t>
        </w:r>
      </w:hyperlink>
      <w:r>
        <w:rPr>
          <w:rFonts w:ascii="David" w:hAnsi="David" w:hint="cs"/>
          <w:rtl/>
        </w:rPr>
        <w:t xml:space="preserve"> ל</w:t>
      </w:r>
      <w:hyperlink r:id="rId48" w:history="1">
        <w:r w:rsidR="0076715B" w:rsidRPr="0076715B">
          <w:rPr>
            <w:rFonts w:ascii="David" w:hAnsi="David"/>
            <w:color w:val="0000FF"/>
            <w:u w:val="single"/>
            <w:rtl/>
          </w:rPr>
          <w:t>חוק העונשין</w:t>
        </w:r>
      </w:hyperlink>
      <w:r>
        <w:rPr>
          <w:rFonts w:ascii="David" w:hAnsi="David" w:hint="cs"/>
          <w:rtl/>
        </w:rPr>
        <w:t xml:space="preserve">, יש לקבוע שעונשו כמסייע יועמד על מחצית העונש הנקבע בחיקוק בשל ביצועה העיקרי של העבירה. ביחס לעבירה של החזקת נשק לפי סעיף </w:t>
      </w:r>
      <w:hyperlink r:id="rId49" w:history="1">
        <w:r w:rsidR="00D5733A" w:rsidRPr="00D5733A">
          <w:rPr>
            <w:rStyle w:val="Hyperlink"/>
            <w:rFonts w:ascii="David" w:hAnsi="David"/>
            <w:rtl/>
          </w:rPr>
          <w:t>144</w:t>
        </w:r>
      </w:hyperlink>
      <w:r>
        <w:rPr>
          <w:rFonts w:ascii="David" w:hAnsi="David" w:hint="cs"/>
          <w:rtl/>
        </w:rPr>
        <w:t>(רישא+סיפא) ל</w:t>
      </w:r>
      <w:hyperlink r:id="rId50" w:history="1">
        <w:r w:rsidR="0076715B" w:rsidRPr="0076715B">
          <w:rPr>
            <w:rFonts w:ascii="David" w:hAnsi="David"/>
            <w:color w:val="0000FF"/>
            <w:u w:val="single"/>
            <w:rtl/>
          </w:rPr>
          <w:t>חוק העונשין</w:t>
        </w:r>
      </w:hyperlink>
      <w:r>
        <w:rPr>
          <w:rFonts w:ascii="David" w:hAnsi="David" w:hint="cs"/>
          <w:rtl/>
        </w:rPr>
        <w:t xml:space="preserve">, יועמד העונש על מחצית התקופה הקבועה בהוראות חוק זו. </w:t>
      </w:r>
    </w:p>
    <w:p w14:paraId="33482F68" w14:textId="77777777" w:rsidR="006030B6" w:rsidRDefault="006030B6" w:rsidP="006030B6">
      <w:pPr>
        <w:spacing w:line="360" w:lineRule="auto"/>
        <w:jc w:val="both"/>
        <w:rPr>
          <w:rFonts w:ascii="David" w:hAnsi="David"/>
          <w:rtl/>
        </w:rPr>
      </w:pPr>
    </w:p>
    <w:p w14:paraId="734F79A0" w14:textId="77777777" w:rsidR="006030B6" w:rsidRDefault="006030B6" w:rsidP="006030B6">
      <w:pPr>
        <w:spacing w:line="360" w:lineRule="auto"/>
        <w:jc w:val="both"/>
        <w:rPr>
          <w:rFonts w:ascii="David" w:hAnsi="David"/>
          <w:b/>
          <w:bCs/>
          <w:u w:val="single"/>
          <w:rtl/>
        </w:rPr>
      </w:pPr>
      <w:r>
        <w:rPr>
          <w:rFonts w:ascii="David" w:hAnsi="David"/>
          <w:b/>
          <w:bCs/>
          <w:u w:val="single"/>
          <w:rtl/>
        </w:rPr>
        <w:t>קביעת העונש ההולם</w:t>
      </w:r>
      <w:r>
        <w:rPr>
          <w:rFonts w:ascii="David" w:hAnsi="David"/>
          <w:rtl/>
        </w:rPr>
        <w:t xml:space="preserve">: </w:t>
      </w:r>
    </w:p>
    <w:p w14:paraId="4AF9EEF4" w14:textId="77777777" w:rsidR="006030B6" w:rsidRDefault="006030B6" w:rsidP="006030B6">
      <w:pPr>
        <w:spacing w:line="360" w:lineRule="auto"/>
        <w:jc w:val="both"/>
        <w:rPr>
          <w:rFonts w:ascii="David" w:hAnsi="David"/>
          <w:rtl/>
        </w:rPr>
      </w:pPr>
      <w:r>
        <w:rPr>
          <w:rFonts w:ascii="David" w:hAnsi="David"/>
          <w:rtl/>
        </w:rPr>
        <w:t>בקביעת עונשו של הנאשם בתוך המתחם יש לקחת בחשבון את העובדה שהנאשם הודה בהזדמנות הראשונה וחסך זמן שיפוטי יקר. לחובת הנאשם הרשע</w:t>
      </w:r>
      <w:r>
        <w:rPr>
          <w:rFonts w:ascii="David" w:hAnsi="David" w:hint="cs"/>
          <w:rtl/>
        </w:rPr>
        <w:t>ה</w:t>
      </w:r>
      <w:r>
        <w:rPr>
          <w:rFonts w:ascii="David" w:hAnsi="David"/>
          <w:rtl/>
        </w:rPr>
        <w:t xml:space="preserve"> קודמת</w:t>
      </w:r>
      <w:r>
        <w:rPr>
          <w:rFonts w:ascii="David" w:hAnsi="David" w:hint="cs"/>
          <w:rtl/>
        </w:rPr>
        <w:t xml:space="preserve"> אחת כעולה מת/2 שאינה דומה לעבירה מושא הליך זה שבפני. </w:t>
      </w:r>
    </w:p>
    <w:p w14:paraId="7150DBFB" w14:textId="77777777" w:rsidR="006030B6" w:rsidRDefault="006030B6" w:rsidP="006030B6">
      <w:pPr>
        <w:spacing w:line="360" w:lineRule="auto"/>
        <w:jc w:val="both"/>
        <w:rPr>
          <w:rFonts w:ascii="David" w:hAnsi="David"/>
          <w:rtl/>
        </w:rPr>
      </w:pPr>
    </w:p>
    <w:p w14:paraId="4614281D" w14:textId="77777777" w:rsidR="006030B6" w:rsidRDefault="006030B6" w:rsidP="006030B6">
      <w:pPr>
        <w:spacing w:line="360" w:lineRule="auto"/>
        <w:jc w:val="both"/>
        <w:rPr>
          <w:rFonts w:ascii="David" w:hAnsi="David"/>
          <w:rtl/>
        </w:rPr>
      </w:pPr>
      <w:r>
        <w:rPr>
          <w:rFonts w:ascii="David" w:hAnsi="David"/>
          <w:rtl/>
        </w:rPr>
        <w:t xml:space="preserve">בטיעוניו לעונש ביקש בא כוח הנאשם להקל עם הנאשם ולזקוף לזכותו את הודאתו ולהתחשב בנסיבות </w:t>
      </w:r>
      <w:r>
        <w:rPr>
          <w:rFonts w:ascii="David" w:hAnsi="David" w:hint="cs"/>
          <w:rtl/>
        </w:rPr>
        <w:t>ביצוע העבירה ובמיוחד בעובדה שהמבצע העיקרי לא נתפס, לא נעצר ולא הועמד לדין.</w:t>
      </w:r>
    </w:p>
    <w:p w14:paraId="0E53CB29" w14:textId="77777777" w:rsidR="006030B6" w:rsidRDefault="006030B6" w:rsidP="006030B6">
      <w:pPr>
        <w:spacing w:line="360" w:lineRule="auto"/>
        <w:jc w:val="both"/>
        <w:rPr>
          <w:rFonts w:ascii="David" w:hAnsi="David"/>
          <w:rtl/>
        </w:rPr>
      </w:pPr>
    </w:p>
    <w:p w14:paraId="3FA5A994" w14:textId="77777777" w:rsidR="006030B6" w:rsidRDefault="006030B6" w:rsidP="006030B6">
      <w:pPr>
        <w:spacing w:line="360" w:lineRule="auto"/>
        <w:jc w:val="both"/>
        <w:rPr>
          <w:rFonts w:ascii="David" w:hAnsi="David"/>
          <w:rtl/>
        </w:rPr>
      </w:pPr>
      <w:r>
        <w:rPr>
          <w:rFonts w:ascii="David" w:hAnsi="David"/>
          <w:rtl/>
        </w:rPr>
        <w:t>בצד סוג, טיב וחומרת העבירה המיוחסת לנאשם, ישנם שיקולי ענישה רבים ומגוונים ובסופו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hyperlink r:id="rId51" w:history="1">
        <w:r w:rsidR="0076715B" w:rsidRPr="0076715B">
          <w:rPr>
            <w:rFonts w:ascii="David" w:hAnsi="David"/>
            <w:color w:val="0000FF"/>
            <w:u w:val="single"/>
            <w:rtl/>
          </w:rPr>
          <w:t>ע"פ 5330/20</w:t>
        </w:r>
      </w:hyperlink>
      <w:r>
        <w:rPr>
          <w:rFonts w:ascii="David" w:hAnsi="David"/>
          <w:rtl/>
        </w:rPr>
        <w:t xml:space="preserve"> </w:t>
      </w:r>
      <w:r>
        <w:rPr>
          <w:rFonts w:ascii="David" w:hAnsi="David"/>
          <w:b/>
          <w:bCs/>
          <w:rtl/>
        </w:rPr>
        <w:t>ענבתאוי נ' מדינת ישראל</w:t>
      </w:r>
      <w:r>
        <w:rPr>
          <w:rFonts w:ascii="David" w:hAnsi="David"/>
          <w:rtl/>
        </w:rPr>
        <w:t xml:space="preserve">, [פורסם בנבו] (22.11.20)). </w:t>
      </w:r>
    </w:p>
    <w:p w14:paraId="516769C2" w14:textId="77777777" w:rsidR="006030B6" w:rsidRDefault="006030B6" w:rsidP="006030B6">
      <w:pPr>
        <w:spacing w:line="360" w:lineRule="auto"/>
        <w:jc w:val="both"/>
        <w:rPr>
          <w:rFonts w:ascii="David" w:hAnsi="David"/>
          <w:rtl/>
        </w:rPr>
      </w:pPr>
    </w:p>
    <w:p w14:paraId="07510CE6" w14:textId="77777777" w:rsidR="006030B6" w:rsidRDefault="006030B6" w:rsidP="006030B6">
      <w:pPr>
        <w:spacing w:line="360" w:lineRule="auto"/>
        <w:jc w:val="both"/>
        <w:rPr>
          <w:rFonts w:ascii="David" w:hAnsi="David"/>
          <w:rtl/>
        </w:rPr>
      </w:pPr>
      <w:r>
        <w:rPr>
          <w:rFonts w:ascii="David" w:hAnsi="David"/>
          <w:rtl/>
        </w:rPr>
        <w:t xml:space="preserve">במקרה דנן יש צורך בהרתעת הרבים מפני ביצוע עבירות נשק מסוג זה </w:t>
      </w:r>
      <w:r>
        <w:rPr>
          <w:rFonts w:ascii="David" w:hAnsi="David" w:hint="cs"/>
          <w:rtl/>
        </w:rPr>
        <w:t>ו</w:t>
      </w:r>
      <w:r>
        <w:rPr>
          <w:rFonts w:ascii="David" w:hAnsi="David"/>
          <w:rtl/>
        </w:rPr>
        <w:t>יש סיכוי של ממש שהחמרה בעונשו של הנאשם תביא להרתעת הרבים. חדשות לבקרים מתבצעים מקרי ירי תוך שימוש בנשק חם. בעשרות מקרים, קיפדו חייהם, צעירים ומבוגרים כאחד, בשל מעשי ירי ושימוש בנשק לא חוקי. עבירות הנשק הפכו לנגע שהתפשט בחברה ועל בתי המשפט להילחם בנגע זה מלחמת חורמה.</w:t>
      </w:r>
    </w:p>
    <w:p w14:paraId="4B6889BA" w14:textId="77777777" w:rsidR="006030B6" w:rsidRDefault="006030B6" w:rsidP="006030B6">
      <w:pPr>
        <w:spacing w:line="360" w:lineRule="auto"/>
        <w:jc w:val="both"/>
        <w:rPr>
          <w:rFonts w:ascii="David" w:hAnsi="David"/>
          <w:rtl/>
        </w:rPr>
      </w:pPr>
    </w:p>
    <w:p w14:paraId="04788AED" w14:textId="77777777" w:rsidR="006030B6" w:rsidRDefault="006030B6" w:rsidP="006030B6">
      <w:pPr>
        <w:spacing w:line="360" w:lineRule="auto"/>
        <w:jc w:val="both"/>
        <w:rPr>
          <w:rFonts w:ascii="David" w:hAnsi="David"/>
          <w:rtl/>
        </w:rPr>
      </w:pPr>
      <w:r>
        <w:rPr>
          <w:rFonts w:ascii="David" w:hAnsi="David"/>
          <w:rtl/>
        </w:rPr>
        <w:t>בהתחשב בחומרת המעשה, בנסיבותיו</w:t>
      </w:r>
      <w:r>
        <w:rPr>
          <w:rFonts w:ascii="David" w:hAnsi="David" w:hint="cs"/>
          <w:rtl/>
        </w:rPr>
        <w:t xml:space="preserve"> המיוחדות והחריגות, ו</w:t>
      </w:r>
      <w:r>
        <w:rPr>
          <w:rFonts w:ascii="David" w:hAnsi="David"/>
          <w:rtl/>
        </w:rPr>
        <w:t>במידת אשמו של הנאשם</w:t>
      </w:r>
      <w:r>
        <w:rPr>
          <w:rFonts w:ascii="David" w:hAnsi="David" w:hint="cs"/>
          <w:rtl/>
        </w:rPr>
        <w:t xml:space="preserve"> המתבטאת בנגיעה רגעית וחפוזה בנשק,</w:t>
      </w:r>
      <w:r>
        <w:rPr>
          <w:rFonts w:ascii="David" w:hAnsi="David"/>
          <w:rtl/>
        </w:rPr>
        <w:t xml:space="preserve"> בער</w:t>
      </w:r>
      <w:r>
        <w:rPr>
          <w:rFonts w:ascii="David" w:hAnsi="David" w:hint="cs"/>
          <w:rtl/>
        </w:rPr>
        <w:t>כים</w:t>
      </w:r>
      <w:r>
        <w:rPr>
          <w:rFonts w:ascii="David" w:hAnsi="David"/>
          <w:rtl/>
        </w:rPr>
        <w:t xml:space="preserve"> החברתי</w:t>
      </w:r>
      <w:r>
        <w:rPr>
          <w:rFonts w:ascii="David" w:hAnsi="David" w:hint="cs"/>
          <w:rtl/>
        </w:rPr>
        <w:t>ים</w:t>
      </w:r>
      <w:r>
        <w:rPr>
          <w:rFonts w:ascii="David" w:hAnsi="David"/>
          <w:rtl/>
        </w:rPr>
        <w:t xml:space="preserve"> שנפגע</w:t>
      </w:r>
      <w:r>
        <w:rPr>
          <w:rFonts w:ascii="David" w:hAnsi="David" w:hint="cs"/>
          <w:rtl/>
        </w:rPr>
        <w:t>ו</w:t>
      </w:r>
      <w:r>
        <w:rPr>
          <w:rFonts w:ascii="David" w:hAnsi="David"/>
          <w:rtl/>
        </w:rPr>
        <w:t>, במידת הפגיעה ב</w:t>
      </w:r>
      <w:r>
        <w:rPr>
          <w:rFonts w:ascii="David" w:hAnsi="David" w:hint="cs"/>
          <w:rtl/>
        </w:rPr>
        <w:t>הם</w:t>
      </w:r>
      <w:r>
        <w:rPr>
          <w:rFonts w:ascii="David" w:hAnsi="David"/>
          <w:rtl/>
        </w:rPr>
        <w:t xml:space="preserve"> ובמדיניות הענישה הנוהגת</w:t>
      </w:r>
      <w:r>
        <w:rPr>
          <w:rFonts w:ascii="David" w:hAnsi="David" w:hint="cs"/>
          <w:rtl/>
        </w:rPr>
        <w:t>,</w:t>
      </w:r>
      <w:r>
        <w:rPr>
          <w:rFonts w:ascii="David" w:hAnsi="David"/>
          <w:rtl/>
        </w:rPr>
        <w:t xml:space="preserve"> בהודאתו של הנאשם ובנסיבות חייו, </w:t>
      </w:r>
      <w:r>
        <w:rPr>
          <w:rFonts w:ascii="David" w:hAnsi="David" w:hint="cs"/>
          <w:rtl/>
        </w:rPr>
        <w:t>בחריגותו של מקרה זה ביחס למקרים "הקלאסיים"</w:t>
      </w:r>
      <w:r>
        <w:rPr>
          <w:rFonts w:ascii="David" w:hAnsi="David"/>
          <w:rtl/>
        </w:rPr>
        <w:t>,</w:t>
      </w:r>
      <w:r>
        <w:rPr>
          <w:rFonts w:ascii="David" w:hAnsi="David" w:hint="cs"/>
          <w:rtl/>
        </w:rPr>
        <w:t xml:space="preserve"> הנפוצים יותר, מצאתי לנכון בנסיבות העניין לקבוע שהענישה הראויה אשר תוטל על הנאשם תתבטא במאסר שירוצה בעבודות שירות לצד ענישה הצופה פני עתיד וקנס. </w:t>
      </w:r>
    </w:p>
    <w:p w14:paraId="1F765E39" w14:textId="77777777" w:rsidR="006030B6" w:rsidRDefault="006030B6" w:rsidP="006030B6">
      <w:pPr>
        <w:spacing w:line="360" w:lineRule="auto"/>
        <w:jc w:val="both"/>
        <w:rPr>
          <w:rFonts w:ascii="David" w:hAnsi="David"/>
          <w:rtl/>
        </w:rPr>
      </w:pPr>
    </w:p>
    <w:p w14:paraId="1B09660F" w14:textId="77777777" w:rsidR="006030B6" w:rsidRPr="006D4A2A" w:rsidRDefault="006030B6" w:rsidP="006030B6">
      <w:pPr>
        <w:spacing w:line="360" w:lineRule="auto"/>
        <w:jc w:val="both"/>
        <w:rPr>
          <w:rFonts w:ascii="David" w:hAnsi="David"/>
          <w:u w:val="single"/>
          <w:rtl/>
        </w:rPr>
      </w:pPr>
      <w:r w:rsidRPr="006D4A2A">
        <w:rPr>
          <w:rFonts w:ascii="David" w:hAnsi="David" w:hint="cs"/>
          <w:u w:val="single"/>
          <w:rtl/>
        </w:rPr>
        <w:t xml:space="preserve">על כן, </w:t>
      </w:r>
      <w:r w:rsidRPr="006D4A2A">
        <w:rPr>
          <w:rFonts w:ascii="David" w:hAnsi="David"/>
          <w:u w:val="single"/>
          <w:rtl/>
        </w:rPr>
        <w:t xml:space="preserve">אני מטיל על הנאשם את העונשים הבאים: </w:t>
      </w:r>
    </w:p>
    <w:p w14:paraId="529D0D83" w14:textId="77777777" w:rsidR="006030B6" w:rsidRDefault="0076715B" w:rsidP="006030B6">
      <w:pPr>
        <w:spacing w:line="360" w:lineRule="auto"/>
        <w:jc w:val="both"/>
        <w:rPr>
          <w:rFonts w:cs="Times New Roman"/>
          <w:rtl/>
        </w:rPr>
      </w:pPr>
      <w:r>
        <w:rPr>
          <w:rFonts w:ascii="David" w:hAnsi="David"/>
          <w:rtl/>
        </w:rPr>
        <w:t xml:space="preserve"> </w:t>
      </w:r>
    </w:p>
    <w:p w14:paraId="6E1C400A" w14:textId="77777777" w:rsidR="006030B6" w:rsidRPr="00775884" w:rsidRDefault="006030B6" w:rsidP="006030B6">
      <w:pPr>
        <w:pStyle w:val="a9"/>
        <w:numPr>
          <w:ilvl w:val="0"/>
          <w:numId w:val="1"/>
        </w:numPr>
        <w:spacing w:line="360" w:lineRule="auto"/>
        <w:jc w:val="both"/>
        <w:rPr>
          <w:rFonts w:ascii="David" w:hAnsi="David"/>
        </w:rPr>
      </w:pPr>
      <w:r w:rsidRPr="00775884">
        <w:rPr>
          <w:rFonts w:ascii="David" w:hAnsi="David"/>
          <w:rtl/>
        </w:rPr>
        <w:t xml:space="preserve">מאסר בפועל למשך </w:t>
      </w:r>
      <w:r w:rsidRPr="00775884">
        <w:rPr>
          <w:rFonts w:ascii="David" w:hAnsi="David" w:hint="cs"/>
          <w:rtl/>
        </w:rPr>
        <w:t>8</w:t>
      </w:r>
      <w:r w:rsidRPr="00775884">
        <w:rPr>
          <w:rFonts w:ascii="David" w:hAnsi="David"/>
          <w:rtl/>
        </w:rPr>
        <w:t xml:space="preserve"> חודשים</w:t>
      </w:r>
      <w:r w:rsidRPr="00775884">
        <w:rPr>
          <w:rFonts w:ascii="David" w:hAnsi="David" w:hint="cs"/>
          <w:rtl/>
        </w:rPr>
        <w:t xml:space="preserve"> אשר ירוצה בעבודות שירות. מאחר והמועד לתחילת ריצוי עבודות השירות כפי שנקוב בחוות דעת זו חלף זה מכבר, מתבקש הממונה על עבודות השירות לתאם עבור הנאשם מועד חלופי לתחילת ריצוי עבודות השירות. </w:t>
      </w:r>
    </w:p>
    <w:p w14:paraId="4CD1BD96" w14:textId="77777777" w:rsidR="006030B6" w:rsidRDefault="006030B6" w:rsidP="006030B6">
      <w:pPr>
        <w:spacing w:line="360" w:lineRule="auto"/>
        <w:ind w:left="720"/>
        <w:contextualSpacing/>
        <w:jc w:val="both"/>
        <w:rPr>
          <w:rFonts w:ascii="David" w:hAnsi="David"/>
          <w:rtl/>
        </w:rPr>
      </w:pPr>
      <w:r>
        <w:rPr>
          <w:rFonts w:ascii="David" w:hAnsi="David" w:hint="cs"/>
          <w:rtl/>
        </w:rPr>
        <w:t>מתקופת מאסר זו יש לנכות את תקופת המעצר בה שהה הנאשם מאחורי סורג ובריח על פי נתוני ותחשיבי שב"ס (אין לנכות מתקופה זו את תקופת המעצר בפיקוח האזוק האלקטרוני).</w:t>
      </w:r>
    </w:p>
    <w:p w14:paraId="25630A5F" w14:textId="77777777" w:rsidR="006030B6" w:rsidRDefault="006030B6" w:rsidP="006030B6">
      <w:pPr>
        <w:spacing w:line="360" w:lineRule="auto"/>
        <w:ind w:left="1080"/>
        <w:contextualSpacing/>
        <w:jc w:val="both"/>
        <w:rPr>
          <w:rFonts w:ascii="David" w:hAnsi="David"/>
          <w:rtl/>
        </w:rPr>
      </w:pPr>
    </w:p>
    <w:p w14:paraId="6391A10C" w14:textId="77777777" w:rsidR="006030B6" w:rsidRPr="00775884" w:rsidRDefault="006030B6" w:rsidP="006030B6">
      <w:pPr>
        <w:pStyle w:val="a9"/>
        <w:numPr>
          <w:ilvl w:val="0"/>
          <w:numId w:val="1"/>
        </w:numPr>
        <w:spacing w:line="360" w:lineRule="auto"/>
        <w:jc w:val="both"/>
        <w:rPr>
          <w:rFonts w:ascii="David" w:hAnsi="David"/>
          <w:rtl/>
        </w:rPr>
      </w:pPr>
      <w:r w:rsidRPr="00775884">
        <w:rPr>
          <w:rFonts w:ascii="David" w:hAnsi="David"/>
          <w:rtl/>
        </w:rPr>
        <w:t xml:space="preserve">מאסר על תנאי לתקופה של </w:t>
      </w:r>
      <w:r w:rsidRPr="00775884">
        <w:rPr>
          <w:rFonts w:ascii="David" w:hAnsi="David" w:hint="cs"/>
          <w:rtl/>
        </w:rPr>
        <w:t>8</w:t>
      </w:r>
      <w:r w:rsidRPr="00775884">
        <w:rPr>
          <w:rFonts w:ascii="David" w:hAnsi="David"/>
          <w:rtl/>
        </w:rPr>
        <w:t xml:space="preserve"> חודשים למשך 3 שנים והתנאי הוא שהנאשם לא יעבור בפרק זמן זה, על העבירה בה הורשע </w:t>
      </w:r>
      <w:r w:rsidRPr="00775884">
        <w:rPr>
          <w:rFonts w:ascii="David" w:hAnsi="David" w:hint="cs"/>
          <w:rtl/>
        </w:rPr>
        <w:t xml:space="preserve">בהליך זה שלפני או על כל </w:t>
      </w:r>
      <w:r w:rsidRPr="00775884">
        <w:rPr>
          <w:rFonts w:ascii="David" w:hAnsi="David"/>
          <w:rtl/>
        </w:rPr>
        <w:t xml:space="preserve">עבירת נשק מסוג פשע. </w:t>
      </w:r>
    </w:p>
    <w:p w14:paraId="64DC2E96" w14:textId="77777777" w:rsidR="006030B6" w:rsidRDefault="006030B6" w:rsidP="006030B6">
      <w:pPr>
        <w:spacing w:line="360" w:lineRule="auto"/>
        <w:ind w:left="1080"/>
        <w:contextualSpacing/>
        <w:jc w:val="both"/>
        <w:rPr>
          <w:rFonts w:ascii="David" w:hAnsi="David"/>
          <w:rtl/>
        </w:rPr>
      </w:pPr>
    </w:p>
    <w:p w14:paraId="6DF4198A" w14:textId="77777777" w:rsidR="006030B6" w:rsidRPr="00BA4773" w:rsidRDefault="006030B6" w:rsidP="006030B6">
      <w:pPr>
        <w:pStyle w:val="a9"/>
        <w:numPr>
          <w:ilvl w:val="0"/>
          <w:numId w:val="1"/>
        </w:numPr>
        <w:spacing w:line="360" w:lineRule="auto"/>
        <w:jc w:val="both"/>
      </w:pPr>
      <w:r w:rsidRPr="007C0C6E">
        <w:rPr>
          <w:rFonts w:ascii="David" w:hAnsi="David"/>
          <w:rtl/>
        </w:rPr>
        <w:t xml:space="preserve">קנס בסך של 3,000 ₪. </w:t>
      </w:r>
      <w:r>
        <w:rPr>
          <w:rFonts w:ascii="David" w:hAnsi="David" w:hint="cs"/>
          <w:rtl/>
        </w:rPr>
        <w:t xml:space="preserve"> סכום הקנס יקוזז מהפיקדון אשר הופקד בתיק </w:t>
      </w:r>
      <w:hyperlink r:id="rId52" w:history="1">
        <w:r w:rsidR="0076715B" w:rsidRPr="0076715B">
          <w:rPr>
            <w:rFonts w:ascii="David" w:hAnsi="David"/>
            <w:color w:val="0000FF"/>
            <w:u w:val="single"/>
            <w:rtl/>
          </w:rPr>
          <w:t>מ"ת 1392-04-22</w:t>
        </w:r>
      </w:hyperlink>
      <w:r>
        <w:rPr>
          <w:rFonts w:ascii="David" w:hAnsi="David" w:hint="cs"/>
          <w:rtl/>
        </w:rPr>
        <w:t xml:space="preserve"> והיתרה ככל שתיוותר תוחזר למפקיד. </w:t>
      </w:r>
    </w:p>
    <w:p w14:paraId="4884B64C" w14:textId="77777777" w:rsidR="006030B6" w:rsidRPr="0076715B" w:rsidRDefault="0076715B" w:rsidP="006030B6">
      <w:pPr>
        <w:pStyle w:val="a9"/>
        <w:spacing w:line="360" w:lineRule="auto"/>
        <w:jc w:val="both"/>
        <w:rPr>
          <w:b/>
          <w:bCs/>
          <w:color w:val="FFFFFF"/>
          <w:sz w:val="2"/>
          <w:szCs w:val="2"/>
          <w:rtl/>
        </w:rPr>
      </w:pPr>
      <w:r w:rsidRPr="0076715B">
        <w:rPr>
          <w:b/>
          <w:bCs/>
          <w:color w:val="FFFFFF"/>
          <w:sz w:val="2"/>
          <w:szCs w:val="2"/>
          <w:rtl/>
        </w:rPr>
        <w:t>5129371</w:t>
      </w:r>
    </w:p>
    <w:p w14:paraId="2652627E" w14:textId="77777777" w:rsidR="006030B6" w:rsidRPr="007C0C6E" w:rsidRDefault="0076715B" w:rsidP="006030B6">
      <w:pPr>
        <w:pStyle w:val="a9"/>
        <w:spacing w:line="360" w:lineRule="auto"/>
        <w:jc w:val="both"/>
        <w:rPr>
          <w:rtl/>
        </w:rPr>
      </w:pPr>
      <w:r w:rsidRPr="0076715B">
        <w:rPr>
          <w:b/>
          <w:bCs/>
          <w:color w:val="FFFFFF"/>
          <w:sz w:val="2"/>
          <w:szCs w:val="2"/>
          <w:rtl/>
        </w:rPr>
        <w:t>54678313</w:t>
      </w:r>
      <w:r w:rsidR="006030B6">
        <w:rPr>
          <w:rFonts w:hint="cs"/>
          <w:b/>
          <w:bCs/>
          <w:rtl/>
        </w:rPr>
        <w:t xml:space="preserve">זכות ערעור לבית המשפט המחוזי בחיפה תוך 45 ימים מהיום. </w:t>
      </w:r>
    </w:p>
    <w:p w14:paraId="4199504B" w14:textId="77777777" w:rsidR="006030B6" w:rsidRPr="000F2247" w:rsidRDefault="006030B6" w:rsidP="006030B6">
      <w:pPr>
        <w:rPr>
          <w:rFonts w:ascii="Arial" w:hAnsi="Arial"/>
          <w:b/>
          <w:bCs/>
          <w:sz w:val="26"/>
          <w:szCs w:val="26"/>
          <w:rtl/>
        </w:rPr>
      </w:pPr>
    </w:p>
    <w:p w14:paraId="31AA22E4" w14:textId="77777777" w:rsidR="006030B6" w:rsidRPr="000F2247" w:rsidRDefault="0076715B" w:rsidP="006030B6">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ב' אדר תשפ"ג, 23 פברואר 2023, במעמד הצדדים. </w:t>
      </w:r>
      <w:bookmarkEnd w:id="10"/>
      <w:r w:rsidR="006030B6">
        <w:rPr>
          <w:rFonts w:ascii="Arial" w:hAnsi="Arial"/>
          <w:b/>
          <w:bCs/>
          <w:sz w:val="26"/>
          <w:szCs w:val="26"/>
          <w:rtl/>
        </w:rPr>
        <w:tab/>
      </w:r>
      <w:r w:rsidR="006030B6">
        <w:rPr>
          <w:rFonts w:ascii="Arial" w:hAnsi="Arial"/>
          <w:b/>
          <w:bCs/>
          <w:sz w:val="26"/>
          <w:szCs w:val="26"/>
          <w:rtl/>
        </w:rPr>
        <w:tab/>
      </w:r>
      <w:r w:rsidR="006030B6">
        <w:rPr>
          <w:rFonts w:ascii="Arial" w:hAnsi="Arial"/>
          <w:b/>
          <w:bCs/>
          <w:sz w:val="26"/>
          <w:szCs w:val="26"/>
          <w:rtl/>
        </w:rPr>
        <w:tab/>
      </w:r>
      <w:r w:rsidR="006030B6">
        <w:rPr>
          <w:rFonts w:ascii="Arial" w:hAnsi="Arial"/>
          <w:b/>
          <w:bCs/>
          <w:sz w:val="26"/>
          <w:szCs w:val="26"/>
          <w:rtl/>
        </w:rPr>
        <w:tab/>
      </w:r>
      <w:r w:rsidR="006030B6">
        <w:rPr>
          <w:rFonts w:ascii="Arial" w:hAnsi="Arial"/>
          <w:b/>
          <w:bCs/>
          <w:sz w:val="26"/>
          <w:szCs w:val="26"/>
          <w:rtl/>
        </w:rPr>
        <w:tab/>
      </w:r>
      <w:r w:rsidR="006030B6">
        <w:rPr>
          <w:rFonts w:ascii="Arial" w:hAnsi="Arial"/>
          <w:b/>
          <w:bCs/>
          <w:sz w:val="26"/>
          <w:szCs w:val="26"/>
          <w:rtl/>
        </w:rPr>
        <w:tab/>
      </w:r>
      <w:r w:rsidR="006030B6">
        <w:rPr>
          <w:rFonts w:ascii="Arial" w:hAnsi="Arial"/>
          <w:b/>
          <w:bCs/>
          <w:sz w:val="26"/>
          <w:szCs w:val="26"/>
          <w:rtl/>
        </w:rPr>
        <w:tab/>
      </w:r>
      <w:r w:rsidR="006030B6">
        <w:rPr>
          <w:rFonts w:ascii="Arial" w:hAnsi="Arial" w:hint="cs"/>
          <w:b/>
          <w:bCs/>
          <w:sz w:val="26"/>
          <w:szCs w:val="26"/>
          <w:rtl/>
        </w:rPr>
        <w:t xml:space="preserve">         </w:t>
      </w:r>
    </w:p>
    <w:p w14:paraId="67094FE7" w14:textId="77777777" w:rsidR="006030B6" w:rsidRPr="000F2247" w:rsidRDefault="006030B6" w:rsidP="0076715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4B5145" w14:textId="77777777" w:rsidR="006030B6" w:rsidRPr="00D5733A" w:rsidRDefault="00D5733A" w:rsidP="006030B6">
      <w:pPr>
        <w:jc w:val="center"/>
        <w:rPr>
          <w:rFonts w:ascii="Arial" w:hAnsi="Arial"/>
          <w:b/>
          <w:bCs/>
          <w:color w:val="FFFFFF"/>
          <w:sz w:val="2"/>
          <w:szCs w:val="2"/>
          <w:rtl/>
        </w:rPr>
      </w:pPr>
      <w:r w:rsidRPr="00D5733A">
        <w:rPr>
          <w:rFonts w:ascii="Arial" w:hAnsi="Arial"/>
          <w:b/>
          <w:bCs/>
          <w:color w:val="FFFFFF"/>
          <w:sz w:val="2"/>
          <w:szCs w:val="2"/>
          <w:rtl/>
        </w:rPr>
        <w:t>5129371</w:t>
      </w:r>
    </w:p>
    <w:p w14:paraId="4379A3AD" w14:textId="77777777" w:rsidR="000A525D" w:rsidRPr="00D5733A" w:rsidRDefault="00D5733A" w:rsidP="0076715B">
      <w:pPr>
        <w:keepNext/>
        <w:rPr>
          <w:rFonts w:ascii="David" w:hAnsi="David"/>
          <w:color w:val="FFFFFF"/>
          <w:sz w:val="2"/>
          <w:szCs w:val="2"/>
          <w:rtl/>
        </w:rPr>
      </w:pPr>
      <w:r w:rsidRPr="00D5733A">
        <w:rPr>
          <w:rFonts w:ascii="David" w:hAnsi="David"/>
          <w:color w:val="FFFFFF"/>
          <w:sz w:val="2"/>
          <w:szCs w:val="2"/>
          <w:rtl/>
        </w:rPr>
        <w:t>54678313</w:t>
      </w:r>
    </w:p>
    <w:p w14:paraId="2C88F4FF" w14:textId="77777777" w:rsidR="0076715B" w:rsidRDefault="0076715B" w:rsidP="0076715B">
      <w:pPr>
        <w:rPr>
          <w:rtl/>
        </w:rPr>
      </w:pPr>
    </w:p>
    <w:p w14:paraId="1D2BA99D" w14:textId="77777777" w:rsidR="0076715B" w:rsidRDefault="0076715B" w:rsidP="0076715B">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F16B0BF" w14:textId="77777777" w:rsidR="00D5733A" w:rsidRPr="00D5733A" w:rsidRDefault="00D5733A" w:rsidP="00D5733A">
      <w:pPr>
        <w:keepNext/>
        <w:rPr>
          <w:rFonts w:ascii="David" w:hAnsi="David"/>
          <w:color w:val="000000"/>
          <w:sz w:val="22"/>
          <w:szCs w:val="22"/>
          <w:rtl/>
        </w:rPr>
      </w:pPr>
    </w:p>
    <w:p w14:paraId="14875885" w14:textId="77777777" w:rsidR="00D5733A" w:rsidRPr="00D5733A" w:rsidRDefault="00D5733A" w:rsidP="00D5733A">
      <w:pPr>
        <w:keepNext/>
        <w:rPr>
          <w:rFonts w:ascii="David" w:hAnsi="David"/>
          <w:color w:val="000000"/>
          <w:sz w:val="22"/>
          <w:szCs w:val="22"/>
          <w:rtl/>
        </w:rPr>
      </w:pPr>
      <w:r w:rsidRPr="00D5733A">
        <w:rPr>
          <w:rFonts w:ascii="David" w:hAnsi="David"/>
          <w:color w:val="000000"/>
          <w:sz w:val="22"/>
          <w:szCs w:val="22"/>
          <w:rtl/>
        </w:rPr>
        <w:t>אלכס אחטר 54678313-/</w:t>
      </w:r>
    </w:p>
    <w:p w14:paraId="275BA495" w14:textId="77777777" w:rsidR="0076715B" w:rsidRPr="0076715B" w:rsidRDefault="00D5733A" w:rsidP="00D5733A">
      <w:pPr>
        <w:rPr>
          <w:color w:val="0000FF"/>
          <w:u w:val="single"/>
        </w:rPr>
      </w:pPr>
      <w:r w:rsidRPr="00D5733A">
        <w:rPr>
          <w:color w:val="000000"/>
          <w:u w:val="single"/>
          <w:rtl/>
        </w:rPr>
        <w:t>נוסח מסמך זה כפוף לשינויי ניסוח ועריכה</w:t>
      </w:r>
    </w:p>
    <w:sectPr w:rsidR="0076715B" w:rsidRPr="0076715B" w:rsidSect="00D5733A">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E0FD3" w14:textId="77777777" w:rsidR="00072FCA" w:rsidRDefault="00072FCA" w:rsidP="0012102E">
      <w:r>
        <w:separator/>
      </w:r>
    </w:p>
  </w:endnote>
  <w:endnote w:type="continuationSeparator" w:id="0">
    <w:p w14:paraId="1A66B828" w14:textId="77777777" w:rsidR="00072FCA" w:rsidRDefault="00072FCA" w:rsidP="00121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2E93" w14:textId="77777777" w:rsidR="00D5733A" w:rsidRDefault="00D5733A" w:rsidP="00D573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41A867" w14:textId="77777777" w:rsidR="003B1002" w:rsidRPr="00D5733A" w:rsidRDefault="00D5733A" w:rsidP="00D5733A">
    <w:pPr>
      <w:pStyle w:val="a5"/>
      <w:pBdr>
        <w:top w:val="single" w:sz="4" w:space="1" w:color="auto"/>
        <w:between w:val="single" w:sz="4" w:space="0" w:color="auto"/>
      </w:pBdr>
      <w:spacing w:after="60"/>
      <w:jc w:val="center"/>
      <w:rPr>
        <w:rFonts w:ascii="FrankRuehl" w:hAnsi="FrankRuehl" w:cs="FrankRuehl"/>
        <w:color w:val="000000"/>
      </w:rPr>
    </w:pPr>
    <w:r w:rsidRPr="00D573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BCB84" w14:textId="77777777" w:rsidR="00D5733A" w:rsidRDefault="00D5733A" w:rsidP="00D573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4518">
      <w:rPr>
        <w:rFonts w:ascii="FrankRuehl" w:hAnsi="FrankRuehl" w:cs="FrankRuehl"/>
        <w:noProof/>
        <w:rtl/>
      </w:rPr>
      <w:t>1</w:t>
    </w:r>
    <w:r>
      <w:rPr>
        <w:rFonts w:ascii="FrankRuehl" w:hAnsi="FrankRuehl" w:cs="FrankRuehl"/>
        <w:rtl/>
      </w:rPr>
      <w:fldChar w:fldCharType="end"/>
    </w:r>
  </w:p>
  <w:p w14:paraId="72FB5E64" w14:textId="77777777" w:rsidR="003B1002" w:rsidRPr="00D5733A" w:rsidRDefault="00D5733A" w:rsidP="00D5733A">
    <w:pPr>
      <w:pStyle w:val="a5"/>
      <w:pBdr>
        <w:top w:val="single" w:sz="4" w:space="1" w:color="auto"/>
        <w:between w:val="single" w:sz="4" w:space="0" w:color="auto"/>
      </w:pBdr>
      <w:spacing w:after="60"/>
      <w:jc w:val="center"/>
      <w:rPr>
        <w:rFonts w:ascii="FrankRuehl" w:hAnsi="FrankRuehl" w:cs="FrankRuehl"/>
        <w:color w:val="000000"/>
      </w:rPr>
    </w:pPr>
    <w:r w:rsidRPr="00D5733A">
      <w:rPr>
        <w:rFonts w:ascii="FrankRuehl" w:hAnsi="FrankRuehl" w:cs="FrankRuehl"/>
        <w:color w:val="000000"/>
      </w:rPr>
      <w:pict w14:anchorId="5A817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BBC85" w14:textId="77777777" w:rsidR="00072FCA" w:rsidRDefault="00072FCA" w:rsidP="0012102E">
      <w:r>
        <w:separator/>
      </w:r>
    </w:p>
  </w:footnote>
  <w:footnote w:type="continuationSeparator" w:id="0">
    <w:p w14:paraId="7E56C690" w14:textId="77777777" w:rsidR="00072FCA" w:rsidRDefault="00072FCA" w:rsidP="00121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147A5" w14:textId="77777777" w:rsidR="0076715B" w:rsidRPr="00D5733A" w:rsidRDefault="00D5733A" w:rsidP="00D573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1363-04-22</w:t>
    </w:r>
    <w:r>
      <w:rPr>
        <w:rFonts w:ascii="David" w:hAnsi="David"/>
        <w:color w:val="000000"/>
        <w:sz w:val="22"/>
        <w:szCs w:val="22"/>
        <w:rtl/>
      </w:rPr>
      <w:tab/>
      <w:t xml:space="preserve"> מדינת ישראל נ' עבד אל ראוף גרבאן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AB206" w14:textId="77777777" w:rsidR="0076715B" w:rsidRPr="00D5733A" w:rsidRDefault="00D5733A" w:rsidP="00D573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1363-04-22</w:t>
    </w:r>
    <w:r>
      <w:rPr>
        <w:rFonts w:ascii="David" w:hAnsi="David"/>
        <w:color w:val="000000"/>
        <w:sz w:val="22"/>
        <w:szCs w:val="22"/>
        <w:rtl/>
      </w:rPr>
      <w:tab/>
      <w:t xml:space="preserve"> מדינת ישראל נ' עבד אל ראוף גרבאן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E4D8D"/>
    <w:multiLevelType w:val="hybridMultilevel"/>
    <w:tmpl w:val="FD5C7074"/>
    <w:lvl w:ilvl="0" w:tplc="70C6E716">
      <w:start w:val="1"/>
      <w:numFmt w:val="decimal"/>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27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30B6"/>
    <w:rsid w:val="000007CF"/>
    <w:rsid w:val="00054518"/>
    <w:rsid w:val="00072FCA"/>
    <w:rsid w:val="000A525D"/>
    <w:rsid w:val="0012102E"/>
    <w:rsid w:val="0017304B"/>
    <w:rsid w:val="001B5A3B"/>
    <w:rsid w:val="002414AD"/>
    <w:rsid w:val="003B1002"/>
    <w:rsid w:val="006030B6"/>
    <w:rsid w:val="0076715B"/>
    <w:rsid w:val="007E798B"/>
    <w:rsid w:val="00D5733A"/>
    <w:rsid w:val="00DE2344"/>
    <w:rsid w:val="00E77133"/>
    <w:rsid w:val="00FE08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3E857"/>
  <w15:chartTrackingRefBased/>
  <w15:docId w15:val="{3EFAE96B-155A-4DDA-A842-351903E8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30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30B6"/>
    <w:pPr>
      <w:tabs>
        <w:tab w:val="center" w:pos="4153"/>
        <w:tab w:val="right" w:pos="8306"/>
      </w:tabs>
    </w:pPr>
  </w:style>
  <w:style w:type="character" w:customStyle="1" w:styleId="a4">
    <w:name w:val="כותרת עליונה תו"/>
    <w:link w:val="a3"/>
    <w:rsid w:val="006030B6"/>
    <w:rPr>
      <w:rFonts w:ascii="Times New Roman" w:eastAsia="Times New Roman" w:hAnsi="Times New Roman" w:cs="David"/>
      <w:sz w:val="24"/>
      <w:szCs w:val="24"/>
    </w:rPr>
  </w:style>
  <w:style w:type="paragraph" w:styleId="a5">
    <w:name w:val="footer"/>
    <w:basedOn w:val="a"/>
    <w:link w:val="a6"/>
    <w:rsid w:val="006030B6"/>
    <w:pPr>
      <w:tabs>
        <w:tab w:val="center" w:pos="4153"/>
        <w:tab w:val="right" w:pos="8306"/>
      </w:tabs>
    </w:pPr>
  </w:style>
  <w:style w:type="character" w:customStyle="1" w:styleId="a6">
    <w:name w:val="כותרת תחתונה תו"/>
    <w:link w:val="a5"/>
    <w:rsid w:val="006030B6"/>
    <w:rPr>
      <w:rFonts w:ascii="Times New Roman" w:eastAsia="Times New Roman" w:hAnsi="Times New Roman" w:cs="David"/>
      <w:sz w:val="24"/>
      <w:szCs w:val="24"/>
    </w:rPr>
  </w:style>
  <w:style w:type="table" w:styleId="a7">
    <w:name w:val="Table Grid"/>
    <w:basedOn w:val="a1"/>
    <w:rsid w:val="006030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30B6"/>
  </w:style>
  <w:style w:type="paragraph" w:styleId="a9">
    <w:name w:val="List Paragraph"/>
    <w:basedOn w:val="a"/>
    <w:qFormat/>
    <w:rsid w:val="006030B6"/>
    <w:pPr>
      <w:ind w:left="720"/>
      <w:contextualSpacing/>
    </w:pPr>
  </w:style>
  <w:style w:type="character" w:styleId="aa">
    <w:name w:val="line number"/>
    <w:rsid w:val="006030B6"/>
  </w:style>
  <w:style w:type="character" w:styleId="Hyperlink">
    <w:name w:val="Hyperlink"/>
    <w:rsid w:val="007671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513828" TargetMode="External"/><Relationship Id="rId39" Type="http://schemas.openxmlformats.org/officeDocument/2006/relationships/hyperlink" Target="http://www.nevo.co.il/case/27693610"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925239" TargetMode="External"/><Relationship Id="rId42" Type="http://schemas.openxmlformats.org/officeDocument/2006/relationships/hyperlink" Target="http://www.nevo.co.il/case/24263426" TargetMode="External"/><Relationship Id="rId47" Type="http://schemas.openxmlformats.org/officeDocument/2006/relationships/hyperlink" Target="http://www.nevo.co.il/law/70301/32" TargetMode="External"/><Relationship Id="rId50" Type="http://schemas.openxmlformats.org/officeDocument/2006/relationships/hyperlink" Target="http://www.nevo.co.il/law/70301"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safrut/bookgroup/412"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40e" TargetMode="External"/><Relationship Id="rId32" Type="http://schemas.openxmlformats.org/officeDocument/2006/relationships/hyperlink" Target="http://www.nevo.co.il/case/28883087" TargetMode="External"/><Relationship Id="rId37" Type="http://schemas.openxmlformats.org/officeDocument/2006/relationships/hyperlink" Target="http://www.nevo.co.il/case/26383419" TargetMode="External"/><Relationship Id="rId40" Type="http://schemas.openxmlformats.org/officeDocument/2006/relationships/hyperlink" Target="http://www.nevo.co.il/case/27648787" TargetMode="External"/><Relationship Id="rId45" Type="http://schemas.openxmlformats.org/officeDocument/2006/relationships/hyperlink" Target="http://www.nevo.co.il/case/28424228"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16944929"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hyperlink" Target="http://www.nevo.co.il/case/26888657"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697218" TargetMode="External"/><Relationship Id="rId38" Type="http://schemas.openxmlformats.org/officeDocument/2006/relationships/hyperlink" Target="http://www.nevo.co.il/case/26931111" TargetMode="External"/><Relationship Id="rId46" Type="http://schemas.openxmlformats.org/officeDocument/2006/relationships/hyperlink" Target="http://www.nevo.co.il/case/28378067" TargetMode="External"/><Relationship Id="rId59" Type="http://schemas.openxmlformats.org/officeDocument/2006/relationships/theme" Target="theme/theme1.xml"/><Relationship Id="rId20" Type="http://schemas.openxmlformats.org/officeDocument/2006/relationships/hyperlink" Target="http://www.nevo.co.il/law/70301/40i" TargetMode="External"/><Relationship Id="rId41" Type="http://schemas.openxmlformats.org/officeDocument/2006/relationships/hyperlink" Target="http://www.nevo.co.il/case/26913995"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26442335" TargetMode="External"/><Relationship Id="rId49" Type="http://schemas.openxmlformats.org/officeDocument/2006/relationships/hyperlink" Target="http://www.nevo.co.il/law/70301/144" TargetMode="External"/><Relationship Id="rId57" Type="http://schemas.openxmlformats.org/officeDocument/2006/relationships/footer" Target="footer2.xml"/><Relationship Id="rId10" Type="http://schemas.openxmlformats.org/officeDocument/2006/relationships/hyperlink" Target="http://www.nevo.co.il/law/70301/40d"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6833934" TargetMode="External"/><Relationship Id="rId52" Type="http://schemas.openxmlformats.org/officeDocument/2006/relationships/hyperlink" Target="http://www.nevo.co.il/case/284506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3937</Words>
  <Characters>19689</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23579</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3539071</vt:i4>
      </vt:variant>
      <vt:variant>
        <vt:i4>138</vt:i4>
      </vt:variant>
      <vt:variant>
        <vt:i4>0</vt:i4>
      </vt:variant>
      <vt:variant>
        <vt:i4>5</vt:i4>
      </vt:variant>
      <vt:variant>
        <vt:lpwstr>http://www.nevo.co.il/case/28450600</vt:lpwstr>
      </vt:variant>
      <vt:variant>
        <vt:lpwstr/>
      </vt:variant>
      <vt:variant>
        <vt:i4>3604604</vt:i4>
      </vt:variant>
      <vt:variant>
        <vt:i4>135</vt:i4>
      </vt:variant>
      <vt:variant>
        <vt:i4>0</vt:i4>
      </vt:variant>
      <vt:variant>
        <vt:i4>5</vt:i4>
      </vt:variant>
      <vt:variant>
        <vt:lpwstr>http://www.nevo.co.il/case/26888657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6357092</vt:i4>
      </vt:variant>
      <vt:variant>
        <vt:i4>129</vt:i4>
      </vt:variant>
      <vt:variant>
        <vt:i4>0</vt:i4>
      </vt:variant>
      <vt:variant>
        <vt:i4>5</vt:i4>
      </vt:variant>
      <vt:variant>
        <vt:lpwstr>http://www.nevo.co.il/law/70301/144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6750310</vt:i4>
      </vt:variant>
      <vt:variant>
        <vt:i4>123</vt:i4>
      </vt:variant>
      <vt:variant>
        <vt:i4>0</vt:i4>
      </vt:variant>
      <vt:variant>
        <vt:i4>5</vt:i4>
      </vt:variant>
      <vt:variant>
        <vt:lpwstr>http://www.nevo.co.il/law/70301/32</vt:lpwstr>
      </vt:variant>
      <vt:variant>
        <vt:lpwstr/>
      </vt:variant>
      <vt:variant>
        <vt:i4>4128891</vt:i4>
      </vt:variant>
      <vt:variant>
        <vt:i4>120</vt:i4>
      </vt:variant>
      <vt:variant>
        <vt:i4>0</vt:i4>
      </vt:variant>
      <vt:variant>
        <vt:i4>5</vt:i4>
      </vt:variant>
      <vt:variant>
        <vt:lpwstr>http://www.nevo.co.il/case/28378067</vt:lpwstr>
      </vt:variant>
      <vt:variant>
        <vt:lpwstr/>
      </vt:variant>
      <vt:variant>
        <vt:i4>3145852</vt:i4>
      </vt:variant>
      <vt:variant>
        <vt:i4>117</vt:i4>
      </vt:variant>
      <vt:variant>
        <vt:i4>0</vt:i4>
      </vt:variant>
      <vt:variant>
        <vt:i4>5</vt:i4>
      </vt:variant>
      <vt:variant>
        <vt:lpwstr>http://www.nevo.co.il/case/28424228</vt:lpwstr>
      </vt:variant>
      <vt:variant>
        <vt:lpwstr/>
      </vt:variant>
      <vt:variant>
        <vt:i4>3801208</vt:i4>
      </vt:variant>
      <vt:variant>
        <vt:i4>114</vt:i4>
      </vt:variant>
      <vt:variant>
        <vt:i4>0</vt:i4>
      </vt:variant>
      <vt:variant>
        <vt:i4>5</vt:i4>
      </vt:variant>
      <vt:variant>
        <vt:lpwstr>http://www.nevo.co.il/case/26833934</vt:lpwstr>
      </vt:variant>
      <vt:variant>
        <vt:lpwstr/>
      </vt:variant>
      <vt:variant>
        <vt:i4>4063359</vt:i4>
      </vt:variant>
      <vt:variant>
        <vt:i4>111</vt:i4>
      </vt:variant>
      <vt:variant>
        <vt:i4>0</vt:i4>
      </vt:variant>
      <vt:variant>
        <vt:i4>5</vt:i4>
      </vt:variant>
      <vt:variant>
        <vt:lpwstr>http://www.nevo.co.il/case/16944929</vt:lpwstr>
      </vt:variant>
      <vt:variant>
        <vt:lpwstr/>
      </vt:variant>
      <vt:variant>
        <vt:i4>3211378</vt:i4>
      </vt:variant>
      <vt:variant>
        <vt:i4>108</vt:i4>
      </vt:variant>
      <vt:variant>
        <vt:i4>0</vt:i4>
      </vt:variant>
      <vt:variant>
        <vt:i4>5</vt:i4>
      </vt:variant>
      <vt:variant>
        <vt:lpwstr>http://www.nevo.co.il/case/24263426</vt:lpwstr>
      </vt:variant>
      <vt:variant>
        <vt:lpwstr/>
      </vt:variant>
      <vt:variant>
        <vt:i4>3211386</vt:i4>
      </vt:variant>
      <vt:variant>
        <vt:i4>105</vt:i4>
      </vt:variant>
      <vt:variant>
        <vt:i4>0</vt:i4>
      </vt:variant>
      <vt:variant>
        <vt:i4>5</vt:i4>
      </vt:variant>
      <vt:variant>
        <vt:lpwstr>http://www.nevo.co.il/case/26913995</vt:lpwstr>
      </vt:variant>
      <vt:variant>
        <vt:lpwstr/>
      </vt:variant>
      <vt:variant>
        <vt:i4>3407984</vt:i4>
      </vt:variant>
      <vt:variant>
        <vt:i4>102</vt:i4>
      </vt:variant>
      <vt:variant>
        <vt:i4>0</vt:i4>
      </vt:variant>
      <vt:variant>
        <vt:i4>5</vt:i4>
      </vt:variant>
      <vt:variant>
        <vt:lpwstr>http://www.nevo.co.il/case/27648787</vt:lpwstr>
      </vt:variant>
      <vt:variant>
        <vt:lpwstr/>
      </vt:variant>
      <vt:variant>
        <vt:i4>3539068</vt:i4>
      </vt:variant>
      <vt:variant>
        <vt:i4>99</vt:i4>
      </vt:variant>
      <vt:variant>
        <vt:i4>0</vt:i4>
      </vt:variant>
      <vt:variant>
        <vt:i4>5</vt:i4>
      </vt:variant>
      <vt:variant>
        <vt:lpwstr>http://www.nevo.co.il/case/27693610</vt:lpwstr>
      </vt:variant>
      <vt:variant>
        <vt:lpwstr/>
      </vt:variant>
      <vt:variant>
        <vt:i4>3866736</vt:i4>
      </vt:variant>
      <vt:variant>
        <vt:i4>96</vt:i4>
      </vt:variant>
      <vt:variant>
        <vt:i4>0</vt:i4>
      </vt:variant>
      <vt:variant>
        <vt:i4>5</vt:i4>
      </vt:variant>
      <vt:variant>
        <vt:lpwstr>http://www.nevo.co.il/case/26931111</vt:lpwstr>
      </vt:variant>
      <vt:variant>
        <vt:lpwstr/>
      </vt:variant>
      <vt:variant>
        <vt:i4>3342462</vt:i4>
      </vt:variant>
      <vt:variant>
        <vt:i4>93</vt:i4>
      </vt:variant>
      <vt:variant>
        <vt:i4>0</vt:i4>
      </vt:variant>
      <vt:variant>
        <vt:i4>5</vt:i4>
      </vt:variant>
      <vt:variant>
        <vt:lpwstr>http://www.nevo.co.il/case/26383419</vt:lpwstr>
      </vt:variant>
      <vt:variant>
        <vt:lpwstr/>
      </vt:variant>
      <vt:variant>
        <vt:i4>3604597</vt:i4>
      </vt:variant>
      <vt:variant>
        <vt:i4>90</vt:i4>
      </vt:variant>
      <vt:variant>
        <vt:i4>0</vt:i4>
      </vt:variant>
      <vt:variant>
        <vt:i4>5</vt:i4>
      </vt:variant>
      <vt:variant>
        <vt:lpwstr>http://www.nevo.co.il/case/26442335</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3997811</vt:i4>
      </vt:variant>
      <vt:variant>
        <vt:i4>84</vt:i4>
      </vt:variant>
      <vt:variant>
        <vt:i4>0</vt:i4>
      </vt:variant>
      <vt:variant>
        <vt:i4>5</vt:i4>
      </vt:variant>
      <vt:variant>
        <vt:lpwstr>http://www.nevo.co.il/case/27925239</vt:lpwstr>
      </vt:variant>
      <vt:variant>
        <vt:lpwstr/>
      </vt:variant>
      <vt:variant>
        <vt:i4>3276919</vt:i4>
      </vt:variant>
      <vt:variant>
        <vt:i4>81</vt:i4>
      </vt:variant>
      <vt:variant>
        <vt:i4>0</vt:i4>
      </vt:variant>
      <vt:variant>
        <vt:i4>5</vt:i4>
      </vt:variant>
      <vt:variant>
        <vt:lpwstr>http://www.nevo.co.il/case/28697218</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7995492</vt:i4>
      </vt:variant>
      <vt:variant>
        <vt:i4>72</vt:i4>
      </vt:variant>
      <vt:variant>
        <vt:i4>0</vt:i4>
      </vt:variant>
      <vt:variant>
        <vt:i4>5</vt:i4>
      </vt:variant>
      <vt:variant>
        <vt:lpwstr>http://www.nevo.co.il/law/70301</vt:lpwstr>
      </vt:variant>
      <vt:variant>
        <vt:lpwstr/>
      </vt:variant>
      <vt:variant>
        <vt:i4>2097193</vt:i4>
      </vt:variant>
      <vt:variant>
        <vt:i4>69</vt:i4>
      </vt:variant>
      <vt:variant>
        <vt:i4>0</vt:i4>
      </vt:variant>
      <vt:variant>
        <vt:i4>5</vt:i4>
      </vt:variant>
      <vt:variant>
        <vt:lpwstr>http://www.nevo.co.il/safrut/bookgroup/412</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7995492</vt:i4>
      </vt:variant>
      <vt:variant>
        <vt:i4>63</vt:i4>
      </vt:variant>
      <vt:variant>
        <vt:i4>0</vt:i4>
      </vt:variant>
      <vt:variant>
        <vt:i4>5</vt:i4>
      </vt:variant>
      <vt:variant>
        <vt:lpwstr>http://www.nevo.co.il/law/70301</vt:lpwstr>
      </vt:variant>
      <vt:variant>
        <vt:lpwstr/>
      </vt:variant>
      <vt:variant>
        <vt:i4>3539061</vt:i4>
      </vt:variant>
      <vt:variant>
        <vt:i4>60</vt:i4>
      </vt:variant>
      <vt:variant>
        <vt:i4>0</vt:i4>
      </vt:variant>
      <vt:variant>
        <vt:i4>5</vt:i4>
      </vt:variant>
      <vt:variant>
        <vt:lpwstr>http://www.nevo.co.il/case/28513828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http://www.nevo.co.il/law/70301/40e</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6750310</vt:i4>
      </vt:variant>
      <vt:variant>
        <vt:i4>9</vt:i4>
      </vt:variant>
      <vt:variant>
        <vt:i4>0</vt:i4>
      </vt:variant>
      <vt:variant>
        <vt:i4>5</vt:i4>
      </vt:variant>
      <vt:variant>
        <vt:lpwstr>http://www.nevo.co.il/law/70301/32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1363</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 אל ראוף גרבאן </vt:lpwstr>
  </property>
  <property fmtid="{D5CDD505-2E9C-101B-9397-08002B2CF9AE}" pid="10" name="LAWYER">
    <vt:lpwstr>אופיר לבנטל;גיל אבנון</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20230223</vt:lpwstr>
  </property>
  <property fmtid="{D5CDD505-2E9C-101B-9397-08002B2CF9AE}" pid="14" name="TYPE_N_DATE">
    <vt:lpwstr>38020230223</vt:lpwstr>
  </property>
  <property fmtid="{D5CDD505-2E9C-101B-9397-08002B2CF9AE}" pid="15" name="WORDNUMPAGES">
    <vt:lpwstr>11</vt:lpwstr>
  </property>
  <property fmtid="{D5CDD505-2E9C-101B-9397-08002B2CF9AE}" pid="16" name="TYPE_ABS_DATE">
    <vt:lpwstr>380020230223</vt:lpwstr>
  </property>
  <property fmtid="{D5CDD505-2E9C-101B-9397-08002B2CF9AE}" pid="17" name="ISABSTRACT">
    <vt:lpwstr>Y</vt:lpwstr>
  </property>
  <property fmtid="{D5CDD505-2E9C-101B-9397-08002B2CF9AE}" pid="18" name="CASESLISTTMP1">
    <vt:lpwstr>28513828;27309272;25824863:2;28883087;28697218;27925239;26442335;26383419;26931111;27693610;27648787;26913995;24263426;16944929;26833934;28424228;28378067;26888657;28450600</vt:lpwstr>
  </property>
  <property fmtid="{D5CDD505-2E9C-101B-9397-08002B2CF9AE}" pid="19" name="BOOKGROUPTMP1">
    <vt:lpwstr>412</vt:lpwstr>
  </property>
  <property fmtid="{D5CDD505-2E9C-101B-9397-08002B2CF9AE}" pid="20" name="LAWLISTTMP1">
    <vt:lpwstr>70301/144.a;031;040i;40ja;040d;040e;032;144</vt:lpwstr>
  </property>
</Properties>
</file>