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5B368F" w:rsidRPr="00F334A1" w14:paraId="0C33F87F" w14:textId="77777777" w:rsidTr="00865628">
        <w:trPr>
          <w:gridAfter w:val="1"/>
          <w:wAfter w:w="99" w:type="dxa"/>
          <w:trHeight w:hRule="exact" w:val="418"/>
          <w:jc w:val="center"/>
        </w:trPr>
        <w:tc>
          <w:tcPr>
            <w:tcW w:w="8721" w:type="dxa"/>
            <w:gridSpan w:val="4"/>
          </w:tcPr>
          <w:p w14:paraId="6AA66314" w14:textId="77777777" w:rsidR="005B368F" w:rsidRPr="00F334A1" w:rsidRDefault="005B368F" w:rsidP="00A056BA">
            <w:pPr>
              <w:pStyle w:val="a3"/>
              <w:jc w:val="center"/>
              <w:rPr>
                <w:rFonts w:ascii="Tahoma" w:hAnsi="Tahoma" w:cs="Tahoma"/>
                <w:color w:val="000080"/>
                <w:rtl/>
              </w:rPr>
            </w:pPr>
            <w:bookmarkStart w:id="0" w:name="LastJudge"/>
            <w:r w:rsidRPr="00F334A1">
              <w:rPr>
                <w:rFonts w:ascii="Tahoma" w:hAnsi="Tahoma" w:cs="Tahoma"/>
                <w:b/>
                <w:bCs/>
                <w:color w:val="000080"/>
                <w:rtl/>
              </w:rPr>
              <w:t>בית משפט השלום בירושלים</w:t>
            </w:r>
          </w:p>
        </w:tc>
      </w:tr>
      <w:tr w:rsidR="005B368F" w:rsidRPr="00F334A1" w14:paraId="7CE185A0" w14:textId="77777777" w:rsidTr="00865628">
        <w:trPr>
          <w:gridAfter w:val="1"/>
          <w:wAfter w:w="99" w:type="dxa"/>
          <w:trHeight w:val="337"/>
          <w:jc w:val="center"/>
        </w:trPr>
        <w:tc>
          <w:tcPr>
            <w:tcW w:w="5062" w:type="dxa"/>
            <w:gridSpan w:val="3"/>
          </w:tcPr>
          <w:p w14:paraId="40D0C7C6" w14:textId="77777777" w:rsidR="005B368F" w:rsidRPr="00F334A1" w:rsidRDefault="005B368F" w:rsidP="00A056BA">
            <w:pPr>
              <w:rPr>
                <w:rFonts w:cs="FrankRuehl"/>
                <w:sz w:val="28"/>
                <w:szCs w:val="28"/>
                <w:rtl/>
              </w:rPr>
            </w:pPr>
            <w:r w:rsidRPr="00F334A1">
              <w:rPr>
                <w:rFonts w:cs="FrankRuehl"/>
                <w:sz w:val="28"/>
                <w:szCs w:val="28"/>
                <w:rtl/>
              </w:rPr>
              <w:t>ת"פ</w:t>
            </w:r>
            <w:r w:rsidRPr="00F334A1">
              <w:rPr>
                <w:rFonts w:cs="FrankRuehl" w:hint="cs"/>
                <w:sz w:val="28"/>
                <w:szCs w:val="28"/>
                <w:rtl/>
              </w:rPr>
              <w:t xml:space="preserve"> </w:t>
            </w:r>
            <w:r w:rsidRPr="00F334A1">
              <w:rPr>
                <w:rFonts w:cs="FrankRuehl"/>
                <w:sz w:val="28"/>
                <w:szCs w:val="28"/>
                <w:rtl/>
              </w:rPr>
              <w:t>30867-06-22</w:t>
            </w:r>
            <w:r w:rsidRPr="00F334A1">
              <w:rPr>
                <w:rFonts w:cs="FrankRuehl" w:hint="cs"/>
                <w:sz w:val="28"/>
                <w:szCs w:val="28"/>
                <w:rtl/>
              </w:rPr>
              <w:t xml:space="preserve"> </w:t>
            </w:r>
            <w:r w:rsidRPr="00F334A1">
              <w:rPr>
                <w:rFonts w:cs="FrankRuehl"/>
                <w:sz w:val="28"/>
                <w:szCs w:val="28"/>
                <w:rtl/>
              </w:rPr>
              <w:t>מדינת ישראל נ' אבו קטיש(עצור/אסיר בפיקוח)</w:t>
            </w:r>
          </w:p>
          <w:p w14:paraId="248CD424" w14:textId="77777777" w:rsidR="005B368F" w:rsidRPr="00F334A1" w:rsidRDefault="005B368F" w:rsidP="00A056BA">
            <w:pPr>
              <w:pStyle w:val="a3"/>
              <w:rPr>
                <w:rFonts w:cs="FrankRuehl"/>
                <w:sz w:val="28"/>
                <w:szCs w:val="28"/>
                <w:rtl/>
              </w:rPr>
            </w:pPr>
          </w:p>
        </w:tc>
        <w:tc>
          <w:tcPr>
            <w:tcW w:w="3659" w:type="dxa"/>
          </w:tcPr>
          <w:p w14:paraId="49B3416B" w14:textId="77777777" w:rsidR="005B368F" w:rsidRPr="00F334A1" w:rsidRDefault="005B368F" w:rsidP="00A056BA">
            <w:pPr>
              <w:pStyle w:val="a3"/>
              <w:jc w:val="right"/>
              <w:rPr>
                <w:rFonts w:cs="FrankRuehl"/>
                <w:sz w:val="28"/>
                <w:szCs w:val="28"/>
                <w:rtl/>
              </w:rPr>
            </w:pPr>
          </w:p>
        </w:tc>
      </w:tr>
      <w:tr w:rsidR="005B368F" w:rsidRPr="00F334A1" w14:paraId="60BE3833" w14:textId="77777777" w:rsidTr="008656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D05092" w14:textId="77777777" w:rsidR="005B368F" w:rsidRPr="00F334A1" w:rsidRDefault="005B368F" w:rsidP="005B368F">
            <w:pPr>
              <w:jc w:val="both"/>
              <w:rPr>
                <w:rFonts w:ascii="David" w:hAnsi="David"/>
                <w:sz w:val="26"/>
                <w:szCs w:val="26"/>
              </w:rPr>
            </w:pPr>
            <w:r w:rsidRPr="00F334A1">
              <w:rPr>
                <w:rFonts w:hint="cs"/>
                <w:rtl/>
              </w:rPr>
              <w:t xml:space="preserve"> </w:t>
            </w:r>
            <w:r w:rsidRPr="00F334A1">
              <w:rPr>
                <w:rFonts w:ascii="David" w:hAnsi="David" w:hint="cs"/>
                <w:sz w:val="26"/>
                <w:szCs w:val="26"/>
                <w:rtl/>
              </w:rPr>
              <w:t>ל</w:t>
            </w:r>
            <w:r w:rsidRPr="00F334A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CAFDE36" w14:textId="77777777" w:rsidR="005B368F" w:rsidRPr="00F334A1" w:rsidRDefault="005B368F" w:rsidP="00A056BA">
            <w:pPr>
              <w:rPr>
                <w:rFonts w:ascii="David" w:hAnsi="David"/>
                <w:b/>
                <w:bCs/>
                <w:sz w:val="26"/>
                <w:szCs w:val="26"/>
                <w:rtl/>
              </w:rPr>
            </w:pPr>
            <w:r w:rsidRPr="00F334A1">
              <w:rPr>
                <w:rFonts w:ascii="David" w:hAnsi="David"/>
                <w:b/>
                <w:bCs/>
                <w:sz w:val="26"/>
                <w:szCs w:val="26"/>
                <w:rtl/>
              </w:rPr>
              <w:t>כבוד השופט  ארנון איתן</w:t>
            </w:r>
          </w:p>
          <w:p w14:paraId="41EC8A1F" w14:textId="77777777" w:rsidR="005B368F" w:rsidRPr="00F334A1" w:rsidRDefault="005B368F" w:rsidP="00A056BA">
            <w:pPr>
              <w:rPr>
                <w:rFonts w:ascii="David" w:hAnsi="David"/>
                <w:sz w:val="26"/>
                <w:szCs w:val="26"/>
                <w:rtl/>
              </w:rPr>
            </w:pPr>
          </w:p>
          <w:p w14:paraId="2A7B8C33" w14:textId="77777777" w:rsidR="005B368F" w:rsidRPr="00F334A1" w:rsidRDefault="005B368F" w:rsidP="005B368F">
            <w:pPr>
              <w:jc w:val="both"/>
              <w:rPr>
                <w:rFonts w:ascii="David" w:hAnsi="David"/>
                <w:sz w:val="26"/>
                <w:szCs w:val="26"/>
              </w:rPr>
            </w:pPr>
          </w:p>
        </w:tc>
      </w:tr>
      <w:tr w:rsidR="005B368F" w:rsidRPr="00F334A1" w14:paraId="11A19862" w14:textId="77777777" w:rsidTr="008656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7ED4CA" w14:textId="77777777" w:rsidR="005B368F" w:rsidRPr="00F334A1" w:rsidRDefault="005B368F" w:rsidP="005B368F">
            <w:pPr>
              <w:jc w:val="both"/>
              <w:rPr>
                <w:rFonts w:ascii="David" w:hAnsi="David"/>
                <w:sz w:val="26"/>
                <w:szCs w:val="26"/>
              </w:rPr>
            </w:pPr>
            <w:bookmarkStart w:id="1" w:name="FirstAppellant"/>
            <w:r w:rsidRPr="00F334A1">
              <w:rPr>
                <w:rFonts w:ascii="David" w:hAnsi="David"/>
                <w:sz w:val="26"/>
                <w:szCs w:val="26"/>
                <w:rtl/>
              </w:rPr>
              <w:t>בעניין:</w:t>
            </w:r>
          </w:p>
        </w:tc>
        <w:tc>
          <w:tcPr>
            <w:tcW w:w="3219" w:type="dxa"/>
            <w:tcBorders>
              <w:top w:val="nil"/>
              <w:left w:val="nil"/>
              <w:bottom w:val="nil"/>
              <w:right w:val="nil"/>
            </w:tcBorders>
            <w:shd w:val="clear" w:color="auto" w:fill="auto"/>
          </w:tcPr>
          <w:p w14:paraId="28B6488A" w14:textId="77777777" w:rsidR="005B368F" w:rsidRPr="00F334A1" w:rsidRDefault="005B368F" w:rsidP="005B368F">
            <w:pPr>
              <w:suppressLineNumbers/>
            </w:pPr>
            <w:r w:rsidRPr="00F334A1">
              <w:rPr>
                <w:rFonts w:ascii="Arial" w:hAnsi="Arial" w:hint="cs"/>
                <w:b/>
                <w:bCs/>
                <w:sz w:val="26"/>
                <w:szCs w:val="26"/>
                <w:rtl/>
              </w:rPr>
              <w:t>ה</w:t>
            </w:r>
            <w:r w:rsidRPr="00F334A1">
              <w:rPr>
                <w:rFonts w:ascii="Arial" w:hAnsi="Arial"/>
                <w:b/>
                <w:bCs/>
                <w:sz w:val="26"/>
                <w:szCs w:val="26"/>
                <w:rtl/>
              </w:rPr>
              <w:t>מאשימה</w:t>
            </w:r>
          </w:p>
          <w:p w14:paraId="7409930C" w14:textId="77777777" w:rsidR="005B368F" w:rsidRPr="00F334A1" w:rsidRDefault="005B368F" w:rsidP="00A056B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E5B270D" w14:textId="77777777" w:rsidR="005B368F" w:rsidRPr="00F334A1" w:rsidRDefault="005B368F" w:rsidP="005B368F">
            <w:pPr>
              <w:suppressLineNumbers/>
              <w:rPr>
                <w:rFonts w:ascii="Arial" w:hAnsi="Arial"/>
                <w:b/>
                <w:bCs/>
                <w:sz w:val="26"/>
                <w:szCs w:val="26"/>
                <w:rtl/>
              </w:rPr>
            </w:pPr>
            <w:r w:rsidRPr="00F334A1">
              <w:rPr>
                <w:rFonts w:ascii="Arial" w:hAnsi="Arial"/>
                <w:b/>
                <w:bCs/>
                <w:sz w:val="26"/>
                <w:szCs w:val="26"/>
                <w:rtl/>
              </w:rPr>
              <w:t>מדינת ישראל</w:t>
            </w:r>
          </w:p>
          <w:p w14:paraId="79F5E294" w14:textId="77777777" w:rsidR="005B368F" w:rsidRPr="00F334A1" w:rsidRDefault="005B368F" w:rsidP="005B368F">
            <w:pPr>
              <w:suppressLineNumbers/>
              <w:spacing w:after="160" w:line="276" w:lineRule="auto"/>
              <w:rPr>
                <w:rFonts w:ascii="Calibri" w:eastAsia="Calibri" w:hAnsi="Calibri"/>
              </w:rPr>
            </w:pPr>
            <w:r w:rsidRPr="00F334A1">
              <w:rPr>
                <w:rFonts w:ascii="Calibri" w:eastAsia="Calibri" w:hAnsi="Calibri"/>
                <w:rtl/>
              </w:rPr>
              <w:t>באמצעות פרקליטות מחוז ירושלים - פלילי</w:t>
            </w:r>
          </w:p>
          <w:p w14:paraId="69024532" w14:textId="77777777" w:rsidR="005B368F" w:rsidRPr="00F334A1" w:rsidRDefault="005B368F" w:rsidP="005B368F">
            <w:pPr>
              <w:suppressLineNumbers/>
            </w:pPr>
          </w:p>
          <w:p w14:paraId="17256BB4" w14:textId="77777777" w:rsidR="005B368F" w:rsidRPr="00F334A1" w:rsidRDefault="005B368F" w:rsidP="00A056BA">
            <w:pPr>
              <w:rPr>
                <w:rFonts w:ascii="David" w:hAnsi="David"/>
                <w:sz w:val="26"/>
                <w:szCs w:val="26"/>
              </w:rPr>
            </w:pPr>
          </w:p>
        </w:tc>
      </w:tr>
      <w:bookmarkEnd w:id="1"/>
      <w:tr w:rsidR="005B368F" w:rsidRPr="00F334A1" w14:paraId="7C3B1EE6" w14:textId="77777777" w:rsidTr="008656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5F9FB8" w14:textId="77777777" w:rsidR="005B368F" w:rsidRPr="00F334A1" w:rsidRDefault="005B368F" w:rsidP="005B368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27F57EC" w14:textId="77777777" w:rsidR="005B368F" w:rsidRPr="00F334A1" w:rsidRDefault="005B368F" w:rsidP="005B368F">
            <w:pPr>
              <w:jc w:val="center"/>
              <w:rPr>
                <w:rFonts w:ascii="David" w:hAnsi="David"/>
                <w:b/>
                <w:bCs/>
                <w:sz w:val="26"/>
                <w:szCs w:val="26"/>
                <w:rtl/>
              </w:rPr>
            </w:pPr>
          </w:p>
          <w:p w14:paraId="3A5CB8CC" w14:textId="77777777" w:rsidR="005B368F" w:rsidRPr="00F334A1" w:rsidRDefault="005B368F" w:rsidP="005B368F">
            <w:pPr>
              <w:jc w:val="center"/>
              <w:rPr>
                <w:rFonts w:ascii="David" w:hAnsi="David"/>
                <w:b/>
                <w:bCs/>
                <w:sz w:val="26"/>
                <w:szCs w:val="26"/>
                <w:rtl/>
              </w:rPr>
            </w:pPr>
            <w:r w:rsidRPr="00F334A1">
              <w:rPr>
                <w:rFonts w:ascii="David" w:hAnsi="David"/>
                <w:b/>
                <w:bCs/>
                <w:sz w:val="26"/>
                <w:szCs w:val="26"/>
                <w:rtl/>
              </w:rPr>
              <w:t>נגד</w:t>
            </w:r>
          </w:p>
          <w:p w14:paraId="122A4F91" w14:textId="77777777" w:rsidR="005B368F" w:rsidRPr="00F334A1" w:rsidRDefault="005B368F" w:rsidP="005B368F">
            <w:pPr>
              <w:jc w:val="both"/>
              <w:rPr>
                <w:rFonts w:ascii="David" w:hAnsi="David"/>
                <w:sz w:val="26"/>
                <w:szCs w:val="26"/>
              </w:rPr>
            </w:pPr>
          </w:p>
        </w:tc>
      </w:tr>
      <w:tr w:rsidR="005B368F" w:rsidRPr="00F334A1" w14:paraId="77CE6CED" w14:textId="77777777" w:rsidTr="008656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1D6AB9" w14:textId="77777777" w:rsidR="005B368F" w:rsidRPr="00F334A1" w:rsidRDefault="005B368F" w:rsidP="00A056B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A93F6C7" w14:textId="77777777" w:rsidR="005B368F" w:rsidRPr="00F334A1" w:rsidRDefault="005B368F" w:rsidP="00A056BA">
            <w:pPr>
              <w:rPr>
                <w:rFonts w:ascii="Arial" w:hAnsi="Arial"/>
                <w:b/>
                <w:bCs/>
                <w:sz w:val="26"/>
                <w:szCs w:val="26"/>
                <w:rtl/>
              </w:rPr>
            </w:pPr>
            <w:r w:rsidRPr="00F334A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96EF348" w14:textId="77777777" w:rsidR="005B368F" w:rsidRPr="00F334A1" w:rsidRDefault="005B368F" w:rsidP="005B368F">
            <w:pPr>
              <w:suppressLineNumbers/>
              <w:rPr>
                <w:rFonts w:ascii="Arial" w:hAnsi="Arial"/>
                <w:b/>
                <w:bCs/>
                <w:sz w:val="26"/>
                <w:szCs w:val="26"/>
                <w:rtl/>
              </w:rPr>
            </w:pPr>
            <w:r w:rsidRPr="00F334A1">
              <w:rPr>
                <w:rFonts w:ascii="Arial" w:hAnsi="Arial"/>
                <w:b/>
                <w:bCs/>
                <w:sz w:val="26"/>
                <w:szCs w:val="26"/>
                <w:rtl/>
              </w:rPr>
              <w:t xml:space="preserve">מחמוד אבו קטיש </w:t>
            </w:r>
          </w:p>
          <w:p w14:paraId="7077EA78" w14:textId="77777777" w:rsidR="005B368F" w:rsidRPr="00F334A1" w:rsidRDefault="005B368F" w:rsidP="005B368F">
            <w:pPr>
              <w:suppressLineNumbers/>
            </w:pPr>
            <w:r w:rsidRPr="00F334A1">
              <w:rPr>
                <w:rFonts w:ascii="Arial" w:hAnsi="Arial"/>
                <w:rtl/>
              </w:rPr>
              <w:t>ע"י ב"כ עוה"ד</w:t>
            </w:r>
            <w:r w:rsidRPr="00F334A1">
              <w:rPr>
                <w:rtl/>
              </w:rPr>
              <w:t xml:space="preserve"> נמיר אדלבי</w:t>
            </w:r>
          </w:p>
          <w:p w14:paraId="436AEB37" w14:textId="77777777" w:rsidR="005B368F" w:rsidRPr="00F334A1" w:rsidRDefault="005B368F" w:rsidP="00A056BA">
            <w:pPr>
              <w:rPr>
                <w:rFonts w:ascii="David" w:hAnsi="David"/>
                <w:sz w:val="26"/>
                <w:szCs w:val="26"/>
              </w:rPr>
            </w:pPr>
          </w:p>
        </w:tc>
      </w:tr>
    </w:tbl>
    <w:p w14:paraId="4535B908" w14:textId="77777777" w:rsidR="00865628" w:rsidRPr="00865628" w:rsidRDefault="00865628" w:rsidP="00865628">
      <w:pPr>
        <w:spacing w:before="120" w:after="120" w:line="240" w:lineRule="exact"/>
        <w:ind w:left="283" w:hanging="283"/>
        <w:jc w:val="both"/>
        <w:rPr>
          <w:rFonts w:ascii="FrankRuehl" w:hAnsi="FrankRuehl" w:cs="FrankRuehl"/>
          <w:rtl/>
        </w:rPr>
      </w:pPr>
      <w:bookmarkStart w:id="3" w:name="LawTable"/>
      <w:bookmarkEnd w:id="2"/>
      <w:bookmarkEnd w:id="3"/>
    </w:p>
    <w:p w14:paraId="39084857" w14:textId="77777777" w:rsidR="00865628" w:rsidRPr="00865628" w:rsidRDefault="00865628" w:rsidP="00865628">
      <w:pPr>
        <w:spacing w:before="120" w:after="120" w:line="240" w:lineRule="exact"/>
        <w:ind w:left="283" w:hanging="283"/>
        <w:jc w:val="both"/>
        <w:rPr>
          <w:rFonts w:ascii="FrankRuehl" w:hAnsi="FrankRuehl" w:cs="FrankRuehl"/>
          <w:rtl/>
        </w:rPr>
      </w:pPr>
      <w:r w:rsidRPr="00865628">
        <w:rPr>
          <w:rFonts w:ascii="FrankRuehl" w:hAnsi="FrankRuehl" w:cs="FrankRuehl"/>
          <w:rtl/>
        </w:rPr>
        <w:t xml:space="preserve">חקיקה שאוזכרה: </w:t>
      </w:r>
    </w:p>
    <w:p w14:paraId="0DCC02AE" w14:textId="77777777" w:rsidR="00865628" w:rsidRPr="00865628" w:rsidRDefault="00865628" w:rsidP="00865628">
      <w:pPr>
        <w:spacing w:before="120" w:after="120" w:line="240" w:lineRule="exact"/>
        <w:ind w:left="283" w:hanging="283"/>
        <w:jc w:val="both"/>
        <w:rPr>
          <w:rFonts w:ascii="FrankRuehl" w:hAnsi="FrankRuehl" w:cs="FrankRuehl"/>
          <w:color w:val="0000FF"/>
          <w:rtl/>
        </w:rPr>
      </w:pPr>
      <w:hyperlink r:id="rId7" w:history="1">
        <w:r w:rsidRPr="00865628">
          <w:rPr>
            <w:rStyle w:val="Hyperlink"/>
            <w:rFonts w:ascii="FrankRuehl" w:hAnsi="FrankRuehl" w:cs="FrankRuehl"/>
            <w:u w:val="none"/>
            <w:rtl/>
          </w:rPr>
          <w:t>חוק העונשין, תשל"ז-1977</w:t>
        </w:r>
      </w:hyperlink>
      <w:r w:rsidRPr="00865628">
        <w:rPr>
          <w:rFonts w:ascii="FrankRuehl" w:hAnsi="FrankRuehl" w:cs="FrankRuehl"/>
          <w:color w:val="0000FF"/>
          <w:rtl/>
        </w:rPr>
        <w:t xml:space="preserve">: סע'  </w:t>
      </w:r>
      <w:hyperlink r:id="rId8" w:history="1">
        <w:r w:rsidRPr="00865628">
          <w:rPr>
            <w:rStyle w:val="Hyperlink"/>
            <w:rFonts w:ascii="FrankRuehl" w:hAnsi="FrankRuehl" w:cs="FrankRuehl"/>
            <w:u w:val="none"/>
          </w:rPr>
          <w:t>144</w:t>
        </w:r>
      </w:hyperlink>
      <w:r w:rsidRPr="00865628">
        <w:rPr>
          <w:rFonts w:ascii="FrankRuehl" w:hAnsi="FrankRuehl" w:cs="FrankRuehl"/>
          <w:color w:val="0000FF"/>
          <w:rtl/>
        </w:rPr>
        <w:t>(א)</w:t>
      </w:r>
    </w:p>
    <w:p w14:paraId="668F9537" w14:textId="77777777" w:rsidR="005B368F" w:rsidRPr="00865628" w:rsidRDefault="005B368F" w:rsidP="0086562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368F" w14:paraId="4C421698" w14:textId="77777777" w:rsidTr="005B368F">
        <w:trPr>
          <w:trHeight w:val="355"/>
          <w:jc w:val="center"/>
        </w:trPr>
        <w:tc>
          <w:tcPr>
            <w:tcW w:w="8820" w:type="dxa"/>
            <w:tcBorders>
              <w:top w:val="nil"/>
              <w:left w:val="nil"/>
              <w:bottom w:val="nil"/>
              <w:right w:val="nil"/>
            </w:tcBorders>
            <w:shd w:val="clear" w:color="auto" w:fill="auto"/>
          </w:tcPr>
          <w:p w14:paraId="2D5C4E2D" w14:textId="77777777" w:rsidR="00F334A1" w:rsidRPr="00F334A1" w:rsidRDefault="00F334A1" w:rsidP="00F334A1">
            <w:pPr>
              <w:jc w:val="center"/>
              <w:rPr>
                <w:rFonts w:ascii="David" w:hAnsi="David"/>
                <w:b/>
                <w:bCs/>
                <w:u w:val="single"/>
                <w:rtl/>
              </w:rPr>
            </w:pPr>
            <w:bookmarkStart w:id="5" w:name="PsakDin" w:colFirst="0" w:colLast="0"/>
            <w:bookmarkEnd w:id="0"/>
            <w:r w:rsidRPr="00F334A1">
              <w:rPr>
                <w:rFonts w:ascii="David" w:hAnsi="David"/>
                <w:b/>
                <w:bCs/>
                <w:u w:val="single"/>
                <w:rtl/>
              </w:rPr>
              <w:t>גזר דין</w:t>
            </w:r>
          </w:p>
          <w:p w14:paraId="492FDD1A" w14:textId="77777777" w:rsidR="005B368F" w:rsidRPr="00F334A1" w:rsidRDefault="005B368F" w:rsidP="00F334A1">
            <w:pPr>
              <w:jc w:val="center"/>
              <w:rPr>
                <w:rFonts w:ascii="David" w:hAnsi="David"/>
                <w:bCs/>
                <w:u w:val="single"/>
                <w:rtl/>
              </w:rPr>
            </w:pPr>
          </w:p>
        </w:tc>
      </w:tr>
      <w:bookmarkEnd w:id="5"/>
    </w:tbl>
    <w:p w14:paraId="1E69B17E" w14:textId="77777777" w:rsidR="005B368F" w:rsidRPr="000F2247" w:rsidRDefault="005B368F" w:rsidP="005B368F">
      <w:pPr>
        <w:rPr>
          <w:rFonts w:ascii="Arial" w:hAnsi="Arial"/>
          <w:b/>
          <w:bCs/>
          <w:sz w:val="26"/>
          <w:szCs w:val="26"/>
          <w:rtl/>
        </w:rPr>
      </w:pPr>
    </w:p>
    <w:p w14:paraId="57CAF44E" w14:textId="77777777" w:rsidR="005B368F" w:rsidRPr="000F2247" w:rsidRDefault="005B368F" w:rsidP="005B368F">
      <w:pPr>
        <w:rPr>
          <w:rFonts w:ascii="Arial" w:hAnsi="Arial"/>
          <w:b/>
          <w:bCs/>
          <w:sz w:val="26"/>
          <w:szCs w:val="26"/>
          <w:rtl/>
        </w:rPr>
      </w:pPr>
      <w:bookmarkStart w:id="6" w:name="ABSTRACT_START"/>
      <w:bookmarkEnd w:id="6"/>
    </w:p>
    <w:p w14:paraId="200B43C2" w14:textId="77777777" w:rsidR="005B368F" w:rsidRPr="00FC3CC8" w:rsidRDefault="005B368F" w:rsidP="005B368F">
      <w:pPr>
        <w:pStyle w:val="a9"/>
        <w:numPr>
          <w:ilvl w:val="0"/>
          <w:numId w:val="2"/>
        </w:numPr>
        <w:spacing w:line="360" w:lineRule="auto"/>
        <w:jc w:val="both"/>
        <w:rPr>
          <w:rFonts w:ascii="David" w:hAnsi="David"/>
          <w:color w:val="000000"/>
        </w:rPr>
      </w:pPr>
      <w:r w:rsidRPr="00FC3CC8">
        <w:rPr>
          <w:rFonts w:ascii="David" w:hAnsi="David"/>
          <w:color w:val="000000"/>
          <w:rtl/>
        </w:rPr>
        <w:t>הנאשם הורשע על פי הודאתו, ובמסגרת הסדר טיעון, בכתב אישום מתוקן המייחס לו עבירה של</w:t>
      </w:r>
      <w:r w:rsidRPr="00FC3CC8">
        <w:rPr>
          <w:rFonts w:ascii="Arial" w:hAnsi="Arial"/>
          <w:b/>
          <w:bCs/>
          <w:sz w:val="26"/>
          <w:szCs w:val="26"/>
          <w:rtl/>
        </w:rPr>
        <w:t xml:space="preserve"> </w:t>
      </w:r>
      <w:r w:rsidRPr="00FC3CC8">
        <w:rPr>
          <w:rFonts w:ascii="David" w:hAnsi="David"/>
          <w:color w:val="000000"/>
          <w:rtl/>
        </w:rPr>
        <w:t xml:space="preserve">החזקת נשק לפי </w:t>
      </w:r>
      <w:hyperlink r:id="rId9" w:history="1">
        <w:r w:rsidR="00865628" w:rsidRPr="00865628">
          <w:rPr>
            <w:rStyle w:val="Hyperlink"/>
            <w:rFonts w:ascii="David" w:hAnsi="David"/>
            <w:color w:val="0000FF"/>
            <w:rtl/>
          </w:rPr>
          <w:t>סעיף 144(א)</w:t>
        </w:r>
      </w:hyperlink>
      <w:r w:rsidRPr="00FC3CC8">
        <w:rPr>
          <w:rFonts w:ascii="David" w:hAnsi="David"/>
          <w:color w:val="000000"/>
          <w:rtl/>
        </w:rPr>
        <w:t xml:space="preserve"> רישא ל</w:t>
      </w:r>
      <w:hyperlink r:id="rId10" w:history="1">
        <w:r w:rsidR="00F334A1" w:rsidRPr="00F334A1">
          <w:rPr>
            <w:rFonts w:ascii="David" w:hAnsi="David"/>
            <w:color w:val="0000FF"/>
            <w:u w:val="single"/>
            <w:rtl/>
          </w:rPr>
          <w:t>חוק העונשין</w:t>
        </w:r>
      </w:hyperlink>
      <w:r w:rsidRPr="00FC3CC8">
        <w:rPr>
          <w:rFonts w:ascii="David" w:hAnsi="David"/>
          <w:color w:val="000000"/>
          <w:rtl/>
        </w:rPr>
        <w:t xml:space="preserve"> תשל"ז-1977. סוכם</w:t>
      </w:r>
      <w:r w:rsidRPr="00FC3CC8">
        <w:rPr>
          <w:rFonts w:ascii="David" w:hAnsi="David" w:hint="cs"/>
          <w:color w:val="000000"/>
          <w:rtl/>
        </w:rPr>
        <w:t>,</w:t>
      </w:r>
      <w:r w:rsidRPr="00FC3CC8">
        <w:rPr>
          <w:rFonts w:ascii="David" w:hAnsi="David"/>
          <w:color w:val="000000"/>
          <w:rtl/>
        </w:rPr>
        <w:t xml:space="preserve"> כי המאשימה ת</w:t>
      </w:r>
      <w:r w:rsidRPr="00FC3CC8">
        <w:rPr>
          <w:rFonts w:ascii="David" w:hAnsi="David" w:hint="cs"/>
          <w:color w:val="000000"/>
          <w:rtl/>
        </w:rPr>
        <w:t xml:space="preserve">גביל עצמה </w:t>
      </w:r>
      <w:r w:rsidRPr="00FC3CC8">
        <w:rPr>
          <w:rFonts w:ascii="David" w:hAnsi="David"/>
          <w:color w:val="000000"/>
          <w:rtl/>
        </w:rPr>
        <w:t xml:space="preserve"> לעונש של 20 חודשי מאסר בפועל לצד ענישה נלווית, והסנגור יהיה חופשי בטיעוניו</w:t>
      </w:r>
      <w:r w:rsidRPr="00FC3CC8">
        <w:rPr>
          <w:rFonts w:ascii="David" w:hAnsi="David" w:hint="cs"/>
          <w:color w:val="000000"/>
          <w:rtl/>
        </w:rPr>
        <w:t>,</w:t>
      </w:r>
      <w:r w:rsidRPr="00FC3CC8">
        <w:rPr>
          <w:rFonts w:ascii="David" w:hAnsi="David"/>
          <w:color w:val="000000"/>
          <w:rtl/>
        </w:rPr>
        <w:t xml:space="preserve"> לאחר קבלת תסקיר מבחן</w:t>
      </w:r>
      <w:bookmarkStart w:id="7" w:name="ABSTRACT_END"/>
      <w:bookmarkEnd w:id="7"/>
      <w:r w:rsidRPr="00FC3CC8">
        <w:rPr>
          <w:rFonts w:ascii="David" w:hAnsi="David"/>
          <w:color w:val="000000"/>
          <w:rtl/>
        </w:rPr>
        <w:t>.</w:t>
      </w:r>
    </w:p>
    <w:p w14:paraId="6B3320C5" w14:textId="77777777" w:rsidR="005B368F" w:rsidRPr="00FC3CC8" w:rsidRDefault="005B368F" w:rsidP="005B368F">
      <w:pPr>
        <w:pStyle w:val="a9"/>
        <w:numPr>
          <w:ilvl w:val="0"/>
          <w:numId w:val="2"/>
        </w:numPr>
        <w:spacing w:line="360" w:lineRule="auto"/>
        <w:jc w:val="both"/>
        <w:rPr>
          <w:rFonts w:ascii="David" w:hAnsi="David"/>
          <w:color w:val="000000"/>
          <w:rtl/>
        </w:rPr>
      </w:pPr>
      <w:r w:rsidRPr="00FC3CC8">
        <w:rPr>
          <w:rFonts w:ascii="David" w:hAnsi="David"/>
          <w:color w:val="000000"/>
          <w:rtl/>
        </w:rPr>
        <w:t>על פי המתואר בכתב האישום, הנאשם מתגורר ברחוב התמר 12 באבו גוש במבנה הכולל 3 מפלסים: קומת הקרקע בה מתגורר הנאשם עם הוריו ואחותו, הקומה ה-2 בה מתגורר אחיו ואשתו, והקומה העליונה הכוללת דירה משופצת בה אחסן הנאשם את ציוד העבודה שלו כמתקין מצלמות. (להלן: "</w:t>
      </w:r>
      <w:r w:rsidRPr="00FC3CC8">
        <w:rPr>
          <w:rFonts w:ascii="David" w:hAnsi="David"/>
          <w:b/>
          <w:bCs/>
          <w:color w:val="000000"/>
          <w:rtl/>
        </w:rPr>
        <w:t>הקומה</w:t>
      </w:r>
      <w:r w:rsidRPr="00FC3CC8">
        <w:rPr>
          <w:rFonts w:ascii="David" w:hAnsi="David"/>
          <w:color w:val="000000"/>
          <w:rtl/>
        </w:rPr>
        <w:t xml:space="preserve"> </w:t>
      </w:r>
      <w:r w:rsidRPr="00FC3CC8">
        <w:rPr>
          <w:rFonts w:ascii="David" w:hAnsi="David"/>
          <w:b/>
          <w:bCs/>
          <w:color w:val="000000"/>
          <w:rtl/>
        </w:rPr>
        <w:t>העליונה</w:t>
      </w:r>
      <w:r w:rsidRPr="00FC3CC8">
        <w:rPr>
          <w:rFonts w:ascii="David" w:hAnsi="David"/>
          <w:color w:val="000000"/>
          <w:rtl/>
        </w:rPr>
        <w:t>", "</w:t>
      </w:r>
      <w:r w:rsidRPr="00FC3CC8">
        <w:rPr>
          <w:rFonts w:ascii="David" w:hAnsi="David"/>
          <w:b/>
          <w:bCs/>
          <w:color w:val="000000"/>
          <w:rtl/>
        </w:rPr>
        <w:t>הציוד</w:t>
      </w:r>
      <w:r w:rsidRPr="00FC3CC8">
        <w:rPr>
          <w:rFonts w:ascii="David" w:hAnsi="David"/>
          <w:color w:val="000000"/>
          <w:rtl/>
        </w:rPr>
        <w:t>" בהתאמה).</w:t>
      </w:r>
    </w:p>
    <w:p w14:paraId="237D27B8" w14:textId="77777777" w:rsidR="005B368F" w:rsidRPr="00FC3CC8" w:rsidRDefault="005B368F" w:rsidP="005B368F">
      <w:pPr>
        <w:pStyle w:val="a9"/>
        <w:numPr>
          <w:ilvl w:val="0"/>
          <w:numId w:val="2"/>
        </w:numPr>
        <w:spacing w:line="360" w:lineRule="auto"/>
        <w:jc w:val="both"/>
        <w:rPr>
          <w:rFonts w:ascii="Arial" w:hAnsi="Arial"/>
          <w:rtl/>
        </w:rPr>
      </w:pPr>
      <w:r w:rsidRPr="00FC3CC8">
        <w:rPr>
          <w:rFonts w:ascii="David" w:hAnsi="David"/>
          <w:color w:val="000000"/>
          <w:rtl/>
        </w:rPr>
        <w:t>החל ממועד שאינו ידוע למאשימה</w:t>
      </w:r>
      <w:r w:rsidRPr="00FC3CC8">
        <w:rPr>
          <w:rFonts w:ascii="Arial" w:hAnsi="Arial"/>
          <w:sz w:val="26"/>
          <w:szCs w:val="26"/>
          <w:rtl/>
        </w:rPr>
        <w:t xml:space="preserve"> </w:t>
      </w:r>
      <w:r w:rsidRPr="00FC3CC8">
        <w:rPr>
          <w:rFonts w:ascii="Arial" w:hAnsi="Arial"/>
          <w:rtl/>
        </w:rPr>
        <w:t>במדויק ועד ליום 1.6.2022, החזיק הנאשם באחד החדרים בדירה בקומה העליונה, בו מצוי הציוד, בתוך קופסת קרטון ובה ציוד, קופסת פח ובה מלופפים בבד לבן :</w:t>
      </w:r>
    </w:p>
    <w:p w14:paraId="136984F4" w14:textId="77777777" w:rsidR="005B368F" w:rsidRPr="00814E73" w:rsidRDefault="005B368F" w:rsidP="005B368F">
      <w:pPr>
        <w:spacing w:line="360" w:lineRule="auto"/>
        <w:ind w:left="720"/>
        <w:contextualSpacing/>
        <w:jc w:val="both"/>
        <w:rPr>
          <w:rFonts w:ascii="Arial" w:hAnsi="Arial"/>
          <w:rtl/>
        </w:rPr>
      </w:pPr>
      <w:r w:rsidRPr="00814E73">
        <w:rPr>
          <w:rFonts w:ascii="Arial" w:hAnsi="Arial"/>
          <w:rtl/>
        </w:rPr>
        <w:t xml:space="preserve">א. אקדח תופי, תוצרת בלגיה, קליבר 8 מ"מ, מס' סידורי 8541, שאינו רשום במרשם הבעלויות ואינו תקין, אך יורה תרמילים. </w:t>
      </w:r>
    </w:p>
    <w:p w14:paraId="521E4694" w14:textId="77777777" w:rsidR="005B368F" w:rsidRPr="00814E73" w:rsidRDefault="005B368F" w:rsidP="005B368F">
      <w:pPr>
        <w:spacing w:line="360" w:lineRule="auto"/>
        <w:ind w:left="720"/>
        <w:contextualSpacing/>
        <w:jc w:val="both"/>
        <w:rPr>
          <w:rFonts w:ascii="Arial" w:hAnsi="Arial"/>
          <w:rtl/>
        </w:rPr>
      </w:pPr>
      <w:r w:rsidRPr="00814E73">
        <w:rPr>
          <w:rFonts w:ascii="Arial" w:hAnsi="Arial"/>
          <w:rtl/>
        </w:rPr>
        <w:lastRenderedPageBreak/>
        <w:t xml:space="preserve">ב.   אקדח חצי אוטומטי מאוזר </w:t>
      </w:r>
      <w:r w:rsidRPr="00814E73">
        <w:rPr>
          <w:rFonts w:ascii="David" w:hAnsi="David"/>
          <w:rtl/>
        </w:rPr>
        <w:t>(</w:t>
      </w:r>
      <w:r w:rsidRPr="00814E73">
        <w:rPr>
          <w:rFonts w:ascii="David" w:hAnsi="David"/>
        </w:rPr>
        <w:t>Mauser</w:t>
      </w:r>
      <w:r w:rsidRPr="00814E73">
        <w:rPr>
          <w:rFonts w:ascii="David" w:hAnsi="David"/>
          <w:rtl/>
        </w:rPr>
        <w:t>)</w:t>
      </w:r>
      <w:r w:rsidRPr="00814E73">
        <w:rPr>
          <w:rFonts w:ascii="Arial" w:hAnsi="Arial"/>
          <w:rtl/>
        </w:rPr>
        <w:t xml:space="preserve"> לא תקין, תוצרת גרמניה, מודל 1910, קליבר 6.35 מ"מ, מס' סידורי 214511, שאינו רשום במרשם הבעלויות, לא כולל החלקים הבאים: נוקר, קפיץ נוקר, קפיץ מפעיל/מחזיר, וסרן קפיץ מפעיל/מחזיר.</w:t>
      </w:r>
    </w:p>
    <w:p w14:paraId="6E866F9C" w14:textId="77777777" w:rsidR="005B368F" w:rsidRPr="00814E73" w:rsidRDefault="005B368F" w:rsidP="005B368F">
      <w:pPr>
        <w:spacing w:line="360" w:lineRule="auto"/>
        <w:ind w:left="720"/>
        <w:contextualSpacing/>
        <w:jc w:val="both"/>
        <w:rPr>
          <w:rFonts w:ascii="Arial" w:hAnsi="Arial"/>
          <w:rtl/>
        </w:rPr>
      </w:pPr>
    </w:p>
    <w:p w14:paraId="36749754" w14:textId="77777777" w:rsidR="005B368F" w:rsidRDefault="005B368F" w:rsidP="005B368F">
      <w:pPr>
        <w:spacing w:line="360" w:lineRule="auto"/>
        <w:jc w:val="both"/>
        <w:rPr>
          <w:rFonts w:ascii="Arial" w:hAnsi="Arial"/>
          <w:b/>
          <w:bCs/>
          <w:u w:val="single"/>
          <w:rtl/>
        </w:rPr>
      </w:pPr>
    </w:p>
    <w:p w14:paraId="31DE3B79" w14:textId="77777777" w:rsidR="005B368F" w:rsidRPr="00FC3CC8" w:rsidRDefault="005B368F" w:rsidP="005B368F">
      <w:pPr>
        <w:spacing w:line="360" w:lineRule="auto"/>
        <w:ind w:firstLine="480"/>
        <w:jc w:val="both"/>
        <w:rPr>
          <w:rFonts w:ascii="Arial" w:hAnsi="Arial"/>
          <w:b/>
          <w:bCs/>
          <w:u w:val="single"/>
          <w:rtl/>
        </w:rPr>
      </w:pPr>
      <w:r w:rsidRPr="00FC3CC8">
        <w:rPr>
          <w:rFonts w:ascii="Arial" w:hAnsi="Arial"/>
          <w:b/>
          <w:bCs/>
          <w:u w:val="single"/>
          <w:rtl/>
        </w:rPr>
        <w:t>ראיות לעונש</w:t>
      </w:r>
    </w:p>
    <w:p w14:paraId="359C4F26" w14:textId="77777777" w:rsidR="005B368F" w:rsidRPr="00FC3CC8" w:rsidRDefault="005B368F" w:rsidP="005B368F">
      <w:pPr>
        <w:pStyle w:val="a9"/>
        <w:numPr>
          <w:ilvl w:val="0"/>
          <w:numId w:val="2"/>
        </w:numPr>
        <w:spacing w:line="360" w:lineRule="auto"/>
        <w:jc w:val="both"/>
        <w:rPr>
          <w:rFonts w:ascii="Arial" w:hAnsi="Arial"/>
          <w:rtl/>
        </w:rPr>
      </w:pPr>
      <w:r w:rsidRPr="00FC3CC8">
        <w:rPr>
          <w:rFonts w:ascii="Arial" w:hAnsi="Arial"/>
          <w:rtl/>
        </w:rPr>
        <w:t xml:space="preserve">מטעם ההגנה הוגש מ/1 </w:t>
      </w:r>
      <w:r w:rsidRPr="00FC3CC8">
        <w:rPr>
          <w:rFonts w:ascii="David" w:hAnsi="David"/>
          <w:rtl/>
        </w:rPr>
        <w:t>–</w:t>
      </w:r>
      <w:r w:rsidRPr="00FC3CC8">
        <w:rPr>
          <w:rFonts w:ascii="Arial" w:hAnsi="Arial"/>
          <w:rtl/>
        </w:rPr>
        <w:t xml:space="preserve"> חוות דעת מומחה לעניין כלי הנשק.</w:t>
      </w:r>
    </w:p>
    <w:p w14:paraId="48953581" w14:textId="77777777" w:rsidR="005B368F" w:rsidRPr="00814E73" w:rsidRDefault="005B368F" w:rsidP="005B368F">
      <w:pPr>
        <w:spacing w:line="360" w:lineRule="auto"/>
        <w:jc w:val="both"/>
        <w:rPr>
          <w:rFonts w:ascii="Arial" w:hAnsi="Arial"/>
          <w:rtl/>
        </w:rPr>
      </w:pPr>
    </w:p>
    <w:p w14:paraId="1F326165" w14:textId="77777777" w:rsidR="005B368F" w:rsidRPr="00FC3CC8" w:rsidRDefault="005B368F" w:rsidP="005B368F">
      <w:pPr>
        <w:spacing w:line="360" w:lineRule="auto"/>
        <w:ind w:firstLine="480"/>
        <w:jc w:val="both"/>
        <w:rPr>
          <w:rFonts w:ascii="Arial" w:hAnsi="Arial"/>
          <w:b/>
          <w:bCs/>
          <w:u w:val="single"/>
          <w:rtl/>
        </w:rPr>
      </w:pPr>
      <w:r w:rsidRPr="00FC3CC8">
        <w:rPr>
          <w:rFonts w:ascii="Arial" w:hAnsi="Arial"/>
          <w:b/>
          <w:bCs/>
          <w:u w:val="single"/>
          <w:rtl/>
        </w:rPr>
        <w:t>תסקיר שירות המבחן</w:t>
      </w:r>
    </w:p>
    <w:p w14:paraId="6ACF16C3" w14:textId="77777777" w:rsidR="005B368F" w:rsidRPr="00FC3CC8" w:rsidRDefault="005B368F" w:rsidP="005B368F">
      <w:pPr>
        <w:pStyle w:val="a9"/>
        <w:numPr>
          <w:ilvl w:val="0"/>
          <w:numId w:val="2"/>
        </w:numPr>
        <w:spacing w:line="360" w:lineRule="auto"/>
        <w:jc w:val="both"/>
        <w:rPr>
          <w:rFonts w:ascii="Arial" w:hAnsi="Arial"/>
          <w:rtl/>
        </w:rPr>
      </w:pPr>
      <w:r w:rsidRPr="00FC3CC8">
        <w:rPr>
          <w:rFonts w:ascii="Arial" w:hAnsi="Arial"/>
          <w:rtl/>
        </w:rPr>
        <w:t xml:space="preserve">בתסקיר תואר הנאשם כבן 32, </w:t>
      </w:r>
      <w:r>
        <w:rPr>
          <w:rFonts w:ascii="Arial" w:hAnsi="Arial" w:hint="cs"/>
          <w:rtl/>
        </w:rPr>
        <w:t>נעדר רישום פלילי. הנאשם מ</w:t>
      </w:r>
      <w:r w:rsidRPr="00FC3CC8">
        <w:rPr>
          <w:rFonts w:ascii="Arial" w:hAnsi="Arial"/>
          <w:rtl/>
        </w:rPr>
        <w:t>אורס מזה כשנה, מתגורר בבית הוריו באבו גוש. מזה כחודשיים עובד כנהג משאית בחברת משלוחים. הנאשם מסר כי החל לעבוד בגיל 16 במקביל ללימודיו, וניסיונו התעסוקתי עד למעצרו בתיק זה כלל עבודה בבתי מלון, עבודה בדיור מוגן יחד עם אביו, עבודה במאפייה באבו גוש ובהתקנת מצלמות אבטחה. הנאשם סיים 12 שנות לימוד, ללא תעודת בגרות. הנאשם מסר כי בני משפחתו נעדרים מעורבות פלילית, ואין לו או לבני משפחתו סכסוכים כלשהם עם סובביהם או מכריהם. עוד שלל הנאשם שימוש בסמים או באלכוהול.</w:t>
      </w:r>
    </w:p>
    <w:p w14:paraId="25A92416" w14:textId="77777777" w:rsidR="005B368F" w:rsidRPr="00FC3CC8" w:rsidRDefault="005B368F" w:rsidP="005B368F">
      <w:pPr>
        <w:pStyle w:val="a9"/>
        <w:numPr>
          <w:ilvl w:val="0"/>
          <w:numId w:val="2"/>
        </w:numPr>
        <w:spacing w:line="360" w:lineRule="auto"/>
        <w:jc w:val="both"/>
        <w:rPr>
          <w:rFonts w:ascii="Arial" w:hAnsi="Arial"/>
          <w:rtl/>
        </w:rPr>
      </w:pPr>
      <w:r w:rsidRPr="00FC3CC8">
        <w:rPr>
          <w:rFonts w:ascii="Arial" w:hAnsi="Arial"/>
          <w:rtl/>
        </w:rPr>
        <w:t>בהתייחסות</w:t>
      </w:r>
      <w:r>
        <w:rPr>
          <w:rFonts w:ascii="Arial" w:hAnsi="Arial" w:hint="cs"/>
          <w:rtl/>
        </w:rPr>
        <w:t>ו</w:t>
      </w:r>
      <w:r w:rsidRPr="00FC3CC8">
        <w:rPr>
          <w:rFonts w:ascii="Arial" w:hAnsi="Arial"/>
          <w:rtl/>
        </w:rPr>
        <w:t xml:space="preserve"> לעבירה, הנאשם הביע צער וחרטה על שלא פנה למשטרה בעת מציאתו את הנשק. לדבריו, מצא את הנשק בשטח פתוח סמוך למקום מגוריו, אותו הכינה משפחתו לחתונת אחיו. לטענתו, חשש מפני מציאת הנשק על ידי ילדים אשר עלולים להשתמש בו ולסכן את עצמם ואחרים, וכן חשש מפנייה למשטרה בסמוך לחתונת אחיו, שמא ייפול עליו חשד והוא יעוכב מלהגיע לחתונת אחיו.</w:t>
      </w:r>
    </w:p>
    <w:p w14:paraId="64DA3389"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 xml:space="preserve">לצד האמור, הנאשם </w:t>
      </w:r>
      <w:r>
        <w:rPr>
          <w:rFonts w:ascii="Arial" w:hAnsi="Arial" w:hint="cs"/>
          <w:rtl/>
        </w:rPr>
        <w:t xml:space="preserve">נטל </w:t>
      </w:r>
      <w:r w:rsidRPr="003C739F">
        <w:rPr>
          <w:rFonts w:ascii="Arial" w:hAnsi="Arial"/>
          <w:rtl/>
        </w:rPr>
        <w:t>אחריות על החזקת הנשק והתרשמות שירות המבחן</w:t>
      </w:r>
      <w:r>
        <w:rPr>
          <w:rFonts w:ascii="Arial" w:hAnsi="Arial" w:hint="cs"/>
          <w:rtl/>
        </w:rPr>
        <w:t>,</w:t>
      </w:r>
      <w:r w:rsidRPr="003C739F">
        <w:rPr>
          <w:rFonts w:ascii="Arial" w:hAnsi="Arial"/>
          <w:rtl/>
        </w:rPr>
        <w:t xml:space="preserve"> כי הוא מבין את חומרת העבירה בה הורשע. כן תיאר הנאשם את עצמו כמי שמכבד ומעריך סדר חברתי ושמירה על החוק. </w:t>
      </w:r>
    </w:p>
    <w:p w14:paraId="21F7FCEB"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 xml:space="preserve">במסגרת הליך המעצר, הוטל על הנאשם צו פיקוח מעצר אשר נמשך </w:t>
      </w:r>
      <w:r>
        <w:rPr>
          <w:rFonts w:ascii="Arial" w:hAnsi="Arial" w:hint="cs"/>
          <w:rtl/>
        </w:rPr>
        <w:t>משך כ</w:t>
      </w:r>
      <w:r w:rsidRPr="003C739F">
        <w:rPr>
          <w:rFonts w:ascii="Arial" w:hAnsi="Arial"/>
          <w:rtl/>
        </w:rPr>
        <w:t xml:space="preserve">שנה. הנאשם היה בקשר רציף עם קצינת המבחן, והשתתף בקבוצה פסיכו-חינוכית אשר נמשכה 3 חודשים (12 מפגשים). הנאשם תיאר כי ההקשבה לחברי הקבוצה סייעה לו משמעותית, ותרמה להגברת רצונו להימנע ממעורבות נוספת בפלילים בעתיד. עוד תיאר כי הכלים אותם למד בקבוצה מסייעים לו כיום לנהוג בסבלנות ולשמור על אורח חיים רגוע. </w:t>
      </w:r>
    </w:p>
    <w:p w14:paraId="41AE774C"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להתרשמות מנחי הקבוצה, הנאשם אינו בעל דפוסים אימפולסיביים, עברייניים, אלימים משמעותיים, ולהערכתם, הנאשם מבטא תפיסה מחשבתית של אורח חיים נורמטיבי ותקין.</w:t>
      </w:r>
    </w:p>
    <w:p w14:paraId="5D2373BA"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 xml:space="preserve">בבחינת הערכת הסיכון לעבריינות והסיכוי לשיקום, מחד, צוין כי הנאשם משולל דפוסים עבריינים מושרשים, מדובר בהרשעתו היחידה של הנאשם, ונראה כי הוא מבטא חרטה כנה ולקיחת אחריות. כמו כן צוינה השתתפותו של הנאשם בקבוצה הפסיכו-חינוכית, והעובדה </w:t>
      </w:r>
      <w:r w:rsidRPr="003C739F">
        <w:rPr>
          <w:rFonts w:ascii="Arial" w:hAnsi="Arial"/>
          <w:rtl/>
        </w:rPr>
        <w:lastRenderedPageBreak/>
        <w:t xml:space="preserve">שאורח חייו תקין ויציב. כלל גורמים אלו, מהווים, להערכת השירות, גורמים מפחיתי סיכון להישנות התנהגות עוברת חוק. מאידך, צוין כי מדובר בעבירת נשק המהווה סיכון משמעותי לחברה, כאשר החזקת הנשק בתוך ביתו והעדר פנייתו של הנאשם לגורמי החוק בעת מציאתו, מעידים על קושי בקבלת החלטות ובשיקול דעתו של הנאשם בזיהוי ופעולה בעת מצבי סיכון. </w:t>
      </w:r>
    </w:p>
    <w:p w14:paraId="341B8D99"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להערכת שירות המבחן, יש להימנע מענישה של מאסר בפועל, אשר עלולה להגביר את חשיפתו של הנאשם לעוברי חוק ולדפוסי עבריינות. משכך, המלצת</w:t>
      </w:r>
      <w:r>
        <w:rPr>
          <w:rFonts w:ascii="Arial" w:hAnsi="Arial" w:hint="cs"/>
          <w:rtl/>
        </w:rPr>
        <w:t xml:space="preserve">ם הינה </w:t>
      </w:r>
      <w:r w:rsidRPr="003C739F">
        <w:rPr>
          <w:rFonts w:ascii="Arial" w:hAnsi="Arial"/>
          <w:rtl/>
        </w:rPr>
        <w:t>להטיל על הנאשם מאסר בעבודת שירות לתקופה קצרה. לאור השתתפות הנאשם בקבוצה הפסיכו-חינוכית, וכן עמידת הנאשם בצו פיקוח מעצרים בתקופה של קרוב לשנה, להערכת השירות מוצה ההליך השיקומי בעניינו, על כן אין הוא בא בהמלצה על תכנית שיקום.</w:t>
      </w:r>
    </w:p>
    <w:p w14:paraId="2013F70F" w14:textId="77777777" w:rsidR="005B368F" w:rsidRPr="00814E73" w:rsidRDefault="005B368F" w:rsidP="005B368F">
      <w:pPr>
        <w:spacing w:line="360" w:lineRule="auto"/>
        <w:jc w:val="both"/>
        <w:rPr>
          <w:rFonts w:ascii="Arial" w:hAnsi="Arial"/>
          <w:b/>
          <w:bCs/>
          <w:u w:val="single"/>
          <w:rtl/>
        </w:rPr>
      </w:pPr>
    </w:p>
    <w:p w14:paraId="38F9B113" w14:textId="77777777" w:rsidR="005B368F" w:rsidRPr="003C739F" w:rsidRDefault="005B368F" w:rsidP="005B368F">
      <w:pPr>
        <w:pStyle w:val="a9"/>
        <w:numPr>
          <w:ilvl w:val="0"/>
          <w:numId w:val="2"/>
        </w:numPr>
        <w:spacing w:line="360" w:lineRule="auto"/>
        <w:jc w:val="both"/>
        <w:rPr>
          <w:rFonts w:ascii="Arial" w:hAnsi="Arial"/>
          <w:b/>
          <w:bCs/>
          <w:u w:val="single"/>
          <w:rtl/>
        </w:rPr>
      </w:pPr>
      <w:r w:rsidRPr="003C739F">
        <w:rPr>
          <w:rFonts w:ascii="Arial" w:hAnsi="Arial"/>
          <w:b/>
          <w:bCs/>
          <w:u w:val="single"/>
          <w:rtl/>
        </w:rPr>
        <w:t>טענות הצדדים</w:t>
      </w:r>
    </w:p>
    <w:p w14:paraId="5E0AE956"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המאשימה הפנתה לכך שהנאשם החזיק בביתו שני אקדחים</w:t>
      </w:r>
      <w:r>
        <w:rPr>
          <w:rFonts w:ascii="Arial" w:hAnsi="Arial" w:hint="cs"/>
          <w:rtl/>
        </w:rPr>
        <w:t>, ו</w:t>
      </w:r>
      <w:r w:rsidRPr="003C739F">
        <w:rPr>
          <w:rFonts w:ascii="Arial" w:hAnsi="Arial"/>
          <w:rtl/>
        </w:rPr>
        <w:t>מכיוון שעסקינן בכלי נשק שאינם תקינים, הרי ש</w:t>
      </w:r>
      <w:r>
        <w:rPr>
          <w:rFonts w:ascii="Arial" w:hAnsi="Arial" w:hint="cs"/>
          <w:rtl/>
        </w:rPr>
        <w:t>ה</w:t>
      </w:r>
      <w:r w:rsidRPr="003C739F">
        <w:rPr>
          <w:rFonts w:ascii="Arial" w:hAnsi="Arial"/>
          <w:rtl/>
        </w:rPr>
        <w:t>מדובר בנסיבות מקלות. לעניין האקדח התופי</w:t>
      </w:r>
      <w:r>
        <w:rPr>
          <w:rFonts w:ascii="Arial" w:hAnsi="Arial" w:hint="cs"/>
          <w:rtl/>
        </w:rPr>
        <w:t xml:space="preserve"> צוין</w:t>
      </w:r>
      <w:r w:rsidRPr="003C739F">
        <w:rPr>
          <w:rFonts w:ascii="Arial" w:hAnsi="Arial"/>
          <w:rtl/>
        </w:rPr>
        <w:t xml:space="preserve">, </w:t>
      </w:r>
      <w:r>
        <w:rPr>
          <w:rFonts w:ascii="Arial" w:hAnsi="Arial" w:hint="cs"/>
          <w:rtl/>
        </w:rPr>
        <w:t>כי ה</w:t>
      </w:r>
      <w:r w:rsidRPr="003C739F">
        <w:rPr>
          <w:rFonts w:ascii="Arial" w:hAnsi="Arial"/>
          <w:rtl/>
        </w:rPr>
        <w:t>מדובר אמנם באקדח לא תקין אך בבדיקת מעבדה ירה האקדח תרמילים בהצלחה</w:t>
      </w:r>
      <w:r>
        <w:rPr>
          <w:rFonts w:ascii="Arial" w:hAnsi="Arial" w:hint="cs"/>
          <w:rtl/>
        </w:rPr>
        <w:t>, ו</w:t>
      </w:r>
      <w:r w:rsidRPr="003C739F">
        <w:rPr>
          <w:rFonts w:ascii="Arial" w:hAnsi="Arial"/>
          <w:rtl/>
        </w:rPr>
        <w:t xml:space="preserve">לא הוכח כי יש </w:t>
      </w:r>
      <w:r>
        <w:rPr>
          <w:rFonts w:ascii="Arial" w:hAnsi="Arial" w:hint="cs"/>
          <w:rtl/>
        </w:rPr>
        <w:t xml:space="preserve">קיים </w:t>
      </w:r>
      <w:r w:rsidRPr="003C739F">
        <w:rPr>
          <w:rFonts w:ascii="Arial" w:hAnsi="Arial"/>
          <w:rtl/>
        </w:rPr>
        <w:t>קושי מיוחד לתקנו</w:t>
      </w:r>
      <w:r>
        <w:rPr>
          <w:rFonts w:ascii="Arial" w:hAnsi="Arial" w:hint="cs"/>
          <w:rtl/>
        </w:rPr>
        <w:t xml:space="preserve">. עוד צוין, </w:t>
      </w:r>
      <w:r w:rsidRPr="003C739F">
        <w:rPr>
          <w:rFonts w:ascii="Arial" w:hAnsi="Arial"/>
          <w:rtl/>
        </w:rPr>
        <w:t xml:space="preserve">כי במעבדה לא נעשה ניסיון לירות תרמילים עם אבק שריפה מחשש שיתפוצץ, ומשכך לא נקבע פוזיטיבית כי הנשק אינו יכול לירות תחמושת רגילה. לטענת המאשימה, אין להניח לטובת הנאשם כי האקדח לא היה מסוגל לירות תחמושת תקינה, וזאת גם בהתחשב בחוות הדעת שהגיש הסניגור. עם זאת, שעה שלא הוכח נחרצות כי ניתן לירות באקדח תחמושת תקינה, מדובר בנסיבות ביצוע מקלות. </w:t>
      </w:r>
    </w:p>
    <w:p w14:paraId="63A6745D" w14:textId="77777777" w:rsidR="005B368F" w:rsidRPr="003C739F" w:rsidRDefault="005B368F" w:rsidP="005B368F">
      <w:pPr>
        <w:pStyle w:val="a9"/>
        <w:numPr>
          <w:ilvl w:val="0"/>
          <w:numId w:val="2"/>
        </w:numPr>
        <w:spacing w:line="360" w:lineRule="auto"/>
        <w:jc w:val="both"/>
        <w:rPr>
          <w:rFonts w:ascii="Arial" w:hAnsi="Arial"/>
          <w:rtl/>
        </w:rPr>
      </w:pPr>
      <w:r>
        <w:rPr>
          <w:rFonts w:ascii="Arial" w:hAnsi="Arial" w:hint="cs"/>
          <w:rtl/>
        </w:rPr>
        <w:t>ביחס ל</w:t>
      </w:r>
      <w:r w:rsidRPr="003C739F">
        <w:rPr>
          <w:rFonts w:ascii="Arial" w:hAnsi="Arial"/>
          <w:rtl/>
        </w:rPr>
        <w:t>אקדח המאוזר, נקבע כי גם הוא אינו תקין, וחסרים בו מספר חלקים. גם כאן, לא ברורה מידת הקושי לתקנו, אך מדובר בנסיבות מקלות יותר ביחס לאקדח הראשון. עם זאת, אף שמדובר בכלי נשק שאינם תקינים, לדעת המאשימה, נקודת המוצא היא שבין אם הם תקינים אם לאו, בהינתן שמדובר במכת מדינה, קיימת מדיניות החמרה בענישה בפסיקה ובחקיקה. נטען</w:t>
      </w:r>
      <w:r>
        <w:rPr>
          <w:rFonts w:ascii="Arial" w:hAnsi="Arial" w:hint="cs"/>
          <w:rtl/>
        </w:rPr>
        <w:t>,</w:t>
      </w:r>
      <w:r w:rsidRPr="003C739F">
        <w:rPr>
          <w:rFonts w:ascii="Arial" w:hAnsi="Arial"/>
          <w:rtl/>
        </w:rPr>
        <w:t xml:space="preserve"> כי אין לדעת אם נעשה שימוש בכלי הנשק בעבר או אם יעשה בהם שימוש בעתיד, ואין להניח לטובת הנאשם שלא השתמש בהם או שלא הי</w:t>
      </w:r>
      <w:r>
        <w:rPr>
          <w:rFonts w:ascii="Arial" w:hAnsi="Arial" w:hint="cs"/>
          <w:rtl/>
        </w:rPr>
        <w:t>י</w:t>
      </w:r>
      <w:r w:rsidRPr="003C739F">
        <w:rPr>
          <w:rFonts w:ascii="Arial" w:hAnsi="Arial"/>
          <w:rtl/>
        </w:rPr>
        <w:t xml:space="preserve">תה לו כוונה להשתמש בהם. </w:t>
      </w:r>
    </w:p>
    <w:p w14:paraId="03CAF1C0"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לטענת המאשימה, מעשיו של הנאשם גרמו לפגיעה ברמה בינונית בערכים המוגנים של שמירה על ביטחון הציבור והסדר הציבורי, תוך שהיא מפנה לחומרה שבהחזקת כלי נשק. בשקלול הנסיבות, המאשימה סבורה כי מתחם העונש ההולם נע בין 18-36 חודשי מאסר בפועל. זאת בהסתמך על הנחיות פרקליטות המדינה, ועל מדיניות ההחמרה בענישה, תוך שקלול העובדה שכלי הנשק אינם תקינים. המאשימה שקלה לקולא גם את הודאת הנאשם בהסדר</w:t>
      </w:r>
      <w:r>
        <w:rPr>
          <w:rFonts w:ascii="Arial" w:hAnsi="Arial" w:hint="cs"/>
          <w:rtl/>
        </w:rPr>
        <w:t xml:space="preserve"> הטעון</w:t>
      </w:r>
      <w:r w:rsidRPr="003C739F">
        <w:rPr>
          <w:rFonts w:ascii="Arial" w:hAnsi="Arial"/>
          <w:rtl/>
        </w:rPr>
        <w:t>, הח</w:t>
      </w:r>
      <w:r>
        <w:rPr>
          <w:rFonts w:ascii="Arial" w:hAnsi="Arial" w:hint="cs"/>
          <w:rtl/>
        </w:rPr>
        <w:t>י</w:t>
      </w:r>
      <w:r w:rsidRPr="003C739F">
        <w:rPr>
          <w:rFonts w:ascii="Arial" w:hAnsi="Arial"/>
          <w:rtl/>
        </w:rPr>
        <w:t xml:space="preserve">סכון בזמן שיפוטי, העדר עבר פלילי, והתסקיר החיובי.  אליבא דמאשימה, חלוף הזמן אינו משמעותי מה גם שמרבית בקשות הדחיה היו לבקשת ההגנה. </w:t>
      </w:r>
    </w:p>
    <w:p w14:paraId="1BA8FDB0" w14:textId="77777777" w:rsidR="005B368F" w:rsidRPr="003C739F" w:rsidRDefault="005B368F" w:rsidP="005B368F">
      <w:pPr>
        <w:pStyle w:val="a9"/>
        <w:numPr>
          <w:ilvl w:val="0"/>
          <w:numId w:val="2"/>
        </w:numPr>
        <w:spacing w:line="360" w:lineRule="auto"/>
        <w:jc w:val="both"/>
        <w:rPr>
          <w:rFonts w:ascii="Arial" w:hAnsi="Arial"/>
          <w:rtl/>
        </w:rPr>
      </w:pPr>
      <w:r w:rsidRPr="003C739F">
        <w:rPr>
          <w:rFonts w:ascii="Arial" w:hAnsi="Arial"/>
          <w:rtl/>
        </w:rPr>
        <w:t xml:space="preserve">לעניין העונש, ציינה המאשימה </w:t>
      </w:r>
      <w:r>
        <w:rPr>
          <w:rFonts w:ascii="Arial" w:hAnsi="Arial" w:hint="cs"/>
          <w:rtl/>
        </w:rPr>
        <w:t xml:space="preserve">כי יש לשקול </w:t>
      </w:r>
      <w:r w:rsidRPr="003C739F">
        <w:rPr>
          <w:rFonts w:ascii="Arial" w:hAnsi="Arial"/>
          <w:rtl/>
        </w:rPr>
        <w:t xml:space="preserve">שיקולי הרתעת הרבים והיחיד, ומדיניות החמרת הענישה. לפיכך ביקשה להטיל על הנאשם 20 חודשי מאסר בפועל, לצד הטלת קנס מרתיע בסך 20,000 ₪, ומאסר על תנאי של 12 חודשים הן בעבירות נשק והן בעבירות אלימות. המאשימה הפנתה לפסיקה ישנה טרם החמרת הענישה, בה נגזרו בגין החזקת נשק 18 ואף 30 חודשי מאסר, כאשר בפסיקה מאוחרת אף קיימת החמרה משמעותית. לטענת המאשימה, תסקיר חיובי והליך שיקומי כשלעצמם לא מצדיקים בהכרח הטלת עבודות שירות או אף פחות מכך. עוד מבקשת המאשימה להורות על חילוט כלי הנשק או השמדתם בהתאם לשיקול דעת רשם המוצגים. המאשימה ציינה כי ימי המעצר של הנאשם היו מיום 1.6.2022 ועד ליום 31.8.2022 אז </w:t>
      </w:r>
      <w:r w:rsidRPr="003C739F">
        <w:rPr>
          <w:rFonts w:ascii="Arial" w:hAnsi="Arial" w:hint="cs"/>
          <w:rtl/>
        </w:rPr>
        <w:t>נ</w:t>
      </w:r>
      <w:r w:rsidRPr="003C739F">
        <w:rPr>
          <w:rFonts w:ascii="Arial" w:hAnsi="Arial"/>
          <w:rtl/>
        </w:rPr>
        <w:t>עצר ב</w:t>
      </w:r>
      <w:r>
        <w:rPr>
          <w:rFonts w:ascii="Arial" w:hAnsi="Arial" w:hint="cs"/>
          <w:rtl/>
        </w:rPr>
        <w:t xml:space="preserve">תנאים של פיקוח </w:t>
      </w:r>
      <w:r w:rsidRPr="003C739F">
        <w:rPr>
          <w:rFonts w:ascii="Arial" w:hAnsi="Arial"/>
          <w:rtl/>
        </w:rPr>
        <w:t>אלקטרוני.</w:t>
      </w:r>
    </w:p>
    <w:p w14:paraId="3D18FF7C"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Arial" w:hAnsi="Arial"/>
          <w:rtl/>
        </w:rPr>
        <w:t xml:space="preserve">הסניגור </w:t>
      </w:r>
      <w:r>
        <w:rPr>
          <w:rFonts w:ascii="Arial" w:hAnsi="Arial" w:hint="cs"/>
          <w:rtl/>
        </w:rPr>
        <w:t>ציין, כ</w:t>
      </w:r>
      <w:r w:rsidRPr="00C20E2D">
        <w:rPr>
          <w:rFonts w:ascii="Arial" w:hAnsi="Arial"/>
          <w:rtl/>
        </w:rPr>
        <w:t xml:space="preserve">י על אף מגמת ההחמרה בפסיקה בעבירות נשק, אין בכך בכדי לשלול מבית המשפט את האופציה לשקול ענישה אחרת, כאשר דבר זה נבחן לפי נסיבות המעשה, העושה וההליך השיקומי. לטענת הסניגור, בהתחשב בנסיבות הקשורות בביצוע העבירה, בדגש </w:t>
      </w:r>
      <w:r>
        <w:rPr>
          <w:rFonts w:ascii="Arial" w:hAnsi="Arial" w:hint="cs"/>
          <w:rtl/>
        </w:rPr>
        <w:t>ע</w:t>
      </w:r>
      <w:r w:rsidRPr="00C20E2D">
        <w:rPr>
          <w:rFonts w:ascii="Arial" w:hAnsi="Arial"/>
          <w:rtl/>
        </w:rPr>
        <w:t>ל</w:t>
      </w:r>
      <w:r>
        <w:rPr>
          <w:rFonts w:ascii="Arial" w:hAnsi="Arial" w:hint="cs"/>
          <w:rtl/>
        </w:rPr>
        <w:t xml:space="preserve"> </w:t>
      </w:r>
      <w:r w:rsidRPr="00C20E2D">
        <w:rPr>
          <w:rFonts w:ascii="Arial" w:hAnsi="Arial"/>
          <w:rtl/>
        </w:rPr>
        <w:t xml:space="preserve">מצבם של כלי הנשק, בהתחשב בנסיבות שאינן קשורות בביצוע העבירה ובהליך השיקומי </w:t>
      </w:r>
      <w:r>
        <w:rPr>
          <w:rFonts w:ascii="Arial" w:hAnsi="Arial" w:hint="cs"/>
          <w:rtl/>
        </w:rPr>
        <w:t xml:space="preserve">אותו עבר </w:t>
      </w:r>
      <w:r w:rsidRPr="00C20E2D">
        <w:rPr>
          <w:rFonts w:ascii="Arial" w:hAnsi="Arial"/>
          <w:rtl/>
        </w:rPr>
        <w:t xml:space="preserve">הנאשם, מקרה זה מצדיק קביעת מתחם ברף הנמוך </w:t>
      </w:r>
      <w:r>
        <w:rPr>
          <w:rFonts w:ascii="Arial" w:hAnsi="Arial" w:hint="cs"/>
          <w:rtl/>
        </w:rPr>
        <w:t xml:space="preserve">של </w:t>
      </w:r>
      <w:r w:rsidRPr="00C20E2D">
        <w:rPr>
          <w:rFonts w:ascii="Arial" w:hAnsi="Arial"/>
          <w:rtl/>
        </w:rPr>
        <w:t>בעבודת שירות.</w:t>
      </w:r>
    </w:p>
    <w:p w14:paraId="030E1AE2"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Arial" w:hAnsi="Arial"/>
          <w:rtl/>
        </w:rPr>
        <w:t xml:space="preserve">הסניגור הפנה למחיר האישי ששילם הנאשם </w:t>
      </w:r>
      <w:r w:rsidRPr="00C20E2D">
        <w:rPr>
          <w:rFonts w:ascii="David" w:hAnsi="David"/>
          <w:rtl/>
        </w:rPr>
        <w:t>–</w:t>
      </w:r>
      <w:r w:rsidRPr="00C20E2D">
        <w:rPr>
          <w:rFonts w:ascii="Arial" w:hAnsi="Arial"/>
          <w:rtl/>
        </w:rPr>
        <w:t xml:space="preserve"> הנאשם היה נתן תחת צו פיקוח מעצר לתקופה של כשנה, השתתף בקבוצה טיפולית, והגיע </w:t>
      </w:r>
      <w:r w:rsidRPr="00C20E2D">
        <w:rPr>
          <w:rFonts w:ascii="Arial" w:hAnsi="Arial" w:hint="cs"/>
          <w:rtl/>
        </w:rPr>
        <w:t>ל</w:t>
      </w:r>
      <w:r w:rsidRPr="00C20E2D">
        <w:rPr>
          <w:rFonts w:ascii="Arial" w:hAnsi="Arial"/>
          <w:rtl/>
        </w:rPr>
        <w:t>כל המפגשים. עוד הפנה הסניגור להעדר עבר פלילי של הנאשם, ולהודאתו</w:t>
      </w:r>
      <w:r>
        <w:rPr>
          <w:rFonts w:ascii="Arial" w:hAnsi="Arial" w:hint="cs"/>
          <w:rtl/>
        </w:rPr>
        <w:t>.</w:t>
      </w:r>
      <w:r w:rsidRPr="00C20E2D">
        <w:rPr>
          <w:rFonts w:ascii="Arial" w:hAnsi="Arial"/>
          <w:rtl/>
        </w:rPr>
        <w:t xml:space="preserve"> לאור כל האמור, מבקש הסניגור לאמץ את המלצת שירות המבחן, ולגזור על הנאשם מאסר שירוצו בעבירות שירות.</w:t>
      </w:r>
    </w:p>
    <w:p w14:paraId="4F29F39E"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Arial" w:hAnsi="Arial"/>
          <w:rtl/>
        </w:rPr>
        <w:t>הנאשם מסר כי כבר בתחיל</w:t>
      </w:r>
      <w:r>
        <w:rPr>
          <w:rFonts w:ascii="Arial" w:hAnsi="Arial" w:hint="cs"/>
          <w:rtl/>
        </w:rPr>
        <w:t>ה נטל אחריות והביע חרטה על המעשה</w:t>
      </w:r>
      <w:r w:rsidRPr="00C20E2D">
        <w:rPr>
          <w:rFonts w:ascii="Arial" w:hAnsi="Arial"/>
          <w:rtl/>
        </w:rPr>
        <w:t xml:space="preserve">, וכי שירות המבחן </w:t>
      </w:r>
      <w:r>
        <w:rPr>
          <w:rFonts w:ascii="Arial" w:hAnsi="Arial" w:hint="cs"/>
          <w:rtl/>
        </w:rPr>
        <w:t xml:space="preserve">סייע </w:t>
      </w:r>
      <w:r w:rsidRPr="00C20E2D">
        <w:rPr>
          <w:rFonts w:ascii="Arial" w:hAnsi="Arial"/>
          <w:rtl/>
        </w:rPr>
        <w:t>לו להשתקם ולהתקדם הלאה</w:t>
      </w:r>
      <w:r>
        <w:rPr>
          <w:rFonts w:ascii="Arial" w:hAnsi="Arial" w:hint="cs"/>
          <w:rtl/>
        </w:rPr>
        <w:t>. הנאשם ביקש שלא יוטל להשיבו לריצוי מאסר</w:t>
      </w:r>
      <w:r w:rsidRPr="00C20E2D">
        <w:rPr>
          <w:rFonts w:ascii="Arial" w:hAnsi="Arial"/>
          <w:rtl/>
        </w:rPr>
        <w:t>.</w:t>
      </w:r>
    </w:p>
    <w:p w14:paraId="1773D1FD" w14:textId="77777777" w:rsidR="005B368F" w:rsidRPr="00814E73" w:rsidRDefault="005B368F" w:rsidP="005B368F">
      <w:pPr>
        <w:spacing w:line="360" w:lineRule="auto"/>
        <w:jc w:val="both"/>
        <w:rPr>
          <w:rFonts w:ascii="Arial" w:hAnsi="Arial"/>
          <w:rtl/>
        </w:rPr>
      </w:pPr>
    </w:p>
    <w:p w14:paraId="514B9C5E" w14:textId="77777777" w:rsidR="005B368F" w:rsidRPr="00C20E2D" w:rsidRDefault="005B368F" w:rsidP="005B368F">
      <w:pPr>
        <w:spacing w:line="360" w:lineRule="auto"/>
        <w:ind w:firstLine="480"/>
        <w:jc w:val="both"/>
        <w:rPr>
          <w:rFonts w:ascii="Arial" w:hAnsi="Arial"/>
          <w:b/>
          <w:bCs/>
          <w:u w:val="single"/>
          <w:rtl/>
        </w:rPr>
      </w:pPr>
      <w:r w:rsidRPr="00C20E2D">
        <w:rPr>
          <w:rFonts w:ascii="Arial" w:hAnsi="Arial"/>
          <w:b/>
          <w:bCs/>
          <w:u w:val="single"/>
          <w:rtl/>
        </w:rPr>
        <w:t>דיון</w:t>
      </w:r>
    </w:p>
    <w:p w14:paraId="5CBAAA99"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David" w:eastAsia="Calibri" w:hAnsi="David"/>
          <w:color w:val="000000"/>
          <w:shd w:val="clear" w:color="auto" w:fill="FFFFFF"/>
          <w:rtl/>
        </w:rPr>
        <w:t>הערך החברתי המוגן העומד בבסיס עבירות הנשק הינו ההגנה על שלום הציבור וביטחונו. בעבירות מסוג זה, גלום סיכון רב לשימוש בנשק</w:t>
      </w:r>
      <w:r w:rsidR="00F334A1">
        <w:rPr>
          <w:rFonts w:ascii="David" w:eastAsia="Calibri" w:hAnsi="David"/>
          <w:color w:val="000000"/>
          <w:shd w:val="clear" w:color="auto" w:fill="FFFFFF"/>
          <w:rtl/>
        </w:rPr>
        <w:t xml:space="preserve"> </w:t>
      </w:r>
      <w:r w:rsidRPr="00C20E2D">
        <w:rPr>
          <w:rFonts w:ascii="David" w:eastAsia="Calibri" w:hAnsi="David"/>
          <w:color w:val="000000"/>
          <w:shd w:val="clear" w:color="auto" w:fill="FFFFFF"/>
          <w:rtl/>
        </w:rPr>
        <w:t>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r w:rsidRPr="00C20E2D">
        <w:rPr>
          <w:rFonts w:ascii="David" w:eastAsia="Calibri" w:hAnsi="David"/>
          <w:color w:val="000000"/>
          <w:shd w:val="clear" w:color="auto" w:fill="FFFFFF"/>
        </w:rPr>
        <w:t>.</w:t>
      </w:r>
    </w:p>
    <w:p w14:paraId="002F915E"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Arial" w:hAnsi="Arial"/>
          <w:rtl/>
        </w:rPr>
        <w:t xml:space="preserve">בבחינת הנסיבות הקשורות בביצוע העבירה, עסקינן בנאשם שהורשע בהחזקת שני כלי נשק, כאשר </w:t>
      </w:r>
      <w:r>
        <w:rPr>
          <w:rFonts w:ascii="Arial" w:hAnsi="Arial" w:hint="cs"/>
          <w:rtl/>
        </w:rPr>
        <w:t xml:space="preserve">לא </w:t>
      </w:r>
      <w:r w:rsidRPr="00C20E2D">
        <w:rPr>
          <w:rFonts w:ascii="Arial" w:hAnsi="Arial"/>
          <w:rtl/>
        </w:rPr>
        <w:t xml:space="preserve">ידוע ממתי הוחזקו, האם נעשה בהם שימוש או האם תוכנן לעשות בהם שימוש. עם זאת, </w:t>
      </w:r>
      <w:r>
        <w:rPr>
          <w:rFonts w:ascii="Arial" w:hAnsi="Arial" w:hint="cs"/>
          <w:rtl/>
        </w:rPr>
        <w:t>שני כלי הנשק בהתאם ל</w:t>
      </w:r>
      <w:r w:rsidRPr="00C20E2D">
        <w:rPr>
          <w:rFonts w:ascii="Arial" w:hAnsi="Arial"/>
          <w:rtl/>
        </w:rPr>
        <w:t xml:space="preserve">חוות הדעת שהוגשה אינם תקינים, ואף לדידה של המאשימה </w:t>
      </w:r>
      <w:r>
        <w:rPr>
          <w:rFonts w:ascii="Arial" w:hAnsi="Arial" w:hint="cs"/>
          <w:rtl/>
        </w:rPr>
        <w:t>ה</w:t>
      </w:r>
      <w:r w:rsidRPr="00C20E2D">
        <w:rPr>
          <w:rFonts w:ascii="Arial" w:hAnsi="Arial"/>
          <w:rtl/>
        </w:rPr>
        <w:t>מדובר ב</w:t>
      </w:r>
      <w:r>
        <w:rPr>
          <w:rFonts w:ascii="Arial" w:hAnsi="Arial" w:hint="cs"/>
          <w:rtl/>
        </w:rPr>
        <w:t>יחס לשני כלי הנשק ב</w:t>
      </w:r>
      <w:r w:rsidRPr="00C20E2D">
        <w:rPr>
          <w:rFonts w:ascii="Arial" w:hAnsi="Arial"/>
          <w:rtl/>
        </w:rPr>
        <w:t xml:space="preserve">נסיבות מקלות.  </w:t>
      </w:r>
    </w:p>
    <w:p w14:paraId="3BE87833"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Arial" w:hAnsi="Arial"/>
          <w:rtl/>
        </w:rPr>
        <w:t xml:space="preserve">במסגרת </w:t>
      </w:r>
      <w:hyperlink r:id="rId11" w:history="1">
        <w:r w:rsidR="00F334A1" w:rsidRPr="00F334A1">
          <w:rPr>
            <w:rFonts w:ascii="Arial" w:hAnsi="Arial"/>
            <w:color w:val="0000FF"/>
            <w:u w:val="single"/>
            <w:rtl/>
          </w:rPr>
          <w:t>רע"פ 5613/20</w:t>
        </w:r>
      </w:hyperlink>
      <w:r w:rsidRPr="00C20E2D">
        <w:rPr>
          <w:rFonts w:ascii="Arial" w:hAnsi="Arial"/>
          <w:rtl/>
        </w:rPr>
        <w:t xml:space="preserve"> </w:t>
      </w:r>
      <w:r w:rsidRPr="00C20E2D">
        <w:rPr>
          <w:rFonts w:ascii="Arial" w:hAnsi="Arial"/>
          <w:b/>
          <w:bCs/>
          <w:rtl/>
        </w:rPr>
        <w:t>אלהוזייל נגד מדינת ישראל</w:t>
      </w:r>
      <w:r w:rsidRPr="00C20E2D">
        <w:rPr>
          <w:rFonts w:ascii="Arial" w:hAnsi="Arial"/>
          <w:rtl/>
        </w:rPr>
        <w:t xml:space="preserve"> (נבו 25.8.2020) ציין בית המשפט את הדברים הבאים:</w:t>
      </w:r>
    </w:p>
    <w:p w14:paraId="60580715" w14:textId="77777777" w:rsidR="005B368F" w:rsidRPr="00814E73" w:rsidRDefault="005B368F" w:rsidP="005B368F">
      <w:pPr>
        <w:spacing w:line="360" w:lineRule="auto"/>
        <w:ind w:left="851" w:right="851"/>
        <w:jc w:val="both"/>
        <w:rPr>
          <w:rFonts w:ascii="Arial" w:hAnsi="Arial"/>
          <w:rtl/>
        </w:rPr>
      </w:pPr>
      <w:r w:rsidRPr="00814E73">
        <w:rPr>
          <w:rFonts w:ascii="Arial" w:hAnsi="Arial"/>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2" w:history="1">
        <w:r w:rsidR="00F334A1" w:rsidRPr="00F334A1">
          <w:rPr>
            <w:rFonts w:ascii="Arial" w:hAnsi="Arial"/>
            <w:color w:val="0000FF"/>
            <w:u w:val="single"/>
            <w:rtl/>
          </w:rPr>
          <w:t>ע"פ 4406/19</w:t>
        </w:r>
      </w:hyperlink>
      <w:r w:rsidRPr="00814E73">
        <w:rPr>
          <w:rFonts w:ascii="Arial" w:hAnsi="Arial"/>
          <w:rtl/>
        </w:rPr>
        <w:t xml:space="preserve"> </w:t>
      </w:r>
      <w:r w:rsidRPr="00814E73">
        <w:rPr>
          <w:rFonts w:ascii="Arial" w:hAnsi="Arial"/>
          <w:b/>
          <w:bCs/>
          <w:rtl/>
        </w:rPr>
        <w:t>מדינת ישראל נ' סובח</w:t>
      </w:r>
      <w:r w:rsidRPr="00814E73">
        <w:rPr>
          <w:rFonts w:ascii="Arial" w:hAnsi="Arial"/>
          <w:rtl/>
        </w:rPr>
        <w:t xml:space="preserve">, פסקאות 16–17 לחוות דעתי (נבו 5.11.2019); </w:t>
      </w:r>
      <w:hyperlink r:id="rId13" w:history="1">
        <w:r w:rsidR="00F334A1" w:rsidRPr="00F334A1">
          <w:rPr>
            <w:rFonts w:ascii="Arial" w:hAnsi="Arial"/>
            <w:color w:val="0000FF"/>
            <w:u w:val="single"/>
            <w:rtl/>
          </w:rPr>
          <w:t>רע"פ 7344/18</w:t>
        </w:r>
      </w:hyperlink>
      <w:r w:rsidRPr="00814E73">
        <w:rPr>
          <w:rFonts w:ascii="Arial" w:hAnsi="Arial"/>
          <w:rtl/>
        </w:rPr>
        <w:t xml:space="preserve"> </w:t>
      </w:r>
      <w:r w:rsidRPr="00814E73">
        <w:rPr>
          <w:rFonts w:ascii="Arial" w:hAnsi="Arial"/>
          <w:b/>
          <w:bCs/>
          <w:rtl/>
        </w:rPr>
        <w:t>מג'יד נ' מדינת ישראל</w:t>
      </w:r>
      <w:r w:rsidRPr="00814E73">
        <w:rPr>
          <w:rFonts w:ascii="Arial" w:hAnsi="Arial"/>
          <w:rtl/>
        </w:rPr>
        <w:t>, פסקה 10 (נבו 21.10.2018))".</w:t>
      </w:r>
    </w:p>
    <w:p w14:paraId="2C148E97" w14:textId="77777777" w:rsidR="005B368F" w:rsidRPr="00814E73" w:rsidRDefault="005B368F" w:rsidP="005B368F">
      <w:pPr>
        <w:spacing w:line="360" w:lineRule="auto"/>
        <w:jc w:val="both"/>
        <w:rPr>
          <w:rFonts w:ascii="Arial" w:hAnsi="Arial"/>
          <w:rtl/>
        </w:rPr>
      </w:pPr>
      <w:r w:rsidRPr="00814E73">
        <w:rPr>
          <w:rFonts w:ascii="Arial" w:hAnsi="Arial"/>
          <w:rtl/>
        </w:rPr>
        <w:t xml:space="preserve">וראו גם: </w:t>
      </w:r>
      <w:hyperlink r:id="rId14" w:history="1">
        <w:r w:rsidR="00F334A1" w:rsidRPr="00F334A1">
          <w:rPr>
            <w:rFonts w:ascii="Arial" w:hAnsi="Arial"/>
            <w:color w:val="0000FF"/>
            <w:u w:val="single"/>
            <w:rtl/>
          </w:rPr>
          <w:t>ע"פ 8416/09</w:t>
        </w:r>
      </w:hyperlink>
      <w:r w:rsidRPr="00814E73">
        <w:rPr>
          <w:rFonts w:ascii="Arial" w:hAnsi="Arial"/>
          <w:rtl/>
        </w:rPr>
        <w:t xml:space="preserve"> </w:t>
      </w:r>
      <w:r w:rsidRPr="00814E73">
        <w:rPr>
          <w:rFonts w:ascii="Arial" w:hAnsi="Arial"/>
          <w:b/>
          <w:bCs/>
          <w:rtl/>
        </w:rPr>
        <w:t>מדינת ישראל נ' חרבוש ואח'</w:t>
      </w:r>
      <w:r w:rsidRPr="00814E73">
        <w:rPr>
          <w:rFonts w:ascii="Arial" w:hAnsi="Arial"/>
          <w:rtl/>
        </w:rPr>
        <w:t xml:space="preserve"> (נבו 9.6.2010):</w:t>
      </w:r>
    </w:p>
    <w:p w14:paraId="2BAF0827" w14:textId="77777777" w:rsidR="005B368F" w:rsidRPr="00814E73" w:rsidRDefault="005B368F" w:rsidP="005B368F">
      <w:pPr>
        <w:spacing w:line="360" w:lineRule="auto"/>
        <w:ind w:left="851" w:right="851"/>
        <w:jc w:val="both"/>
        <w:rPr>
          <w:rFonts w:ascii="Arial" w:hAnsi="Arial"/>
          <w:rtl/>
        </w:rPr>
      </w:pPr>
      <w:r w:rsidRPr="00814E73">
        <w:rPr>
          <w:rFonts w:ascii="Arial" w:hAnsi="Arial"/>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w:t>
      </w:r>
      <w:r w:rsidRPr="00814E73">
        <w:rPr>
          <w:rFonts w:ascii="Arial" w:hAnsi="Arial"/>
          <w:b/>
          <w:bCs/>
          <w:rtl/>
        </w:rPr>
        <w:t>מדינת ישראל נ' פס</w:t>
      </w:r>
      <w:r w:rsidRPr="00814E73">
        <w:rPr>
          <w:rFonts w:ascii="Arial" w:hAnsi="Arial"/>
          <w:rtl/>
        </w:rPr>
        <w:t>, סעיף 4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74D89D13" w14:textId="77777777" w:rsidR="005B368F" w:rsidRPr="00814E73" w:rsidRDefault="005B368F" w:rsidP="005B368F">
      <w:pPr>
        <w:spacing w:line="360" w:lineRule="auto"/>
        <w:jc w:val="both"/>
        <w:rPr>
          <w:rFonts w:ascii="Arial" w:hAnsi="Arial"/>
          <w:rtl/>
        </w:rPr>
      </w:pPr>
    </w:p>
    <w:p w14:paraId="350EEB19" w14:textId="77777777" w:rsidR="005B368F" w:rsidRPr="00C20E2D" w:rsidRDefault="005B368F" w:rsidP="005B368F">
      <w:pPr>
        <w:pStyle w:val="a9"/>
        <w:numPr>
          <w:ilvl w:val="0"/>
          <w:numId w:val="2"/>
        </w:numPr>
        <w:spacing w:line="360" w:lineRule="auto"/>
        <w:jc w:val="both"/>
        <w:rPr>
          <w:rFonts w:ascii="Arial" w:hAnsi="Arial"/>
          <w:rtl/>
        </w:rPr>
      </w:pPr>
      <w:r w:rsidRPr="00C20E2D">
        <w:rPr>
          <w:rFonts w:ascii="Arial" w:hAnsi="Arial"/>
          <w:rtl/>
        </w:rPr>
        <w:t>סקירת מדיניות הענישה הנהוגה בעבירת החזקת נשק מלמדת על טווח ענישה רחב התלוי לרוב בנסיבותיו של כל מקרה ומקרה:</w:t>
      </w:r>
    </w:p>
    <w:p w14:paraId="185DE80A" w14:textId="77777777" w:rsidR="005B368F" w:rsidRPr="00814E73" w:rsidRDefault="005B368F" w:rsidP="005B368F">
      <w:pPr>
        <w:spacing w:line="360" w:lineRule="auto"/>
        <w:jc w:val="both"/>
        <w:rPr>
          <w:rFonts w:ascii="David" w:hAnsi="David"/>
          <w:rtl/>
        </w:rPr>
      </w:pPr>
    </w:p>
    <w:p w14:paraId="659B85D2" w14:textId="77777777" w:rsidR="005B368F" w:rsidRPr="00C20E2D" w:rsidRDefault="005B368F" w:rsidP="005B368F">
      <w:pPr>
        <w:pStyle w:val="a9"/>
        <w:numPr>
          <w:ilvl w:val="0"/>
          <w:numId w:val="1"/>
        </w:numPr>
        <w:spacing w:after="160" w:line="360" w:lineRule="auto"/>
        <w:jc w:val="both"/>
        <w:rPr>
          <w:rFonts w:ascii="David" w:hAnsi="David"/>
          <w:rtl/>
        </w:rPr>
      </w:pPr>
      <w:r w:rsidRPr="00C20E2D">
        <w:rPr>
          <w:rFonts w:ascii="David" w:hAnsi="David"/>
          <w:rtl/>
        </w:rPr>
        <w:t>ב</w:t>
      </w:r>
      <w:hyperlink r:id="rId15" w:history="1">
        <w:r w:rsidR="00F334A1" w:rsidRPr="00F334A1">
          <w:rPr>
            <w:rFonts w:ascii="David" w:hAnsi="David"/>
            <w:color w:val="0000FF"/>
            <w:u w:val="single"/>
            <w:rtl/>
          </w:rPr>
          <w:t>ע"פ 545/20</w:t>
        </w:r>
      </w:hyperlink>
      <w:r w:rsidRPr="00C20E2D">
        <w:rPr>
          <w:rFonts w:ascii="David" w:hAnsi="David"/>
          <w:rtl/>
        </w:rPr>
        <w:t xml:space="preserve"> </w:t>
      </w:r>
      <w:r w:rsidRPr="00C20E2D">
        <w:rPr>
          <w:rFonts w:ascii="David" w:hAnsi="David"/>
          <w:b/>
          <w:bCs/>
          <w:rtl/>
        </w:rPr>
        <w:t>פלוני נ' מדינת ישראל</w:t>
      </w:r>
      <w:r w:rsidRPr="00C20E2D">
        <w:rPr>
          <w:rFonts w:ascii="David" w:hAnsi="David"/>
          <w:rtl/>
        </w:rPr>
        <w:t xml:space="preserve"> (נבו 3.5.21), נדחה  ערעור על חומרת עונש של נאשם עליו הוטלו 12 חודשים, לאחר שהמערער, נעדר רישום פלילי, הורשע באחזקה/ נשיאת אקדח ומחסנית תואמת ו-50 כדורים</w:t>
      </w:r>
      <w:r w:rsidRPr="00C20E2D">
        <w:rPr>
          <w:rFonts w:ascii="David" w:hAnsi="David"/>
        </w:rPr>
        <w:t>."</w:t>
      </w:r>
    </w:p>
    <w:p w14:paraId="1A69C05A" w14:textId="77777777" w:rsidR="005B368F" w:rsidRPr="00C20E2D" w:rsidRDefault="005B368F" w:rsidP="005B368F">
      <w:pPr>
        <w:pStyle w:val="a9"/>
        <w:numPr>
          <w:ilvl w:val="0"/>
          <w:numId w:val="1"/>
        </w:numPr>
        <w:spacing w:after="160" w:line="360" w:lineRule="auto"/>
        <w:jc w:val="both"/>
        <w:rPr>
          <w:rFonts w:ascii="David" w:hAnsi="David"/>
        </w:rPr>
      </w:pPr>
      <w:r w:rsidRPr="00C20E2D">
        <w:rPr>
          <w:rFonts w:ascii="David" w:hAnsi="David"/>
          <w:rtl/>
        </w:rPr>
        <w:t>ב</w:t>
      </w:r>
      <w:hyperlink r:id="rId16" w:history="1">
        <w:r w:rsidR="00F334A1" w:rsidRPr="00F334A1">
          <w:rPr>
            <w:rFonts w:ascii="David" w:hAnsi="David"/>
            <w:color w:val="0000FF"/>
            <w:u w:val="single"/>
            <w:rtl/>
          </w:rPr>
          <w:t>ע"פ 5604/11</w:t>
        </w:r>
      </w:hyperlink>
      <w:r w:rsidRPr="00C20E2D">
        <w:rPr>
          <w:rFonts w:ascii="David" w:hAnsi="David"/>
          <w:rtl/>
        </w:rPr>
        <w:t xml:space="preserve"> </w:t>
      </w:r>
      <w:r w:rsidRPr="00C20E2D">
        <w:rPr>
          <w:rFonts w:ascii="David" w:hAnsi="David"/>
          <w:b/>
          <w:bCs/>
          <w:rtl/>
        </w:rPr>
        <w:t>נאסר נ' מדינת ישראל</w:t>
      </w:r>
      <w:r w:rsidRPr="00C20E2D">
        <w:rPr>
          <w:rFonts w:ascii="David" w:hAnsi="David"/>
          <w:rtl/>
        </w:rPr>
        <w:t xml:space="preserve"> (נבו 5.10.11), נדחה ערעור על חומרת עונשו של נאשם עליו הוטלו 12 חודשים, לאחר שהמערער הורשע בביצוע עבירה של החזקת נשק ותחמושת. אקדח ומחסנית לאקדח ובה 8 כדורים.</w:t>
      </w:r>
    </w:p>
    <w:p w14:paraId="66050839" w14:textId="77777777" w:rsidR="005B368F" w:rsidRPr="00C20E2D" w:rsidRDefault="005B368F" w:rsidP="005B368F">
      <w:pPr>
        <w:pStyle w:val="a9"/>
        <w:numPr>
          <w:ilvl w:val="0"/>
          <w:numId w:val="1"/>
        </w:numPr>
        <w:spacing w:after="160" w:line="360" w:lineRule="auto"/>
        <w:jc w:val="both"/>
        <w:rPr>
          <w:rFonts w:ascii="David" w:hAnsi="David"/>
        </w:rPr>
      </w:pPr>
      <w:r w:rsidRPr="00C20E2D">
        <w:rPr>
          <w:rFonts w:ascii="David" w:hAnsi="David"/>
          <w:rtl/>
        </w:rPr>
        <w:t>ב</w:t>
      </w:r>
      <w:hyperlink r:id="rId17" w:history="1">
        <w:r w:rsidR="00F334A1" w:rsidRPr="00F334A1">
          <w:rPr>
            <w:rFonts w:ascii="David" w:hAnsi="David"/>
            <w:color w:val="0000FF"/>
            <w:u w:val="single"/>
            <w:rtl/>
          </w:rPr>
          <w:t>ע"פ 6294/10</w:t>
        </w:r>
      </w:hyperlink>
      <w:r w:rsidRPr="00C20E2D">
        <w:rPr>
          <w:rFonts w:ascii="David" w:hAnsi="David"/>
          <w:rtl/>
        </w:rPr>
        <w:t xml:space="preserve"> </w:t>
      </w:r>
      <w:r w:rsidRPr="00C20E2D">
        <w:rPr>
          <w:rFonts w:ascii="David" w:hAnsi="David"/>
          <w:b/>
          <w:bCs/>
          <w:rtl/>
        </w:rPr>
        <w:t>אלקיעאן נ' מדינת ישראל</w:t>
      </w:r>
      <w:r w:rsidRPr="00C20E2D">
        <w:rPr>
          <w:rFonts w:ascii="David" w:hAnsi="David"/>
          <w:rtl/>
        </w:rPr>
        <w:t xml:space="preserve"> (נבו 13.2.11), נדחה ערעור על חומרת עונשם של נאשמים עליהם הוטלו 10 חודשי מאסר בגין ביצוע עבירה של החזקת נשק ותחמושת שלא כדין. הנאשמים נתפסו, כאשר כל אחד מהם החזיק באקדח טעון ומחסנית, וכן הנאשם 2 החזיק בכיס מעילו מחסנית נוספת.</w:t>
      </w:r>
    </w:p>
    <w:p w14:paraId="6A195024" w14:textId="77777777" w:rsidR="005B368F" w:rsidRPr="00F61101" w:rsidRDefault="00F334A1" w:rsidP="005B368F">
      <w:pPr>
        <w:pStyle w:val="a9"/>
        <w:numPr>
          <w:ilvl w:val="0"/>
          <w:numId w:val="1"/>
        </w:numPr>
        <w:spacing w:after="160" w:line="360" w:lineRule="auto"/>
        <w:jc w:val="both"/>
        <w:rPr>
          <w:rFonts w:ascii="David" w:hAnsi="David"/>
        </w:rPr>
      </w:pPr>
      <w:hyperlink r:id="rId18" w:history="1">
        <w:r w:rsidRPr="00F334A1">
          <w:rPr>
            <w:rFonts w:ascii="Arial" w:hAnsi="Arial"/>
            <w:color w:val="0000FF"/>
            <w:u w:val="single"/>
            <w:rtl/>
          </w:rPr>
          <w:t>רע"פ 1246/17</w:t>
        </w:r>
      </w:hyperlink>
      <w:r w:rsidR="005B368F" w:rsidRPr="00F61101">
        <w:rPr>
          <w:rFonts w:ascii="Arial" w:hAnsi="Arial"/>
          <w:rtl/>
        </w:rPr>
        <w:t xml:space="preserve"> </w:t>
      </w:r>
      <w:r w:rsidR="005B368F" w:rsidRPr="00F61101">
        <w:rPr>
          <w:rFonts w:ascii="Arial" w:hAnsi="Arial"/>
          <w:b/>
          <w:bCs/>
          <w:rtl/>
        </w:rPr>
        <w:t>מטר</w:t>
      </w:r>
      <w:r w:rsidR="005B368F" w:rsidRPr="00F61101">
        <w:rPr>
          <w:rFonts w:ascii="Arial" w:hAnsi="Arial"/>
          <w:rtl/>
        </w:rPr>
        <w:t xml:space="preserve"> (נבו 12.3.2017) - נדחתה בקשת רשות ערעור של נאשם שהורשע בהחזקת אקדח ותחמושת בביתו, לאחר שבית משפט מחוזי החמיר בעונשו של הנאשם ל-9 חודשי מאסר חלף שישה חודשי מאסר בדרך של עבודות שירות.</w:t>
      </w:r>
    </w:p>
    <w:p w14:paraId="68246252" w14:textId="77777777" w:rsidR="005B368F" w:rsidRPr="00F61101" w:rsidRDefault="00F334A1" w:rsidP="005B368F">
      <w:pPr>
        <w:pStyle w:val="a9"/>
        <w:numPr>
          <w:ilvl w:val="0"/>
          <w:numId w:val="1"/>
        </w:numPr>
        <w:spacing w:after="160" w:line="360" w:lineRule="auto"/>
        <w:jc w:val="both"/>
        <w:rPr>
          <w:rFonts w:ascii="David" w:hAnsi="David"/>
        </w:rPr>
      </w:pPr>
      <w:hyperlink r:id="rId19" w:history="1">
        <w:r w:rsidRPr="00F334A1">
          <w:rPr>
            <w:rFonts w:ascii="Arial" w:hAnsi="Arial"/>
            <w:color w:val="0000FF"/>
            <w:u w:val="single"/>
            <w:rtl/>
          </w:rPr>
          <w:t>עפ"ג (מחוזי ב"ש) 56010-03-18</w:t>
        </w:r>
      </w:hyperlink>
      <w:r w:rsidR="005B368F" w:rsidRPr="00F61101">
        <w:rPr>
          <w:rFonts w:ascii="Arial" w:hAnsi="Arial"/>
          <w:rtl/>
        </w:rPr>
        <w:t xml:space="preserve"> </w:t>
      </w:r>
      <w:r w:rsidR="005B368F" w:rsidRPr="00F61101">
        <w:rPr>
          <w:rFonts w:ascii="Arial" w:hAnsi="Arial"/>
          <w:b/>
          <w:bCs/>
          <w:rtl/>
        </w:rPr>
        <w:t>אלאסד</w:t>
      </w:r>
      <w:r w:rsidR="005B368F" w:rsidRPr="00F61101">
        <w:rPr>
          <w:rFonts w:ascii="Arial" w:hAnsi="Arial"/>
          <w:rtl/>
        </w:rPr>
        <w:t xml:space="preserve"> (נבו 27.6.18) - דחה בית המשפט המחוזי ערעורו של נאשם כבן 50, אשר החזיק בביתו אקדח ללא תחמושת ונדון לתשעה חודשי מאסר בפועל ועונשים נלווים.</w:t>
      </w:r>
    </w:p>
    <w:p w14:paraId="56DCDD8C" w14:textId="77777777" w:rsidR="005B368F" w:rsidRPr="00F61101" w:rsidRDefault="00F334A1" w:rsidP="005B368F">
      <w:pPr>
        <w:pStyle w:val="a9"/>
        <w:numPr>
          <w:ilvl w:val="0"/>
          <w:numId w:val="1"/>
        </w:numPr>
        <w:spacing w:after="160" w:line="360" w:lineRule="auto"/>
        <w:jc w:val="both"/>
        <w:rPr>
          <w:rFonts w:ascii="David" w:hAnsi="David"/>
        </w:rPr>
      </w:pPr>
      <w:hyperlink r:id="rId20" w:history="1">
        <w:r w:rsidRPr="00F334A1">
          <w:rPr>
            <w:rFonts w:ascii="Arial" w:hAnsi="Arial"/>
            <w:color w:val="0000FF"/>
            <w:u w:val="single"/>
            <w:rtl/>
          </w:rPr>
          <w:t>עפ"ג (ב"ש) 56305-02-20</w:t>
        </w:r>
      </w:hyperlink>
      <w:r w:rsidR="005B368F" w:rsidRPr="00F61101">
        <w:rPr>
          <w:rFonts w:ascii="Arial" w:hAnsi="Arial"/>
          <w:rtl/>
        </w:rPr>
        <w:t xml:space="preserve">‏ </w:t>
      </w:r>
      <w:r w:rsidR="005B368F" w:rsidRPr="00F61101">
        <w:rPr>
          <w:rFonts w:ascii="Arial" w:hAnsi="Arial"/>
          <w:b/>
          <w:bCs/>
          <w:rtl/>
        </w:rPr>
        <w:t>אלקריעאן</w:t>
      </w:r>
      <w:r w:rsidR="005B368F" w:rsidRPr="00F61101">
        <w:rPr>
          <w:rFonts w:ascii="Arial" w:hAnsi="Arial"/>
          <w:rtl/>
        </w:rPr>
        <w:t xml:space="preserve"> (נבו 18.8.20) – נדון נאשם ללא עבר פלילי שברכבו נמצא אקדח ומחסנית ל-15 חודשים. נקבע מתחם שבין 15 חודשים ועד 30 חודשים. ערכאת הערעור הפחיתה את עונשו ל-12 חודשי מאסר.</w:t>
      </w:r>
    </w:p>
    <w:p w14:paraId="722C2411" w14:textId="77777777" w:rsidR="005B368F" w:rsidRPr="00F61101" w:rsidRDefault="00F334A1" w:rsidP="005B368F">
      <w:pPr>
        <w:pStyle w:val="a9"/>
        <w:numPr>
          <w:ilvl w:val="0"/>
          <w:numId w:val="1"/>
        </w:numPr>
        <w:spacing w:after="160" w:line="360" w:lineRule="auto"/>
        <w:jc w:val="both"/>
        <w:rPr>
          <w:rFonts w:ascii="David" w:hAnsi="David"/>
        </w:rPr>
      </w:pPr>
      <w:hyperlink r:id="rId21" w:history="1">
        <w:r w:rsidRPr="00F334A1">
          <w:rPr>
            <w:rFonts w:ascii="Arial" w:hAnsi="Arial"/>
            <w:color w:val="0000FF"/>
            <w:u w:val="single"/>
            <w:rtl/>
          </w:rPr>
          <w:t>ע"פ 761/07</w:t>
        </w:r>
      </w:hyperlink>
      <w:r w:rsidR="005B368F" w:rsidRPr="00F61101">
        <w:rPr>
          <w:rFonts w:ascii="Arial" w:hAnsi="Arial"/>
          <w:rtl/>
        </w:rPr>
        <w:t xml:space="preserve"> </w:t>
      </w:r>
      <w:r w:rsidR="005B368F" w:rsidRPr="00F61101">
        <w:rPr>
          <w:rFonts w:ascii="Arial" w:hAnsi="Arial"/>
          <w:b/>
          <w:bCs/>
          <w:rtl/>
        </w:rPr>
        <w:t>מדינת ישראל נ' מיכאל אדרי</w:t>
      </w:r>
      <w:r w:rsidR="005B368F" w:rsidRPr="00F61101">
        <w:rPr>
          <w:rFonts w:ascii="Arial" w:hAnsi="Arial"/>
          <w:rtl/>
        </w:rPr>
        <w:t xml:space="preserve"> (נבו 22.02.07) המערער נהג ברכב ונתפס מחזיק באקדח, מחסנית ותחמושת. כשנעצר, הזדהה כאחר. הוא הורשע בהחזקת נשק שלא כדין ובהפרעה לשוטר במילוי תפקידו, נגזרו עליו בבית המשפט המחוזי 12 חודשי מאסר בפועל, ובמסגרת ערעור המדינה על קולת העונש, ונוכח רישום פלילי משמעותי, הוחמר עונשו ל- 24 חודשי מאסר בפועל.</w:t>
      </w:r>
    </w:p>
    <w:p w14:paraId="227082B5" w14:textId="77777777" w:rsidR="005B368F" w:rsidRPr="00F61101" w:rsidRDefault="00F334A1" w:rsidP="005B368F">
      <w:pPr>
        <w:pStyle w:val="a9"/>
        <w:numPr>
          <w:ilvl w:val="0"/>
          <w:numId w:val="1"/>
        </w:numPr>
        <w:spacing w:after="160" w:line="360" w:lineRule="auto"/>
        <w:jc w:val="both"/>
        <w:rPr>
          <w:rFonts w:ascii="David" w:hAnsi="David"/>
        </w:rPr>
      </w:pPr>
      <w:hyperlink r:id="rId22" w:history="1">
        <w:r w:rsidRPr="00F334A1">
          <w:rPr>
            <w:rFonts w:ascii="Arial" w:hAnsi="Arial"/>
            <w:color w:val="0000FF"/>
            <w:u w:val="single"/>
            <w:rtl/>
          </w:rPr>
          <w:t>עפ"ג 18780-06-14</w:t>
        </w:r>
      </w:hyperlink>
      <w:r w:rsidR="005B368F" w:rsidRPr="00F61101">
        <w:rPr>
          <w:rFonts w:ascii="Arial" w:hAnsi="Arial"/>
          <w:rtl/>
        </w:rPr>
        <w:t xml:space="preserve"> (נבו 14.9.2014), ביחס לנאשם שהחזיק בביתו שני אקדחים טעונים במחסניות עם כדורים (ובנוסף בשתי מחסניות ריקות), נקבע מתחם החל מ- 12 חודשים ל-26 חודשי מאסר.</w:t>
      </w:r>
    </w:p>
    <w:p w14:paraId="51532E33" w14:textId="77777777" w:rsidR="005B368F" w:rsidRPr="00F61101" w:rsidRDefault="005B368F" w:rsidP="005B368F">
      <w:pPr>
        <w:pStyle w:val="a9"/>
        <w:numPr>
          <w:ilvl w:val="0"/>
          <w:numId w:val="2"/>
        </w:numPr>
        <w:spacing w:line="360" w:lineRule="auto"/>
        <w:jc w:val="both"/>
        <w:rPr>
          <w:rFonts w:ascii="Arial" w:hAnsi="Arial"/>
          <w:rtl/>
        </w:rPr>
      </w:pPr>
      <w:r w:rsidRPr="00F61101">
        <w:rPr>
          <w:rFonts w:ascii="Arial" w:hAnsi="Arial"/>
          <w:rtl/>
        </w:rPr>
        <w:t xml:space="preserve">בשים לב לנסיבות האירוע, </w:t>
      </w:r>
      <w:r>
        <w:rPr>
          <w:rFonts w:ascii="Arial" w:hAnsi="Arial" w:hint="cs"/>
          <w:rtl/>
        </w:rPr>
        <w:t xml:space="preserve">רף החומרה שבמעשה, </w:t>
      </w:r>
      <w:r w:rsidRPr="00F61101">
        <w:rPr>
          <w:rFonts w:ascii="Arial" w:hAnsi="Arial"/>
          <w:rtl/>
        </w:rPr>
        <w:t>הערכים החברתיים שנפגעו ומידת הפגיעה בהם לרבות מדיניות הענישה הנהוגה, ראיתי לקבוע את מתחם העונש ההולם החל מ-12 חודשים ועד</w:t>
      </w:r>
      <w:r>
        <w:rPr>
          <w:rFonts w:ascii="Arial" w:hAnsi="Arial" w:hint="cs"/>
          <w:rtl/>
        </w:rPr>
        <w:t xml:space="preserve"> 32</w:t>
      </w:r>
      <w:r w:rsidRPr="00F61101">
        <w:rPr>
          <w:rFonts w:ascii="Arial" w:hAnsi="Arial"/>
          <w:rtl/>
        </w:rPr>
        <w:t xml:space="preserve"> חודשי מאסר בפועל.</w:t>
      </w:r>
    </w:p>
    <w:p w14:paraId="7F202933" w14:textId="77777777" w:rsidR="005B368F" w:rsidRPr="00814E73" w:rsidRDefault="005B368F" w:rsidP="005B368F">
      <w:pPr>
        <w:spacing w:line="360" w:lineRule="auto"/>
        <w:jc w:val="both"/>
        <w:rPr>
          <w:rFonts w:ascii="Arial" w:hAnsi="Arial"/>
          <w:rtl/>
        </w:rPr>
      </w:pPr>
    </w:p>
    <w:p w14:paraId="0FD97F18" w14:textId="77777777" w:rsidR="005B368F" w:rsidRPr="00875880" w:rsidRDefault="005B368F" w:rsidP="005B368F">
      <w:pPr>
        <w:spacing w:line="360" w:lineRule="auto"/>
        <w:ind w:firstLine="480"/>
        <w:jc w:val="both"/>
        <w:rPr>
          <w:rFonts w:ascii="Arial" w:hAnsi="Arial"/>
          <w:b/>
          <w:bCs/>
          <w:rtl/>
        </w:rPr>
      </w:pPr>
      <w:r w:rsidRPr="00F61101">
        <w:rPr>
          <w:rFonts w:ascii="Arial" w:hAnsi="Arial"/>
          <w:b/>
          <w:bCs/>
          <w:u w:val="single"/>
          <w:rtl/>
        </w:rPr>
        <w:t>סטייה מ</w:t>
      </w:r>
      <w:r>
        <w:rPr>
          <w:rFonts w:ascii="Arial" w:hAnsi="Arial" w:hint="cs"/>
          <w:b/>
          <w:bCs/>
          <w:u w:val="single"/>
          <w:rtl/>
        </w:rPr>
        <w:t>ה</w:t>
      </w:r>
      <w:r w:rsidRPr="00F61101">
        <w:rPr>
          <w:rFonts w:ascii="Arial" w:hAnsi="Arial"/>
          <w:b/>
          <w:bCs/>
          <w:u w:val="single"/>
          <w:rtl/>
        </w:rPr>
        <w:t>מתחם</w:t>
      </w:r>
      <w:r>
        <w:rPr>
          <w:rFonts w:ascii="Arial" w:hAnsi="Arial" w:hint="cs"/>
          <w:b/>
          <w:bCs/>
          <w:u w:val="single"/>
          <w:rtl/>
        </w:rPr>
        <w:t xml:space="preserve"> בשל שיקולי שיקום</w:t>
      </w:r>
      <w:r w:rsidRPr="00875880">
        <w:rPr>
          <w:rFonts w:ascii="Arial" w:hAnsi="Arial" w:hint="cs"/>
          <w:b/>
          <w:bCs/>
          <w:rtl/>
        </w:rPr>
        <w:t>:</w:t>
      </w:r>
    </w:p>
    <w:p w14:paraId="25ED6F0C" w14:textId="77777777" w:rsidR="005B368F" w:rsidRPr="00F61101" w:rsidRDefault="005B368F" w:rsidP="005B368F">
      <w:pPr>
        <w:pStyle w:val="a9"/>
        <w:numPr>
          <w:ilvl w:val="0"/>
          <w:numId w:val="2"/>
        </w:numPr>
        <w:spacing w:line="360" w:lineRule="auto"/>
        <w:jc w:val="both"/>
        <w:rPr>
          <w:rFonts w:ascii="Arial" w:hAnsi="Arial"/>
          <w:rtl/>
        </w:rPr>
      </w:pPr>
      <w:r>
        <w:rPr>
          <w:rFonts w:ascii="Arial" w:hAnsi="Arial" w:hint="cs"/>
          <w:rtl/>
        </w:rPr>
        <w:t xml:space="preserve">סבורני, כי מקרה זה מצדיק סטייה מהמתחם, נוכח </w:t>
      </w:r>
      <w:r w:rsidRPr="00F61101">
        <w:rPr>
          <w:rFonts w:ascii="Arial" w:hAnsi="Arial"/>
          <w:rtl/>
        </w:rPr>
        <w:t>נסיבות ביצוע העבירה</w:t>
      </w:r>
      <w:r>
        <w:rPr>
          <w:rFonts w:ascii="Arial" w:hAnsi="Arial" w:hint="cs"/>
          <w:rtl/>
        </w:rPr>
        <w:t xml:space="preserve">, רף החומרה שבמעשה, </w:t>
      </w:r>
      <w:r w:rsidRPr="00F61101">
        <w:rPr>
          <w:rFonts w:ascii="Arial" w:hAnsi="Arial"/>
          <w:rtl/>
        </w:rPr>
        <w:t>ונסיבותיו האישיות של הנאשם</w:t>
      </w:r>
      <w:r>
        <w:rPr>
          <w:rFonts w:ascii="Arial" w:hAnsi="Arial" w:hint="cs"/>
          <w:rtl/>
        </w:rPr>
        <w:t>: ה</w:t>
      </w:r>
      <w:r w:rsidRPr="00F61101">
        <w:rPr>
          <w:rFonts w:ascii="Arial" w:hAnsi="Arial"/>
          <w:rtl/>
        </w:rPr>
        <w:t xml:space="preserve">עדר </w:t>
      </w:r>
      <w:r>
        <w:rPr>
          <w:rFonts w:ascii="Arial" w:hAnsi="Arial" w:hint="cs"/>
          <w:rtl/>
        </w:rPr>
        <w:t xml:space="preserve">רישום </w:t>
      </w:r>
      <w:r w:rsidRPr="00F61101">
        <w:rPr>
          <w:rFonts w:ascii="Arial" w:hAnsi="Arial"/>
          <w:rtl/>
        </w:rPr>
        <w:t>פלילי וכן ההליך השיקומי המוצלח שעבר</w:t>
      </w:r>
      <w:r>
        <w:rPr>
          <w:rFonts w:ascii="Arial" w:hAnsi="Arial" w:hint="cs"/>
          <w:rtl/>
        </w:rPr>
        <w:t xml:space="preserve"> במסגרת שרות המבחן. אלו, כולם מצדיקים ס</w:t>
      </w:r>
      <w:r w:rsidRPr="00F61101">
        <w:rPr>
          <w:rFonts w:ascii="Arial" w:hAnsi="Arial"/>
          <w:rtl/>
        </w:rPr>
        <w:t xml:space="preserve">טייה ממתחם העונש ההולם, זאת </w:t>
      </w:r>
      <w:r>
        <w:rPr>
          <w:rFonts w:ascii="Arial" w:hAnsi="Arial" w:hint="cs"/>
          <w:rtl/>
        </w:rPr>
        <w:t xml:space="preserve">על אף </w:t>
      </w:r>
      <w:r w:rsidRPr="00F61101">
        <w:rPr>
          <w:rFonts w:ascii="Arial" w:hAnsi="Arial" w:hint="cs"/>
          <w:rtl/>
        </w:rPr>
        <w:t>מגמת</w:t>
      </w:r>
      <w:r w:rsidRPr="00F61101">
        <w:rPr>
          <w:rFonts w:ascii="Arial" w:hAnsi="Arial"/>
          <w:rtl/>
        </w:rPr>
        <w:t xml:space="preserve"> החמרת הענישה בעבירות נשק.</w:t>
      </w:r>
    </w:p>
    <w:p w14:paraId="20C9E319" w14:textId="77777777" w:rsidR="005B368F" w:rsidRPr="00496C02" w:rsidRDefault="005B368F" w:rsidP="005B368F">
      <w:pPr>
        <w:pStyle w:val="a9"/>
        <w:numPr>
          <w:ilvl w:val="0"/>
          <w:numId w:val="2"/>
        </w:numPr>
        <w:spacing w:line="360" w:lineRule="auto"/>
        <w:jc w:val="both"/>
        <w:rPr>
          <w:rFonts w:ascii="Arial" w:hAnsi="Arial"/>
          <w:rtl/>
        </w:rPr>
      </w:pPr>
      <w:r w:rsidRPr="00F61101">
        <w:rPr>
          <w:rFonts w:ascii="Arial" w:hAnsi="Arial"/>
          <w:rtl/>
        </w:rPr>
        <w:t>במסגרת</w:t>
      </w:r>
      <w:r>
        <w:rPr>
          <w:rFonts w:ascii="Arial" w:hAnsi="Arial" w:hint="cs"/>
          <w:rtl/>
        </w:rPr>
        <w:t xml:space="preserve"> 55303-03-17</w:t>
      </w:r>
      <w:r w:rsidR="00F334A1">
        <w:rPr>
          <w:rFonts w:ascii="Arial" w:hAnsi="Arial"/>
          <w:rtl/>
        </w:rPr>
        <w:t xml:space="preserve"> </w:t>
      </w:r>
      <w:r w:rsidRPr="00F61101">
        <w:rPr>
          <w:rFonts w:ascii="Arial" w:hAnsi="Arial"/>
          <w:b/>
          <w:bCs/>
          <w:rtl/>
        </w:rPr>
        <w:t>מוסא דארי</w:t>
      </w:r>
      <w:r w:rsidR="00F334A1">
        <w:rPr>
          <w:rFonts w:ascii="Arial" w:hAnsi="Arial"/>
          <w:b/>
          <w:bCs/>
          <w:rtl/>
        </w:rPr>
        <w:t xml:space="preserve"> </w:t>
      </w:r>
      <w:r w:rsidRPr="00F61101">
        <w:rPr>
          <w:rFonts w:ascii="Arial" w:hAnsi="Arial"/>
          <w:b/>
          <w:bCs/>
          <w:rtl/>
        </w:rPr>
        <w:t xml:space="preserve"> נ' מדינת ישראל</w:t>
      </w:r>
      <w:r w:rsidR="00F334A1">
        <w:rPr>
          <w:rFonts w:ascii="Arial" w:hAnsi="Arial"/>
          <w:rtl/>
        </w:rPr>
        <w:t xml:space="preserve"> </w:t>
      </w:r>
      <w:r>
        <w:rPr>
          <w:rFonts w:ascii="Arial" w:hAnsi="Arial" w:hint="cs"/>
          <w:rtl/>
        </w:rPr>
        <w:t>(</w:t>
      </w:r>
      <w:r w:rsidRPr="00F61101">
        <w:rPr>
          <w:rFonts w:ascii="Arial" w:hAnsi="Arial"/>
          <w:rtl/>
        </w:rPr>
        <w:t>17.5.17) ציין כב' השופט</w:t>
      </w:r>
      <w:r w:rsidR="00F334A1">
        <w:rPr>
          <w:rFonts w:ascii="Arial" w:hAnsi="Arial"/>
          <w:rtl/>
        </w:rPr>
        <w:t xml:space="preserve"> </w:t>
      </w:r>
      <w:r w:rsidRPr="00F61101">
        <w:rPr>
          <w:rFonts w:ascii="Arial" w:hAnsi="Arial"/>
          <w:rtl/>
        </w:rPr>
        <w:t>ד"ר שפירא ששיקול הדעת המסור לבית המשפט מכוח הוראות החוק מחייב את ביהמ"ש לבחון האם הנאשם השתקם או שקיים סיכוי ממשי שישתקם. "דו"ח ועדת דורנר קובע כי אין טעם בניסיון לקדם את ההרתעה באמצעות הרחבת השימוש במאסרים או באמצעות שימוש במאסרים ממושכים יותר. הדו"ח מצביע על כך שבמקרים המתאימים,</w:t>
      </w:r>
      <w:r w:rsidR="00F334A1">
        <w:rPr>
          <w:rFonts w:ascii="Arial" w:hAnsi="Arial"/>
          <w:rtl/>
        </w:rPr>
        <w:t xml:space="preserve"> </w:t>
      </w:r>
      <w:r w:rsidRPr="00F61101">
        <w:rPr>
          <w:rFonts w:ascii="Arial" w:hAnsi="Arial"/>
          <w:rtl/>
        </w:rPr>
        <w:t xml:space="preserve">שיקום בקהילה באמצעות ענישה שנעה בין עבודת שירות לצווי מבחן ושירות למען הציבור צפוי להפיק תוצאות טובות יותר מאשר </w:t>
      </w:r>
      <w:r w:rsidRPr="00496C02">
        <w:rPr>
          <w:rFonts w:ascii="Arial" w:hAnsi="Arial"/>
          <w:rtl/>
        </w:rPr>
        <w:t>שימוש נרחב יותר במאסרים".</w:t>
      </w:r>
    </w:p>
    <w:p w14:paraId="7C19F159" w14:textId="77777777" w:rsidR="005B368F" w:rsidRPr="00496C02" w:rsidRDefault="005B368F" w:rsidP="005B368F">
      <w:pPr>
        <w:pStyle w:val="a9"/>
        <w:numPr>
          <w:ilvl w:val="0"/>
          <w:numId w:val="2"/>
        </w:numPr>
        <w:spacing w:line="360" w:lineRule="auto"/>
        <w:jc w:val="both"/>
        <w:rPr>
          <w:rFonts w:ascii="Arial" w:hAnsi="Arial"/>
        </w:rPr>
      </w:pPr>
      <w:r w:rsidRPr="00496C02">
        <w:rPr>
          <w:rFonts w:ascii="Arial" w:hAnsi="Arial" w:hint="cs"/>
          <w:rtl/>
        </w:rPr>
        <w:t>בענייננו, ה</w:t>
      </w:r>
      <w:r w:rsidRPr="00496C02">
        <w:rPr>
          <w:rFonts w:ascii="Arial" w:hAnsi="Arial"/>
          <w:rtl/>
        </w:rPr>
        <w:t xml:space="preserve">נאשם </w:t>
      </w:r>
      <w:r w:rsidRPr="00496C02">
        <w:rPr>
          <w:rFonts w:ascii="Arial" w:hAnsi="Arial" w:hint="cs"/>
          <w:rtl/>
        </w:rPr>
        <w:t xml:space="preserve">הינו כבן 33, נעדר רישום פלילי, אשר </w:t>
      </w:r>
      <w:r w:rsidRPr="00496C02">
        <w:rPr>
          <w:rFonts w:ascii="Arial" w:hAnsi="Arial"/>
          <w:rtl/>
        </w:rPr>
        <w:t>הודה ונטל אחריות על מעשיו</w:t>
      </w:r>
      <w:r w:rsidRPr="00496C02">
        <w:rPr>
          <w:rFonts w:ascii="Arial" w:hAnsi="Arial" w:hint="cs"/>
          <w:rtl/>
        </w:rPr>
        <w:t xml:space="preserve"> בבית המשפט ובשרות המבחן וכן הביע חרטה על המעשה. הנאשם שהה במעצר מיום 1.6.2022 ועד ליום 31.8.2022 כ-3 חודשים</w:t>
      </w:r>
      <w:r>
        <w:rPr>
          <w:rFonts w:ascii="Arial" w:hAnsi="Arial" w:hint="cs"/>
          <w:rtl/>
        </w:rPr>
        <w:t>,</w:t>
      </w:r>
      <w:r w:rsidRPr="00496C02">
        <w:rPr>
          <w:rFonts w:ascii="Arial" w:hAnsi="Arial" w:hint="cs"/>
          <w:rtl/>
        </w:rPr>
        <w:t xml:space="preserve"> ובהמשך ב</w:t>
      </w:r>
      <w:r>
        <w:rPr>
          <w:rFonts w:ascii="Arial" w:hAnsi="Arial" w:hint="cs"/>
          <w:rtl/>
        </w:rPr>
        <w:t>תנאי מעצר ב</w:t>
      </w:r>
      <w:r w:rsidRPr="00496C02">
        <w:rPr>
          <w:rFonts w:ascii="Arial" w:hAnsi="Arial" w:hint="cs"/>
          <w:rtl/>
        </w:rPr>
        <w:t>אזוק למשך</w:t>
      </w:r>
      <w:r>
        <w:rPr>
          <w:rFonts w:ascii="Arial" w:hAnsi="Arial" w:hint="cs"/>
          <w:rtl/>
        </w:rPr>
        <w:t xml:space="preserve"> כ-</w:t>
      </w:r>
      <w:r w:rsidRPr="00496C02">
        <w:rPr>
          <w:rFonts w:ascii="Arial" w:hAnsi="Arial" w:hint="cs"/>
          <w:rtl/>
        </w:rPr>
        <w:t xml:space="preserve"> 5 חודשים </w:t>
      </w:r>
      <w:r>
        <w:rPr>
          <w:rFonts w:ascii="Arial" w:hAnsi="Arial" w:hint="cs"/>
          <w:rtl/>
        </w:rPr>
        <w:t xml:space="preserve">נוספים </w:t>
      </w:r>
      <w:r w:rsidRPr="00496C02">
        <w:rPr>
          <w:rFonts w:ascii="Arial" w:hAnsi="Arial" w:hint="cs"/>
          <w:rtl/>
        </w:rPr>
        <w:t xml:space="preserve">עד </w:t>
      </w:r>
      <w:r>
        <w:rPr>
          <w:rFonts w:ascii="Arial" w:hAnsi="Arial" w:hint="cs"/>
          <w:rtl/>
        </w:rPr>
        <w:t xml:space="preserve">ליום </w:t>
      </w:r>
      <w:r w:rsidRPr="00496C02">
        <w:rPr>
          <w:rFonts w:ascii="Arial" w:hAnsi="Arial" w:hint="cs"/>
          <w:rtl/>
        </w:rPr>
        <w:t>6.2.2023.</w:t>
      </w:r>
    </w:p>
    <w:p w14:paraId="0A4CD72D" w14:textId="77777777" w:rsidR="005B368F" w:rsidRPr="00081E9E" w:rsidRDefault="005B368F" w:rsidP="005B368F">
      <w:pPr>
        <w:pStyle w:val="a9"/>
        <w:numPr>
          <w:ilvl w:val="0"/>
          <w:numId w:val="2"/>
        </w:numPr>
        <w:spacing w:line="360" w:lineRule="auto"/>
        <w:jc w:val="both"/>
        <w:rPr>
          <w:rFonts w:ascii="Arial" w:hAnsi="Arial"/>
        </w:rPr>
      </w:pPr>
      <w:r>
        <w:rPr>
          <w:rFonts w:ascii="Arial" w:hAnsi="Arial" w:hint="cs"/>
          <w:rtl/>
        </w:rPr>
        <w:t>ב</w:t>
      </w:r>
      <w:r w:rsidRPr="00F61101">
        <w:rPr>
          <w:rFonts w:ascii="Arial" w:hAnsi="Arial"/>
          <w:rtl/>
        </w:rPr>
        <w:t xml:space="preserve">מסגרת צו פיקוח מעצרים שהוטל על הנאשם, הנאשם </w:t>
      </w:r>
      <w:r>
        <w:rPr>
          <w:rFonts w:ascii="Arial" w:hAnsi="Arial" w:hint="cs"/>
          <w:rtl/>
        </w:rPr>
        <w:t>שיתף פעולה באופן מלא משך כשנה עם שרות המבחן. הנאשם נטל חלק ב</w:t>
      </w:r>
      <w:r w:rsidRPr="00F61101">
        <w:rPr>
          <w:rFonts w:ascii="Arial" w:hAnsi="Arial"/>
          <w:rtl/>
        </w:rPr>
        <w:t>קבוצה פסיכו-חינוכית שנמשכה 3 חודשים (12 מפגשים), כאשר מנחי הקבוצה התרשמו כי הנאשם היה קשוב לחברי הקבוצה, ביטא רצון ללמוד מנ</w:t>
      </w:r>
      <w:r>
        <w:rPr>
          <w:rFonts w:ascii="Arial" w:hAnsi="Arial" w:hint="cs"/>
          <w:rtl/>
        </w:rPr>
        <w:t>י</w:t>
      </w:r>
      <w:r w:rsidRPr="00F61101">
        <w:rPr>
          <w:rFonts w:ascii="Arial" w:hAnsi="Arial"/>
          <w:rtl/>
        </w:rPr>
        <w:t xml:space="preserve">סיון חייהם, ואף </w:t>
      </w:r>
      <w:r w:rsidRPr="00081E9E">
        <w:rPr>
          <w:rFonts w:ascii="Arial" w:hAnsi="Arial"/>
          <w:rtl/>
        </w:rPr>
        <w:t xml:space="preserve">ביטא מוטיבציה לנהוג באופן שקול ורגוע בעת מצבי לחץ ומצבי סיכון שונים. להערכת שירות המבחן, הנאשם אינו בעל דפוסים אימפולסיביים, עברייניים או אלימים, ומבטא תפיסה מחשבתית של אורח חיים נורמטיבי ותקין, וכולל בתוכו יכולות תפקודיות ותעסוקתיות. </w:t>
      </w:r>
      <w:r w:rsidRPr="00081E9E">
        <w:rPr>
          <w:rFonts w:ascii="Arial" w:hAnsi="Arial" w:hint="cs"/>
          <w:rtl/>
        </w:rPr>
        <w:t>נוכח השתתפותו בהליך הטיפולי ועמידתו בצו מבחן שנמשך משך כשנה, שרות המבחן סבור</w:t>
      </w:r>
      <w:r>
        <w:rPr>
          <w:rFonts w:ascii="Arial" w:hAnsi="Arial" w:hint="cs"/>
          <w:rtl/>
        </w:rPr>
        <w:t>,</w:t>
      </w:r>
      <w:r w:rsidRPr="00081E9E">
        <w:rPr>
          <w:rFonts w:ascii="Arial" w:hAnsi="Arial" w:hint="cs"/>
          <w:rtl/>
        </w:rPr>
        <w:t xml:space="preserve"> כי רמת הסיכון להישנות העבירה הינו נמוכה, וההליך השיקומי בעניינו מוצה. </w:t>
      </w:r>
    </w:p>
    <w:p w14:paraId="40E785EE" w14:textId="77777777" w:rsidR="005B368F" w:rsidRPr="0089635B" w:rsidRDefault="005B368F" w:rsidP="005B368F">
      <w:pPr>
        <w:pStyle w:val="a9"/>
        <w:numPr>
          <w:ilvl w:val="0"/>
          <w:numId w:val="2"/>
        </w:numPr>
        <w:spacing w:line="360" w:lineRule="auto"/>
        <w:jc w:val="both"/>
        <w:rPr>
          <w:rFonts w:ascii="Arial" w:hAnsi="Arial"/>
          <w:b/>
          <w:bCs/>
          <w:u w:val="single"/>
        </w:rPr>
      </w:pPr>
      <w:r>
        <w:rPr>
          <w:rFonts w:ascii="Arial" w:hAnsi="Arial" w:hint="cs"/>
          <w:rtl/>
        </w:rPr>
        <w:t xml:space="preserve">לדעת שרות המבחן </w:t>
      </w:r>
      <w:r w:rsidRPr="00F61101">
        <w:rPr>
          <w:rFonts w:ascii="Arial" w:hAnsi="Arial"/>
          <w:rtl/>
        </w:rPr>
        <w:t>בנסיבות אלו הטלת עונש מאסר</w:t>
      </w:r>
      <w:r>
        <w:rPr>
          <w:rFonts w:ascii="Arial" w:hAnsi="Arial" w:hint="cs"/>
          <w:rtl/>
        </w:rPr>
        <w:t xml:space="preserve"> בפועל</w:t>
      </w:r>
      <w:r w:rsidRPr="00F61101">
        <w:rPr>
          <w:rFonts w:ascii="Arial" w:hAnsi="Arial"/>
          <w:rtl/>
        </w:rPr>
        <w:t xml:space="preserve">, </w:t>
      </w:r>
      <w:r>
        <w:rPr>
          <w:rFonts w:ascii="Arial" w:hAnsi="Arial" w:hint="cs"/>
          <w:rtl/>
        </w:rPr>
        <w:t xml:space="preserve">תגביר את חשיפת הנאשם לעוברי חוק ודפוסי עבריינות, ועל כן הם מבקשים להימנע מהטלת עונש זה. </w:t>
      </w:r>
    </w:p>
    <w:p w14:paraId="0D09D83A" w14:textId="77777777" w:rsidR="005B368F" w:rsidRPr="0089635B" w:rsidRDefault="005B368F" w:rsidP="005B368F">
      <w:pPr>
        <w:pStyle w:val="a9"/>
        <w:numPr>
          <w:ilvl w:val="0"/>
          <w:numId w:val="2"/>
        </w:numPr>
        <w:spacing w:line="360" w:lineRule="auto"/>
        <w:jc w:val="both"/>
        <w:rPr>
          <w:rFonts w:ascii="Arial" w:hAnsi="Arial"/>
          <w:rtl/>
        </w:rPr>
      </w:pPr>
      <w:r w:rsidRPr="0089635B">
        <w:rPr>
          <w:rFonts w:ascii="Arial" w:hAnsi="Arial" w:hint="cs"/>
          <w:rtl/>
        </w:rPr>
        <w:t xml:space="preserve">מכלול טעמים אלו מצדיקים כאמור סטייה מהמתחם, שכן היא </w:t>
      </w:r>
      <w:r w:rsidRPr="0089635B">
        <w:rPr>
          <w:rFonts w:ascii="Arial" w:hAnsi="Arial"/>
          <w:rtl/>
        </w:rPr>
        <w:t>תביא לפגיעה משמעותית בנאשם, ותחבל בסיכוי</w:t>
      </w:r>
      <w:r w:rsidRPr="0089635B">
        <w:rPr>
          <w:rFonts w:ascii="Arial" w:hAnsi="Arial" w:hint="cs"/>
          <w:rtl/>
        </w:rPr>
        <w:t>י השיקום הקיימים בעניינו</w:t>
      </w:r>
      <w:r w:rsidRPr="0089635B">
        <w:rPr>
          <w:rFonts w:ascii="Arial" w:hAnsi="Arial"/>
          <w:rtl/>
        </w:rPr>
        <w:t>.</w:t>
      </w:r>
      <w:r w:rsidRPr="0089635B">
        <w:rPr>
          <w:rFonts w:ascii="Arial" w:hAnsi="Arial" w:hint="cs"/>
          <w:rtl/>
        </w:rPr>
        <w:t xml:space="preserve"> בנסיבות אלו, </w:t>
      </w:r>
      <w:r w:rsidRPr="0089635B">
        <w:rPr>
          <w:rFonts w:ascii="Arial" w:hAnsi="Arial"/>
          <w:rtl/>
        </w:rPr>
        <w:t xml:space="preserve">ראיתי לאמץ את עמדת שרות ולהסתפק בהטלת רכיבי ענישה הכוללים מאסר בדרך של עבודת שירות. יחד עם זאת, ובנסיבות התיק דנן, ראיתי לקבוע </w:t>
      </w:r>
      <w:r>
        <w:rPr>
          <w:rFonts w:ascii="Arial" w:hAnsi="Arial" w:hint="cs"/>
          <w:rtl/>
        </w:rPr>
        <w:t>את תקופת המאסר למשך תקופה ארוכה מכפי שהומ</w:t>
      </w:r>
      <w:r w:rsidRPr="0089635B">
        <w:rPr>
          <w:rFonts w:ascii="Arial" w:hAnsi="Arial"/>
          <w:rtl/>
        </w:rPr>
        <w:t xml:space="preserve">לץ על ידי שרות המבחן.     </w:t>
      </w:r>
    </w:p>
    <w:p w14:paraId="4DB8D79A" w14:textId="77777777" w:rsidR="005B368F" w:rsidRPr="00814E73" w:rsidRDefault="005B368F" w:rsidP="005B368F">
      <w:pPr>
        <w:shd w:val="clear" w:color="auto" w:fill="FFFFFF"/>
        <w:spacing w:line="360" w:lineRule="atLeast"/>
        <w:jc w:val="both"/>
        <w:rPr>
          <w:rFonts w:ascii="Calibri" w:eastAsia="Calibri" w:hAnsi="Calibri" w:cs="Times New Roman"/>
          <w:color w:val="000000"/>
          <w:rtl/>
        </w:rPr>
      </w:pPr>
      <w:r>
        <w:rPr>
          <w:rFonts w:ascii="Arial" w:hAnsi="Arial" w:hint="cs"/>
          <w:rtl/>
        </w:rPr>
        <w:t>26</w:t>
      </w:r>
      <w:r w:rsidRPr="00814E73">
        <w:rPr>
          <w:rFonts w:ascii="Arial" w:hAnsi="Arial"/>
          <w:rtl/>
        </w:rPr>
        <w:t xml:space="preserve">.  </w:t>
      </w:r>
      <w:r>
        <w:rPr>
          <w:rFonts w:ascii="Arial" w:hAnsi="Arial" w:hint="cs"/>
          <w:rtl/>
        </w:rPr>
        <w:t>אשר על כן אני מטיל על הנאשם את העונשים הבאים</w:t>
      </w:r>
      <w:r w:rsidRPr="00814E73">
        <w:rPr>
          <w:rFonts w:ascii="David" w:eastAsia="Calibri" w:hAnsi="David"/>
          <w:color w:val="000000"/>
          <w:shd w:val="clear" w:color="auto" w:fill="FFFFFF"/>
        </w:rPr>
        <w:t>:</w:t>
      </w:r>
    </w:p>
    <w:p w14:paraId="47340111" w14:textId="77777777" w:rsidR="005B368F" w:rsidRPr="00814E73" w:rsidRDefault="005B368F" w:rsidP="005B368F">
      <w:pPr>
        <w:shd w:val="clear" w:color="auto" w:fill="FFFFFF"/>
        <w:spacing w:line="360" w:lineRule="atLeast"/>
        <w:ind w:left="1035" w:hanging="675"/>
        <w:contextualSpacing/>
        <w:jc w:val="both"/>
        <w:rPr>
          <w:rFonts w:ascii="Calibri" w:eastAsia="Calibri" w:hAnsi="Calibri" w:cs="Times New Roman"/>
          <w:color w:val="000000"/>
          <w:rtl/>
        </w:rPr>
      </w:pPr>
      <w:r w:rsidRPr="00814E73">
        <w:rPr>
          <w:rFonts w:ascii="David" w:eastAsia="Calibri" w:hAnsi="David"/>
          <w:color w:val="000000"/>
          <w:shd w:val="clear" w:color="auto" w:fill="FFFFFF"/>
          <w:rtl/>
        </w:rPr>
        <w:t>א</w:t>
      </w:r>
      <w:r w:rsidRPr="00814E73">
        <w:rPr>
          <w:rFonts w:ascii="David" w:eastAsia="Calibri" w:hAnsi="David"/>
          <w:color w:val="000000"/>
          <w:shd w:val="clear" w:color="auto" w:fill="FFFFFF"/>
        </w:rPr>
        <w:t xml:space="preserve"> 9       .</w:t>
      </w:r>
      <w:r w:rsidRPr="00814E73">
        <w:rPr>
          <w:rFonts w:ascii="David" w:eastAsia="Calibri" w:hAnsi="David"/>
          <w:color w:val="000000"/>
          <w:shd w:val="clear" w:color="auto" w:fill="FFFFFF"/>
          <w:rtl/>
        </w:rPr>
        <w:t xml:space="preserve">חודשי מאסר אשר ירוצו בדרך של עבודות שירות. </w:t>
      </w:r>
      <w:r>
        <w:rPr>
          <w:rFonts w:ascii="David" w:eastAsia="Calibri" w:hAnsi="David" w:hint="cs"/>
          <w:color w:val="000000"/>
          <w:shd w:val="clear" w:color="auto" w:fill="FFFFFF"/>
          <w:rtl/>
        </w:rPr>
        <w:t>תחילת עבודות ייקבעו ליום 16.7.2024.</w:t>
      </w:r>
    </w:p>
    <w:p w14:paraId="3119C603" w14:textId="77777777" w:rsidR="005B368F" w:rsidRPr="00E15AB0" w:rsidRDefault="005B368F" w:rsidP="005B368F">
      <w:pPr>
        <w:shd w:val="clear" w:color="auto" w:fill="FFFFFF"/>
        <w:spacing w:line="360" w:lineRule="atLeast"/>
        <w:ind w:left="1035" w:hanging="675"/>
        <w:jc w:val="both"/>
        <w:rPr>
          <w:rFonts w:ascii="David" w:hAnsi="David"/>
          <w:color w:val="000000"/>
        </w:rPr>
      </w:pPr>
      <w:r w:rsidRPr="00814E73">
        <w:rPr>
          <w:rFonts w:ascii="David" w:hAnsi="David"/>
          <w:color w:val="000000"/>
          <w:rtl/>
        </w:rPr>
        <w:t>ב.</w:t>
      </w:r>
      <w:r w:rsidR="00F334A1">
        <w:rPr>
          <w:rFonts w:cs="Times New Roman"/>
          <w:color w:val="000000"/>
          <w:rtl/>
        </w:rPr>
        <w:t xml:space="preserve">     </w:t>
      </w:r>
      <w:r w:rsidRPr="00814E73">
        <w:rPr>
          <w:rFonts w:ascii="David" w:hAnsi="David"/>
          <w:color w:val="000000"/>
          <w:rtl/>
        </w:rPr>
        <w:t xml:space="preserve"> </w:t>
      </w:r>
      <w:r>
        <w:rPr>
          <w:rFonts w:ascii="David" w:hAnsi="David" w:hint="cs"/>
          <w:color w:val="000000"/>
          <w:rtl/>
        </w:rPr>
        <w:t>6</w:t>
      </w:r>
      <w:r w:rsidRPr="00814E73">
        <w:rPr>
          <w:rFonts w:ascii="David" w:hAnsi="David"/>
          <w:color w:val="000000"/>
          <w:rtl/>
        </w:rPr>
        <w:t xml:space="preserve"> חודשי מאסר וזאת על תנאי למשך 3 שנים מיום שחרורו של הנאשם מהמאסר שלא יעבור </w:t>
      </w:r>
      <w:r w:rsidRPr="00E15AB0">
        <w:rPr>
          <w:rFonts w:ascii="David" w:hAnsi="David"/>
          <w:color w:val="000000"/>
          <w:rtl/>
        </w:rPr>
        <w:t>את העבירה בה הורשע.</w:t>
      </w:r>
    </w:p>
    <w:p w14:paraId="44CE3CF4" w14:textId="77777777" w:rsidR="005B368F" w:rsidRPr="00E15AB0" w:rsidRDefault="005B368F" w:rsidP="005B368F">
      <w:pPr>
        <w:shd w:val="clear" w:color="auto" w:fill="FFFFFF"/>
        <w:spacing w:line="360" w:lineRule="atLeast"/>
        <w:ind w:left="1035" w:hanging="675"/>
        <w:jc w:val="both"/>
        <w:rPr>
          <w:rFonts w:ascii="David" w:hAnsi="David"/>
          <w:color w:val="000000"/>
          <w:rtl/>
        </w:rPr>
      </w:pPr>
      <w:r w:rsidRPr="00E15AB0">
        <w:rPr>
          <w:rFonts w:ascii="David" w:hAnsi="David"/>
          <w:color w:val="000000"/>
          <w:rtl/>
        </w:rPr>
        <w:t>ג.</w:t>
      </w:r>
      <w:r w:rsidR="00F334A1">
        <w:rPr>
          <w:rFonts w:ascii="David" w:hAnsi="David"/>
          <w:color w:val="000000"/>
          <w:rtl/>
        </w:rPr>
        <w:t xml:space="preserve">       </w:t>
      </w:r>
      <w:r w:rsidRPr="00E15AB0">
        <w:rPr>
          <w:rFonts w:ascii="David" w:hAnsi="David"/>
          <w:color w:val="000000"/>
          <w:rtl/>
        </w:rPr>
        <w:t>קנס בסך 6000 ₪ אשר ישולם ב-6 תשלומים חודשיים ושווים החל מיום 4.8.2024. ניתן לקזז את הקנס מפיקדון המצוי בתיק בית, ואת היתרה להשיב לנאשם.</w:t>
      </w:r>
    </w:p>
    <w:p w14:paraId="37052AA4" w14:textId="77777777" w:rsidR="005B368F" w:rsidRPr="00814E73" w:rsidRDefault="005B368F" w:rsidP="005B368F">
      <w:pPr>
        <w:shd w:val="clear" w:color="auto" w:fill="FFFFFF"/>
        <w:spacing w:line="360" w:lineRule="atLeast"/>
        <w:ind w:left="1080"/>
        <w:jc w:val="both"/>
        <w:rPr>
          <w:rFonts w:cs="Times New Roman"/>
          <w:color w:val="000000"/>
          <w:sz w:val="27"/>
          <w:szCs w:val="27"/>
          <w:rtl/>
        </w:rPr>
      </w:pPr>
      <w:r w:rsidRPr="00814E73">
        <w:rPr>
          <w:rFonts w:ascii="David" w:hAnsi="David"/>
          <w:color w:val="000000"/>
          <w:sz w:val="20"/>
          <w:szCs w:val="20"/>
          <w:rtl/>
        </w:rPr>
        <w:t>החוב מועבר למרכז לגביית קנסות, אגרות והוצאות ברשות האכיפה והגבייה, בהתאם למועדים והתשלומים שקבע בית המשפט.</w:t>
      </w:r>
    </w:p>
    <w:p w14:paraId="5C41B2CA" w14:textId="77777777" w:rsidR="005B368F" w:rsidRPr="00814E73" w:rsidRDefault="005B368F" w:rsidP="005B368F">
      <w:pPr>
        <w:shd w:val="clear" w:color="auto" w:fill="FFFFFF"/>
        <w:spacing w:line="360" w:lineRule="atLeast"/>
        <w:ind w:left="1080"/>
        <w:jc w:val="both"/>
        <w:rPr>
          <w:rFonts w:cs="Times New Roman"/>
          <w:color w:val="000000"/>
          <w:sz w:val="27"/>
          <w:szCs w:val="27"/>
          <w:rtl/>
        </w:rPr>
      </w:pPr>
      <w:r w:rsidRPr="00814E73">
        <w:rPr>
          <w:rFonts w:ascii="David" w:hAnsi="David"/>
          <w:color w:val="000000"/>
          <w:sz w:val="20"/>
          <w:szCs w:val="2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5F74C7B9" w14:textId="77777777" w:rsidR="005B368F" w:rsidRPr="00814E73" w:rsidRDefault="005B368F" w:rsidP="005B368F">
      <w:pPr>
        <w:shd w:val="clear" w:color="auto" w:fill="FFFFFF"/>
        <w:spacing w:line="360" w:lineRule="atLeast"/>
        <w:ind w:left="1080" w:hanging="360"/>
        <w:jc w:val="both"/>
        <w:rPr>
          <w:rFonts w:cs="Times New Roman"/>
          <w:color w:val="000000"/>
          <w:sz w:val="27"/>
          <w:szCs w:val="27"/>
          <w:rtl/>
        </w:rPr>
      </w:pPr>
      <w:r w:rsidRPr="00814E73">
        <w:rPr>
          <w:rFonts w:ascii="Symbol" w:hAnsi="Symbol" w:cs="Times New Roman"/>
          <w:b/>
          <w:bCs/>
          <w:color w:val="000000"/>
          <w:sz w:val="20"/>
          <w:szCs w:val="20"/>
        </w:rPr>
        <w:t></w:t>
      </w:r>
      <w:r w:rsidR="00F334A1">
        <w:rPr>
          <w:rFonts w:cs="Times New Roman"/>
          <w:b/>
          <w:bCs/>
          <w:color w:val="000000"/>
          <w:sz w:val="14"/>
          <w:szCs w:val="14"/>
          <w:rtl/>
        </w:rPr>
        <w:t xml:space="preserve">         </w:t>
      </w:r>
      <w:r w:rsidRPr="00814E73">
        <w:rPr>
          <w:rFonts w:ascii="David" w:hAnsi="David"/>
          <w:b/>
          <w:bCs/>
          <w:color w:val="000000"/>
          <w:sz w:val="20"/>
          <w:szCs w:val="20"/>
          <w:rtl/>
        </w:rPr>
        <w:t>בכרטיס אשראי</w:t>
      </w:r>
      <w:r w:rsidR="00F334A1">
        <w:rPr>
          <w:rFonts w:ascii="David" w:hAnsi="David"/>
          <w:color w:val="000000"/>
          <w:sz w:val="20"/>
          <w:szCs w:val="20"/>
          <w:rtl/>
        </w:rPr>
        <w:t xml:space="preserve"> </w:t>
      </w:r>
      <w:r w:rsidRPr="00814E73">
        <w:rPr>
          <w:rFonts w:ascii="David" w:hAnsi="David"/>
          <w:color w:val="000000"/>
          <w:sz w:val="20"/>
          <w:szCs w:val="20"/>
          <w:rtl/>
        </w:rPr>
        <w:t>– באתר המקוון של רשות האכיפה והגבייה,</w:t>
      </w:r>
      <w:r w:rsidR="00F334A1">
        <w:rPr>
          <w:rFonts w:ascii="David" w:hAnsi="David"/>
          <w:color w:val="000000"/>
          <w:sz w:val="20"/>
          <w:szCs w:val="20"/>
          <w:rtl/>
        </w:rPr>
        <w:t xml:space="preserve"> </w:t>
      </w:r>
      <w:hyperlink r:id="rId23" w:tgtFrame="blank" w:history="1">
        <w:r w:rsidRPr="00814E73">
          <w:rPr>
            <w:rFonts w:ascii="David" w:hAnsi="David"/>
            <w:color w:val="0563C1"/>
            <w:sz w:val="20"/>
            <w:szCs w:val="20"/>
            <w:u w:val="single"/>
          </w:rPr>
          <w:t>www.eca.gov.il</w:t>
        </w:r>
      </w:hyperlink>
    </w:p>
    <w:p w14:paraId="1E1EE3F8" w14:textId="77777777" w:rsidR="005B368F" w:rsidRPr="00814E73" w:rsidRDefault="005B368F" w:rsidP="005B368F">
      <w:pPr>
        <w:shd w:val="clear" w:color="auto" w:fill="FFFFFF"/>
        <w:spacing w:line="360" w:lineRule="atLeast"/>
        <w:ind w:left="1080" w:hanging="360"/>
        <w:jc w:val="both"/>
        <w:rPr>
          <w:rFonts w:cs="Times New Roman"/>
          <w:color w:val="000000"/>
          <w:sz w:val="27"/>
          <w:szCs w:val="27"/>
          <w:rtl/>
        </w:rPr>
      </w:pPr>
      <w:r w:rsidRPr="00814E73">
        <w:rPr>
          <w:rFonts w:ascii="Symbol" w:hAnsi="Symbol" w:cs="Times New Roman"/>
          <w:b/>
          <w:bCs/>
          <w:color w:val="000000"/>
          <w:sz w:val="20"/>
          <w:szCs w:val="20"/>
        </w:rPr>
        <w:t></w:t>
      </w:r>
      <w:r w:rsidR="00F334A1">
        <w:rPr>
          <w:rFonts w:cs="Times New Roman"/>
          <w:b/>
          <w:bCs/>
          <w:color w:val="000000"/>
          <w:sz w:val="14"/>
          <w:szCs w:val="14"/>
          <w:rtl/>
        </w:rPr>
        <w:t xml:space="preserve">         </w:t>
      </w:r>
      <w:r w:rsidRPr="00814E73">
        <w:rPr>
          <w:rFonts w:ascii="David" w:hAnsi="David"/>
          <w:b/>
          <w:bCs/>
          <w:color w:val="000000"/>
          <w:sz w:val="20"/>
          <w:szCs w:val="20"/>
          <w:rtl/>
        </w:rPr>
        <w:t>מוקד שירות טלפוני בשרות עצמי (מרכז גבייה) – בטלפון 35592* או בטלפון 073-2055000</w:t>
      </w:r>
    </w:p>
    <w:p w14:paraId="221C59D1" w14:textId="77777777" w:rsidR="005B368F" w:rsidRPr="00814E73" w:rsidRDefault="005B368F" w:rsidP="005B368F">
      <w:pPr>
        <w:shd w:val="clear" w:color="auto" w:fill="FFFFFF"/>
        <w:spacing w:line="360" w:lineRule="atLeast"/>
        <w:ind w:left="1080" w:hanging="360"/>
        <w:jc w:val="both"/>
        <w:rPr>
          <w:rFonts w:cs="Times New Roman"/>
          <w:color w:val="000000"/>
          <w:sz w:val="27"/>
          <w:szCs w:val="27"/>
          <w:rtl/>
        </w:rPr>
      </w:pPr>
      <w:r w:rsidRPr="00814E73">
        <w:rPr>
          <w:rFonts w:ascii="Symbol" w:hAnsi="Symbol" w:cs="Times New Roman"/>
          <w:b/>
          <w:bCs/>
          <w:color w:val="000000"/>
          <w:sz w:val="20"/>
          <w:szCs w:val="20"/>
        </w:rPr>
        <w:t></w:t>
      </w:r>
      <w:r w:rsidR="00F334A1">
        <w:rPr>
          <w:rFonts w:cs="Times New Roman"/>
          <w:b/>
          <w:bCs/>
          <w:color w:val="000000"/>
          <w:sz w:val="14"/>
          <w:szCs w:val="14"/>
          <w:rtl/>
        </w:rPr>
        <w:t xml:space="preserve">         </w:t>
      </w:r>
      <w:r w:rsidRPr="00814E73">
        <w:rPr>
          <w:rFonts w:ascii="David" w:hAnsi="David"/>
          <w:b/>
          <w:bCs/>
          <w:color w:val="000000"/>
          <w:sz w:val="20"/>
          <w:szCs w:val="20"/>
          <w:rtl/>
        </w:rPr>
        <w:t>במזומן בכל סניף של בנק הדואר</w:t>
      </w:r>
      <w:r w:rsidR="00F334A1">
        <w:rPr>
          <w:rFonts w:ascii="David" w:hAnsi="David"/>
          <w:color w:val="000000"/>
          <w:sz w:val="20"/>
          <w:szCs w:val="20"/>
          <w:rtl/>
        </w:rPr>
        <w:t xml:space="preserve"> </w:t>
      </w:r>
      <w:r w:rsidRPr="00814E73">
        <w:rPr>
          <w:rFonts w:ascii="David" w:hAnsi="David"/>
          <w:color w:val="000000"/>
          <w:sz w:val="20"/>
          <w:szCs w:val="20"/>
          <w:rtl/>
        </w:rPr>
        <w:t>– בהצגת תעודת זהות בלבד (אין צורך בשוברי תשלום).</w:t>
      </w:r>
    </w:p>
    <w:p w14:paraId="34AE6DA9" w14:textId="77777777" w:rsidR="005B368F" w:rsidRPr="00814E73" w:rsidRDefault="005B368F" w:rsidP="005B368F">
      <w:pPr>
        <w:shd w:val="clear" w:color="auto" w:fill="FFFFFF"/>
        <w:spacing w:line="360" w:lineRule="atLeast"/>
        <w:ind w:left="1035" w:hanging="675"/>
        <w:jc w:val="both"/>
        <w:rPr>
          <w:rFonts w:ascii="David" w:hAnsi="David"/>
          <w:color w:val="000000"/>
          <w:rtl/>
        </w:rPr>
      </w:pPr>
      <w:r w:rsidRPr="00814E73">
        <w:rPr>
          <w:rFonts w:ascii="David" w:hAnsi="David"/>
          <w:color w:val="000000"/>
          <w:sz w:val="27"/>
          <w:szCs w:val="27"/>
          <w:rtl/>
        </w:rPr>
        <w:t xml:space="preserve"> </w:t>
      </w:r>
      <w:r w:rsidRPr="00814E73">
        <w:rPr>
          <w:rFonts w:ascii="David" w:hAnsi="David"/>
          <w:color w:val="000000"/>
          <w:rtl/>
        </w:rPr>
        <w:t>ד.</w:t>
      </w:r>
      <w:r w:rsidR="00F334A1">
        <w:rPr>
          <w:rFonts w:cs="Times New Roman"/>
          <w:color w:val="000000"/>
          <w:rtl/>
        </w:rPr>
        <w:t xml:space="preserve">   </w:t>
      </w:r>
      <w:r w:rsidRPr="00814E73">
        <w:rPr>
          <w:rFonts w:ascii="Calibri" w:eastAsia="Calibri" w:hAnsi="Calibri" w:cs="Arial" w:hint="cs"/>
          <w:color w:val="000000"/>
          <w:sz w:val="14"/>
          <w:szCs w:val="14"/>
          <w:shd w:val="clear" w:color="auto" w:fill="FFFFFF"/>
        </w:rPr>
        <w:t xml:space="preserve"> </w:t>
      </w:r>
      <w:r w:rsidR="00F334A1">
        <w:rPr>
          <w:rFonts w:ascii="David" w:hAnsi="David"/>
          <w:color w:val="000000"/>
        </w:rPr>
        <w:t xml:space="preserve">  </w:t>
      </w:r>
      <w:r w:rsidRPr="00814E73">
        <w:rPr>
          <w:rFonts w:ascii="David" w:hAnsi="David"/>
          <w:color w:val="000000"/>
          <w:rtl/>
        </w:rPr>
        <w:t xml:space="preserve"> </w:t>
      </w:r>
      <w:r w:rsidRPr="00814E73">
        <w:rPr>
          <w:rFonts w:ascii="David" w:hAnsi="David" w:hint="cs"/>
          <w:color w:val="000000"/>
          <w:rtl/>
        </w:rPr>
        <w:t xml:space="preserve">התחייבות על סך </w:t>
      </w:r>
      <w:r>
        <w:rPr>
          <w:rFonts w:ascii="David" w:hAnsi="David" w:hint="cs"/>
          <w:color w:val="000000"/>
          <w:rtl/>
        </w:rPr>
        <w:t>7000</w:t>
      </w:r>
      <w:r w:rsidRPr="00814E73">
        <w:rPr>
          <w:rFonts w:ascii="David" w:hAnsi="David" w:hint="cs"/>
          <w:color w:val="000000"/>
          <w:rtl/>
        </w:rPr>
        <w:t xml:space="preserve"> ₪ להימנע מביצוע עבירות </w:t>
      </w:r>
      <w:r>
        <w:rPr>
          <w:rFonts w:ascii="David" w:hAnsi="David" w:hint="cs"/>
          <w:color w:val="000000"/>
          <w:rtl/>
        </w:rPr>
        <w:t xml:space="preserve">הקשורות בנשק </w:t>
      </w:r>
      <w:r w:rsidRPr="00814E73">
        <w:rPr>
          <w:rFonts w:ascii="David" w:hAnsi="David" w:hint="cs"/>
          <w:color w:val="000000"/>
          <w:rtl/>
        </w:rPr>
        <w:t>משך ש</w:t>
      </w:r>
      <w:r>
        <w:rPr>
          <w:rFonts w:ascii="David" w:hAnsi="David" w:hint="cs"/>
          <w:color w:val="000000"/>
          <w:rtl/>
        </w:rPr>
        <w:t>נתיים</w:t>
      </w:r>
      <w:r w:rsidRPr="00814E73">
        <w:rPr>
          <w:rFonts w:ascii="David" w:hAnsi="David" w:hint="cs"/>
          <w:color w:val="000000"/>
          <w:rtl/>
        </w:rPr>
        <w:t xml:space="preserve"> מהיום.</w:t>
      </w:r>
      <w:r>
        <w:rPr>
          <w:rFonts w:ascii="David" w:hAnsi="David" w:hint="cs"/>
          <w:color w:val="000000"/>
          <w:rtl/>
        </w:rPr>
        <w:t xml:space="preserve"> רשמתי את התחייבות הנאשם בע"פ.</w:t>
      </w:r>
    </w:p>
    <w:p w14:paraId="22B1B1DB" w14:textId="77777777" w:rsidR="005B368F" w:rsidRPr="00814E73" w:rsidRDefault="005B368F" w:rsidP="005B368F">
      <w:pPr>
        <w:shd w:val="clear" w:color="auto" w:fill="FFFFFF"/>
        <w:spacing w:line="360" w:lineRule="atLeast"/>
        <w:ind w:firstLine="360"/>
        <w:jc w:val="both"/>
        <w:rPr>
          <w:rFonts w:cs="Times New Roman"/>
          <w:color w:val="000000"/>
          <w:rtl/>
        </w:rPr>
      </w:pPr>
      <w:r w:rsidRPr="00814E73">
        <w:rPr>
          <w:rFonts w:ascii="David" w:hAnsi="David"/>
          <w:color w:val="000000"/>
          <w:rtl/>
        </w:rPr>
        <w:t xml:space="preserve"> ה.       המוצגים יחולטו או יושמדו לפי החלטת רשם המוצגים.</w:t>
      </w:r>
    </w:p>
    <w:p w14:paraId="1600E0A6" w14:textId="77777777" w:rsidR="005B368F" w:rsidRPr="0089635B" w:rsidRDefault="005B368F" w:rsidP="005B368F">
      <w:pPr>
        <w:shd w:val="clear" w:color="auto" w:fill="FFFFFF"/>
        <w:spacing w:line="360" w:lineRule="atLeast"/>
        <w:ind w:firstLine="720"/>
        <w:jc w:val="both"/>
        <w:rPr>
          <w:rFonts w:ascii="David" w:hAnsi="David"/>
          <w:color w:val="000000"/>
          <w:sz w:val="22"/>
          <w:szCs w:val="22"/>
          <w:rtl/>
        </w:rPr>
      </w:pPr>
      <w:r w:rsidRPr="0089635B">
        <w:rPr>
          <w:rFonts w:ascii="David" w:hAnsi="David"/>
          <w:b/>
          <w:bCs/>
          <w:color w:val="000000"/>
          <w:sz w:val="22"/>
          <w:szCs w:val="22"/>
          <w:u w:val="single"/>
          <w:rtl/>
        </w:rPr>
        <w:t>המזכירות תשלח העתק</w:t>
      </w:r>
      <w:r w:rsidR="00F334A1">
        <w:rPr>
          <w:rFonts w:ascii="David" w:hAnsi="David"/>
          <w:b/>
          <w:bCs/>
          <w:color w:val="000000"/>
          <w:sz w:val="22"/>
          <w:szCs w:val="22"/>
          <w:u w:val="single"/>
          <w:rtl/>
        </w:rPr>
        <w:t xml:space="preserve"> </w:t>
      </w:r>
      <w:r w:rsidRPr="0089635B">
        <w:rPr>
          <w:rFonts w:ascii="David" w:hAnsi="David"/>
          <w:b/>
          <w:bCs/>
          <w:color w:val="000000"/>
          <w:sz w:val="22"/>
          <w:szCs w:val="22"/>
          <w:u w:val="single"/>
          <w:rtl/>
        </w:rPr>
        <w:t>גזר</w:t>
      </w:r>
      <w:r w:rsidR="00F334A1">
        <w:rPr>
          <w:rFonts w:ascii="David" w:hAnsi="David"/>
          <w:b/>
          <w:bCs/>
          <w:color w:val="000000"/>
          <w:sz w:val="22"/>
          <w:szCs w:val="22"/>
          <w:u w:val="single"/>
          <w:rtl/>
        </w:rPr>
        <w:t xml:space="preserve"> </w:t>
      </w:r>
      <w:r w:rsidRPr="0089635B">
        <w:rPr>
          <w:rFonts w:ascii="David" w:hAnsi="David"/>
          <w:b/>
          <w:bCs/>
          <w:color w:val="000000"/>
          <w:sz w:val="22"/>
          <w:szCs w:val="22"/>
          <w:u w:val="single"/>
          <w:rtl/>
        </w:rPr>
        <w:t>הדין</w:t>
      </w:r>
      <w:r w:rsidR="00F334A1">
        <w:rPr>
          <w:rFonts w:ascii="David" w:hAnsi="David"/>
          <w:b/>
          <w:bCs/>
          <w:color w:val="000000"/>
          <w:sz w:val="22"/>
          <w:szCs w:val="22"/>
          <w:u w:val="single"/>
          <w:rtl/>
        </w:rPr>
        <w:t xml:space="preserve"> </w:t>
      </w:r>
      <w:r w:rsidRPr="0089635B">
        <w:rPr>
          <w:rFonts w:ascii="David" w:hAnsi="David"/>
          <w:b/>
          <w:bCs/>
          <w:color w:val="000000"/>
          <w:sz w:val="22"/>
          <w:szCs w:val="22"/>
          <w:u w:val="single"/>
          <w:rtl/>
        </w:rPr>
        <w:t>לשרות המבחן וכן לממונה על</w:t>
      </w:r>
      <w:r w:rsidR="00F334A1">
        <w:rPr>
          <w:rFonts w:ascii="David" w:hAnsi="David"/>
          <w:b/>
          <w:bCs/>
          <w:color w:val="000000"/>
          <w:sz w:val="22"/>
          <w:szCs w:val="22"/>
          <w:u w:val="single"/>
          <w:rtl/>
        </w:rPr>
        <w:t xml:space="preserve"> </w:t>
      </w:r>
      <w:r w:rsidRPr="0089635B">
        <w:rPr>
          <w:rFonts w:ascii="David" w:hAnsi="David"/>
          <w:b/>
          <w:bCs/>
          <w:color w:val="000000"/>
          <w:sz w:val="22"/>
          <w:szCs w:val="22"/>
          <w:u w:val="single"/>
          <w:rtl/>
        </w:rPr>
        <w:t>עבודות</w:t>
      </w:r>
      <w:r w:rsidR="00F334A1">
        <w:rPr>
          <w:rFonts w:ascii="David" w:hAnsi="David"/>
          <w:b/>
          <w:bCs/>
          <w:color w:val="000000"/>
          <w:sz w:val="22"/>
          <w:szCs w:val="22"/>
          <w:u w:val="single"/>
          <w:rtl/>
        </w:rPr>
        <w:t xml:space="preserve"> </w:t>
      </w:r>
      <w:r w:rsidRPr="0089635B">
        <w:rPr>
          <w:rFonts w:ascii="David" w:hAnsi="David"/>
          <w:b/>
          <w:bCs/>
          <w:color w:val="000000"/>
          <w:sz w:val="22"/>
          <w:szCs w:val="22"/>
          <w:u w:val="single"/>
          <w:rtl/>
        </w:rPr>
        <w:t>השירות</w:t>
      </w:r>
      <w:r w:rsidRPr="0089635B">
        <w:rPr>
          <w:rFonts w:ascii="David" w:hAnsi="David"/>
          <w:b/>
          <w:bCs/>
          <w:color w:val="000000"/>
          <w:sz w:val="22"/>
          <w:szCs w:val="22"/>
        </w:rPr>
        <w:t>.</w:t>
      </w:r>
    </w:p>
    <w:p w14:paraId="3AB6FBB9" w14:textId="77777777" w:rsidR="005B368F" w:rsidRPr="00814E73" w:rsidRDefault="005B368F" w:rsidP="005B368F">
      <w:pPr>
        <w:shd w:val="clear" w:color="auto" w:fill="FFFFFF"/>
        <w:spacing w:line="360" w:lineRule="atLeast"/>
        <w:jc w:val="both"/>
        <w:rPr>
          <w:rFonts w:cs="Times New Roman"/>
          <w:color w:val="000000"/>
          <w:rtl/>
        </w:rPr>
      </w:pPr>
    </w:p>
    <w:p w14:paraId="18E3C39F" w14:textId="77777777" w:rsidR="005B368F" w:rsidRPr="0089635B" w:rsidRDefault="00F334A1" w:rsidP="005B368F">
      <w:pPr>
        <w:shd w:val="clear" w:color="auto" w:fill="FFFFFF"/>
        <w:spacing w:line="360" w:lineRule="atLeast"/>
        <w:jc w:val="both"/>
        <w:rPr>
          <w:rFonts w:cs="Times New Roman"/>
          <w:color w:val="000000"/>
          <w:sz w:val="22"/>
          <w:szCs w:val="22"/>
          <w:rtl/>
        </w:rPr>
      </w:pPr>
      <w:r w:rsidRPr="00F334A1">
        <w:rPr>
          <w:rFonts w:ascii="David" w:hAnsi="David"/>
          <w:b/>
          <w:bCs/>
          <w:color w:val="FFFFFF"/>
          <w:sz w:val="2"/>
          <w:szCs w:val="2"/>
          <w:rtl/>
        </w:rPr>
        <w:t>5129371</w:t>
      </w:r>
      <w:r w:rsidR="005B368F" w:rsidRPr="0089635B">
        <w:rPr>
          <w:rFonts w:ascii="David" w:hAnsi="David"/>
          <w:b/>
          <w:bCs/>
          <w:color w:val="FFFFFF"/>
          <w:sz w:val="22"/>
          <w:szCs w:val="22"/>
          <w:rtl/>
        </w:rPr>
        <w:t>678</w:t>
      </w:r>
      <w:r w:rsidR="005B368F" w:rsidRPr="0089635B">
        <w:rPr>
          <w:rFonts w:ascii="David" w:hAnsi="David"/>
          <w:b/>
          <w:bCs/>
          <w:color w:val="000000"/>
          <w:sz w:val="22"/>
          <w:szCs w:val="22"/>
          <w:rtl/>
        </w:rPr>
        <w:t>זכות ערעור לבית המשפט המחוזי בתוך 45 יום.</w:t>
      </w:r>
    </w:p>
    <w:p w14:paraId="74D47550" w14:textId="77777777" w:rsidR="005B368F" w:rsidRPr="00F334A1" w:rsidRDefault="00F334A1" w:rsidP="005B368F">
      <w:pPr>
        <w:shd w:val="clear" w:color="auto" w:fill="FFFFFF"/>
        <w:spacing w:line="360" w:lineRule="atLeast"/>
        <w:jc w:val="both"/>
        <w:rPr>
          <w:rFonts w:cs="Times New Roman"/>
          <w:color w:val="FFFFFF"/>
          <w:sz w:val="2"/>
          <w:szCs w:val="2"/>
          <w:rtl/>
        </w:rPr>
      </w:pPr>
      <w:r w:rsidRPr="00F334A1">
        <w:rPr>
          <w:rFonts w:cs="Times New Roman"/>
          <w:color w:val="FFFFFF"/>
          <w:sz w:val="2"/>
          <w:szCs w:val="2"/>
          <w:rtl/>
        </w:rPr>
        <w:t>54678313</w:t>
      </w:r>
    </w:p>
    <w:p w14:paraId="15A57401" w14:textId="77777777" w:rsidR="005B368F" w:rsidRPr="0089635B" w:rsidRDefault="005B368F" w:rsidP="005B368F">
      <w:pPr>
        <w:spacing w:line="360" w:lineRule="auto"/>
        <w:jc w:val="both"/>
        <w:rPr>
          <w:rFonts w:ascii="Arial" w:hAnsi="Arial"/>
          <w:b/>
          <w:bCs/>
          <w:sz w:val="22"/>
          <w:szCs w:val="22"/>
          <w:rtl/>
        </w:rPr>
      </w:pPr>
      <w:r w:rsidRPr="0089635B">
        <w:rPr>
          <w:rFonts w:ascii="Arial" w:hAnsi="Arial"/>
          <w:b/>
          <w:bCs/>
          <w:sz w:val="22"/>
          <w:szCs w:val="22"/>
          <w:rtl/>
        </w:rPr>
        <w:t xml:space="preserve">ניתן היום, </w:t>
      </w:r>
      <w:r>
        <w:rPr>
          <w:rFonts w:ascii="Arial" w:hAnsi="Arial"/>
          <w:b/>
          <w:bCs/>
          <w:sz w:val="22"/>
          <w:szCs w:val="22"/>
          <w:rtl/>
        </w:rPr>
        <w:t>כ' אייר תשפ"ד</w:t>
      </w:r>
      <w:r w:rsidRPr="0089635B">
        <w:rPr>
          <w:rFonts w:ascii="Arial" w:hAnsi="Arial"/>
          <w:b/>
          <w:bCs/>
          <w:sz w:val="22"/>
          <w:szCs w:val="22"/>
          <w:rtl/>
        </w:rPr>
        <w:t xml:space="preserve">, </w:t>
      </w:r>
      <w:r>
        <w:rPr>
          <w:rFonts w:ascii="Arial" w:hAnsi="Arial"/>
          <w:b/>
          <w:bCs/>
          <w:sz w:val="22"/>
          <w:szCs w:val="22"/>
          <w:rtl/>
        </w:rPr>
        <w:t>28 מאי 2024</w:t>
      </w:r>
      <w:r w:rsidRPr="0089635B">
        <w:rPr>
          <w:rFonts w:ascii="Arial" w:hAnsi="Arial"/>
          <w:b/>
          <w:bCs/>
          <w:sz w:val="22"/>
          <w:szCs w:val="22"/>
          <w:rtl/>
        </w:rPr>
        <w:t xml:space="preserve">, </w:t>
      </w:r>
      <w:r w:rsidRPr="0089635B">
        <w:rPr>
          <w:rFonts w:ascii="Arial" w:hAnsi="Arial" w:hint="cs"/>
          <w:b/>
          <w:bCs/>
          <w:sz w:val="22"/>
          <w:szCs w:val="22"/>
          <w:rtl/>
        </w:rPr>
        <w:t>במעמד הנוכחים</w:t>
      </w:r>
      <w:r w:rsidRPr="0089635B">
        <w:rPr>
          <w:rFonts w:ascii="Arial" w:hAnsi="Arial"/>
          <w:b/>
          <w:bCs/>
          <w:sz w:val="22"/>
          <w:szCs w:val="22"/>
          <w:rtl/>
        </w:rPr>
        <w:t>.</w:t>
      </w:r>
      <w:r w:rsidRPr="0089635B">
        <w:rPr>
          <w:rFonts w:ascii="Arial" w:hAnsi="Arial"/>
          <w:b/>
          <w:bCs/>
          <w:sz w:val="22"/>
          <w:szCs w:val="22"/>
          <w:rtl/>
        </w:rPr>
        <w:tab/>
      </w:r>
    </w:p>
    <w:p w14:paraId="075FFA3F" w14:textId="77777777" w:rsidR="005B368F" w:rsidRPr="0089635B" w:rsidRDefault="005B368F" w:rsidP="005B368F">
      <w:pPr>
        <w:spacing w:line="360" w:lineRule="auto"/>
        <w:jc w:val="both"/>
        <w:rPr>
          <w:rFonts w:ascii="Arial" w:hAnsi="Arial"/>
          <w:b/>
          <w:bCs/>
          <w:sz w:val="22"/>
          <w:szCs w:val="22"/>
          <w:rtl/>
        </w:rPr>
      </w:pPr>
      <w:r w:rsidRPr="0089635B">
        <w:rPr>
          <w:rFonts w:ascii="Arial" w:hAnsi="Arial"/>
          <w:b/>
          <w:bCs/>
          <w:sz w:val="22"/>
          <w:szCs w:val="22"/>
          <w:rtl/>
        </w:rPr>
        <w:tab/>
      </w:r>
      <w:r w:rsidRPr="0089635B">
        <w:rPr>
          <w:rFonts w:ascii="Arial" w:hAnsi="Arial"/>
          <w:b/>
          <w:bCs/>
          <w:sz w:val="22"/>
          <w:szCs w:val="22"/>
          <w:rtl/>
        </w:rPr>
        <w:tab/>
      </w:r>
      <w:r w:rsidRPr="0089635B">
        <w:rPr>
          <w:rFonts w:ascii="Arial" w:hAnsi="Arial"/>
          <w:b/>
          <w:bCs/>
          <w:sz w:val="22"/>
          <w:szCs w:val="22"/>
          <w:rtl/>
        </w:rPr>
        <w:tab/>
        <w:t xml:space="preserve">         </w:t>
      </w:r>
    </w:p>
    <w:p w14:paraId="080FF8FD" w14:textId="77777777" w:rsidR="005B368F" w:rsidRPr="0089635B" w:rsidRDefault="005B368F" w:rsidP="00F334A1">
      <w:pPr>
        <w:spacing w:line="360" w:lineRule="auto"/>
        <w:jc w:val="both"/>
      </w:pPr>
      <w:r w:rsidRPr="0089635B">
        <w:rPr>
          <w:rFonts w:ascii="Arial" w:hAnsi="Arial"/>
          <w:b/>
          <w:bCs/>
          <w:sz w:val="22"/>
          <w:szCs w:val="22"/>
          <w:rtl/>
        </w:rPr>
        <w:t xml:space="preserve">   </w:t>
      </w:r>
      <w:r w:rsidRPr="0089635B">
        <w:rPr>
          <w:rFonts w:ascii="Arial" w:hAnsi="Arial"/>
          <w:b/>
          <w:bCs/>
          <w:sz w:val="22"/>
          <w:szCs w:val="22"/>
          <w:rtl/>
        </w:rPr>
        <w:tab/>
      </w:r>
      <w:r w:rsidRPr="0089635B">
        <w:rPr>
          <w:rFonts w:ascii="Arial" w:hAnsi="Arial"/>
          <w:b/>
          <w:bCs/>
          <w:sz w:val="22"/>
          <w:szCs w:val="22"/>
          <w:rtl/>
        </w:rPr>
        <w:tab/>
      </w:r>
      <w:r w:rsidRPr="0089635B">
        <w:rPr>
          <w:rFonts w:ascii="Arial" w:hAnsi="Arial"/>
          <w:b/>
          <w:bCs/>
          <w:sz w:val="22"/>
          <w:szCs w:val="22"/>
          <w:rtl/>
        </w:rPr>
        <w:tab/>
      </w:r>
      <w:r w:rsidRPr="0089635B">
        <w:rPr>
          <w:rFonts w:ascii="Arial" w:hAnsi="Arial"/>
          <w:b/>
          <w:bCs/>
          <w:sz w:val="22"/>
          <w:szCs w:val="22"/>
          <w:rtl/>
        </w:rPr>
        <w:tab/>
      </w:r>
      <w:r w:rsidRPr="0089635B">
        <w:rPr>
          <w:rFonts w:ascii="Arial" w:hAnsi="Arial"/>
          <w:b/>
          <w:bCs/>
          <w:sz w:val="22"/>
          <w:szCs w:val="22"/>
          <w:rtl/>
        </w:rPr>
        <w:tab/>
      </w:r>
    </w:p>
    <w:p w14:paraId="67CFBAEE" w14:textId="77777777" w:rsidR="00F334A1" w:rsidRDefault="00865628" w:rsidP="00F334A1">
      <w:r w:rsidRPr="00865628">
        <w:rPr>
          <w:rFonts w:ascii="Arial" w:hAnsi="Arial"/>
          <w:b/>
          <w:bCs/>
          <w:color w:val="FFFFFF"/>
          <w:sz w:val="2"/>
          <w:szCs w:val="2"/>
          <w:rtl/>
        </w:rPr>
        <w:t>5129371</w:t>
      </w:r>
    </w:p>
    <w:p w14:paraId="27431F12" w14:textId="77777777" w:rsidR="00F334A1" w:rsidRDefault="00F334A1" w:rsidP="00F334A1">
      <w:pPr>
        <w:rPr>
          <w:rtl/>
        </w:rPr>
      </w:pPr>
    </w:p>
    <w:p w14:paraId="550BAA83" w14:textId="77777777" w:rsidR="00F334A1" w:rsidRDefault="00F334A1" w:rsidP="00F334A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B994D8A" w14:textId="77777777" w:rsidR="00865628" w:rsidRPr="00865628" w:rsidRDefault="00865628" w:rsidP="00865628">
      <w:pPr>
        <w:keepNext/>
        <w:rPr>
          <w:rFonts w:ascii="David" w:hAnsi="David"/>
          <w:color w:val="000000"/>
          <w:sz w:val="22"/>
          <w:szCs w:val="22"/>
          <w:rtl/>
        </w:rPr>
      </w:pPr>
    </w:p>
    <w:p w14:paraId="03407AD5" w14:textId="77777777" w:rsidR="00865628" w:rsidRPr="00865628" w:rsidRDefault="00865628" w:rsidP="00865628">
      <w:pPr>
        <w:keepNext/>
        <w:rPr>
          <w:rFonts w:ascii="David" w:hAnsi="David"/>
          <w:color w:val="000000"/>
          <w:sz w:val="22"/>
          <w:szCs w:val="22"/>
          <w:rtl/>
        </w:rPr>
      </w:pPr>
      <w:r w:rsidRPr="00865628">
        <w:rPr>
          <w:rFonts w:ascii="David" w:hAnsi="David"/>
          <w:color w:val="000000"/>
          <w:sz w:val="22"/>
          <w:szCs w:val="22"/>
          <w:rtl/>
        </w:rPr>
        <w:t>ארנון איתן 54678313-/</w:t>
      </w:r>
    </w:p>
    <w:p w14:paraId="5BB4ECBB" w14:textId="77777777" w:rsidR="00F334A1" w:rsidRPr="00F334A1" w:rsidRDefault="00865628" w:rsidP="00865628">
      <w:pPr>
        <w:rPr>
          <w:color w:val="0000FF"/>
          <w:u w:val="single"/>
        </w:rPr>
      </w:pPr>
      <w:r w:rsidRPr="00865628">
        <w:rPr>
          <w:color w:val="000000"/>
          <w:u w:val="single"/>
          <w:rtl/>
        </w:rPr>
        <w:t>נוסח מסמך זה כפוף לשינויי ניסוח ועריכה</w:t>
      </w:r>
    </w:p>
    <w:sectPr w:rsidR="00F334A1" w:rsidRPr="00F334A1" w:rsidSect="00865628">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47B6B" w14:textId="77777777" w:rsidR="00754440" w:rsidRDefault="00754440" w:rsidP="00432291">
      <w:r>
        <w:separator/>
      </w:r>
    </w:p>
  </w:endnote>
  <w:endnote w:type="continuationSeparator" w:id="0">
    <w:p w14:paraId="651F16B1" w14:textId="77777777" w:rsidR="00754440" w:rsidRDefault="00754440" w:rsidP="00432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3C27" w14:textId="77777777" w:rsidR="00865628" w:rsidRDefault="00865628" w:rsidP="008656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E0BA738" w14:textId="77777777" w:rsidR="00A056BA" w:rsidRPr="00865628" w:rsidRDefault="00865628" w:rsidP="00865628">
    <w:pPr>
      <w:pStyle w:val="a5"/>
      <w:pBdr>
        <w:top w:val="single" w:sz="4" w:space="1" w:color="auto"/>
        <w:between w:val="single" w:sz="4" w:space="0" w:color="auto"/>
      </w:pBdr>
      <w:spacing w:after="60"/>
      <w:jc w:val="center"/>
      <w:rPr>
        <w:rFonts w:ascii="FrankRuehl" w:hAnsi="FrankRuehl" w:cs="FrankRuehl"/>
        <w:color w:val="000000"/>
      </w:rPr>
    </w:pPr>
    <w:r w:rsidRPr="008656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A562E" w14:textId="77777777" w:rsidR="00865628" w:rsidRDefault="00865628" w:rsidP="008656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4074">
      <w:rPr>
        <w:rFonts w:ascii="FrankRuehl" w:hAnsi="FrankRuehl" w:cs="FrankRuehl"/>
        <w:noProof/>
        <w:rtl/>
      </w:rPr>
      <w:t>1</w:t>
    </w:r>
    <w:r>
      <w:rPr>
        <w:rFonts w:ascii="FrankRuehl" w:hAnsi="FrankRuehl" w:cs="FrankRuehl"/>
        <w:rtl/>
      </w:rPr>
      <w:fldChar w:fldCharType="end"/>
    </w:r>
  </w:p>
  <w:p w14:paraId="5EB8FB0D" w14:textId="77777777" w:rsidR="00A056BA" w:rsidRPr="00865628" w:rsidRDefault="00865628" w:rsidP="00865628">
    <w:pPr>
      <w:pStyle w:val="a5"/>
      <w:pBdr>
        <w:top w:val="single" w:sz="4" w:space="1" w:color="auto"/>
        <w:between w:val="single" w:sz="4" w:space="0" w:color="auto"/>
      </w:pBdr>
      <w:spacing w:after="60"/>
      <w:jc w:val="center"/>
      <w:rPr>
        <w:rFonts w:ascii="FrankRuehl" w:hAnsi="FrankRuehl" w:cs="FrankRuehl"/>
        <w:color w:val="000000"/>
      </w:rPr>
    </w:pPr>
    <w:r w:rsidRPr="00865628">
      <w:rPr>
        <w:rFonts w:ascii="FrankRuehl" w:hAnsi="FrankRuehl" w:cs="FrankRuehl"/>
        <w:color w:val="000000"/>
      </w:rPr>
      <w:pict w14:anchorId="37590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BAED7" w14:textId="77777777" w:rsidR="00754440" w:rsidRDefault="00754440" w:rsidP="00432291">
      <w:r>
        <w:separator/>
      </w:r>
    </w:p>
  </w:footnote>
  <w:footnote w:type="continuationSeparator" w:id="0">
    <w:p w14:paraId="2EB7C5A2" w14:textId="77777777" w:rsidR="00754440" w:rsidRDefault="00754440" w:rsidP="00432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16A42" w14:textId="77777777" w:rsidR="00F334A1" w:rsidRPr="00865628" w:rsidRDefault="00865628" w:rsidP="008656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30867-06-22</w:t>
    </w:r>
    <w:r>
      <w:rPr>
        <w:rFonts w:ascii="David" w:hAnsi="David"/>
        <w:color w:val="000000"/>
        <w:sz w:val="22"/>
        <w:szCs w:val="22"/>
        <w:rtl/>
      </w:rPr>
      <w:tab/>
      <w:t xml:space="preserve"> מדינת ישראל נ' מחמוד אבו קטיש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8DF2C" w14:textId="77777777" w:rsidR="00F334A1" w:rsidRPr="00865628" w:rsidRDefault="00865628" w:rsidP="008656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30867-06-22</w:t>
    </w:r>
    <w:r>
      <w:rPr>
        <w:rFonts w:ascii="David" w:hAnsi="David"/>
        <w:color w:val="000000"/>
        <w:sz w:val="22"/>
        <w:szCs w:val="22"/>
        <w:rtl/>
      </w:rPr>
      <w:tab/>
      <w:t xml:space="preserve"> מדינת ישראל נ' מחמוד אבו קטיש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75588"/>
    <w:multiLevelType w:val="hybridMultilevel"/>
    <w:tmpl w:val="3FAC0D1A"/>
    <w:lvl w:ilvl="0" w:tplc="5D388664">
      <w:start w:val="1"/>
      <w:numFmt w:val="decimal"/>
      <w:lvlText w:val="%1."/>
      <w:lvlJc w:val="left"/>
      <w:pPr>
        <w:ind w:left="480" w:hanging="48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AA0B6E"/>
    <w:multiLevelType w:val="hybridMultilevel"/>
    <w:tmpl w:val="59F451A4"/>
    <w:lvl w:ilvl="0" w:tplc="D59C5EC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7554262">
    <w:abstractNumId w:val="1"/>
  </w:num>
  <w:num w:numId="2" w16cid:durableId="66362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368F"/>
    <w:rsid w:val="001370A4"/>
    <w:rsid w:val="00150A14"/>
    <w:rsid w:val="001B5A3B"/>
    <w:rsid w:val="00432291"/>
    <w:rsid w:val="005B368F"/>
    <w:rsid w:val="005B599F"/>
    <w:rsid w:val="00724074"/>
    <w:rsid w:val="00754440"/>
    <w:rsid w:val="00865628"/>
    <w:rsid w:val="00A056BA"/>
    <w:rsid w:val="00A53F61"/>
    <w:rsid w:val="00F334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347F4E"/>
  <w15:chartTrackingRefBased/>
  <w15:docId w15:val="{8721837F-9DA9-4613-91DD-5C570F1C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368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368F"/>
    <w:pPr>
      <w:tabs>
        <w:tab w:val="center" w:pos="4153"/>
        <w:tab w:val="right" w:pos="8306"/>
      </w:tabs>
    </w:pPr>
  </w:style>
  <w:style w:type="character" w:customStyle="1" w:styleId="a4">
    <w:name w:val="כותרת עליונה תו"/>
    <w:link w:val="a3"/>
    <w:rsid w:val="005B368F"/>
    <w:rPr>
      <w:rFonts w:ascii="Times New Roman" w:eastAsia="Times New Roman" w:hAnsi="Times New Roman" w:cs="David"/>
      <w:sz w:val="24"/>
      <w:szCs w:val="24"/>
    </w:rPr>
  </w:style>
  <w:style w:type="paragraph" w:styleId="a5">
    <w:name w:val="footer"/>
    <w:basedOn w:val="a"/>
    <w:link w:val="a6"/>
    <w:rsid w:val="005B368F"/>
    <w:pPr>
      <w:tabs>
        <w:tab w:val="center" w:pos="4153"/>
        <w:tab w:val="right" w:pos="8306"/>
      </w:tabs>
    </w:pPr>
  </w:style>
  <w:style w:type="character" w:customStyle="1" w:styleId="a6">
    <w:name w:val="כותרת תחתונה תו"/>
    <w:link w:val="a5"/>
    <w:rsid w:val="005B368F"/>
    <w:rPr>
      <w:rFonts w:ascii="Times New Roman" w:eastAsia="Times New Roman" w:hAnsi="Times New Roman" w:cs="David"/>
      <w:sz w:val="24"/>
      <w:szCs w:val="24"/>
    </w:rPr>
  </w:style>
  <w:style w:type="table" w:styleId="a7">
    <w:name w:val="Table Grid"/>
    <w:basedOn w:val="a1"/>
    <w:rsid w:val="005B368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368F"/>
  </w:style>
  <w:style w:type="paragraph" w:styleId="a9">
    <w:name w:val="List Paragraph"/>
    <w:basedOn w:val="a"/>
    <w:qFormat/>
    <w:rsid w:val="005B368F"/>
    <w:pPr>
      <w:ind w:left="720"/>
      <w:contextualSpacing/>
    </w:pPr>
  </w:style>
  <w:style w:type="character" w:styleId="Hyperlink">
    <w:name w:val="Hyperlink"/>
    <w:rsid w:val="00F334A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5063920" TargetMode="External"/><Relationship Id="rId18" Type="http://schemas.openxmlformats.org/officeDocument/2006/relationships/hyperlink" Target="http://www.nevo.co.il/case/2222829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5724364"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605875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6024035" TargetMode="External"/><Relationship Id="rId20" Type="http://schemas.openxmlformats.org/officeDocument/2006/relationships/hyperlink" Target="http://www.nevo.co.il/case/2648469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13995"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6383419"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3817589"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5969313" TargetMode="External"/><Relationship Id="rId22" Type="http://schemas.openxmlformats.org/officeDocument/2006/relationships/hyperlink" Target="http://www.nevo.co.il/case/1699206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2520</Words>
  <Characters>12605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15095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3932283</vt:i4>
      </vt:variant>
      <vt:variant>
        <vt:i4>45</vt:i4>
      </vt:variant>
      <vt:variant>
        <vt:i4>0</vt:i4>
      </vt:variant>
      <vt:variant>
        <vt:i4>5</vt:i4>
      </vt:variant>
      <vt:variant>
        <vt:lpwstr>http://www.nevo.co.il/case/16992066</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3866748</vt:i4>
      </vt:variant>
      <vt:variant>
        <vt:i4>39</vt:i4>
      </vt:variant>
      <vt:variant>
        <vt:i4>0</vt:i4>
      </vt:variant>
      <vt:variant>
        <vt:i4>5</vt:i4>
      </vt:variant>
      <vt:variant>
        <vt:lpwstr>http://www.nevo.co.il/case/26484690</vt:lpwstr>
      </vt:variant>
      <vt:variant>
        <vt:lpwstr/>
      </vt:variant>
      <vt:variant>
        <vt:i4>3473523</vt:i4>
      </vt:variant>
      <vt:variant>
        <vt:i4>36</vt:i4>
      </vt:variant>
      <vt:variant>
        <vt:i4>0</vt:i4>
      </vt:variant>
      <vt:variant>
        <vt:i4>5</vt:i4>
      </vt:variant>
      <vt:variant>
        <vt:lpwstr>http://www.nevo.co.il/case/23817589</vt:lpwstr>
      </vt:variant>
      <vt:variant>
        <vt:lpwstr/>
      </vt:variant>
      <vt:variant>
        <vt:i4>3211382</vt:i4>
      </vt:variant>
      <vt:variant>
        <vt:i4>33</vt:i4>
      </vt:variant>
      <vt:variant>
        <vt:i4>0</vt:i4>
      </vt:variant>
      <vt:variant>
        <vt:i4>5</vt:i4>
      </vt:variant>
      <vt:variant>
        <vt:lpwstr>http://www.nevo.co.il/case/22228298</vt:lpwstr>
      </vt:variant>
      <vt:variant>
        <vt:lpwstr/>
      </vt:variant>
      <vt:variant>
        <vt:i4>3342457</vt:i4>
      </vt:variant>
      <vt:variant>
        <vt:i4>30</vt:i4>
      </vt:variant>
      <vt:variant>
        <vt:i4>0</vt:i4>
      </vt:variant>
      <vt:variant>
        <vt:i4>5</vt:i4>
      </vt:variant>
      <vt:variant>
        <vt:lpwstr>http://www.nevo.co.il/case/6058757</vt:lpwstr>
      </vt:variant>
      <vt:variant>
        <vt:lpwstr/>
      </vt:variant>
      <vt:variant>
        <vt:i4>3211379</vt:i4>
      </vt:variant>
      <vt:variant>
        <vt:i4>27</vt:i4>
      </vt:variant>
      <vt:variant>
        <vt:i4>0</vt:i4>
      </vt:variant>
      <vt:variant>
        <vt:i4>5</vt:i4>
      </vt:variant>
      <vt:variant>
        <vt:lpwstr>http://www.nevo.co.il/case/6024035</vt:lpwstr>
      </vt:variant>
      <vt:variant>
        <vt:lpwstr/>
      </vt:variant>
      <vt:variant>
        <vt:i4>3342462</vt:i4>
      </vt:variant>
      <vt:variant>
        <vt:i4>24</vt:i4>
      </vt:variant>
      <vt:variant>
        <vt:i4>0</vt:i4>
      </vt:variant>
      <vt:variant>
        <vt:i4>5</vt:i4>
      </vt:variant>
      <vt:variant>
        <vt:lpwstr>http://www.nevo.co.il/case/26383419</vt:lpwstr>
      </vt:variant>
      <vt:variant>
        <vt:lpwstr/>
      </vt:variant>
      <vt:variant>
        <vt:i4>3342453</vt:i4>
      </vt:variant>
      <vt:variant>
        <vt:i4>21</vt:i4>
      </vt:variant>
      <vt:variant>
        <vt:i4>0</vt:i4>
      </vt:variant>
      <vt:variant>
        <vt:i4>5</vt:i4>
      </vt:variant>
      <vt:variant>
        <vt:lpwstr>http://www.nevo.co.il/case/5969313</vt:lpwstr>
      </vt:variant>
      <vt:variant>
        <vt:lpwstr/>
      </vt:variant>
      <vt:variant>
        <vt:i4>3342462</vt:i4>
      </vt:variant>
      <vt:variant>
        <vt:i4>18</vt:i4>
      </vt:variant>
      <vt:variant>
        <vt:i4>0</vt:i4>
      </vt:variant>
      <vt:variant>
        <vt:i4>5</vt:i4>
      </vt:variant>
      <vt:variant>
        <vt:lpwstr>http://www.nevo.co.il/case/25063920</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3211386</vt:i4>
      </vt:variant>
      <vt:variant>
        <vt:i4>12</vt:i4>
      </vt:variant>
      <vt:variant>
        <vt:i4>0</vt:i4>
      </vt:variant>
      <vt:variant>
        <vt:i4>5</vt:i4>
      </vt:variant>
      <vt:variant>
        <vt:lpwstr>http://www.nevo.co.il/case/26913995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30867</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אבו קטיש</vt:lpwstr>
  </property>
  <property fmtid="{D5CDD505-2E9C-101B-9397-08002B2CF9AE}" pid="10" name="LAWYER">
    <vt:lpwstr>נמיר אדלבי</vt:lpwstr>
  </property>
  <property fmtid="{D5CDD505-2E9C-101B-9397-08002B2CF9AE}" pid="11" name="JUDGE">
    <vt:lpwstr>ארנון איתן</vt:lpwstr>
  </property>
  <property fmtid="{D5CDD505-2E9C-101B-9397-08002B2CF9AE}" pid="12" name="CITY">
    <vt:lpwstr>י-ם</vt:lpwstr>
  </property>
  <property fmtid="{D5CDD505-2E9C-101B-9397-08002B2CF9AE}" pid="13" name="TYPE_N_DATE">
    <vt:lpwstr>3801900001</vt:lpwstr>
  </property>
  <property fmtid="{D5CDD505-2E9C-101B-9397-08002B2CF9AE}" pid="14" name="CASESLISTTMP1">
    <vt:lpwstr>26913995;25824863;25063920;5969313;26383419;6024035;6058757;22228298;23817589;26484690;5724364;16992066</vt:lpwstr>
  </property>
  <property fmtid="{D5CDD505-2E9C-101B-9397-08002B2CF9AE}" pid="15" name="CASENOTES1">
    <vt:lpwstr>ProcID=133;209&amp;PartA=1332&amp;PartC=04</vt:lpwstr>
  </property>
  <property fmtid="{D5CDD505-2E9C-101B-9397-08002B2CF9AE}" pid="16" name="CASENOTES2">
    <vt:lpwstr>ProcID=213&amp;PartA=55303&amp;PartB=03&amp;PartC=17</vt:lpwstr>
  </property>
  <property fmtid="{D5CDD505-2E9C-101B-9397-08002B2CF9AE}" pid="17" name="WORDNUMPAGES">
    <vt:lpwstr>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DATE">
    <vt:lpwstr>20240528</vt:lpwstr>
  </property>
  <property fmtid="{D5CDD505-2E9C-101B-9397-08002B2CF9AE}" pid="36" name="ISABSTRACT">
    <vt:lpwstr>Y</vt:lpwstr>
  </property>
  <property fmtid="{D5CDD505-2E9C-101B-9397-08002B2CF9AE}" pid="37" name="LAWLISTTMP1">
    <vt:lpwstr>70301/144.a</vt:lpwstr>
  </property>
</Properties>
</file>