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514598" w:rsidRPr="00257A28" w14:paraId="6AB48F85" w14:textId="77777777" w:rsidTr="007A7DE3">
        <w:trPr>
          <w:trHeight w:hRule="exact" w:val="418"/>
          <w:jc w:val="center"/>
        </w:trPr>
        <w:tc>
          <w:tcPr>
            <w:tcW w:w="8721" w:type="dxa"/>
            <w:gridSpan w:val="2"/>
          </w:tcPr>
          <w:p w14:paraId="6564E510" w14:textId="77777777" w:rsidR="00514598" w:rsidRPr="00257A28" w:rsidRDefault="00514598" w:rsidP="00093D25">
            <w:pPr>
              <w:pStyle w:val="a3"/>
              <w:jc w:val="center"/>
              <w:rPr>
                <w:rFonts w:ascii="Tahoma" w:hAnsi="Tahoma" w:cs="Tahoma"/>
                <w:color w:val="000080"/>
                <w:rtl/>
              </w:rPr>
            </w:pPr>
            <w:bookmarkStart w:id="0" w:name="LastJudge"/>
            <w:r w:rsidRPr="00257A28">
              <w:rPr>
                <w:rFonts w:ascii="David" w:hAnsi="David"/>
                <w:b/>
                <w:bCs/>
                <w:color w:val="000080"/>
                <w:sz w:val="28"/>
                <w:szCs w:val="28"/>
                <w:rtl/>
              </w:rPr>
              <w:t>בית משפט השלום בכפר סבא</w:t>
            </w:r>
          </w:p>
        </w:tc>
      </w:tr>
      <w:tr w:rsidR="00514598" w:rsidRPr="00257A28" w14:paraId="12321411" w14:textId="77777777" w:rsidTr="007A7DE3">
        <w:trPr>
          <w:trHeight w:val="337"/>
          <w:jc w:val="center"/>
        </w:trPr>
        <w:tc>
          <w:tcPr>
            <w:tcW w:w="5060" w:type="dxa"/>
          </w:tcPr>
          <w:p w14:paraId="2BF2D30F" w14:textId="77777777" w:rsidR="00514598" w:rsidRPr="00257A28" w:rsidRDefault="00514598" w:rsidP="00093D25">
            <w:pPr>
              <w:rPr>
                <w:rFonts w:cs="FrankRuehl"/>
                <w:sz w:val="28"/>
                <w:szCs w:val="28"/>
                <w:rtl/>
              </w:rPr>
            </w:pPr>
            <w:r w:rsidRPr="00257A28">
              <w:rPr>
                <w:rFonts w:cs="FrankRuehl"/>
                <w:sz w:val="28"/>
                <w:szCs w:val="28"/>
                <w:rtl/>
              </w:rPr>
              <w:t>ת"פ</w:t>
            </w:r>
            <w:r w:rsidRPr="00257A28">
              <w:rPr>
                <w:rFonts w:cs="FrankRuehl" w:hint="cs"/>
                <w:sz w:val="28"/>
                <w:szCs w:val="28"/>
                <w:rtl/>
              </w:rPr>
              <w:t xml:space="preserve"> </w:t>
            </w:r>
            <w:r w:rsidRPr="00257A28">
              <w:rPr>
                <w:rFonts w:cs="FrankRuehl"/>
                <w:sz w:val="28"/>
                <w:szCs w:val="28"/>
                <w:rtl/>
              </w:rPr>
              <w:t>3197-06-22</w:t>
            </w:r>
            <w:r w:rsidRPr="00257A28">
              <w:rPr>
                <w:rFonts w:cs="FrankRuehl" w:hint="cs"/>
                <w:sz w:val="28"/>
                <w:szCs w:val="28"/>
                <w:rtl/>
              </w:rPr>
              <w:t xml:space="preserve"> </w:t>
            </w:r>
            <w:r w:rsidRPr="00257A28">
              <w:rPr>
                <w:rFonts w:cs="FrankRuehl"/>
                <w:sz w:val="28"/>
                <w:szCs w:val="28"/>
                <w:rtl/>
              </w:rPr>
              <w:t>מדינת ישראל נ' מצארוה(עציר)</w:t>
            </w:r>
          </w:p>
          <w:p w14:paraId="1D97B5F3" w14:textId="77777777" w:rsidR="00514598" w:rsidRPr="00257A28" w:rsidRDefault="00514598" w:rsidP="00093D25">
            <w:pPr>
              <w:pStyle w:val="a3"/>
              <w:rPr>
                <w:rFonts w:cs="FrankRuehl"/>
                <w:sz w:val="28"/>
                <w:szCs w:val="28"/>
                <w:rtl/>
              </w:rPr>
            </w:pPr>
          </w:p>
        </w:tc>
        <w:tc>
          <w:tcPr>
            <w:tcW w:w="3661" w:type="dxa"/>
          </w:tcPr>
          <w:p w14:paraId="602BFA66" w14:textId="77777777" w:rsidR="00514598" w:rsidRPr="00257A28" w:rsidRDefault="00514598" w:rsidP="00093D25">
            <w:pPr>
              <w:pStyle w:val="a3"/>
              <w:jc w:val="right"/>
              <w:rPr>
                <w:rFonts w:cs="FrankRuehl"/>
                <w:sz w:val="28"/>
                <w:szCs w:val="28"/>
                <w:rtl/>
              </w:rPr>
            </w:pPr>
          </w:p>
        </w:tc>
      </w:tr>
    </w:tbl>
    <w:p w14:paraId="26389111" w14:textId="77777777" w:rsidR="00514598" w:rsidRPr="00257A28" w:rsidRDefault="00514598" w:rsidP="00514598">
      <w:pPr>
        <w:pStyle w:val="a3"/>
        <w:jc w:val="right"/>
        <w:rPr>
          <w:b/>
          <w:bCs/>
          <w:rtl/>
        </w:rPr>
      </w:pPr>
      <w:r w:rsidRPr="00257A28">
        <w:rPr>
          <w:rFonts w:hint="cs"/>
          <w:rtl/>
        </w:rPr>
        <w:t xml:space="preserve"> </w:t>
      </w:r>
      <w:r w:rsidRPr="00257A28">
        <w:rPr>
          <w:rFonts w:hint="cs"/>
          <w:b/>
          <w:bCs/>
          <w:rtl/>
        </w:rPr>
        <w:t>18.12.22</w:t>
      </w:r>
    </w:p>
    <w:p w14:paraId="6321F830" w14:textId="77777777" w:rsidR="00514598" w:rsidRPr="00257A28" w:rsidRDefault="00514598" w:rsidP="00514598">
      <w:pPr>
        <w:spacing w:line="360" w:lineRule="auto"/>
        <w:jc w:val="both"/>
        <w:rPr>
          <w:rFonts w:ascii="David" w:hAnsi="David"/>
          <w:rtl/>
        </w:rPr>
      </w:pPr>
    </w:p>
    <w:p w14:paraId="293B406D" w14:textId="77777777" w:rsidR="00514598" w:rsidRPr="00257A28" w:rsidRDefault="00514598" w:rsidP="00514598">
      <w:pPr>
        <w:spacing w:line="360" w:lineRule="auto"/>
        <w:jc w:val="both"/>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514598" w:rsidRPr="00257A28" w14:paraId="5B94EF33" w14:textId="77777777" w:rsidTr="00514598">
        <w:trPr>
          <w:trHeight w:val="295"/>
          <w:jc w:val="center"/>
        </w:trPr>
        <w:tc>
          <w:tcPr>
            <w:tcW w:w="923" w:type="dxa"/>
            <w:tcBorders>
              <w:top w:val="nil"/>
              <w:left w:val="nil"/>
              <w:bottom w:val="nil"/>
              <w:right w:val="nil"/>
            </w:tcBorders>
            <w:shd w:val="clear" w:color="auto" w:fill="auto"/>
          </w:tcPr>
          <w:p w14:paraId="61235A28" w14:textId="77777777" w:rsidR="00514598" w:rsidRPr="00257A28" w:rsidRDefault="00514598" w:rsidP="00514598">
            <w:pPr>
              <w:spacing w:line="360" w:lineRule="auto"/>
              <w:jc w:val="both"/>
              <w:rPr>
                <w:rFonts w:ascii="David" w:hAnsi="David"/>
                <w:b/>
                <w:bCs/>
                <w:sz w:val="28"/>
                <w:szCs w:val="28"/>
              </w:rPr>
            </w:pPr>
            <w:r w:rsidRPr="00257A28">
              <w:rPr>
                <w:rFonts w:ascii="David" w:hAnsi="David" w:hint="cs"/>
                <w:b/>
                <w:bCs/>
                <w:sz w:val="28"/>
                <w:szCs w:val="28"/>
                <w:rtl/>
              </w:rPr>
              <w:t>ל</w:t>
            </w:r>
            <w:r w:rsidRPr="00257A28">
              <w:rPr>
                <w:rFonts w:ascii="David" w:hAnsi="David"/>
                <w:b/>
                <w:bCs/>
                <w:sz w:val="28"/>
                <w:szCs w:val="28"/>
                <w:rtl/>
              </w:rPr>
              <w:t>פני</w:t>
            </w:r>
          </w:p>
        </w:tc>
        <w:tc>
          <w:tcPr>
            <w:tcW w:w="7897" w:type="dxa"/>
            <w:tcBorders>
              <w:top w:val="nil"/>
              <w:left w:val="nil"/>
              <w:bottom w:val="nil"/>
              <w:right w:val="nil"/>
            </w:tcBorders>
            <w:shd w:val="clear" w:color="auto" w:fill="auto"/>
          </w:tcPr>
          <w:p w14:paraId="24469217" w14:textId="77777777" w:rsidR="00514598" w:rsidRPr="00257A28" w:rsidRDefault="00514598" w:rsidP="00514598">
            <w:pPr>
              <w:spacing w:line="360" w:lineRule="auto"/>
              <w:jc w:val="both"/>
              <w:rPr>
                <w:rFonts w:ascii="David" w:hAnsi="David"/>
                <w:b/>
                <w:bCs/>
                <w:sz w:val="28"/>
                <w:szCs w:val="28"/>
                <w:rtl/>
              </w:rPr>
            </w:pPr>
            <w:r w:rsidRPr="00257A28">
              <w:rPr>
                <w:rFonts w:ascii="David" w:hAnsi="David"/>
                <w:b/>
                <w:bCs/>
                <w:sz w:val="28"/>
                <w:szCs w:val="28"/>
                <w:rtl/>
              </w:rPr>
              <w:t>כבוד השופט אביב שרון</w:t>
            </w:r>
          </w:p>
          <w:p w14:paraId="425F42DD" w14:textId="77777777" w:rsidR="00514598" w:rsidRPr="00257A28" w:rsidRDefault="00514598" w:rsidP="00514598">
            <w:pPr>
              <w:spacing w:line="360" w:lineRule="auto"/>
              <w:jc w:val="both"/>
              <w:rPr>
                <w:rFonts w:ascii="David" w:hAnsi="David"/>
                <w:b/>
                <w:bCs/>
                <w:sz w:val="28"/>
                <w:szCs w:val="28"/>
              </w:rPr>
            </w:pPr>
          </w:p>
        </w:tc>
      </w:tr>
    </w:tbl>
    <w:p w14:paraId="7BA96C56" w14:textId="77777777" w:rsidR="00514598" w:rsidRPr="00257A28" w:rsidRDefault="00514598" w:rsidP="00514598">
      <w:pPr>
        <w:spacing w:line="360" w:lineRule="auto"/>
        <w:jc w:val="both"/>
        <w:rPr>
          <w:rFonts w:ascii="David" w:hAnsi="David"/>
          <w:b/>
          <w:bCs/>
          <w:rtl/>
        </w:rPr>
      </w:pPr>
      <w:bookmarkStart w:id="1" w:name="FirstAppellant"/>
      <w:r w:rsidRPr="00257A28">
        <w:rPr>
          <w:rFonts w:ascii="David" w:hAnsi="David"/>
          <w:b/>
          <w:bCs/>
          <w:rtl/>
        </w:rPr>
        <w:t>בעניין</w:t>
      </w:r>
      <w:bookmarkEnd w:id="1"/>
      <w:r w:rsidRPr="00257A28">
        <w:rPr>
          <w:rFonts w:ascii="David" w:hAnsi="David"/>
          <w:b/>
          <w:bCs/>
          <w:rtl/>
        </w:rPr>
        <w:t>:</w:t>
      </w:r>
      <w:r w:rsidRPr="00257A28">
        <w:rPr>
          <w:rFonts w:ascii="David" w:hAnsi="David"/>
          <w:b/>
          <w:bCs/>
          <w:rtl/>
        </w:rPr>
        <w:tab/>
        <w:t>מדינת ישראל – פרקליטות מחוז מרכז (פלילי)</w:t>
      </w:r>
      <w:r w:rsidRPr="00257A28">
        <w:rPr>
          <w:rFonts w:ascii="David" w:hAnsi="David"/>
          <w:b/>
          <w:bCs/>
          <w:rtl/>
        </w:rPr>
        <w:tab/>
        <w:t>המאשימה</w:t>
      </w:r>
    </w:p>
    <w:p w14:paraId="2DAE2644" w14:textId="77777777" w:rsidR="00514598" w:rsidRPr="00257A28" w:rsidRDefault="00514598" w:rsidP="00514598">
      <w:pPr>
        <w:spacing w:line="360" w:lineRule="auto"/>
        <w:jc w:val="both"/>
        <w:rPr>
          <w:rFonts w:ascii="David" w:hAnsi="David"/>
          <w:rtl/>
        </w:rPr>
      </w:pPr>
      <w:r w:rsidRPr="00257A28">
        <w:rPr>
          <w:rFonts w:ascii="David" w:hAnsi="David"/>
          <w:rtl/>
        </w:rPr>
        <w:tab/>
        <w:t xml:space="preserve">ע"י </w:t>
      </w:r>
      <w:bookmarkStart w:id="2" w:name="FirstLawyer"/>
      <w:r w:rsidRPr="00257A28">
        <w:rPr>
          <w:rFonts w:ascii="David" w:hAnsi="David"/>
          <w:rtl/>
        </w:rPr>
        <w:t>ב"כ</w:t>
      </w:r>
      <w:bookmarkEnd w:id="2"/>
      <w:r w:rsidRPr="00257A28">
        <w:rPr>
          <w:rFonts w:ascii="David" w:hAnsi="David"/>
          <w:rtl/>
        </w:rPr>
        <w:t xml:space="preserve"> עו"ד מירי ביטון הראל</w:t>
      </w:r>
    </w:p>
    <w:p w14:paraId="0CFEBE78" w14:textId="77777777" w:rsidR="00514598" w:rsidRPr="00257A28" w:rsidRDefault="00514598" w:rsidP="00514598">
      <w:pPr>
        <w:spacing w:line="360" w:lineRule="auto"/>
        <w:jc w:val="both"/>
        <w:rPr>
          <w:rFonts w:ascii="David" w:hAnsi="David"/>
          <w:rtl/>
        </w:rPr>
      </w:pPr>
    </w:p>
    <w:p w14:paraId="23DDCB2D" w14:textId="77777777" w:rsidR="00514598" w:rsidRPr="00257A28" w:rsidRDefault="00514598" w:rsidP="00514598">
      <w:pPr>
        <w:spacing w:line="360" w:lineRule="auto"/>
        <w:jc w:val="both"/>
        <w:rPr>
          <w:rFonts w:ascii="David" w:hAnsi="David"/>
          <w:b/>
          <w:bCs/>
          <w:rtl/>
        </w:rPr>
      </w:pPr>
      <w:r w:rsidRPr="00257A28">
        <w:rPr>
          <w:rFonts w:ascii="David" w:hAnsi="David"/>
          <w:b/>
          <w:bCs/>
          <w:rtl/>
        </w:rPr>
        <w:tab/>
        <w:t>נ ג ד</w:t>
      </w:r>
    </w:p>
    <w:p w14:paraId="0EC83F10" w14:textId="77777777" w:rsidR="00514598" w:rsidRPr="00257A28" w:rsidRDefault="00514598" w:rsidP="00514598">
      <w:pPr>
        <w:spacing w:line="360" w:lineRule="auto"/>
        <w:jc w:val="both"/>
        <w:rPr>
          <w:rFonts w:ascii="David" w:hAnsi="David"/>
          <w:rtl/>
        </w:rPr>
      </w:pPr>
    </w:p>
    <w:p w14:paraId="332807C1" w14:textId="77777777" w:rsidR="00514598" w:rsidRPr="00257A28" w:rsidRDefault="00514598" w:rsidP="00514598">
      <w:pPr>
        <w:spacing w:line="360" w:lineRule="auto"/>
        <w:jc w:val="both"/>
        <w:rPr>
          <w:rFonts w:ascii="David" w:hAnsi="David"/>
          <w:b/>
          <w:bCs/>
          <w:rtl/>
        </w:rPr>
      </w:pPr>
      <w:r w:rsidRPr="00257A28">
        <w:rPr>
          <w:rFonts w:ascii="David" w:hAnsi="David"/>
          <w:b/>
          <w:bCs/>
          <w:rtl/>
        </w:rPr>
        <w:tab/>
        <w:t>אחמד מצארוה (עציר)</w:t>
      </w:r>
      <w:r w:rsidRPr="00257A28">
        <w:rPr>
          <w:rFonts w:ascii="David" w:hAnsi="David"/>
          <w:b/>
          <w:bCs/>
          <w:rtl/>
        </w:rPr>
        <w:tab/>
      </w:r>
      <w:r w:rsidRPr="00257A28">
        <w:rPr>
          <w:rFonts w:ascii="David" w:hAnsi="David"/>
          <w:b/>
          <w:bCs/>
          <w:rtl/>
        </w:rPr>
        <w:tab/>
      </w:r>
      <w:r w:rsidRPr="00257A28">
        <w:rPr>
          <w:rFonts w:ascii="David" w:hAnsi="David"/>
          <w:b/>
          <w:bCs/>
          <w:rtl/>
        </w:rPr>
        <w:tab/>
      </w:r>
      <w:r w:rsidRPr="00257A28">
        <w:rPr>
          <w:rFonts w:ascii="David" w:hAnsi="David"/>
          <w:b/>
          <w:bCs/>
          <w:rtl/>
        </w:rPr>
        <w:tab/>
        <w:t>הנאשם</w:t>
      </w:r>
    </w:p>
    <w:p w14:paraId="21BE40C5" w14:textId="77777777" w:rsidR="00514598" w:rsidRPr="00257A28" w:rsidRDefault="00514598" w:rsidP="00514598">
      <w:pPr>
        <w:spacing w:line="360" w:lineRule="auto"/>
        <w:jc w:val="both"/>
        <w:rPr>
          <w:rFonts w:ascii="David" w:hAnsi="David"/>
          <w:rtl/>
        </w:rPr>
      </w:pPr>
      <w:r w:rsidRPr="00257A28">
        <w:rPr>
          <w:rFonts w:ascii="David" w:hAnsi="David"/>
          <w:rtl/>
        </w:rPr>
        <w:tab/>
        <w:t>ע"י ב"כ עו"ד איהאב ג'לג'ולי</w:t>
      </w:r>
    </w:p>
    <w:p w14:paraId="1AC78E40" w14:textId="77777777" w:rsidR="007A7DE3" w:rsidRDefault="007A7DE3" w:rsidP="00514598">
      <w:pPr>
        <w:spacing w:line="360" w:lineRule="auto"/>
        <w:jc w:val="both"/>
        <w:rPr>
          <w:rFonts w:ascii="David" w:hAnsi="David"/>
          <w:rtl/>
        </w:rPr>
      </w:pPr>
    </w:p>
    <w:p w14:paraId="74A8E811" w14:textId="77777777" w:rsidR="007A7DE3" w:rsidRPr="007A7DE3" w:rsidRDefault="007A7DE3" w:rsidP="007A7DE3">
      <w:pPr>
        <w:spacing w:after="120" w:line="240" w:lineRule="exact"/>
        <w:ind w:left="283" w:hanging="283"/>
        <w:jc w:val="both"/>
        <w:rPr>
          <w:rFonts w:ascii="FrankRuehl" w:hAnsi="FrankRuehl" w:cs="FrankRuehl"/>
          <w:rtl/>
        </w:rPr>
      </w:pPr>
    </w:p>
    <w:p w14:paraId="0EDBC492" w14:textId="77777777" w:rsidR="00005E33" w:rsidRPr="00005E33" w:rsidRDefault="00005E33" w:rsidP="00005E33">
      <w:pPr>
        <w:spacing w:before="120" w:after="120" w:line="240" w:lineRule="exact"/>
        <w:ind w:left="283" w:hanging="283"/>
        <w:jc w:val="both"/>
        <w:rPr>
          <w:rFonts w:ascii="FrankRuehl" w:hAnsi="FrankRuehl" w:cs="FrankRuehl"/>
          <w:rtl/>
        </w:rPr>
      </w:pPr>
    </w:p>
    <w:p w14:paraId="2010DA33" w14:textId="77777777" w:rsidR="0097268F" w:rsidRDefault="0097268F" w:rsidP="0097268F">
      <w:pPr>
        <w:spacing w:line="360" w:lineRule="auto"/>
        <w:jc w:val="center"/>
        <w:rPr>
          <w:rFonts w:ascii="David" w:hAnsi="David"/>
          <w:sz w:val="28"/>
          <w:szCs w:val="28"/>
          <w:rtl/>
        </w:rPr>
      </w:pPr>
      <w:bookmarkStart w:id="3" w:name="LawTable"/>
      <w:bookmarkEnd w:id="3"/>
    </w:p>
    <w:p w14:paraId="418FA31B" w14:textId="77777777" w:rsidR="0097268F" w:rsidRPr="0097268F" w:rsidRDefault="0097268F" w:rsidP="0097268F">
      <w:pPr>
        <w:spacing w:before="120" w:after="120" w:line="240" w:lineRule="exact"/>
        <w:ind w:left="283" w:hanging="283"/>
        <w:jc w:val="both"/>
        <w:rPr>
          <w:rFonts w:ascii="FrankRuehl" w:hAnsi="FrankRuehl" w:cs="FrankRuehl"/>
          <w:rtl/>
        </w:rPr>
      </w:pPr>
    </w:p>
    <w:p w14:paraId="3E710EB6" w14:textId="77777777" w:rsidR="0097268F" w:rsidRPr="0097268F" w:rsidRDefault="0097268F" w:rsidP="0097268F">
      <w:pPr>
        <w:spacing w:before="120" w:after="120" w:line="240" w:lineRule="exact"/>
        <w:ind w:left="283" w:hanging="283"/>
        <w:jc w:val="both"/>
        <w:rPr>
          <w:rFonts w:ascii="FrankRuehl" w:hAnsi="FrankRuehl" w:cs="FrankRuehl"/>
          <w:rtl/>
        </w:rPr>
      </w:pPr>
    </w:p>
    <w:p w14:paraId="124E3609" w14:textId="77777777" w:rsidR="0097268F" w:rsidRPr="0097268F" w:rsidRDefault="0097268F" w:rsidP="0097268F">
      <w:pPr>
        <w:spacing w:before="120" w:after="120" w:line="240" w:lineRule="exact"/>
        <w:ind w:left="283" w:hanging="283"/>
        <w:jc w:val="both"/>
        <w:rPr>
          <w:rFonts w:ascii="FrankRuehl" w:hAnsi="FrankRuehl" w:cs="FrankRuehl"/>
          <w:rtl/>
        </w:rPr>
      </w:pPr>
      <w:r w:rsidRPr="0097268F">
        <w:rPr>
          <w:rFonts w:ascii="FrankRuehl" w:hAnsi="FrankRuehl" w:cs="FrankRuehl"/>
          <w:rtl/>
        </w:rPr>
        <w:t xml:space="preserve">חקיקה שאוזכרה: </w:t>
      </w:r>
    </w:p>
    <w:p w14:paraId="5D7BA98C" w14:textId="77777777" w:rsidR="0097268F" w:rsidRPr="0097268F" w:rsidRDefault="0097268F" w:rsidP="0097268F">
      <w:pPr>
        <w:spacing w:before="120" w:after="120" w:line="240" w:lineRule="exact"/>
        <w:ind w:left="283" w:hanging="283"/>
        <w:jc w:val="both"/>
        <w:rPr>
          <w:rFonts w:ascii="FrankRuehl" w:hAnsi="FrankRuehl" w:cs="FrankRuehl"/>
          <w:rtl/>
        </w:rPr>
      </w:pPr>
      <w:hyperlink r:id="rId6" w:history="1">
        <w:r w:rsidRPr="0097268F">
          <w:rPr>
            <w:rFonts w:ascii="FrankRuehl" w:hAnsi="FrankRuehl" w:cs="FrankRuehl"/>
            <w:color w:val="0000FF"/>
            <w:rtl/>
          </w:rPr>
          <w:t>חוק העונשין, תשל"ז-1977</w:t>
        </w:r>
      </w:hyperlink>
      <w:r w:rsidRPr="0097268F">
        <w:rPr>
          <w:rFonts w:ascii="FrankRuehl" w:hAnsi="FrankRuehl" w:cs="FrankRuehl"/>
          <w:rtl/>
        </w:rPr>
        <w:t xml:space="preserve">: סע'  </w:t>
      </w:r>
      <w:hyperlink r:id="rId7" w:history="1">
        <w:r w:rsidRPr="0097268F">
          <w:rPr>
            <w:rFonts w:ascii="FrankRuehl" w:hAnsi="FrankRuehl" w:cs="FrankRuehl"/>
            <w:color w:val="0000FF"/>
            <w:rtl/>
          </w:rPr>
          <w:t>144(א)</w:t>
        </w:r>
      </w:hyperlink>
    </w:p>
    <w:p w14:paraId="6C243520" w14:textId="77777777" w:rsidR="0097268F" w:rsidRPr="0097268F" w:rsidRDefault="0097268F" w:rsidP="0097268F">
      <w:pPr>
        <w:spacing w:line="360" w:lineRule="auto"/>
        <w:jc w:val="center"/>
        <w:rPr>
          <w:rFonts w:ascii="David" w:hAnsi="David"/>
          <w:sz w:val="28"/>
          <w:szCs w:val="28"/>
          <w:rtl/>
        </w:rPr>
      </w:pPr>
      <w:bookmarkStart w:id="4" w:name="LawTable_End"/>
      <w:bookmarkEnd w:id="4"/>
    </w:p>
    <w:p w14:paraId="44170197" w14:textId="77777777" w:rsidR="00257A28" w:rsidRPr="00005E33" w:rsidRDefault="00257A28" w:rsidP="00005E33">
      <w:pPr>
        <w:spacing w:line="360" w:lineRule="auto"/>
        <w:jc w:val="center"/>
        <w:rPr>
          <w:rFonts w:ascii="David" w:hAnsi="David"/>
          <w:sz w:val="28"/>
          <w:szCs w:val="28"/>
          <w:rtl/>
        </w:rPr>
      </w:pPr>
    </w:p>
    <w:p w14:paraId="41A4C629" w14:textId="77777777" w:rsidR="00257A28" w:rsidRPr="00257A28" w:rsidRDefault="00257A28" w:rsidP="00257A28">
      <w:pPr>
        <w:spacing w:line="360" w:lineRule="auto"/>
        <w:jc w:val="center"/>
        <w:rPr>
          <w:rFonts w:ascii="David" w:hAnsi="David"/>
          <w:b/>
          <w:bCs/>
          <w:sz w:val="28"/>
          <w:szCs w:val="28"/>
          <w:u w:val="single"/>
          <w:rtl/>
        </w:rPr>
      </w:pPr>
      <w:bookmarkStart w:id="5" w:name="PsakDin"/>
      <w:bookmarkEnd w:id="0"/>
      <w:r w:rsidRPr="00257A28">
        <w:rPr>
          <w:rFonts w:ascii="David" w:hAnsi="David"/>
          <w:b/>
          <w:bCs/>
          <w:sz w:val="28"/>
          <w:szCs w:val="28"/>
          <w:u w:val="single"/>
          <w:rtl/>
        </w:rPr>
        <w:t>גזר דין</w:t>
      </w:r>
    </w:p>
    <w:bookmarkEnd w:id="5"/>
    <w:p w14:paraId="6952F799" w14:textId="77777777" w:rsidR="00514598" w:rsidRPr="00FC6D03" w:rsidRDefault="00514598" w:rsidP="00514598">
      <w:pPr>
        <w:spacing w:line="360" w:lineRule="auto"/>
        <w:jc w:val="both"/>
        <w:rPr>
          <w:rFonts w:ascii="David" w:hAnsi="David"/>
          <w:b/>
          <w:bCs/>
          <w:u w:val="single"/>
          <w:rtl/>
        </w:rPr>
      </w:pPr>
      <w:r w:rsidRPr="00FC6D03">
        <w:rPr>
          <w:rFonts w:ascii="David" w:hAnsi="David" w:hint="cs"/>
          <w:b/>
          <w:bCs/>
          <w:u w:val="single"/>
          <w:rtl/>
        </w:rPr>
        <w:t>כתב האישום; הסדר הטיעון</w:t>
      </w:r>
    </w:p>
    <w:p w14:paraId="2EF18738" w14:textId="77777777" w:rsidR="00514598" w:rsidRDefault="00514598" w:rsidP="00514598">
      <w:pPr>
        <w:spacing w:line="360" w:lineRule="auto"/>
        <w:jc w:val="both"/>
        <w:rPr>
          <w:rFonts w:ascii="David" w:hAnsi="David"/>
          <w:rtl/>
        </w:rPr>
      </w:pPr>
      <w:r>
        <w:rPr>
          <w:rFonts w:ascii="David" w:hAnsi="David" w:hint="cs"/>
          <w:rtl/>
        </w:rPr>
        <w:t>1.</w:t>
      </w:r>
      <w:r>
        <w:rPr>
          <w:rFonts w:ascii="David" w:hAnsi="David" w:hint="cs"/>
          <w:rtl/>
        </w:rPr>
        <w:tab/>
      </w:r>
      <w:bookmarkStart w:id="6" w:name="ABSTRACT_START"/>
      <w:bookmarkEnd w:id="6"/>
      <w:r w:rsidRPr="00FC6D03">
        <w:rPr>
          <w:rFonts w:ascii="David" w:hAnsi="David" w:hint="cs"/>
          <w:rtl/>
        </w:rPr>
        <w:t xml:space="preserve">הנאשם, יליד </w:t>
      </w:r>
      <w:r>
        <w:rPr>
          <w:rFonts w:ascii="David" w:hAnsi="David" w:hint="cs"/>
          <w:rtl/>
        </w:rPr>
        <w:t xml:space="preserve">1996, הורשע על פי הודאתו, ובמסגרת הסדר טיעון, בעבירה של </w:t>
      </w:r>
      <w:r>
        <w:rPr>
          <w:rFonts w:ascii="David" w:hAnsi="David" w:hint="cs"/>
          <w:b/>
          <w:bCs/>
          <w:rtl/>
        </w:rPr>
        <w:t>החזקת נשק ותחמושת שלא כדין</w:t>
      </w:r>
      <w:r>
        <w:rPr>
          <w:rFonts w:ascii="David" w:hAnsi="David" w:hint="cs"/>
          <w:rtl/>
        </w:rPr>
        <w:t xml:space="preserve">, לפי </w:t>
      </w:r>
      <w:hyperlink r:id="rId8" w:history="1">
        <w:r w:rsidR="007A7DE3" w:rsidRPr="007A7DE3">
          <w:rPr>
            <w:rStyle w:val="Hyperlink"/>
            <w:rFonts w:ascii="David" w:hAnsi="David" w:hint="eastAsia"/>
            <w:rtl/>
          </w:rPr>
          <w:t>סעיף</w:t>
        </w:r>
        <w:r w:rsidR="007A7DE3" w:rsidRPr="007A7DE3">
          <w:rPr>
            <w:rStyle w:val="Hyperlink"/>
            <w:rFonts w:ascii="David" w:hAnsi="David"/>
            <w:rtl/>
          </w:rPr>
          <w:t xml:space="preserve"> 144(א)</w:t>
        </w:r>
      </w:hyperlink>
      <w:r>
        <w:rPr>
          <w:rFonts w:ascii="David" w:hAnsi="David" w:hint="cs"/>
          <w:rtl/>
        </w:rPr>
        <w:t xml:space="preserve"> רישא וסיפא ל</w:t>
      </w:r>
      <w:hyperlink r:id="rId9" w:history="1">
        <w:r w:rsidR="00257A28" w:rsidRPr="00257A28">
          <w:rPr>
            <w:rFonts w:ascii="David" w:hAnsi="David"/>
            <w:color w:val="0000FF"/>
            <w:u w:val="single"/>
            <w:rtl/>
          </w:rPr>
          <w:t>חוק העונשין</w:t>
        </w:r>
      </w:hyperlink>
      <w:r>
        <w:rPr>
          <w:rFonts w:ascii="David" w:hAnsi="David" w:hint="cs"/>
          <w:rtl/>
        </w:rPr>
        <w:t>, תשל"ז-1977.</w:t>
      </w:r>
    </w:p>
    <w:p w14:paraId="02DD32A2" w14:textId="77777777" w:rsidR="00514598" w:rsidRDefault="00514598" w:rsidP="00514598">
      <w:pPr>
        <w:spacing w:line="360" w:lineRule="auto"/>
        <w:jc w:val="both"/>
        <w:rPr>
          <w:rFonts w:ascii="David" w:hAnsi="David"/>
          <w:rtl/>
        </w:rPr>
      </w:pPr>
      <w:r>
        <w:rPr>
          <w:rFonts w:ascii="David" w:hAnsi="David" w:hint="cs"/>
          <w:rtl/>
        </w:rPr>
        <w:t xml:space="preserve">על פי העובדות ביום 22.5.22 בשעה 16:20 החזיק הנאשם מוסלקים מאחורי מיטתו בחדרו בביתו שבטייבה, נשק מסוג </w:t>
      </w:r>
      <w:r>
        <w:rPr>
          <w:rFonts w:ascii="David" w:hAnsi="David"/>
        </w:rPr>
        <w:t>M-16</w:t>
      </w:r>
      <w:r>
        <w:rPr>
          <w:rFonts w:ascii="David" w:hAnsi="David" w:hint="cs"/>
          <w:rtl/>
        </w:rPr>
        <w:t xml:space="preserve"> מפורק, 4 מחסניות של </w:t>
      </w:r>
      <w:r>
        <w:rPr>
          <w:rFonts w:ascii="David" w:hAnsi="David"/>
        </w:rPr>
        <w:t>M-16</w:t>
      </w:r>
      <w:r>
        <w:rPr>
          <w:rFonts w:ascii="David" w:hAnsi="David" w:hint="cs"/>
          <w:rtl/>
        </w:rPr>
        <w:t>, שקיות עם חלקי נשק, 2 ברוסים צה"ליים ובהם 45 חבילות המכילות 1,000 כדורי 5.56 מ"מ. עוד החזיק הנאשם בחדרו משקל דיגיטלי גדול, כסף מזומן בכספת ו-2 טלפונים ניידים.</w:t>
      </w:r>
    </w:p>
    <w:p w14:paraId="7AEC28AB" w14:textId="77777777" w:rsidR="00514598" w:rsidRDefault="00514598" w:rsidP="00514598">
      <w:pPr>
        <w:spacing w:line="360" w:lineRule="auto"/>
        <w:jc w:val="both"/>
        <w:rPr>
          <w:rFonts w:ascii="David" w:hAnsi="David"/>
          <w:rtl/>
        </w:rPr>
      </w:pPr>
      <w:bookmarkStart w:id="7" w:name="ABSTRACT_END"/>
      <w:bookmarkEnd w:id="7"/>
    </w:p>
    <w:p w14:paraId="50E134B0" w14:textId="77777777" w:rsidR="00514598" w:rsidRDefault="00514598" w:rsidP="00514598">
      <w:pPr>
        <w:spacing w:line="360" w:lineRule="auto"/>
        <w:jc w:val="both"/>
        <w:rPr>
          <w:rFonts w:ascii="David" w:hAnsi="David"/>
          <w:rtl/>
        </w:rPr>
      </w:pPr>
      <w:r>
        <w:rPr>
          <w:rFonts w:ascii="David" w:hAnsi="David" w:hint="cs"/>
          <w:rtl/>
        </w:rPr>
        <w:lastRenderedPageBreak/>
        <w:t>2.</w:t>
      </w:r>
      <w:r>
        <w:rPr>
          <w:rFonts w:ascii="David" w:hAnsi="David" w:hint="cs"/>
          <w:rtl/>
        </w:rPr>
        <w:tab/>
        <w:t>במסגרת הסדר הטיעון הוסכם שיוגש תסקיר בעניינו של הנאשם. לא היתה הסכמה לעונש וכל צד טען כראות עיניו.</w:t>
      </w:r>
    </w:p>
    <w:p w14:paraId="6AAF2B90" w14:textId="77777777" w:rsidR="00514598" w:rsidRDefault="00514598" w:rsidP="00514598">
      <w:pPr>
        <w:spacing w:line="360" w:lineRule="auto"/>
        <w:jc w:val="both"/>
        <w:rPr>
          <w:rFonts w:ascii="David" w:hAnsi="David"/>
          <w:rtl/>
        </w:rPr>
      </w:pPr>
    </w:p>
    <w:p w14:paraId="5D27152B" w14:textId="77777777" w:rsidR="00514598" w:rsidRPr="0093115F" w:rsidRDefault="00514598" w:rsidP="00514598">
      <w:pPr>
        <w:spacing w:line="360" w:lineRule="auto"/>
        <w:jc w:val="both"/>
        <w:rPr>
          <w:rFonts w:ascii="David" w:hAnsi="David"/>
          <w:b/>
          <w:bCs/>
          <w:u w:val="single"/>
          <w:rtl/>
        </w:rPr>
      </w:pPr>
      <w:r w:rsidRPr="0093115F">
        <w:rPr>
          <w:rFonts w:ascii="David" w:hAnsi="David" w:hint="cs"/>
          <w:b/>
          <w:bCs/>
          <w:u w:val="single"/>
          <w:rtl/>
        </w:rPr>
        <w:t>תסקיר שרות המבחן</w:t>
      </w:r>
    </w:p>
    <w:p w14:paraId="3F63F501" w14:textId="77777777" w:rsidR="00514598" w:rsidRDefault="00514598" w:rsidP="00514598">
      <w:pPr>
        <w:spacing w:line="360" w:lineRule="auto"/>
        <w:jc w:val="both"/>
        <w:rPr>
          <w:rFonts w:ascii="David" w:hAnsi="David"/>
          <w:rtl/>
        </w:rPr>
      </w:pPr>
      <w:r>
        <w:rPr>
          <w:rFonts w:ascii="David" w:hAnsi="David" w:hint="cs"/>
          <w:rtl/>
        </w:rPr>
        <w:t>3.</w:t>
      </w:r>
      <w:r>
        <w:rPr>
          <w:rFonts w:ascii="David" w:hAnsi="David" w:hint="cs"/>
          <w:rtl/>
        </w:rPr>
        <w:tab/>
        <w:t>מתסקיר שרות המבחן מיום 29.11.22 עולה שהנאשם בן 26, מאורס מזה 6 חודשים, מנהל יחד עם אחיו עסק בתחום ההובלות. הנאשם נשר ממסגרות החינוך לאחר 9 שנות לימוד לצורך השתלבות בשוק העבודה על מנת לעזור בכלכלת הבית. בתקופת נערותו הקיף עצמו בסביבה שולית תוך שנחשף להתנהגות עבריינית ועוברת חוק. רוב חבריו דאז מרצים כיום מאסרים. הנאשם שלל שימוש בסמים במהלך חייו. הנאשם נעדר הרשעות קודמות. בהתייחסותו לעבירה מסר שחבריו העוסקים בהתנהגות עוברת חוק הגיעו אליו ובקשו ממנו להחביא את הנשק והתחמושת למספר שעות. באותו מעמד חש שאין לו יכולת בחירה לצאת מהסיטואציה על אף ששלל שהדבר בוצע בהפעלת אלימות או בכוח, תוך שהשליך האחריות על גורמים חיצוניים. לא הוצע לו כסף, אך לדבריו הבין שמדובר בהחבאת נשק. הנאשם אמנם הודה בביצוע העבירות אך התקשה לקחת אחריות מלאה. הוא התקשה למסור מידע באשר לרמת מעורבותו בביצוע העבירה ונטה לשיח הגנתי בעצם השתייכותו לחברה שולית. הצער שהביע נעוץ במחיר האישי שהנאשם משלם בגין תפיסתו. הנאשם התקשה לחבר את הצער לחומרת העבירה, למשמעותה ולרמת הסיכון החמור בביצועה.</w:t>
      </w:r>
    </w:p>
    <w:p w14:paraId="78BAEDCB" w14:textId="77777777" w:rsidR="00514598" w:rsidRDefault="00514598" w:rsidP="00514598">
      <w:pPr>
        <w:spacing w:line="360" w:lineRule="auto"/>
        <w:jc w:val="both"/>
        <w:rPr>
          <w:rFonts w:ascii="David" w:hAnsi="David"/>
          <w:rtl/>
        </w:rPr>
      </w:pPr>
      <w:r>
        <w:rPr>
          <w:rFonts w:ascii="David" w:hAnsi="David" w:hint="cs"/>
          <w:rtl/>
        </w:rPr>
        <w:t>השרות התרשם מאדם בעל יכולות קוגניטיביות וורבליות תקינות הנעדר דפוסים אנטי סוציאליים בולטים באישיותו. השרות התרשם שהוריו לא הצליחו להציב לו גבולות בהליך התפתחותו ולהניא אותו מלהתערות בחברה שולית. כמו כן, הנאשם נטה לעמדות קורבניות בשיח, תוך נטייתו להשליך האחריות לעבירה על אחרים. כמו כן, התרשם השרות שהצהרותיו של הנאשם סביב נכונותו לטיפול הנן ממקום מרצה ומשיקולי רווח והפסד וכי רמת הסיכון בעניינו להישנות עבירות דומות ולהתנהגות פורצת גבולות הנה בינונית.</w:t>
      </w:r>
    </w:p>
    <w:p w14:paraId="36417B0F" w14:textId="77777777" w:rsidR="00514598" w:rsidRDefault="00514598" w:rsidP="00514598">
      <w:pPr>
        <w:spacing w:line="360" w:lineRule="auto"/>
        <w:jc w:val="both"/>
        <w:rPr>
          <w:rFonts w:ascii="David" w:hAnsi="David"/>
          <w:rtl/>
        </w:rPr>
      </w:pPr>
      <w:r>
        <w:rPr>
          <w:rFonts w:ascii="David" w:hAnsi="David" w:hint="cs"/>
          <w:rtl/>
        </w:rPr>
        <w:t>לאור האמור לעיל, נמנע שרות המבחן מלבוא בהמלצה טיפולית שיקומית בעניינו.</w:t>
      </w:r>
    </w:p>
    <w:p w14:paraId="091AC119" w14:textId="77777777" w:rsidR="00514598" w:rsidRDefault="00514598" w:rsidP="00514598">
      <w:pPr>
        <w:spacing w:line="360" w:lineRule="auto"/>
        <w:jc w:val="both"/>
        <w:rPr>
          <w:rFonts w:ascii="David" w:hAnsi="David"/>
          <w:rtl/>
        </w:rPr>
      </w:pPr>
    </w:p>
    <w:p w14:paraId="626E9CF8" w14:textId="77777777" w:rsidR="00514598" w:rsidRPr="0093115F" w:rsidRDefault="00514598" w:rsidP="00514598">
      <w:pPr>
        <w:spacing w:line="360" w:lineRule="auto"/>
        <w:jc w:val="both"/>
        <w:rPr>
          <w:rFonts w:ascii="David" w:hAnsi="David"/>
          <w:b/>
          <w:bCs/>
          <w:u w:val="single"/>
          <w:rtl/>
        </w:rPr>
      </w:pPr>
      <w:r w:rsidRPr="0093115F">
        <w:rPr>
          <w:rFonts w:ascii="David" w:hAnsi="David" w:hint="cs"/>
          <w:b/>
          <w:bCs/>
          <w:u w:val="single"/>
          <w:rtl/>
        </w:rPr>
        <w:t>טיעוני ב"כ הצדדים</w:t>
      </w:r>
    </w:p>
    <w:p w14:paraId="4888BB79" w14:textId="77777777" w:rsidR="00514598" w:rsidRDefault="00514598" w:rsidP="00514598">
      <w:pPr>
        <w:spacing w:line="360" w:lineRule="auto"/>
        <w:jc w:val="both"/>
        <w:rPr>
          <w:rFonts w:ascii="David" w:hAnsi="David"/>
          <w:rtl/>
        </w:rPr>
      </w:pPr>
      <w:r>
        <w:rPr>
          <w:rFonts w:ascii="David" w:hAnsi="David" w:hint="cs"/>
          <w:rtl/>
        </w:rPr>
        <w:t>4.</w:t>
      </w:r>
      <w:r>
        <w:rPr>
          <w:rFonts w:ascii="David" w:hAnsi="David" w:hint="cs"/>
          <w:rtl/>
        </w:rPr>
        <w:tab/>
        <w:t>ב"כ המאשימה הפנתה לערכים החברתיים המוגנים בעבירה ובמידת הפגיעה בהם; הפנתה לפוטנציאל הסיכון שבהחזקת נשק ותחמושת בבית מגורים על ידי מי שאינם מורשים לכך; הפנתה לסכנה שבזליגת נשק ותחמושת לידיים עברייניות או לידיים בטחוניות; הפנתה לפסיקה הנוהגת בעבירות נשק הקוראת להחמרה בענישה לנוכח התופעה שהפכה זה מכבר ל"מכת מדינה"; הזכירה שתיקון מס' 140 ל</w:t>
      </w:r>
      <w:hyperlink r:id="rId10" w:history="1">
        <w:r w:rsidR="00257A28" w:rsidRPr="00257A28">
          <w:rPr>
            <w:rFonts w:ascii="David" w:hAnsi="David"/>
            <w:color w:val="0000FF"/>
            <w:u w:val="single"/>
            <w:rtl/>
          </w:rPr>
          <w:t>חוק העונשין</w:t>
        </w:r>
      </w:hyperlink>
      <w:r>
        <w:rPr>
          <w:rFonts w:ascii="David" w:hAnsi="David" w:hint="cs"/>
          <w:rtl/>
        </w:rPr>
        <w:t xml:space="preserve"> אשר נכנס לתוקפו לאחרונה קובע עונש מינימום למבצעי עבירות בנשק העומד על רבע מהעונש המרבי הקבוע לעבירה; עתרה לקביעת מתחם עונש הולם בנוגע להחזקת הנשק הנע בין 24 ל-48 חודשי מאסר, לצד רכיבי ענישה נלווים, וזאת בהתאם להנחיית פרקליט המדינה, וכן לקביעת מתחם עונש הולם הנע בין מאסר על תנאי ל-6 חודשי מאסר בגין החזקת התחמושת. נוכח ההיבטים השליליים העולים מתסקיר שרות המבחן, ביקשה התובעת לגזור על הנאשם 30 חודשי מאסר בפועל, לצד מאסר על תנאי וקנס כספי.</w:t>
      </w:r>
    </w:p>
    <w:p w14:paraId="408CE195" w14:textId="77777777" w:rsidR="00514598" w:rsidRDefault="00514598" w:rsidP="00514598">
      <w:pPr>
        <w:spacing w:line="360" w:lineRule="auto"/>
        <w:jc w:val="both"/>
        <w:rPr>
          <w:rFonts w:ascii="David" w:hAnsi="David"/>
          <w:rtl/>
        </w:rPr>
      </w:pPr>
    </w:p>
    <w:p w14:paraId="77B6D5AF" w14:textId="77777777" w:rsidR="00514598" w:rsidRDefault="00514598" w:rsidP="00514598">
      <w:pPr>
        <w:spacing w:line="360" w:lineRule="auto"/>
        <w:jc w:val="both"/>
        <w:rPr>
          <w:rFonts w:ascii="David" w:hAnsi="David"/>
          <w:rtl/>
        </w:rPr>
      </w:pPr>
      <w:r>
        <w:rPr>
          <w:rFonts w:ascii="David" w:hAnsi="David" w:hint="cs"/>
          <w:rtl/>
        </w:rPr>
        <w:t>5.</w:t>
      </w:r>
      <w:r>
        <w:rPr>
          <w:rFonts w:ascii="David" w:hAnsi="David" w:hint="cs"/>
          <w:rtl/>
        </w:rPr>
        <w:tab/>
        <w:t>ב"כ הנאשם טען שמדובר בנאשם נעדר עבר פלילי, אשר הודה בהזדמנות הראשונה ונטל אחריות מלאה על מעשיו. הנאשם ויתר על האפשרות למצות את הליך המעצר ולהשתחרר ממעצר, ועל כן, הוא שוהה במעצר עד תום ההליכים. נטען שמשפחתו של הנאשם היא משפחה נורמטיבית, ופרנסת המשפחה נופלת על שכמי הנאשם ואחיו. הנאשם עזב את הלימודים בכיתה ט' על מנת לעזור בפרנסת המשפחה. הסניגור טען שביקש שישובץ לנאשם קצין מבחן הדובר את השפה הערבית, ואולם השיח עם קצינת המבחן התבצע בנוכחות מתורגמן לשפה הערבית, ועל כן, יתכן וקצינת המבחן התקשתה להבין לעומק את דברי הנאשם. נטען שהנאשם הודה במיוחס לו ללא כל הסתייגות ולכן, מפתיעה התרשמות קצינת המבחן מהיעדר נטילת אחריות מלאה ולא ברור איזה מידע הסתיר הנאשם משרות המבחן וכיצד השליך אחריות על אחרים. עוד נטען שלו אכן היה הנאשם בעל נטיה לפריצת גבולות, היה אמור הדבר להתבטא בגליון הרישום הפלילי שלו, ואולם, כאמור, הנאשם נעדר עבר פלילי. ב"כ הנאשם טען שהנאשם עצור מזה כ-7 חודשים ולא נהנה מזכויות המוקנות לאסיר. לאור האמור, ביקש הסניגור להסתפק בתקופת המעצר.</w:t>
      </w:r>
    </w:p>
    <w:p w14:paraId="3C30A27F" w14:textId="77777777" w:rsidR="00514598" w:rsidRDefault="00514598" w:rsidP="00514598">
      <w:pPr>
        <w:spacing w:line="360" w:lineRule="auto"/>
        <w:jc w:val="both"/>
        <w:rPr>
          <w:rFonts w:ascii="David" w:hAnsi="David"/>
          <w:rtl/>
        </w:rPr>
      </w:pPr>
      <w:r>
        <w:rPr>
          <w:rFonts w:ascii="David" w:hAnsi="David" w:hint="cs"/>
          <w:rtl/>
        </w:rPr>
        <w:t>6.</w:t>
      </w:r>
      <w:r>
        <w:rPr>
          <w:rFonts w:ascii="David" w:hAnsi="David" w:hint="cs"/>
          <w:rtl/>
        </w:rPr>
        <w:tab/>
        <w:t>הנאשם בדברו האחרון שב והודה בביצוע העבירה ונטל אחריות, הצטער על הטעות שעשה והבטיח שלא לשוב ולהסתבך בביצוע עבירות.</w:t>
      </w:r>
    </w:p>
    <w:p w14:paraId="30D6A8CC" w14:textId="77777777" w:rsidR="00514598" w:rsidRDefault="00514598" w:rsidP="00514598">
      <w:pPr>
        <w:spacing w:line="360" w:lineRule="auto"/>
        <w:jc w:val="both"/>
        <w:rPr>
          <w:rFonts w:ascii="David" w:hAnsi="David"/>
          <w:rtl/>
        </w:rPr>
      </w:pPr>
    </w:p>
    <w:p w14:paraId="3616589A" w14:textId="77777777" w:rsidR="00514598" w:rsidRPr="0093115F" w:rsidRDefault="00514598" w:rsidP="00514598">
      <w:pPr>
        <w:spacing w:line="360" w:lineRule="auto"/>
        <w:jc w:val="both"/>
        <w:rPr>
          <w:rFonts w:ascii="David" w:hAnsi="David"/>
          <w:b/>
          <w:bCs/>
          <w:u w:val="single"/>
          <w:rtl/>
        </w:rPr>
      </w:pPr>
      <w:r w:rsidRPr="0093115F">
        <w:rPr>
          <w:rFonts w:ascii="David" w:hAnsi="David" w:hint="cs"/>
          <w:b/>
          <w:bCs/>
          <w:u w:val="single"/>
          <w:rtl/>
        </w:rPr>
        <w:t>דיון והכרעה</w:t>
      </w:r>
    </w:p>
    <w:p w14:paraId="1251D228" w14:textId="77777777" w:rsidR="00514598" w:rsidRDefault="00514598" w:rsidP="00514598">
      <w:pPr>
        <w:spacing w:line="360" w:lineRule="auto"/>
        <w:jc w:val="both"/>
        <w:rPr>
          <w:rFonts w:ascii="David" w:hAnsi="David"/>
          <w:rtl/>
        </w:rPr>
      </w:pPr>
      <w:r>
        <w:rPr>
          <w:rFonts w:ascii="David" w:hAnsi="David" w:hint="cs"/>
          <w:rtl/>
        </w:rPr>
        <w:t>7.</w:t>
      </w:r>
      <w:r>
        <w:rPr>
          <w:rFonts w:ascii="David" w:hAnsi="David" w:hint="cs"/>
          <w:rtl/>
        </w:rPr>
        <w:tab/>
        <w:t>הערכים החברתיים המוגנים בעבירה אותה ביצע הנאשם מוכרים וידועים, ועניינם, בין היתר, שמירה על שלומו ובטחונו של הציבור; מניעת החזקת נשק על ידי מי שאינו מורשה לכך; מניעת התממשות פוטנציאל הנזק העצום כתוצאה משימוש שלא כדין בנשק חם; ומניעת זליגת כלי נשק ותחמושת לגורמים עברייניים, או חלילה, לגורמים ביטחוניים.</w:t>
      </w:r>
    </w:p>
    <w:p w14:paraId="67F80393" w14:textId="77777777" w:rsidR="00514598" w:rsidRDefault="00514598" w:rsidP="00514598">
      <w:pPr>
        <w:spacing w:line="360" w:lineRule="auto"/>
        <w:jc w:val="both"/>
        <w:rPr>
          <w:rFonts w:ascii="David" w:hAnsi="David"/>
          <w:rtl/>
        </w:rPr>
      </w:pPr>
    </w:p>
    <w:p w14:paraId="30ADFD56" w14:textId="77777777" w:rsidR="00514598" w:rsidRDefault="00514598" w:rsidP="00514598">
      <w:pPr>
        <w:spacing w:line="360" w:lineRule="auto"/>
        <w:jc w:val="both"/>
        <w:rPr>
          <w:rFonts w:ascii="David" w:hAnsi="David"/>
          <w:rtl/>
        </w:rPr>
      </w:pPr>
      <w:r>
        <w:rPr>
          <w:rFonts w:ascii="David" w:hAnsi="David" w:hint="cs"/>
          <w:rtl/>
        </w:rPr>
        <w:t>עבירות הנשק הפכו זה מכבר ל"מכת מדינה" ובערי השרון ל"מכת אזור". נראה שלא עובר יום שאתה לא מדווח באמצעי התקשורת על אירועי ירי המבוצעים במסגרת סכסוכי עבריינים ובמסגרת סכסוכי חמולות, כאשר לא פעם, למרבה הצער, נפגעים מקו הירי עוברי אורח חפים מפשע אשר נקלעים לרוע מזלם לקו האש ונפצעים או מקפחים את חייהם.</w:t>
      </w:r>
    </w:p>
    <w:p w14:paraId="1DDCAB67" w14:textId="77777777" w:rsidR="00514598" w:rsidRDefault="00514598" w:rsidP="00514598">
      <w:pPr>
        <w:tabs>
          <w:tab w:val="left" w:pos="566"/>
        </w:tabs>
        <w:snapToGrid w:val="0"/>
        <w:spacing w:line="360" w:lineRule="auto"/>
        <w:jc w:val="both"/>
        <w:rPr>
          <w:rtl/>
        </w:rPr>
      </w:pPr>
      <w:r>
        <w:rPr>
          <w:rFonts w:hint="cs"/>
          <w:rtl/>
        </w:rPr>
        <w:t>ב</w:t>
      </w:r>
      <w:hyperlink r:id="rId11" w:history="1">
        <w:r w:rsidR="00257A28" w:rsidRPr="00257A28">
          <w:rPr>
            <w:color w:val="0000FF"/>
            <w:u w:val="single"/>
            <w:rtl/>
          </w:rPr>
          <w:t>ע"פ 2564/19</w:t>
        </w:r>
      </w:hyperlink>
      <w:r>
        <w:rPr>
          <w:rFonts w:hint="cs"/>
          <w:rtl/>
        </w:rPr>
        <w:t xml:space="preserve"> </w:t>
      </w:r>
      <w:r>
        <w:rPr>
          <w:rFonts w:hint="cs"/>
          <w:b/>
          <w:bCs/>
          <w:rtl/>
        </w:rPr>
        <w:t>אזברגה נ' מ"י</w:t>
      </w:r>
      <w:r>
        <w:rPr>
          <w:rFonts w:hint="cs"/>
          <w:rtl/>
        </w:rPr>
        <w:t xml:space="preserve"> (18.7.19) נאמר –</w:t>
      </w:r>
    </w:p>
    <w:p w14:paraId="35A85C1F" w14:textId="77777777" w:rsidR="00514598" w:rsidRPr="00970132" w:rsidRDefault="00514598" w:rsidP="00514598">
      <w:pPr>
        <w:tabs>
          <w:tab w:val="left" w:pos="566"/>
        </w:tabs>
        <w:snapToGrid w:val="0"/>
        <w:spacing w:line="360" w:lineRule="auto"/>
        <w:jc w:val="both"/>
      </w:pPr>
      <w:r>
        <w:rPr>
          <w:rFonts w:hint="cs"/>
          <w:b/>
          <w:bCs/>
          <w:rtl/>
        </w:rPr>
        <w:t>"... הסכנה הגבוהה במיוחד לשלום הציבור ובטחונו, הטמונה בנשיאה והחזקה של נשק. הדבר חמור שבעתיים במציאות הישראלית שבה נשק בלתי חוקי עשוי לשמש הן לפעילות חבלנית עוינת על רקע בטחוני והן לפעילות עברינית"</w:t>
      </w:r>
      <w:r>
        <w:rPr>
          <w:rFonts w:hint="cs"/>
          <w:rtl/>
        </w:rPr>
        <w:t>.</w:t>
      </w:r>
    </w:p>
    <w:p w14:paraId="16E2D29A" w14:textId="77777777" w:rsidR="00514598" w:rsidRPr="00970132" w:rsidRDefault="00514598" w:rsidP="00514598">
      <w:pPr>
        <w:tabs>
          <w:tab w:val="left" w:pos="566"/>
        </w:tabs>
        <w:snapToGrid w:val="0"/>
        <w:spacing w:line="360" w:lineRule="auto"/>
        <w:jc w:val="both"/>
        <w:rPr>
          <w:b/>
          <w:bCs/>
          <w:rtl/>
        </w:rPr>
      </w:pPr>
    </w:p>
    <w:p w14:paraId="16B62069" w14:textId="77777777" w:rsidR="00514598" w:rsidRDefault="00514598" w:rsidP="00514598">
      <w:pPr>
        <w:spacing w:line="360" w:lineRule="auto"/>
        <w:jc w:val="both"/>
        <w:rPr>
          <w:rtl/>
        </w:rPr>
      </w:pPr>
      <w:r>
        <w:rPr>
          <w:rtl/>
        </w:rPr>
        <w:t>ב</w:t>
      </w:r>
      <w:hyperlink r:id="rId12" w:history="1">
        <w:r w:rsidR="00257A28" w:rsidRPr="00257A28">
          <w:rPr>
            <w:color w:val="0000FF"/>
            <w:u w:val="single"/>
            <w:rtl/>
          </w:rPr>
          <w:t>ע"פ 5646/15</w:t>
        </w:r>
      </w:hyperlink>
      <w:r>
        <w:rPr>
          <w:b/>
          <w:bCs/>
          <w:rtl/>
        </w:rPr>
        <w:t xml:space="preserve"> תיהאווי נגד מדינת ישראל</w:t>
      </w:r>
      <w:r>
        <w:rPr>
          <w:rtl/>
        </w:rPr>
        <w:t xml:space="preserve"> (14.2.16), נאמר –</w:t>
      </w:r>
    </w:p>
    <w:p w14:paraId="6406140A" w14:textId="77777777" w:rsidR="00514598" w:rsidRPr="00DB3DB6" w:rsidRDefault="00514598" w:rsidP="00514598">
      <w:pPr>
        <w:spacing w:line="360" w:lineRule="auto"/>
        <w:jc w:val="both"/>
        <w:rPr>
          <w:rFonts w:ascii="David" w:hAnsi="David"/>
          <w:rtl/>
        </w:rPr>
      </w:pPr>
      <w:r>
        <w:rPr>
          <w:b/>
          <w:bCs/>
          <w:rtl/>
        </w:rPr>
        <w:t>"החזקת נשק שלא כדין היא עבירה חמורה המאיימת על שלום הציבור ובטחונו ומגלמת בתוכה פוטנציאל לגרימת נזק קטלני. על כן, היא מחייבת ענישה אשר תרתיע את היחיד והרבים. 'יש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w:t>
      </w:r>
      <w:r>
        <w:rPr>
          <w:rFonts w:hint="cs"/>
          <w:rtl/>
        </w:rPr>
        <w:t>.</w:t>
      </w:r>
    </w:p>
    <w:p w14:paraId="583BB0CD" w14:textId="77777777" w:rsidR="00514598" w:rsidRDefault="00514598" w:rsidP="00514598">
      <w:pPr>
        <w:spacing w:line="360" w:lineRule="auto"/>
        <w:jc w:val="both"/>
        <w:rPr>
          <w:rFonts w:ascii="David" w:hAnsi="David"/>
          <w:rtl/>
        </w:rPr>
      </w:pPr>
    </w:p>
    <w:p w14:paraId="04FA9B44" w14:textId="77777777" w:rsidR="00514598" w:rsidRDefault="00514598" w:rsidP="00514598">
      <w:pPr>
        <w:spacing w:line="360" w:lineRule="auto"/>
        <w:jc w:val="both"/>
        <w:rPr>
          <w:rFonts w:ascii="David" w:hAnsi="David"/>
          <w:rtl/>
        </w:rPr>
      </w:pPr>
      <w:r>
        <w:rPr>
          <w:rFonts w:ascii="David" w:hAnsi="David" w:hint="cs"/>
          <w:rtl/>
        </w:rPr>
        <w:t>בית המשפט העליון אף קבע שנוכח התגברות השימוש בנשק חם והחזקת הנשק, הרי שאנו מצויים ב"</w:t>
      </w:r>
      <w:r w:rsidRPr="00DB3DB6">
        <w:rPr>
          <w:rFonts w:ascii="David" w:hAnsi="David" w:hint="cs"/>
          <w:b/>
          <w:bCs/>
          <w:rtl/>
        </w:rPr>
        <w:t>מצב חירום</w:t>
      </w:r>
      <w:r>
        <w:rPr>
          <w:rFonts w:ascii="David" w:hAnsi="David" w:hint="cs"/>
          <w:b/>
          <w:bCs/>
          <w:rtl/>
        </w:rPr>
        <w:t xml:space="preserve"> של ממש</w:t>
      </w:r>
      <w:r>
        <w:rPr>
          <w:rFonts w:ascii="David" w:hAnsi="David" w:hint="cs"/>
          <w:rtl/>
        </w:rPr>
        <w:t>", ועל כן, יש להחמיר בענישה, וזאת גם בהתחשב בקביעת המחוקק בתיקון מס' 140 ל</w:t>
      </w:r>
      <w:hyperlink r:id="rId13" w:history="1">
        <w:r w:rsidR="00257A28" w:rsidRPr="00257A28">
          <w:rPr>
            <w:rFonts w:ascii="David" w:hAnsi="David"/>
            <w:color w:val="0000FF"/>
            <w:u w:val="single"/>
            <w:rtl/>
          </w:rPr>
          <w:t>חוק העונשין</w:t>
        </w:r>
      </w:hyperlink>
      <w:r>
        <w:rPr>
          <w:rFonts w:ascii="David" w:hAnsi="David" w:hint="cs"/>
          <w:rtl/>
        </w:rPr>
        <w:t xml:space="preserve"> אשר קבע עונש מינימום למבצעי העבירות בנשק כדי רבע מהעונש הקבוע לצד העבירות:</w:t>
      </w:r>
    </w:p>
    <w:p w14:paraId="1D233DAC" w14:textId="77777777" w:rsidR="00514598" w:rsidRPr="00041FA3" w:rsidRDefault="00514598" w:rsidP="00514598">
      <w:pPr>
        <w:spacing w:line="360" w:lineRule="auto"/>
        <w:jc w:val="both"/>
        <w:rPr>
          <w:rFonts w:ascii="David" w:hAnsi="David"/>
          <w:rtl/>
        </w:rPr>
      </w:pPr>
      <w:r>
        <w:rPr>
          <w:rFonts w:ascii="David" w:hAnsi="David" w:hint="cs"/>
          <w:b/>
          <w:bCs/>
          <w:rtl/>
        </w:rPr>
        <w:t>"</w:t>
      </w:r>
      <w:r w:rsidRPr="00041FA3">
        <w:rPr>
          <w:rFonts w:ascii="David" w:hAnsi="David"/>
          <w:b/>
          <w:bCs/>
          <w:rtl/>
        </w:rPr>
        <w:t xml:space="preserve">אין היום חולקין כי עבירות מסוג זה הפכו ל"מכת מדינה" של ממש (ראו לאחרונה: </w:t>
      </w:r>
      <w:hyperlink r:id="rId14" w:history="1">
        <w:r w:rsidR="00257A28" w:rsidRPr="00257A28">
          <w:rPr>
            <w:rFonts w:ascii="David" w:hAnsi="David"/>
            <w:b/>
            <w:bCs/>
            <w:color w:val="0000FF"/>
            <w:u w:val="single"/>
            <w:rtl/>
          </w:rPr>
          <w:t>ע"פ 7473/20</w:t>
        </w:r>
      </w:hyperlink>
      <w:r w:rsidRPr="00041FA3">
        <w:rPr>
          <w:rFonts w:ascii="David" w:hAnsi="David"/>
          <w:b/>
          <w:bCs/>
          <w:rtl/>
        </w:rPr>
        <w:t xml:space="preserve"> מדינת ישראל נ' מחאמיד, [פורסם בנבו] פסקה 24 (29.6.2021); </w:t>
      </w:r>
      <w:hyperlink r:id="rId15" w:history="1">
        <w:r w:rsidR="00257A28" w:rsidRPr="00257A28">
          <w:rPr>
            <w:rFonts w:ascii="David" w:hAnsi="David"/>
            <w:b/>
            <w:bCs/>
            <w:color w:val="0000FF"/>
            <w:u w:val="single"/>
            <w:rtl/>
          </w:rPr>
          <w:t>ע"פ 5993/21</w:t>
        </w:r>
      </w:hyperlink>
      <w:r w:rsidRPr="00041FA3">
        <w:rPr>
          <w:rFonts w:ascii="David" w:hAnsi="David"/>
          <w:b/>
          <w:bCs/>
          <w:rtl/>
        </w:rPr>
        <w:t xml:space="preserve"> סאלח נ' מדינת ישראל, [פורסם בנבו] פסקה 8 (29.11.2021); </w:t>
      </w:r>
      <w:hyperlink r:id="rId16" w:history="1">
        <w:r w:rsidR="00257A28" w:rsidRPr="00257A28">
          <w:rPr>
            <w:rFonts w:ascii="David" w:hAnsi="David"/>
            <w:b/>
            <w:bCs/>
            <w:color w:val="0000FF"/>
            <w:u w:val="single"/>
            <w:rtl/>
          </w:rPr>
          <w:t>ע"פ 8416/20</w:t>
        </w:r>
      </w:hyperlink>
      <w:r w:rsidRPr="00041FA3">
        <w:rPr>
          <w:rFonts w:ascii="David" w:hAnsi="David"/>
          <w:b/>
          <w:bCs/>
          <w:rtl/>
        </w:rPr>
        <w:t xml:space="preserve"> עייאט נ' מדינת ישראל [פורסם בנבו] (2.9.2021)). 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17" w:history="1">
        <w:r w:rsidR="00257A28" w:rsidRPr="00257A28">
          <w:rPr>
            <w:rFonts w:ascii="David" w:hAnsi="David"/>
            <w:b/>
            <w:bCs/>
            <w:color w:val="0000FF"/>
            <w:u w:val="single"/>
            <w:rtl/>
          </w:rPr>
          <w:t>חוק העונשין</w:t>
        </w:r>
      </w:hyperlink>
      <w:r w:rsidRPr="00041FA3">
        <w:rPr>
          <w:rFonts w:ascii="David" w:hAnsi="David"/>
          <w:b/>
          <w:bCs/>
          <w:rtl/>
        </w:rPr>
        <w:t xml:space="preserve"> (חוק העונשין (תיקון מס' 140 – הוראת שעה), התשפ"ב-2021) – שלא חל בענייננו – </w:t>
      </w:r>
      <w:r>
        <w:rPr>
          <w:rFonts w:ascii="David" w:hAnsi="David"/>
          <w:b/>
          <w:bCs/>
          <w:rtl/>
        </w:rPr>
        <w:t>הקובע עונשי מינימום לעבירות נשק</w:t>
      </w:r>
      <w:r>
        <w:rPr>
          <w:rFonts w:ascii="David" w:hAnsi="David" w:hint="cs"/>
          <w:b/>
          <w:bCs/>
          <w:rtl/>
        </w:rPr>
        <w:t>"</w:t>
      </w:r>
      <w:r>
        <w:rPr>
          <w:rFonts w:ascii="David" w:hAnsi="David" w:hint="cs"/>
          <w:rtl/>
        </w:rPr>
        <w:t>.</w:t>
      </w:r>
    </w:p>
    <w:p w14:paraId="6C01AB46" w14:textId="77777777" w:rsidR="00514598" w:rsidRDefault="00514598" w:rsidP="00514598">
      <w:pPr>
        <w:spacing w:line="360" w:lineRule="auto"/>
        <w:jc w:val="both"/>
        <w:rPr>
          <w:rFonts w:ascii="David" w:hAnsi="David"/>
        </w:rPr>
      </w:pPr>
    </w:p>
    <w:p w14:paraId="17149AB0" w14:textId="77777777" w:rsidR="00514598" w:rsidRDefault="00514598" w:rsidP="00514598">
      <w:pPr>
        <w:spacing w:line="360" w:lineRule="auto"/>
        <w:jc w:val="both"/>
        <w:rPr>
          <w:rFonts w:ascii="David" w:hAnsi="David"/>
          <w:rtl/>
        </w:rPr>
      </w:pPr>
      <w:r>
        <w:rPr>
          <w:rFonts w:ascii="David" w:hAnsi="David" w:hint="cs"/>
          <w:rtl/>
        </w:rPr>
        <w:t>8.</w:t>
      </w:r>
      <w:r>
        <w:rPr>
          <w:rFonts w:ascii="David" w:hAnsi="David" w:hint="cs"/>
          <w:rtl/>
        </w:rPr>
        <w:tab/>
        <w:t xml:space="preserve">אחר אלה נפנה לבחון את הנסיבות הקשורות לביצוע העבירה </w:t>
      </w:r>
      <w:r>
        <w:rPr>
          <w:rFonts w:ascii="David" w:hAnsi="David"/>
          <w:rtl/>
        </w:rPr>
        <w:t>–</w:t>
      </w:r>
      <w:r>
        <w:rPr>
          <w:rFonts w:ascii="David" w:hAnsi="David" w:hint="cs"/>
          <w:rtl/>
        </w:rPr>
        <w:t xml:space="preserve"> הנאשם החזיק מאחורי מיטתו בחדרו נשק מסוג </w:t>
      </w:r>
      <w:r>
        <w:rPr>
          <w:rFonts w:ascii="David" w:hAnsi="David"/>
        </w:rPr>
        <w:t>M-16</w:t>
      </w:r>
      <w:r>
        <w:rPr>
          <w:rFonts w:ascii="David" w:hAnsi="David" w:hint="cs"/>
          <w:rtl/>
        </w:rPr>
        <w:t xml:space="preserve"> מפורק, 4 מחסניות של </w:t>
      </w:r>
      <w:r>
        <w:rPr>
          <w:rFonts w:ascii="David" w:hAnsi="David"/>
        </w:rPr>
        <w:t>M-16</w:t>
      </w:r>
      <w:r>
        <w:rPr>
          <w:rFonts w:ascii="David" w:hAnsi="David" w:hint="cs"/>
          <w:rtl/>
        </w:rPr>
        <w:t>, שקיות עם חלקי נשק ו-45 חבילות המכילות 1,000 כדורים 5.56 מ"מ. דהיינו, מדובר בנשק מסוג רובה סער, התקפי, מחסניות ותחמושת רבה מאוד, כשמטרת ההחזקה נותרה עלומה. פוטנציאל הנזק הנשקף מהחזקה או משימוש ברובה סער ומתחמושת כה רבה הוא חמור, כשכאמור, מדובר בהחזקת תחמושת צה"לית בכמות חריגה.</w:t>
      </w:r>
    </w:p>
    <w:p w14:paraId="0C7F07F7" w14:textId="77777777" w:rsidR="00514598" w:rsidRDefault="00514598" w:rsidP="00514598">
      <w:pPr>
        <w:spacing w:line="360" w:lineRule="auto"/>
        <w:jc w:val="both"/>
        <w:rPr>
          <w:rFonts w:ascii="David" w:hAnsi="David"/>
          <w:rtl/>
        </w:rPr>
      </w:pPr>
    </w:p>
    <w:p w14:paraId="006140C9" w14:textId="77777777" w:rsidR="00514598" w:rsidRPr="007E2496" w:rsidRDefault="00514598" w:rsidP="00514598">
      <w:pPr>
        <w:spacing w:line="360" w:lineRule="auto"/>
        <w:jc w:val="both"/>
      </w:pPr>
      <w:r>
        <w:rPr>
          <w:rFonts w:ascii="David" w:hAnsi="David" w:hint="cs"/>
          <w:rtl/>
        </w:rPr>
        <w:t>9.</w:t>
      </w:r>
      <w:r>
        <w:rPr>
          <w:rFonts w:ascii="David" w:hAnsi="David" w:hint="cs"/>
          <w:rtl/>
        </w:rPr>
        <w:tab/>
      </w:r>
      <w:r w:rsidRPr="007E2496">
        <w:rPr>
          <w:rFonts w:hint="cs"/>
          <w:b/>
          <w:bCs/>
          <w:rtl/>
        </w:rPr>
        <w:t xml:space="preserve">באלה הנסיבות, מצאתי לקבוע מתחם עונש הולם אחד, הן בגין החזקת הנשק וחלקי הנשק, והן בגין החזקת התחמושת, והוא נע בין </w:t>
      </w:r>
      <w:r>
        <w:rPr>
          <w:rFonts w:hint="cs"/>
          <w:b/>
          <w:bCs/>
          <w:rtl/>
        </w:rPr>
        <w:t xml:space="preserve">20 ל-48 </w:t>
      </w:r>
      <w:r w:rsidRPr="007E2496">
        <w:rPr>
          <w:rFonts w:hint="cs"/>
          <w:b/>
          <w:bCs/>
          <w:rtl/>
        </w:rPr>
        <w:t>חודשי</w:t>
      </w:r>
      <w:r>
        <w:rPr>
          <w:rFonts w:hint="cs"/>
          <w:b/>
          <w:bCs/>
          <w:rtl/>
        </w:rPr>
        <w:t xml:space="preserve"> מאסר, לצד רכיבי ענישה נילווים</w:t>
      </w:r>
      <w:r>
        <w:rPr>
          <w:rFonts w:hint="cs"/>
          <w:rtl/>
        </w:rPr>
        <w:t>.</w:t>
      </w:r>
    </w:p>
    <w:p w14:paraId="2DFF1F62" w14:textId="77777777" w:rsidR="00514598" w:rsidRDefault="00514598" w:rsidP="00514598">
      <w:pPr>
        <w:spacing w:line="360" w:lineRule="auto"/>
        <w:jc w:val="both"/>
        <w:rPr>
          <w:rtl/>
        </w:rPr>
      </w:pPr>
    </w:p>
    <w:p w14:paraId="2F63CD91" w14:textId="77777777" w:rsidR="00514598" w:rsidRDefault="00514598" w:rsidP="00514598">
      <w:pPr>
        <w:spacing w:line="360" w:lineRule="auto"/>
        <w:jc w:val="both"/>
        <w:rPr>
          <w:rFonts w:ascii="David" w:hAnsi="David"/>
          <w:rtl/>
        </w:rPr>
      </w:pPr>
      <w:r>
        <w:rPr>
          <w:rtl/>
        </w:rPr>
        <w:t>[</w:t>
      </w:r>
      <w:r>
        <w:rPr>
          <w:rFonts w:hint="cs"/>
          <w:rtl/>
        </w:rPr>
        <w:t xml:space="preserve">ראה: </w:t>
      </w:r>
      <w:hyperlink r:id="rId18" w:history="1">
        <w:r w:rsidR="00257A28" w:rsidRPr="00257A28">
          <w:rPr>
            <w:color w:val="0000FF"/>
            <w:u w:val="single"/>
            <w:rtl/>
          </w:rPr>
          <w:t>עפ"ג (מחוזי נצ') 2024-04-21</w:t>
        </w:r>
      </w:hyperlink>
      <w:r>
        <w:rPr>
          <w:rtl/>
        </w:rPr>
        <w:t xml:space="preserve"> </w:t>
      </w:r>
      <w:r>
        <w:rPr>
          <w:b/>
          <w:bCs/>
          <w:rtl/>
        </w:rPr>
        <w:t>מדינת ישראל נ' מנדורי</w:t>
      </w:r>
      <w:r>
        <w:rPr>
          <w:rtl/>
        </w:rPr>
        <w:t xml:space="preserve"> (29.6.</w:t>
      </w:r>
      <w:r>
        <w:rPr>
          <w:rFonts w:hint="cs"/>
          <w:rtl/>
        </w:rPr>
        <w:t>21)</w:t>
      </w:r>
      <w:r>
        <w:rPr>
          <w:rtl/>
        </w:rPr>
        <w:t xml:space="preserve">; </w:t>
      </w:r>
      <w:hyperlink r:id="rId19" w:history="1">
        <w:r w:rsidR="00257A28" w:rsidRPr="00257A28">
          <w:rPr>
            <w:color w:val="0000FF"/>
            <w:u w:val="single"/>
            <w:rtl/>
          </w:rPr>
          <w:t>עפ"ג (מחוזי ב"ש) 32503-04-19</w:t>
        </w:r>
      </w:hyperlink>
      <w:r>
        <w:rPr>
          <w:rtl/>
        </w:rPr>
        <w:t xml:space="preserve"> </w:t>
      </w:r>
      <w:r>
        <w:rPr>
          <w:b/>
          <w:bCs/>
          <w:rtl/>
        </w:rPr>
        <w:t>אלקורעאן נ' מדינת ישראל</w:t>
      </w:r>
      <w:r>
        <w:rPr>
          <w:rtl/>
        </w:rPr>
        <w:t xml:space="preserve"> (12.6.</w:t>
      </w:r>
      <w:r>
        <w:rPr>
          <w:rFonts w:hint="cs"/>
          <w:rtl/>
        </w:rPr>
        <w:t>19</w:t>
      </w:r>
      <w:r>
        <w:rPr>
          <w:rtl/>
        </w:rPr>
        <w:t xml:space="preserve">); </w:t>
      </w:r>
      <w:hyperlink r:id="rId20" w:history="1">
        <w:r w:rsidR="00257A28" w:rsidRPr="00257A28">
          <w:rPr>
            <w:color w:val="0000FF"/>
            <w:u w:val="single"/>
            <w:rtl/>
          </w:rPr>
          <w:t>ת"פ (מחוזי ב"ש) 54607-07-19</w:t>
        </w:r>
      </w:hyperlink>
      <w:r>
        <w:rPr>
          <w:rtl/>
        </w:rPr>
        <w:t xml:space="preserve"> </w:t>
      </w:r>
      <w:r>
        <w:rPr>
          <w:b/>
          <w:bCs/>
          <w:rtl/>
        </w:rPr>
        <w:t>מדינת ישראל נ' ג'בור</w:t>
      </w:r>
      <w:r>
        <w:rPr>
          <w:rFonts w:hint="cs"/>
          <w:b/>
          <w:bCs/>
          <w:rtl/>
        </w:rPr>
        <w:t xml:space="preserve"> </w:t>
      </w:r>
      <w:r>
        <w:rPr>
          <w:rtl/>
        </w:rPr>
        <w:t xml:space="preserve">(12.1.20); </w:t>
      </w:r>
      <w:hyperlink r:id="rId21" w:history="1">
        <w:r w:rsidR="00257A28" w:rsidRPr="00257A28">
          <w:rPr>
            <w:color w:val="0000FF"/>
            <w:u w:val="single"/>
            <w:rtl/>
          </w:rPr>
          <w:t>ת"פ (שלום כפ"ס) 14044-03-20</w:t>
        </w:r>
      </w:hyperlink>
      <w:r>
        <w:rPr>
          <w:rtl/>
        </w:rPr>
        <w:t xml:space="preserve"> </w:t>
      </w:r>
      <w:r>
        <w:rPr>
          <w:b/>
          <w:bCs/>
          <w:rtl/>
        </w:rPr>
        <w:t>מדינת ישראל נ' קטעווי</w:t>
      </w:r>
      <w:r>
        <w:rPr>
          <w:rtl/>
        </w:rPr>
        <w:t xml:space="preserve"> (15.12.20); </w:t>
      </w:r>
      <w:hyperlink r:id="rId22" w:history="1">
        <w:r w:rsidR="00257A28" w:rsidRPr="00257A28">
          <w:rPr>
            <w:color w:val="0000FF"/>
            <w:u w:val="single"/>
            <w:rtl/>
          </w:rPr>
          <w:t>ת"פ (שלום כ"ס) 33726-11-21</w:t>
        </w:r>
      </w:hyperlink>
      <w:r>
        <w:rPr>
          <w:rtl/>
        </w:rPr>
        <w:t xml:space="preserve"> </w:t>
      </w:r>
      <w:r>
        <w:rPr>
          <w:b/>
          <w:bCs/>
          <w:rtl/>
        </w:rPr>
        <w:t>מדינת ישראל נ' מסרוואה</w:t>
      </w:r>
      <w:r>
        <w:rPr>
          <w:rtl/>
        </w:rPr>
        <w:t xml:space="preserve"> (9.2.22)</w:t>
      </w:r>
      <w:r>
        <w:rPr>
          <w:rFonts w:hint="cs"/>
          <w:rtl/>
        </w:rPr>
        <w:t xml:space="preserve">; </w:t>
      </w:r>
      <w:hyperlink r:id="rId23" w:history="1">
        <w:r w:rsidR="00257A28" w:rsidRPr="00257A28">
          <w:rPr>
            <w:color w:val="0000FF"/>
            <w:u w:val="single"/>
            <w:rtl/>
          </w:rPr>
          <w:t>ת"פ (שלום כפ"ס) 22857-01-22</w:t>
        </w:r>
      </w:hyperlink>
      <w:r>
        <w:rPr>
          <w:rFonts w:hint="cs"/>
          <w:rtl/>
        </w:rPr>
        <w:t xml:space="preserve"> </w:t>
      </w:r>
      <w:r>
        <w:rPr>
          <w:rFonts w:hint="cs"/>
          <w:b/>
          <w:bCs/>
          <w:rtl/>
        </w:rPr>
        <w:t>מדינת ישראל נ' פריג'</w:t>
      </w:r>
      <w:r>
        <w:rPr>
          <w:rFonts w:hint="cs"/>
          <w:rtl/>
        </w:rPr>
        <w:t xml:space="preserve"> (16.6.22)</w:t>
      </w:r>
      <w:r>
        <w:rPr>
          <w:rtl/>
        </w:rPr>
        <w:t>].</w:t>
      </w:r>
    </w:p>
    <w:p w14:paraId="22D2092C" w14:textId="77777777" w:rsidR="00514598" w:rsidRDefault="00514598" w:rsidP="00514598">
      <w:pPr>
        <w:spacing w:line="360" w:lineRule="auto"/>
        <w:jc w:val="both"/>
        <w:rPr>
          <w:rFonts w:ascii="David" w:hAnsi="David"/>
          <w:rtl/>
        </w:rPr>
      </w:pPr>
    </w:p>
    <w:p w14:paraId="6EB69A20" w14:textId="77777777" w:rsidR="00514598" w:rsidRDefault="00514598" w:rsidP="00514598">
      <w:pPr>
        <w:spacing w:line="360" w:lineRule="auto"/>
        <w:jc w:val="both"/>
        <w:rPr>
          <w:rFonts w:ascii="David" w:hAnsi="David"/>
          <w:rtl/>
        </w:rPr>
      </w:pPr>
      <w:r>
        <w:rPr>
          <w:rFonts w:ascii="David" w:hAnsi="David" w:hint="cs"/>
          <w:rtl/>
        </w:rPr>
        <w:t>10.</w:t>
      </w:r>
      <w:r>
        <w:rPr>
          <w:rFonts w:ascii="David" w:hAnsi="David" w:hint="cs"/>
          <w:rtl/>
        </w:rPr>
        <w:tab/>
        <w:t>באשר לנסיבות שאינן קשורות בביצוע העבירה, לקחתי בחשבון את אלה:</w:t>
      </w:r>
    </w:p>
    <w:p w14:paraId="6E439FDA" w14:textId="77777777" w:rsidR="00514598" w:rsidRDefault="00514598" w:rsidP="00514598">
      <w:pPr>
        <w:spacing w:line="360" w:lineRule="auto"/>
        <w:jc w:val="both"/>
        <w:rPr>
          <w:rFonts w:ascii="David" w:hAnsi="David"/>
          <w:rtl/>
        </w:rPr>
      </w:pPr>
      <w:r>
        <w:rPr>
          <w:rFonts w:ascii="David" w:hAnsi="David" w:hint="cs"/>
          <w:rtl/>
        </w:rPr>
        <w:t>א.</w:t>
      </w:r>
      <w:r>
        <w:rPr>
          <w:rFonts w:ascii="David" w:hAnsi="David" w:hint="cs"/>
          <w:rtl/>
        </w:rPr>
        <w:tab/>
        <w:t>הנאשם בן 26, נעדר עבר פלילי, אשר זהו מאסרו הראשון.</w:t>
      </w:r>
    </w:p>
    <w:p w14:paraId="3358737E" w14:textId="77777777" w:rsidR="00514598" w:rsidRDefault="00514598" w:rsidP="00514598">
      <w:pPr>
        <w:spacing w:line="360" w:lineRule="auto"/>
        <w:ind w:left="720" w:hanging="720"/>
        <w:jc w:val="both"/>
        <w:rPr>
          <w:rFonts w:ascii="David" w:hAnsi="David"/>
          <w:rtl/>
        </w:rPr>
      </w:pPr>
      <w:r>
        <w:rPr>
          <w:rFonts w:ascii="David" w:hAnsi="David" w:hint="cs"/>
          <w:rtl/>
        </w:rPr>
        <w:t>ב.</w:t>
      </w:r>
      <w:r>
        <w:rPr>
          <w:rFonts w:ascii="David" w:hAnsi="David" w:hint="cs"/>
          <w:rtl/>
        </w:rPr>
        <w:tab/>
        <w:t>הנאשם מאורס ועתיד להתחתן, עובד לפרנסתו יחד עם אחיו בעסק להובלות. למעשה, מגיל צעיר עזב את הלימודים על מנת לסייע להוריו בפרנסת המשפחה.</w:t>
      </w:r>
    </w:p>
    <w:p w14:paraId="63538801" w14:textId="77777777" w:rsidR="00514598" w:rsidRDefault="00514598" w:rsidP="00514598">
      <w:pPr>
        <w:spacing w:line="360" w:lineRule="auto"/>
        <w:jc w:val="both"/>
        <w:rPr>
          <w:rFonts w:ascii="David" w:hAnsi="David"/>
          <w:rtl/>
        </w:rPr>
      </w:pPr>
      <w:r>
        <w:rPr>
          <w:rFonts w:ascii="David" w:hAnsi="David" w:hint="cs"/>
          <w:rtl/>
        </w:rPr>
        <w:t>ג.</w:t>
      </w:r>
      <w:r>
        <w:rPr>
          <w:rFonts w:ascii="David" w:hAnsi="David" w:hint="cs"/>
          <w:rtl/>
        </w:rPr>
        <w:tab/>
        <w:t>הנאשם הודה בהזדמנות הראשונה, נטל אחריות וחסך בזמן שיפוטי יקר.</w:t>
      </w:r>
    </w:p>
    <w:p w14:paraId="16958966" w14:textId="77777777" w:rsidR="00514598" w:rsidRDefault="00514598" w:rsidP="00514598">
      <w:pPr>
        <w:spacing w:line="360" w:lineRule="auto"/>
        <w:ind w:left="720" w:hanging="720"/>
        <w:jc w:val="both"/>
        <w:rPr>
          <w:rFonts w:ascii="David" w:hAnsi="David"/>
          <w:rtl/>
        </w:rPr>
      </w:pPr>
      <w:r>
        <w:rPr>
          <w:rFonts w:ascii="David" w:hAnsi="David" w:hint="cs"/>
          <w:rtl/>
        </w:rPr>
        <w:t>ד.</w:t>
      </w:r>
      <w:r>
        <w:rPr>
          <w:rFonts w:ascii="David" w:hAnsi="David" w:hint="cs"/>
          <w:rtl/>
        </w:rPr>
        <w:tab/>
        <w:t>הנאשם הסכים למעצרו עד תום ההליכים, שוהה במעצר מזה כ-7 חודשים ואינו נהנה מזכויות אסיר.</w:t>
      </w:r>
    </w:p>
    <w:p w14:paraId="01C4CB46" w14:textId="77777777" w:rsidR="00514598" w:rsidRDefault="00514598" w:rsidP="00514598">
      <w:pPr>
        <w:spacing w:line="360" w:lineRule="auto"/>
        <w:ind w:left="720" w:hanging="720"/>
        <w:jc w:val="both"/>
        <w:rPr>
          <w:rFonts w:ascii="David" w:hAnsi="David"/>
          <w:rtl/>
        </w:rPr>
      </w:pPr>
      <w:r>
        <w:rPr>
          <w:rFonts w:ascii="David" w:hAnsi="David" w:hint="cs"/>
          <w:rtl/>
        </w:rPr>
        <w:t>ה.</w:t>
      </w:r>
      <w:r>
        <w:rPr>
          <w:rFonts w:ascii="David" w:hAnsi="David" w:hint="cs"/>
          <w:rtl/>
        </w:rPr>
        <w:tab/>
        <w:t xml:space="preserve">יחד עם זאת, לא ניתן להתעלם מהיבטים שליליים העולים מתסקיר שרות המבחן </w:t>
      </w:r>
      <w:r>
        <w:rPr>
          <w:rFonts w:ascii="David" w:hAnsi="David"/>
          <w:rtl/>
        </w:rPr>
        <w:t>–</w:t>
      </w:r>
      <w:r>
        <w:rPr>
          <w:rFonts w:ascii="David" w:hAnsi="David" w:hint="cs"/>
          <w:rtl/>
        </w:rPr>
        <w:t xml:space="preserve"> הנאשם אמנם הודה בביצוע העבירות, אך התקשה לקחת אחריות מלאה; התקשה למסור מידע באשר לרמת מעורבותו בביצוע העבירה; התקשה להתחבר למשמעות העבירה ולרמת הסיכון הנשקפת ממנה; שרות המבחן התרשם שרמת הסיכון בעניינו להישנות עבירות דומות ולהתנהגות פורצת גבולות הנה </w:t>
      </w:r>
      <w:r w:rsidRPr="00A57D5E">
        <w:rPr>
          <w:rFonts w:ascii="David" w:hAnsi="David" w:hint="cs"/>
          <w:b/>
          <w:bCs/>
          <w:rtl/>
        </w:rPr>
        <w:t>בינונית</w:t>
      </w:r>
      <w:r>
        <w:rPr>
          <w:rFonts w:ascii="David" w:hAnsi="David" w:hint="cs"/>
          <w:rtl/>
        </w:rPr>
        <w:t>, ונמנע מלבוא בהמלצה טיפולית שיקומית בעניינו.</w:t>
      </w:r>
    </w:p>
    <w:p w14:paraId="75B6FF43" w14:textId="77777777" w:rsidR="00514598" w:rsidRDefault="00514598" w:rsidP="00514598">
      <w:pPr>
        <w:spacing w:line="360" w:lineRule="auto"/>
        <w:jc w:val="both"/>
        <w:rPr>
          <w:rFonts w:ascii="David" w:hAnsi="David"/>
          <w:rtl/>
        </w:rPr>
      </w:pPr>
    </w:p>
    <w:p w14:paraId="086BAE73" w14:textId="77777777" w:rsidR="00514598" w:rsidRDefault="00514598" w:rsidP="00514598">
      <w:pPr>
        <w:spacing w:line="360" w:lineRule="auto"/>
        <w:jc w:val="both"/>
        <w:rPr>
          <w:rFonts w:ascii="David" w:hAnsi="David"/>
          <w:rtl/>
        </w:rPr>
      </w:pPr>
      <w:r>
        <w:rPr>
          <w:rFonts w:ascii="David" w:hAnsi="David" w:hint="cs"/>
          <w:rtl/>
        </w:rPr>
        <w:t>11.</w:t>
      </w:r>
      <w:r>
        <w:rPr>
          <w:rFonts w:ascii="David" w:hAnsi="David" w:hint="cs"/>
          <w:rtl/>
        </w:rPr>
        <w:tab/>
        <w:t xml:space="preserve">לאור האמור לעיל, החלטתי למקם את עונשו של הנאשם מעט </w:t>
      </w:r>
      <w:r w:rsidRPr="002443EC">
        <w:rPr>
          <w:rFonts w:ascii="David" w:hAnsi="David" w:hint="cs"/>
          <w:u w:val="single"/>
          <w:rtl/>
        </w:rPr>
        <w:t>מעל</w:t>
      </w:r>
      <w:r>
        <w:rPr>
          <w:rFonts w:ascii="David" w:hAnsi="David" w:hint="cs"/>
          <w:rtl/>
        </w:rPr>
        <w:t xml:space="preserve"> לתחתית מתחם העונש ההולם אותו קבעתי לעיל.</w:t>
      </w:r>
    </w:p>
    <w:p w14:paraId="2610149F" w14:textId="77777777" w:rsidR="00514598" w:rsidRDefault="00514598" w:rsidP="00514598">
      <w:pPr>
        <w:spacing w:line="360" w:lineRule="auto"/>
        <w:jc w:val="both"/>
        <w:rPr>
          <w:rFonts w:ascii="David" w:hAnsi="David"/>
          <w:rtl/>
        </w:rPr>
      </w:pPr>
    </w:p>
    <w:p w14:paraId="51F3DCFF" w14:textId="77777777" w:rsidR="00514598" w:rsidRDefault="00514598" w:rsidP="00514598">
      <w:pPr>
        <w:spacing w:line="360" w:lineRule="auto"/>
        <w:jc w:val="both"/>
        <w:rPr>
          <w:rFonts w:ascii="David" w:hAnsi="David"/>
          <w:rtl/>
        </w:rPr>
      </w:pPr>
      <w:r>
        <w:rPr>
          <w:rFonts w:ascii="David" w:hAnsi="David" w:hint="cs"/>
          <w:rtl/>
        </w:rPr>
        <w:t>12.</w:t>
      </w:r>
      <w:r>
        <w:rPr>
          <w:rFonts w:ascii="David" w:hAnsi="David" w:hint="cs"/>
          <w:rtl/>
        </w:rPr>
        <w:tab/>
        <w:t>אני גוזר, איפוא, על הנאשם את העונשים הבאים:</w:t>
      </w:r>
    </w:p>
    <w:p w14:paraId="1371F62F" w14:textId="77777777" w:rsidR="00514598" w:rsidRDefault="00514598" w:rsidP="00514598">
      <w:pPr>
        <w:spacing w:line="360" w:lineRule="auto"/>
        <w:jc w:val="both"/>
        <w:rPr>
          <w:rFonts w:ascii="David" w:hAnsi="David"/>
          <w:rtl/>
        </w:rPr>
      </w:pPr>
      <w:r>
        <w:rPr>
          <w:rFonts w:ascii="David" w:hAnsi="David" w:hint="cs"/>
          <w:rtl/>
        </w:rPr>
        <w:t>א.</w:t>
      </w:r>
      <w:r>
        <w:rPr>
          <w:rFonts w:ascii="David" w:hAnsi="David" w:hint="cs"/>
          <w:rtl/>
        </w:rPr>
        <w:tab/>
        <w:t>21 חודשי מאסר בפועל, למין יום מעצרו 22.5.22.</w:t>
      </w:r>
    </w:p>
    <w:p w14:paraId="15FE30DC" w14:textId="77777777" w:rsidR="00514598" w:rsidRDefault="00514598" w:rsidP="00514598">
      <w:pPr>
        <w:spacing w:line="360" w:lineRule="auto"/>
        <w:jc w:val="both"/>
        <w:rPr>
          <w:rFonts w:ascii="David" w:hAnsi="David"/>
          <w:rtl/>
        </w:rPr>
      </w:pPr>
      <w:r>
        <w:rPr>
          <w:rFonts w:ascii="David" w:hAnsi="David" w:hint="cs"/>
          <w:rtl/>
        </w:rPr>
        <w:t>ב.</w:t>
      </w:r>
      <w:r>
        <w:rPr>
          <w:rFonts w:ascii="David" w:hAnsi="David" w:hint="cs"/>
          <w:rtl/>
        </w:rPr>
        <w:tab/>
        <w:t>7 חודשי מאסר על תנאי למשך 3 שנים מיום שחרורו שלא יעבור כל עבירה הקשורה לנשק.</w:t>
      </w:r>
    </w:p>
    <w:p w14:paraId="53A51BD9" w14:textId="77777777" w:rsidR="00514598" w:rsidRDefault="00514598" w:rsidP="00514598">
      <w:pPr>
        <w:spacing w:line="360" w:lineRule="auto"/>
        <w:ind w:left="720" w:hanging="720"/>
        <w:jc w:val="both"/>
        <w:rPr>
          <w:rFonts w:ascii="David" w:hAnsi="David"/>
          <w:rtl/>
        </w:rPr>
      </w:pPr>
      <w:r>
        <w:rPr>
          <w:rFonts w:ascii="David" w:hAnsi="David" w:hint="cs"/>
          <w:rtl/>
        </w:rPr>
        <w:t>ג.</w:t>
      </w:r>
      <w:r>
        <w:rPr>
          <w:rFonts w:ascii="David" w:hAnsi="David" w:hint="cs"/>
          <w:rtl/>
        </w:rPr>
        <w:tab/>
        <w:t>קנס כספי בסך 2,500 ₪ או 30 ימי מאסר תמורתו. הקנס ישולם ב-5 תשלומים חודשיים, רצופים ושווים החל ביום 15.2.23. לא ישולם תשלום במועד יעמוד כל הסכום לפירעון מיידי.</w:t>
      </w:r>
    </w:p>
    <w:p w14:paraId="002A28F4" w14:textId="77777777" w:rsidR="00514598" w:rsidRDefault="00514598" w:rsidP="00514598">
      <w:pPr>
        <w:spacing w:line="360" w:lineRule="auto"/>
        <w:jc w:val="both"/>
        <w:rPr>
          <w:rFonts w:ascii="David" w:hAnsi="David"/>
          <w:rtl/>
        </w:rPr>
      </w:pPr>
    </w:p>
    <w:p w14:paraId="6C71D94D" w14:textId="77777777" w:rsidR="00514598" w:rsidRDefault="00514598" w:rsidP="00514598">
      <w:pPr>
        <w:spacing w:line="360" w:lineRule="auto"/>
        <w:jc w:val="both"/>
        <w:rPr>
          <w:rFonts w:ascii="David" w:hAnsi="David"/>
          <w:rtl/>
        </w:rPr>
      </w:pPr>
      <w:r w:rsidRPr="00775FB8">
        <w:rPr>
          <w:rFonts w:ascii="David" w:hAnsi="David" w:hint="cs"/>
          <w:u w:val="single"/>
          <w:rtl/>
        </w:rPr>
        <w:t>מוצגים</w:t>
      </w:r>
      <w:r>
        <w:rPr>
          <w:rFonts w:ascii="David" w:hAnsi="David" w:hint="cs"/>
          <w:rtl/>
        </w:rPr>
        <w:t xml:space="preserve"> </w:t>
      </w:r>
      <w:r>
        <w:rPr>
          <w:rFonts w:ascii="David" w:hAnsi="David"/>
          <w:rtl/>
        </w:rPr>
        <w:t>–</w:t>
      </w:r>
      <w:r>
        <w:rPr>
          <w:rFonts w:ascii="David" w:hAnsi="David" w:hint="cs"/>
          <w:rtl/>
        </w:rPr>
        <w:t xml:space="preserve"> נשק, חלקי נשק, תחמושת, משקל דיגיטלי </w:t>
      </w:r>
      <w:r>
        <w:rPr>
          <w:rFonts w:ascii="David" w:hAnsi="David"/>
          <w:rtl/>
        </w:rPr>
        <w:t>–</w:t>
      </w:r>
      <w:r>
        <w:rPr>
          <w:rFonts w:ascii="David" w:hAnsi="David" w:hint="cs"/>
          <w:rtl/>
        </w:rPr>
        <w:t xml:space="preserve"> לחילוט או להשמדה על פי שיקול דעת קצין ממונה; כסף ו-2 טלפונים </w:t>
      </w:r>
      <w:r>
        <w:rPr>
          <w:rFonts w:ascii="David" w:hAnsi="David"/>
          <w:rtl/>
        </w:rPr>
        <w:t>–</w:t>
      </w:r>
      <w:r>
        <w:rPr>
          <w:rFonts w:ascii="David" w:hAnsi="David" w:hint="cs"/>
          <w:rtl/>
        </w:rPr>
        <w:t xml:space="preserve"> להשיב לנאשם או למי מטעמו.</w:t>
      </w:r>
    </w:p>
    <w:p w14:paraId="66AA55CF" w14:textId="77777777" w:rsidR="00514598" w:rsidRDefault="00514598" w:rsidP="00514598">
      <w:pPr>
        <w:spacing w:line="360" w:lineRule="auto"/>
        <w:jc w:val="both"/>
        <w:rPr>
          <w:rFonts w:ascii="David" w:hAnsi="David"/>
          <w:rtl/>
        </w:rPr>
      </w:pPr>
    </w:p>
    <w:p w14:paraId="2FAAD193" w14:textId="77777777" w:rsidR="00514598" w:rsidRPr="00FC6D03" w:rsidRDefault="00257A28" w:rsidP="00514598">
      <w:pPr>
        <w:spacing w:line="360" w:lineRule="auto"/>
        <w:jc w:val="both"/>
        <w:rPr>
          <w:rFonts w:ascii="David" w:hAnsi="David"/>
          <w:rtl/>
        </w:rPr>
      </w:pPr>
      <w:r w:rsidRPr="00257A28">
        <w:rPr>
          <w:rFonts w:ascii="David" w:hAnsi="David"/>
          <w:color w:val="FFFFFF"/>
          <w:sz w:val="2"/>
          <w:szCs w:val="2"/>
          <w:rtl/>
        </w:rPr>
        <w:t>5129371</w:t>
      </w:r>
      <w:r w:rsidR="00514598">
        <w:rPr>
          <w:rFonts w:ascii="David" w:hAnsi="David" w:hint="cs"/>
          <w:rtl/>
        </w:rPr>
        <w:t>זכות ערעור לבית המשפט המחוזי מרכז בתוך 45 יום.</w:t>
      </w:r>
    </w:p>
    <w:p w14:paraId="4736B30B" w14:textId="77777777" w:rsidR="00514598" w:rsidRPr="00257A28" w:rsidRDefault="00257A28" w:rsidP="00514598">
      <w:pPr>
        <w:spacing w:line="360" w:lineRule="auto"/>
        <w:jc w:val="both"/>
        <w:rPr>
          <w:rFonts w:ascii="David" w:hAnsi="David"/>
          <w:color w:val="FFFFFF"/>
          <w:sz w:val="2"/>
          <w:szCs w:val="2"/>
          <w:rtl/>
        </w:rPr>
      </w:pPr>
      <w:r w:rsidRPr="00257A28">
        <w:rPr>
          <w:rFonts w:ascii="David" w:hAnsi="David"/>
          <w:color w:val="FFFFFF"/>
          <w:sz w:val="2"/>
          <w:szCs w:val="2"/>
          <w:rtl/>
        </w:rPr>
        <w:t>54678313</w:t>
      </w:r>
    </w:p>
    <w:p w14:paraId="187F8125" w14:textId="77777777" w:rsidR="00514598" w:rsidRPr="00FC6D03" w:rsidRDefault="00257A28" w:rsidP="00514598">
      <w:pPr>
        <w:spacing w:line="360" w:lineRule="auto"/>
        <w:jc w:val="both"/>
        <w:rPr>
          <w:rFonts w:ascii="David" w:hAnsi="David"/>
        </w:rPr>
      </w:pPr>
      <w:bookmarkStart w:id="8" w:name="Nitan"/>
      <w:r>
        <w:rPr>
          <w:rFonts w:ascii="David" w:hAnsi="David"/>
          <w:b/>
          <w:bCs/>
          <w:rtl/>
        </w:rPr>
        <w:t xml:space="preserve">ניתן היום,  כ"ד כסלו תשפ"ג, 18 דצמבר 2022, בנוכחות ב"כ המאשימה, עו"ד , הנאשם ובא-כוחו, </w:t>
      </w:r>
      <w:bookmarkEnd w:id="8"/>
      <w:r w:rsidR="00514598" w:rsidRPr="00414523">
        <w:rPr>
          <w:rFonts w:ascii="David" w:hAnsi="David" w:hint="cs"/>
          <w:b/>
          <w:bCs/>
          <w:rtl/>
        </w:rPr>
        <w:t>עו"ד עבד ג'אבר בשם עו"ד ג'לג'ולי</w:t>
      </w:r>
      <w:r w:rsidR="00514598">
        <w:rPr>
          <w:rFonts w:ascii="David" w:hAnsi="David" w:hint="cs"/>
          <w:rtl/>
        </w:rPr>
        <w:t>.</w:t>
      </w:r>
    </w:p>
    <w:p w14:paraId="6E8A1B3E" w14:textId="77777777" w:rsidR="00514598" w:rsidRPr="00FC6D03" w:rsidRDefault="00514598" w:rsidP="00514598">
      <w:pPr>
        <w:spacing w:line="360" w:lineRule="auto"/>
        <w:jc w:val="both"/>
        <w:rPr>
          <w:rFonts w:ascii="David" w:hAnsi="David"/>
          <w:rtl/>
        </w:rPr>
      </w:pPr>
    </w:p>
    <w:p w14:paraId="4343F935" w14:textId="77777777" w:rsidR="00514598" w:rsidRPr="00FC6D03" w:rsidRDefault="00514598" w:rsidP="00257A28">
      <w:pPr>
        <w:spacing w:line="360" w:lineRule="auto"/>
        <w:jc w:val="both"/>
      </w:pPr>
      <w:r w:rsidRPr="00FC6D03">
        <w:rPr>
          <w:rFonts w:ascii="David" w:hAnsi="David"/>
          <w:rtl/>
        </w:rPr>
        <w:t xml:space="preserve">   </w:t>
      </w:r>
      <w:r w:rsidRPr="00FC6D03">
        <w:rPr>
          <w:rFonts w:ascii="David" w:hAnsi="David"/>
          <w:rtl/>
        </w:rPr>
        <w:tab/>
      </w:r>
      <w:r w:rsidRPr="00FC6D03">
        <w:rPr>
          <w:rFonts w:ascii="David" w:hAnsi="David"/>
          <w:rtl/>
        </w:rPr>
        <w:tab/>
      </w:r>
      <w:r w:rsidRPr="00FC6D03">
        <w:rPr>
          <w:rFonts w:ascii="David" w:hAnsi="David"/>
          <w:rtl/>
        </w:rPr>
        <w:tab/>
      </w:r>
      <w:r w:rsidRPr="00FC6D03">
        <w:rPr>
          <w:rFonts w:ascii="David" w:hAnsi="David"/>
          <w:rtl/>
        </w:rPr>
        <w:tab/>
      </w:r>
      <w:r w:rsidRPr="00FC6D03">
        <w:rPr>
          <w:rFonts w:ascii="David" w:hAnsi="David"/>
          <w:rtl/>
        </w:rPr>
        <w:tab/>
      </w:r>
    </w:p>
    <w:p w14:paraId="21BC3E72" w14:textId="77777777" w:rsidR="00514598" w:rsidRPr="007A7DE3" w:rsidRDefault="007A7DE3" w:rsidP="00514598">
      <w:pPr>
        <w:spacing w:line="360" w:lineRule="auto"/>
        <w:jc w:val="both"/>
        <w:rPr>
          <w:rFonts w:ascii="David" w:hAnsi="David"/>
          <w:color w:val="FFFFFF"/>
          <w:sz w:val="2"/>
          <w:szCs w:val="2"/>
          <w:rtl/>
        </w:rPr>
      </w:pPr>
      <w:r w:rsidRPr="007A7DE3">
        <w:rPr>
          <w:rFonts w:ascii="David" w:hAnsi="David"/>
          <w:color w:val="FFFFFF"/>
          <w:sz w:val="2"/>
          <w:szCs w:val="2"/>
          <w:rtl/>
        </w:rPr>
        <w:t>5129371</w:t>
      </w:r>
    </w:p>
    <w:p w14:paraId="4DB46D3C" w14:textId="77777777" w:rsidR="0027248A" w:rsidRPr="007A7DE3" w:rsidRDefault="007A7DE3" w:rsidP="00257A28">
      <w:pPr>
        <w:keepNext/>
        <w:rPr>
          <w:rFonts w:ascii="David" w:hAnsi="David"/>
          <w:color w:val="FFFFFF"/>
          <w:sz w:val="2"/>
          <w:szCs w:val="2"/>
          <w:rtl/>
        </w:rPr>
      </w:pPr>
      <w:r w:rsidRPr="007A7DE3">
        <w:rPr>
          <w:rFonts w:ascii="David" w:hAnsi="David"/>
          <w:color w:val="FFFFFF"/>
          <w:sz w:val="2"/>
          <w:szCs w:val="2"/>
          <w:rtl/>
        </w:rPr>
        <w:t>54678313</w:t>
      </w:r>
    </w:p>
    <w:p w14:paraId="1DCF7E20" w14:textId="77777777" w:rsidR="00257A28" w:rsidRDefault="00257A28" w:rsidP="00257A28">
      <w:pPr>
        <w:rPr>
          <w:rtl/>
        </w:rPr>
      </w:pPr>
    </w:p>
    <w:p w14:paraId="3C26579C" w14:textId="77777777" w:rsidR="00257A28" w:rsidRDefault="00257A28" w:rsidP="00257A28">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25FBC82D" w14:textId="77777777" w:rsidR="007A7DE3" w:rsidRPr="007A7DE3" w:rsidRDefault="007A7DE3" w:rsidP="007A7DE3">
      <w:pPr>
        <w:keepNext/>
        <w:rPr>
          <w:rFonts w:ascii="David" w:hAnsi="David"/>
          <w:color w:val="000000"/>
          <w:sz w:val="22"/>
          <w:szCs w:val="22"/>
          <w:rtl/>
        </w:rPr>
      </w:pPr>
    </w:p>
    <w:p w14:paraId="473B2B48" w14:textId="77777777" w:rsidR="007A7DE3" w:rsidRPr="007A7DE3" w:rsidRDefault="007A7DE3" w:rsidP="007A7DE3">
      <w:pPr>
        <w:keepNext/>
        <w:rPr>
          <w:rFonts w:ascii="David" w:hAnsi="David"/>
          <w:color w:val="000000"/>
          <w:sz w:val="22"/>
          <w:szCs w:val="22"/>
          <w:rtl/>
        </w:rPr>
      </w:pPr>
      <w:r w:rsidRPr="007A7DE3">
        <w:rPr>
          <w:rFonts w:ascii="David" w:hAnsi="David"/>
          <w:color w:val="000000"/>
          <w:sz w:val="22"/>
          <w:szCs w:val="22"/>
          <w:rtl/>
        </w:rPr>
        <w:t>אביב שרון 54678313-/</w:t>
      </w:r>
    </w:p>
    <w:p w14:paraId="43F84731" w14:textId="77777777" w:rsidR="00257A28" w:rsidRPr="00257A28" w:rsidRDefault="007A7DE3" w:rsidP="007A7DE3">
      <w:pPr>
        <w:rPr>
          <w:color w:val="0000FF"/>
          <w:u w:val="single"/>
        </w:rPr>
      </w:pPr>
      <w:r w:rsidRPr="007A7DE3">
        <w:rPr>
          <w:color w:val="000000"/>
          <w:u w:val="single"/>
          <w:rtl/>
        </w:rPr>
        <w:t>נוסח מסמך זה כפוף לשינויי ניסוח ועריכה</w:t>
      </w:r>
    </w:p>
    <w:sectPr w:rsidR="00257A28" w:rsidRPr="00257A28" w:rsidSect="007A7DE3">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5E2CC" w14:textId="77777777" w:rsidR="004D38B9" w:rsidRDefault="004D38B9" w:rsidP="00C2530A">
      <w:r>
        <w:separator/>
      </w:r>
    </w:p>
  </w:endnote>
  <w:endnote w:type="continuationSeparator" w:id="0">
    <w:p w14:paraId="641E4FFB" w14:textId="77777777" w:rsidR="004D38B9" w:rsidRDefault="004D38B9" w:rsidP="00C25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B0B68" w14:textId="77777777" w:rsidR="007A7DE3" w:rsidRDefault="007A7DE3" w:rsidP="007A7DE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2713F1D" w14:textId="77777777" w:rsidR="00093D25" w:rsidRPr="007A7DE3" w:rsidRDefault="007A7DE3" w:rsidP="007A7DE3">
    <w:pPr>
      <w:pStyle w:val="a5"/>
      <w:pBdr>
        <w:top w:val="single" w:sz="4" w:space="1" w:color="auto"/>
        <w:between w:val="single" w:sz="4" w:space="0" w:color="auto"/>
      </w:pBdr>
      <w:spacing w:after="60"/>
      <w:jc w:val="center"/>
      <w:rPr>
        <w:rFonts w:ascii="FrankRuehl" w:hAnsi="FrankRuehl" w:cs="FrankRuehl"/>
        <w:color w:val="000000"/>
      </w:rPr>
    </w:pPr>
    <w:r w:rsidRPr="007A7DE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E8C08" w14:textId="77777777" w:rsidR="007A7DE3" w:rsidRDefault="007A7DE3" w:rsidP="007A7DE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C41BD">
      <w:rPr>
        <w:rFonts w:ascii="FrankRuehl" w:hAnsi="FrankRuehl" w:cs="FrankRuehl"/>
        <w:noProof/>
        <w:rtl/>
      </w:rPr>
      <w:t>1</w:t>
    </w:r>
    <w:r>
      <w:rPr>
        <w:rFonts w:ascii="FrankRuehl" w:hAnsi="FrankRuehl" w:cs="FrankRuehl"/>
        <w:rtl/>
      </w:rPr>
      <w:fldChar w:fldCharType="end"/>
    </w:r>
  </w:p>
  <w:p w14:paraId="26DEFC3A" w14:textId="77777777" w:rsidR="00093D25" w:rsidRPr="007A7DE3" w:rsidRDefault="007A7DE3" w:rsidP="007A7DE3">
    <w:pPr>
      <w:pStyle w:val="a5"/>
      <w:pBdr>
        <w:top w:val="single" w:sz="4" w:space="1" w:color="auto"/>
        <w:between w:val="single" w:sz="4" w:space="0" w:color="auto"/>
      </w:pBdr>
      <w:spacing w:after="60"/>
      <w:jc w:val="center"/>
      <w:rPr>
        <w:rFonts w:ascii="FrankRuehl" w:hAnsi="FrankRuehl" w:cs="FrankRuehl"/>
        <w:color w:val="000000"/>
      </w:rPr>
    </w:pPr>
    <w:r w:rsidRPr="007A7DE3">
      <w:rPr>
        <w:rFonts w:ascii="FrankRuehl" w:hAnsi="FrankRuehl" w:cs="FrankRuehl"/>
        <w:color w:val="000000"/>
      </w:rPr>
      <w:pict w14:anchorId="4F91DD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DF93F8" w14:textId="77777777" w:rsidR="004D38B9" w:rsidRDefault="004D38B9" w:rsidP="00C2530A">
      <w:r>
        <w:separator/>
      </w:r>
    </w:p>
  </w:footnote>
  <w:footnote w:type="continuationSeparator" w:id="0">
    <w:p w14:paraId="3B86B68C" w14:textId="77777777" w:rsidR="004D38B9" w:rsidRDefault="004D38B9" w:rsidP="00C253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DAFAF1" w14:textId="77777777" w:rsidR="00257A28" w:rsidRPr="007A7DE3" w:rsidRDefault="007A7DE3" w:rsidP="007A7DE3">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(כ"ס) 3197-06-22</w:t>
    </w:r>
    <w:r>
      <w:rPr>
        <w:rFonts w:ascii="David" w:hAnsi="David"/>
        <w:color w:val="000000"/>
        <w:sz w:val="22"/>
        <w:szCs w:val="22"/>
        <w:rtl/>
      </w:rPr>
      <w:tab/>
      <w:t xml:space="preserve"> מדינת ישראל  נ' אחמד מצארוה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17E0D" w14:textId="77777777" w:rsidR="00257A28" w:rsidRPr="007A7DE3" w:rsidRDefault="007A7DE3" w:rsidP="007A7DE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3197-06-22</w:t>
    </w:r>
    <w:r>
      <w:rPr>
        <w:rFonts w:ascii="David" w:hAnsi="David"/>
        <w:color w:val="000000"/>
        <w:sz w:val="22"/>
        <w:szCs w:val="22"/>
        <w:rtl/>
      </w:rPr>
      <w:tab/>
      <w:t xml:space="preserve"> מדינת ישראל  נ' אחמד מצארוה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14598"/>
    <w:rsid w:val="00005E33"/>
    <w:rsid w:val="00093D25"/>
    <w:rsid w:val="00127300"/>
    <w:rsid w:val="001B5A3B"/>
    <w:rsid w:val="00257A28"/>
    <w:rsid w:val="0027248A"/>
    <w:rsid w:val="004D38B9"/>
    <w:rsid w:val="00514598"/>
    <w:rsid w:val="006335E3"/>
    <w:rsid w:val="006C41BD"/>
    <w:rsid w:val="00780D4E"/>
    <w:rsid w:val="007A7DE3"/>
    <w:rsid w:val="0097268F"/>
    <w:rsid w:val="00C2530A"/>
    <w:rsid w:val="00C84D98"/>
    <w:rsid w:val="00FF30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F47CDF"/>
  <w15:chartTrackingRefBased/>
  <w15:docId w15:val="{2098731F-C5C0-4E4F-A991-AE99B1AFE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459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14598"/>
    <w:pPr>
      <w:tabs>
        <w:tab w:val="center" w:pos="4153"/>
        <w:tab w:val="right" w:pos="8306"/>
      </w:tabs>
    </w:pPr>
  </w:style>
  <w:style w:type="character" w:customStyle="1" w:styleId="a4">
    <w:name w:val="כותרת עליונה תו"/>
    <w:link w:val="a3"/>
    <w:rsid w:val="00514598"/>
    <w:rPr>
      <w:rFonts w:ascii="Times New Roman" w:eastAsia="Times New Roman" w:hAnsi="Times New Roman" w:cs="David"/>
      <w:sz w:val="24"/>
      <w:szCs w:val="24"/>
    </w:rPr>
  </w:style>
  <w:style w:type="paragraph" w:styleId="a5">
    <w:name w:val="footer"/>
    <w:basedOn w:val="a"/>
    <w:link w:val="a6"/>
    <w:rsid w:val="00514598"/>
    <w:pPr>
      <w:tabs>
        <w:tab w:val="center" w:pos="4153"/>
        <w:tab w:val="right" w:pos="8306"/>
      </w:tabs>
    </w:pPr>
  </w:style>
  <w:style w:type="character" w:customStyle="1" w:styleId="a6">
    <w:name w:val="כותרת תחתונה תו"/>
    <w:link w:val="a5"/>
    <w:rsid w:val="00514598"/>
    <w:rPr>
      <w:rFonts w:ascii="Times New Roman" w:eastAsia="Times New Roman" w:hAnsi="Times New Roman" w:cs="David"/>
      <w:sz w:val="24"/>
      <w:szCs w:val="24"/>
    </w:rPr>
  </w:style>
  <w:style w:type="table" w:styleId="a7">
    <w:name w:val="Table Grid"/>
    <w:basedOn w:val="a1"/>
    <w:rsid w:val="0051459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14598"/>
  </w:style>
  <w:style w:type="character" w:styleId="Hyperlink">
    <w:name w:val="Hyperlink"/>
    <w:rsid w:val="005145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27510949"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case/26520337" TargetMode="External"/><Relationship Id="rId7" Type="http://schemas.openxmlformats.org/officeDocument/2006/relationships/hyperlink" Target="http://www.nevo.co.il/law/70301/144.a" TargetMode="External"/><Relationship Id="rId12" Type="http://schemas.openxmlformats.org/officeDocument/2006/relationships/hyperlink" Target="http://www.nevo.co.il/case/20531134" TargetMode="External"/><Relationship Id="rId17" Type="http://schemas.openxmlformats.org/officeDocument/2006/relationships/hyperlink" Target="http://www.nevo.co.il/law/70301"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case/27207408" TargetMode="External"/><Relationship Id="rId20" Type="http://schemas.openxmlformats.org/officeDocument/2006/relationships/hyperlink" Target="http://www.nevo.co.il/case/25890687"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25612982"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case/27907602" TargetMode="External"/><Relationship Id="rId23" Type="http://schemas.openxmlformats.org/officeDocument/2006/relationships/hyperlink" Target="http://www.nevo.co.il/case/28237825" TargetMode="External"/><Relationship Id="rId28"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25623200"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27115374" TargetMode="External"/><Relationship Id="rId22" Type="http://schemas.openxmlformats.org/officeDocument/2006/relationships/hyperlink" Target="http://www.nevo.co.il/case/28093395"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1667</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9988</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3473527</vt:i4>
      </vt:variant>
      <vt:variant>
        <vt:i4>51</vt:i4>
      </vt:variant>
      <vt:variant>
        <vt:i4>0</vt:i4>
      </vt:variant>
      <vt:variant>
        <vt:i4>5</vt:i4>
      </vt:variant>
      <vt:variant>
        <vt:lpwstr>http://www.nevo.co.il/case/28237825</vt:lpwstr>
      </vt:variant>
      <vt:variant>
        <vt:lpwstr/>
      </vt:variant>
      <vt:variant>
        <vt:i4>3670134</vt:i4>
      </vt:variant>
      <vt:variant>
        <vt:i4>48</vt:i4>
      </vt:variant>
      <vt:variant>
        <vt:i4>0</vt:i4>
      </vt:variant>
      <vt:variant>
        <vt:i4>5</vt:i4>
      </vt:variant>
      <vt:variant>
        <vt:lpwstr>http://www.nevo.co.il/case/28093395</vt:lpwstr>
      </vt:variant>
      <vt:variant>
        <vt:lpwstr/>
      </vt:variant>
      <vt:variant>
        <vt:i4>3407987</vt:i4>
      </vt:variant>
      <vt:variant>
        <vt:i4>45</vt:i4>
      </vt:variant>
      <vt:variant>
        <vt:i4>0</vt:i4>
      </vt:variant>
      <vt:variant>
        <vt:i4>5</vt:i4>
      </vt:variant>
      <vt:variant>
        <vt:lpwstr>http://www.nevo.co.il/case/26520337</vt:lpwstr>
      </vt:variant>
      <vt:variant>
        <vt:lpwstr/>
      </vt:variant>
      <vt:variant>
        <vt:i4>3276926</vt:i4>
      </vt:variant>
      <vt:variant>
        <vt:i4>42</vt:i4>
      </vt:variant>
      <vt:variant>
        <vt:i4>0</vt:i4>
      </vt:variant>
      <vt:variant>
        <vt:i4>5</vt:i4>
      </vt:variant>
      <vt:variant>
        <vt:lpwstr>http://www.nevo.co.il/case/25890687</vt:lpwstr>
      </vt:variant>
      <vt:variant>
        <vt:lpwstr/>
      </vt:variant>
      <vt:variant>
        <vt:i4>3604593</vt:i4>
      </vt:variant>
      <vt:variant>
        <vt:i4>39</vt:i4>
      </vt:variant>
      <vt:variant>
        <vt:i4>0</vt:i4>
      </vt:variant>
      <vt:variant>
        <vt:i4>5</vt:i4>
      </vt:variant>
      <vt:variant>
        <vt:lpwstr>http://www.nevo.co.il/case/25623200</vt:lpwstr>
      </vt:variant>
      <vt:variant>
        <vt:lpwstr/>
      </vt:variant>
      <vt:variant>
        <vt:i4>3342459</vt:i4>
      </vt:variant>
      <vt:variant>
        <vt:i4>36</vt:i4>
      </vt:variant>
      <vt:variant>
        <vt:i4>0</vt:i4>
      </vt:variant>
      <vt:variant>
        <vt:i4>5</vt:i4>
      </vt:variant>
      <vt:variant>
        <vt:lpwstr>http://www.nevo.co.il/case/27510949</vt:lpwstr>
      </vt:variant>
      <vt:variant>
        <vt:lpwstr/>
      </vt:variant>
      <vt:variant>
        <vt:i4>7995492</vt:i4>
      </vt:variant>
      <vt:variant>
        <vt:i4>33</vt:i4>
      </vt:variant>
      <vt:variant>
        <vt:i4>0</vt:i4>
      </vt:variant>
      <vt:variant>
        <vt:i4>5</vt:i4>
      </vt:variant>
      <vt:variant>
        <vt:lpwstr>http://www.nevo.co.il/law/70301</vt:lpwstr>
      </vt:variant>
      <vt:variant>
        <vt:lpwstr/>
      </vt:variant>
      <vt:variant>
        <vt:i4>3604599</vt:i4>
      </vt:variant>
      <vt:variant>
        <vt:i4>30</vt:i4>
      </vt:variant>
      <vt:variant>
        <vt:i4>0</vt:i4>
      </vt:variant>
      <vt:variant>
        <vt:i4>5</vt:i4>
      </vt:variant>
      <vt:variant>
        <vt:lpwstr>http://www.nevo.co.il/case/27207408</vt:lpwstr>
      </vt:variant>
      <vt:variant>
        <vt:lpwstr/>
      </vt:variant>
      <vt:variant>
        <vt:i4>3932277</vt:i4>
      </vt:variant>
      <vt:variant>
        <vt:i4>27</vt:i4>
      </vt:variant>
      <vt:variant>
        <vt:i4>0</vt:i4>
      </vt:variant>
      <vt:variant>
        <vt:i4>5</vt:i4>
      </vt:variant>
      <vt:variant>
        <vt:lpwstr>http://www.nevo.co.il/case/27907602</vt:lpwstr>
      </vt:variant>
      <vt:variant>
        <vt:lpwstr/>
      </vt:variant>
      <vt:variant>
        <vt:i4>3211377</vt:i4>
      </vt:variant>
      <vt:variant>
        <vt:i4>24</vt:i4>
      </vt:variant>
      <vt:variant>
        <vt:i4>0</vt:i4>
      </vt:variant>
      <vt:variant>
        <vt:i4>5</vt:i4>
      </vt:variant>
      <vt:variant>
        <vt:lpwstr>http://www.nevo.co.il/case/27115374</vt:lpwstr>
      </vt:variant>
      <vt:variant>
        <vt:lpwstr/>
      </vt:variant>
      <vt:variant>
        <vt:i4>7995492</vt:i4>
      </vt:variant>
      <vt:variant>
        <vt:i4>21</vt:i4>
      </vt:variant>
      <vt:variant>
        <vt:i4>0</vt:i4>
      </vt:variant>
      <vt:variant>
        <vt:i4>5</vt:i4>
      </vt:variant>
      <vt:variant>
        <vt:lpwstr>http://www.nevo.co.il/law/70301</vt:lpwstr>
      </vt:variant>
      <vt:variant>
        <vt:lpwstr/>
      </vt:variant>
      <vt:variant>
        <vt:i4>3473526</vt:i4>
      </vt:variant>
      <vt:variant>
        <vt:i4>18</vt:i4>
      </vt:variant>
      <vt:variant>
        <vt:i4>0</vt:i4>
      </vt:variant>
      <vt:variant>
        <vt:i4>5</vt:i4>
      </vt:variant>
      <vt:variant>
        <vt:lpwstr>http://www.nevo.co.il/case/20531134</vt:lpwstr>
      </vt:variant>
      <vt:variant>
        <vt:lpwstr/>
      </vt:variant>
      <vt:variant>
        <vt:i4>4063353</vt:i4>
      </vt:variant>
      <vt:variant>
        <vt:i4>15</vt:i4>
      </vt:variant>
      <vt:variant>
        <vt:i4>0</vt:i4>
      </vt:variant>
      <vt:variant>
        <vt:i4>5</vt:i4>
      </vt:variant>
      <vt:variant>
        <vt:lpwstr>http://www.nevo.co.il/case/25612982</vt:lpwstr>
      </vt:variant>
      <vt:variant>
        <vt:lpwstr/>
      </vt:variant>
      <vt:variant>
        <vt:i4>7995492</vt:i4>
      </vt:variant>
      <vt:variant>
        <vt:i4>12</vt:i4>
      </vt:variant>
      <vt:variant>
        <vt:i4>0</vt:i4>
      </vt:variant>
      <vt:variant>
        <vt:i4>5</vt:i4>
      </vt:variant>
      <vt:variant>
        <vt:lpwstr>http://www.nevo.co.il/law/70301</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2025-01-19T17:50:00Z</dcterms:created>
  <dcterms:modified xsi:type="dcterms:W3CDTF">2025-01-19T17:50:00Z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3197</vt:lpwstr>
  </property>
  <property fmtid="{D5CDD505-2E9C-101B-9397-08002B2CF9AE}" pid="6" name="NEWPARTB">
    <vt:lpwstr>06</vt:lpwstr>
  </property>
  <property fmtid="{D5CDD505-2E9C-101B-9397-08002B2CF9AE}" pid="7" name="NEWPARTC">
    <vt:lpwstr>22</vt:lpwstr>
  </property>
  <property fmtid="{D5CDD505-2E9C-101B-9397-08002B2CF9AE}" pid="8" name="APPELLANT">
    <vt:lpwstr>מדינת ישראל </vt:lpwstr>
  </property>
  <property fmtid="{D5CDD505-2E9C-101B-9397-08002B2CF9AE}" pid="9" name="APPELLEE">
    <vt:lpwstr>אחמד מצארוה</vt:lpwstr>
  </property>
  <property fmtid="{D5CDD505-2E9C-101B-9397-08002B2CF9AE}" pid="10" name="LAWYER">
    <vt:lpwstr>מירי ביטון הראל;איהאב ג'לג'ולי</vt:lpwstr>
  </property>
  <property fmtid="{D5CDD505-2E9C-101B-9397-08002B2CF9AE}" pid="11" name="JUDGE">
    <vt:lpwstr>אביב שרון</vt:lpwstr>
  </property>
  <property fmtid="{D5CDD505-2E9C-101B-9397-08002B2CF9AE}" pid="12" name="CITY">
    <vt:lpwstr>כ"ס</vt:lpwstr>
  </property>
  <property fmtid="{D5CDD505-2E9C-101B-9397-08002B2CF9AE}" pid="13" name="DATE">
    <vt:lpwstr>20221218</vt:lpwstr>
  </property>
  <property fmtid="{D5CDD505-2E9C-101B-9397-08002B2CF9AE}" pid="14" name="TYPE_N_DATE">
    <vt:lpwstr>38020221218</vt:lpwstr>
  </property>
  <property fmtid="{D5CDD505-2E9C-101B-9397-08002B2CF9AE}" pid="15" name="WORDNUMPAGES">
    <vt:lpwstr>5</vt:lpwstr>
  </property>
  <property fmtid="{D5CDD505-2E9C-101B-9397-08002B2CF9AE}" pid="16" name="TYPE_ABS_DATE">
    <vt:lpwstr>380020221218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25612982;20531134;27115374;27907602;27207408;27510949;25623200;25890687;26520337;28093395;28237825</vt:lpwstr>
  </property>
  <property fmtid="{D5CDD505-2E9C-101B-9397-08002B2CF9AE}" pid="36" name="LAWLISTTMP1">
    <vt:lpwstr>70301/144.a</vt:lpwstr>
  </property>
</Properties>
</file>