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B2C3E" w:rsidRPr="004741E8" w14:paraId="42E4AA3E" w14:textId="77777777" w:rsidTr="00AB6125">
        <w:trPr>
          <w:trHeight w:hRule="exact" w:val="418"/>
          <w:jc w:val="center"/>
        </w:trPr>
        <w:tc>
          <w:tcPr>
            <w:tcW w:w="8721" w:type="dxa"/>
            <w:gridSpan w:val="2"/>
          </w:tcPr>
          <w:p w14:paraId="76374F28" w14:textId="77777777" w:rsidR="008B2C3E" w:rsidRPr="004741E8" w:rsidRDefault="008B2C3E" w:rsidP="0003211E">
            <w:pPr>
              <w:pStyle w:val="a3"/>
              <w:jc w:val="center"/>
              <w:rPr>
                <w:rFonts w:ascii="Tahoma" w:hAnsi="Tahoma" w:cs="Tahoma"/>
                <w:color w:val="000080"/>
                <w:rtl/>
              </w:rPr>
            </w:pPr>
            <w:bookmarkStart w:id="0" w:name="LastJudge"/>
            <w:r w:rsidRPr="004741E8">
              <w:rPr>
                <w:rFonts w:ascii="Tahoma" w:hAnsi="Tahoma" w:cs="Tahoma"/>
                <w:b/>
                <w:bCs/>
                <w:color w:val="000080"/>
                <w:rtl/>
              </w:rPr>
              <w:t>בית משפט השלום בעכו</w:t>
            </w:r>
          </w:p>
        </w:tc>
      </w:tr>
      <w:tr w:rsidR="008B2C3E" w:rsidRPr="004741E8" w14:paraId="62843C7C" w14:textId="77777777" w:rsidTr="00AB6125">
        <w:trPr>
          <w:trHeight w:val="337"/>
          <w:jc w:val="center"/>
        </w:trPr>
        <w:tc>
          <w:tcPr>
            <w:tcW w:w="5058" w:type="dxa"/>
          </w:tcPr>
          <w:p w14:paraId="5963D7FA" w14:textId="77777777" w:rsidR="008B2C3E" w:rsidRPr="004741E8" w:rsidRDefault="008B2C3E" w:rsidP="0003211E">
            <w:pPr>
              <w:rPr>
                <w:rFonts w:cs="FrankRuehl"/>
                <w:sz w:val="28"/>
                <w:szCs w:val="28"/>
                <w:rtl/>
              </w:rPr>
            </w:pPr>
            <w:r w:rsidRPr="004741E8">
              <w:rPr>
                <w:rFonts w:cs="FrankRuehl"/>
                <w:sz w:val="28"/>
                <w:szCs w:val="28"/>
                <w:rtl/>
              </w:rPr>
              <w:t>ת"פ</w:t>
            </w:r>
            <w:r w:rsidRPr="004741E8">
              <w:rPr>
                <w:rFonts w:cs="FrankRuehl" w:hint="cs"/>
                <w:sz w:val="28"/>
                <w:szCs w:val="28"/>
                <w:rtl/>
              </w:rPr>
              <w:t xml:space="preserve"> </w:t>
            </w:r>
            <w:r w:rsidRPr="004741E8">
              <w:rPr>
                <w:rFonts w:cs="FrankRuehl"/>
                <w:sz w:val="28"/>
                <w:szCs w:val="28"/>
                <w:rtl/>
              </w:rPr>
              <w:t>28334-07-22</w:t>
            </w:r>
            <w:r w:rsidRPr="004741E8">
              <w:rPr>
                <w:rFonts w:cs="FrankRuehl" w:hint="cs"/>
                <w:sz w:val="28"/>
                <w:szCs w:val="28"/>
                <w:rtl/>
              </w:rPr>
              <w:t xml:space="preserve"> </w:t>
            </w:r>
            <w:r w:rsidRPr="004741E8">
              <w:rPr>
                <w:rFonts w:cs="FrankRuehl"/>
                <w:sz w:val="28"/>
                <w:szCs w:val="28"/>
                <w:rtl/>
              </w:rPr>
              <w:t>מדינת ישראל נ' חג'אזי(עציר)</w:t>
            </w:r>
          </w:p>
          <w:p w14:paraId="66616849" w14:textId="77777777" w:rsidR="008B2C3E" w:rsidRPr="004741E8" w:rsidRDefault="008B2C3E" w:rsidP="0003211E">
            <w:pPr>
              <w:pStyle w:val="a3"/>
              <w:rPr>
                <w:rFonts w:cs="FrankRuehl"/>
                <w:sz w:val="28"/>
                <w:szCs w:val="28"/>
                <w:rtl/>
              </w:rPr>
            </w:pPr>
          </w:p>
        </w:tc>
        <w:tc>
          <w:tcPr>
            <w:tcW w:w="3663" w:type="dxa"/>
          </w:tcPr>
          <w:p w14:paraId="41EAA9E3" w14:textId="77777777" w:rsidR="008B2C3E" w:rsidRPr="004741E8" w:rsidRDefault="008B2C3E" w:rsidP="0003211E">
            <w:pPr>
              <w:pStyle w:val="a3"/>
              <w:jc w:val="right"/>
              <w:rPr>
                <w:rFonts w:cs="FrankRuehl"/>
                <w:sz w:val="28"/>
                <w:szCs w:val="28"/>
                <w:rtl/>
              </w:rPr>
            </w:pPr>
          </w:p>
        </w:tc>
      </w:tr>
    </w:tbl>
    <w:p w14:paraId="061144C8" w14:textId="77777777" w:rsidR="008B2C3E" w:rsidRPr="004741E8" w:rsidRDefault="008B2C3E" w:rsidP="008B2C3E">
      <w:pPr>
        <w:pStyle w:val="a3"/>
        <w:rPr>
          <w:rtl/>
        </w:rPr>
      </w:pPr>
      <w:r w:rsidRPr="004741E8">
        <w:rPr>
          <w:rFonts w:hint="cs"/>
          <w:rtl/>
        </w:rPr>
        <w:t xml:space="preserve"> </w:t>
      </w:r>
    </w:p>
    <w:p w14:paraId="5F885710" w14:textId="77777777" w:rsidR="008B2C3E" w:rsidRPr="004741E8" w:rsidRDefault="008B2C3E" w:rsidP="008B2C3E">
      <w:pPr>
        <w:rPr>
          <w:rtl/>
        </w:rPr>
      </w:pPr>
    </w:p>
    <w:p w14:paraId="0C80F9AD" w14:textId="77777777" w:rsidR="008B2C3E" w:rsidRPr="004741E8" w:rsidRDefault="008B2C3E" w:rsidP="008B2C3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B2C3E" w:rsidRPr="004741E8" w14:paraId="2B1B38E1" w14:textId="77777777" w:rsidTr="008B2C3E">
        <w:trPr>
          <w:trHeight w:val="295"/>
          <w:jc w:val="center"/>
        </w:trPr>
        <w:tc>
          <w:tcPr>
            <w:tcW w:w="923" w:type="dxa"/>
            <w:tcBorders>
              <w:top w:val="nil"/>
              <w:left w:val="nil"/>
              <w:bottom w:val="nil"/>
              <w:right w:val="nil"/>
            </w:tcBorders>
            <w:shd w:val="clear" w:color="auto" w:fill="auto"/>
          </w:tcPr>
          <w:p w14:paraId="4AF714CC" w14:textId="77777777" w:rsidR="008B2C3E" w:rsidRPr="004741E8" w:rsidRDefault="008B2C3E" w:rsidP="008B2C3E">
            <w:pPr>
              <w:jc w:val="both"/>
              <w:rPr>
                <w:rFonts w:ascii="David" w:hAnsi="David"/>
                <w:sz w:val="26"/>
                <w:szCs w:val="26"/>
              </w:rPr>
            </w:pPr>
            <w:r w:rsidRPr="004741E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3E5C3BC" w14:textId="77777777" w:rsidR="008B2C3E" w:rsidRPr="004741E8" w:rsidRDefault="008B2C3E" w:rsidP="0003211E">
            <w:pPr>
              <w:rPr>
                <w:rFonts w:ascii="David" w:hAnsi="David"/>
                <w:b/>
                <w:bCs/>
                <w:sz w:val="26"/>
                <w:szCs w:val="26"/>
                <w:rtl/>
              </w:rPr>
            </w:pPr>
            <w:r w:rsidRPr="004741E8">
              <w:rPr>
                <w:rFonts w:ascii="David" w:hAnsi="David"/>
                <w:b/>
                <w:bCs/>
                <w:sz w:val="26"/>
                <w:szCs w:val="26"/>
                <w:rtl/>
              </w:rPr>
              <w:t>כבוד השופטת  שושנה פיינסוד-כהן</w:t>
            </w:r>
          </w:p>
          <w:p w14:paraId="2092ACCF" w14:textId="77777777" w:rsidR="008B2C3E" w:rsidRPr="004741E8" w:rsidRDefault="008B2C3E" w:rsidP="0003211E">
            <w:pPr>
              <w:rPr>
                <w:rFonts w:ascii="David" w:hAnsi="David"/>
                <w:sz w:val="26"/>
                <w:szCs w:val="26"/>
                <w:rtl/>
              </w:rPr>
            </w:pPr>
          </w:p>
          <w:p w14:paraId="35FC4CCE" w14:textId="77777777" w:rsidR="008B2C3E" w:rsidRPr="004741E8" w:rsidRDefault="008B2C3E" w:rsidP="008B2C3E">
            <w:pPr>
              <w:jc w:val="both"/>
              <w:rPr>
                <w:rFonts w:ascii="David" w:hAnsi="David"/>
                <w:sz w:val="26"/>
                <w:szCs w:val="26"/>
              </w:rPr>
            </w:pPr>
          </w:p>
        </w:tc>
      </w:tr>
      <w:tr w:rsidR="008B2C3E" w:rsidRPr="004741E8" w14:paraId="1617E821" w14:textId="77777777" w:rsidTr="008B2C3E">
        <w:trPr>
          <w:trHeight w:val="355"/>
          <w:jc w:val="center"/>
        </w:trPr>
        <w:tc>
          <w:tcPr>
            <w:tcW w:w="923" w:type="dxa"/>
            <w:tcBorders>
              <w:top w:val="nil"/>
              <w:left w:val="nil"/>
              <w:bottom w:val="nil"/>
              <w:right w:val="nil"/>
            </w:tcBorders>
            <w:shd w:val="clear" w:color="auto" w:fill="auto"/>
          </w:tcPr>
          <w:p w14:paraId="4E61D280" w14:textId="77777777" w:rsidR="008B2C3E" w:rsidRPr="004741E8" w:rsidRDefault="008B2C3E" w:rsidP="008B2C3E">
            <w:pPr>
              <w:jc w:val="both"/>
              <w:rPr>
                <w:rFonts w:ascii="David" w:hAnsi="David"/>
                <w:sz w:val="26"/>
                <w:szCs w:val="26"/>
              </w:rPr>
            </w:pPr>
            <w:bookmarkStart w:id="1" w:name="FirstAppellant"/>
            <w:r w:rsidRPr="004741E8">
              <w:rPr>
                <w:rFonts w:ascii="David" w:hAnsi="David"/>
                <w:sz w:val="26"/>
                <w:szCs w:val="26"/>
                <w:rtl/>
              </w:rPr>
              <w:t>בעניין:</w:t>
            </w:r>
          </w:p>
        </w:tc>
        <w:tc>
          <w:tcPr>
            <w:tcW w:w="3219" w:type="dxa"/>
            <w:tcBorders>
              <w:top w:val="nil"/>
              <w:left w:val="nil"/>
              <w:bottom w:val="nil"/>
              <w:right w:val="nil"/>
            </w:tcBorders>
            <w:shd w:val="clear" w:color="auto" w:fill="auto"/>
          </w:tcPr>
          <w:p w14:paraId="19D54C46" w14:textId="77777777" w:rsidR="008B2C3E" w:rsidRPr="004741E8" w:rsidRDefault="008B2C3E" w:rsidP="008B2C3E">
            <w:pPr>
              <w:suppressLineNumbers/>
            </w:pPr>
            <w:r w:rsidRPr="004741E8">
              <w:rPr>
                <w:rFonts w:ascii="Arial" w:hAnsi="Arial" w:hint="cs"/>
                <w:b/>
                <w:bCs/>
                <w:sz w:val="26"/>
                <w:szCs w:val="26"/>
                <w:rtl/>
              </w:rPr>
              <w:t>ה</w:t>
            </w:r>
            <w:r w:rsidRPr="004741E8">
              <w:rPr>
                <w:rFonts w:ascii="Arial" w:hAnsi="Arial"/>
                <w:b/>
                <w:bCs/>
                <w:sz w:val="26"/>
                <w:szCs w:val="26"/>
                <w:rtl/>
              </w:rPr>
              <w:t>מאשימה</w:t>
            </w:r>
          </w:p>
          <w:p w14:paraId="26DBCFC1" w14:textId="77777777" w:rsidR="008B2C3E" w:rsidRPr="004741E8" w:rsidRDefault="008B2C3E" w:rsidP="0003211E">
            <w:pPr>
              <w:rPr>
                <w:rFonts w:ascii="David" w:hAnsi="David"/>
                <w:sz w:val="26"/>
                <w:szCs w:val="26"/>
              </w:rPr>
            </w:pPr>
          </w:p>
        </w:tc>
        <w:tc>
          <w:tcPr>
            <w:tcW w:w="4678" w:type="dxa"/>
            <w:tcBorders>
              <w:top w:val="nil"/>
              <w:left w:val="nil"/>
              <w:bottom w:val="nil"/>
              <w:right w:val="nil"/>
            </w:tcBorders>
            <w:shd w:val="clear" w:color="auto" w:fill="auto"/>
            <w:vAlign w:val="center"/>
          </w:tcPr>
          <w:p w14:paraId="59BDED0A" w14:textId="77777777" w:rsidR="008B2C3E" w:rsidRPr="004741E8" w:rsidRDefault="008B2C3E" w:rsidP="008B2C3E">
            <w:pPr>
              <w:suppressLineNumbers/>
              <w:rPr>
                <w:rFonts w:ascii="Arial" w:hAnsi="Arial"/>
                <w:b/>
                <w:bCs/>
                <w:sz w:val="26"/>
                <w:szCs w:val="26"/>
                <w:rtl/>
              </w:rPr>
            </w:pPr>
            <w:r w:rsidRPr="004741E8">
              <w:rPr>
                <w:rFonts w:ascii="Arial" w:hAnsi="Arial"/>
                <w:b/>
                <w:bCs/>
                <w:sz w:val="26"/>
                <w:szCs w:val="26"/>
                <w:rtl/>
              </w:rPr>
              <w:t>מדינת ישראל</w:t>
            </w:r>
            <w:r w:rsidRPr="004741E8">
              <w:rPr>
                <w:rFonts w:ascii="Arial" w:hAnsi="Arial" w:hint="cs"/>
                <w:b/>
                <w:bCs/>
                <w:sz w:val="26"/>
                <w:szCs w:val="26"/>
                <w:rtl/>
              </w:rPr>
              <w:t xml:space="preserve"> </w:t>
            </w:r>
          </w:p>
          <w:p w14:paraId="663B6EE0" w14:textId="77777777" w:rsidR="008B2C3E" w:rsidRPr="004741E8" w:rsidRDefault="008B2C3E" w:rsidP="008B2C3E">
            <w:pPr>
              <w:suppressLineNumbers/>
            </w:pPr>
            <w:r w:rsidRPr="004741E8">
              <w:rPr>
                <w:rFonts w:ascii="Arial" w:hAnsi="Arial"/>
                <w:b/>
                <w:bCs/>
                <w:sz w:val="26"/>
                <w:szCs w:val="26"/>
                <w:rtl/>
              </w:rPr>
              <w:t xml:space="preserve">ע"י </w:t>
            </w:r>
            <w:r w:rsidRPr="004741E8">
              <w:rPr>
                <w:rFonts w:ascii="Arial" w:hAnsi="Arial" w:hint="cs"/>
                <w:b/>
                <w:bCs/>
                <w:sz w:val="26"/>
                <w:szCs w:val="26"/>
                <w:rtl/>
              </w:rPr>
              <w:t>שלוחת התביעות גליל</w:t>
            </w:r>
          </w:p>
          <w:p w14:paraId="111963D7" w14:textId="77777777" w:rsidR="008B2C3E" w:rsidRPr="004741E8" w:rsidRDefault="008B2C3E" w:rsidP="0003211E">
            <w:pPr>
              <w:rPr>
                <w:rFonts w:ascii="David" w:hAnsi="David"/>
                <w:sz w:val="26"/>
                <w:szCs w:val="26"/>
              </w:rPr>
            </w:pPr>
          </w:p>
        </w:tc>
      </w:tr>
      <w:bookmarkEnd w:id="1"/>
      <w:tr w:rsidR="008B2C3E" w:rsidRPr="004741E8" w14:paraId="1FB37C06" w14:textId="77777777" w:rsidTr="008B2C3E">
        <w:trPr>
          <w:trHeight w:val="355"/>
          <w:jc w:val="center"/>
        </w:trPr>
        <w:tc>
          <w:tcPr>
            <w:tcW w:w="923" w:type="dxa"/>
            <w:tcBorders>
              <w:top w:val="nil"/>
              <w:left w:val="nil"/>
              <w:bottom w:val="nil"/>
              <w:right w:val="nil"/>
            </w:tcBorders>
            <w:shd w:val="clear" w:color="auto" w:fill="auto"/>
          </w:tcPr>
          <w:p w14:paraId="2E30F63B" w14:textId="77777777" w:rsidR="008B2C3E" w:rsidRPr="004741E8" w:rsidRDefault="008B2C3E" w:rsidP="008B2C3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76310C6" w14:textId="77777777" w:rsidR="008B2C3E" w:rsidRPr="004741E8" w:rsidRDefault="008B2C3E" w:rsidP="008B2C3E">
            <w:pPr>
              <w:jc w:val="center"/>
              <w:rPr>
                <w:rFonts w:ascii="David" w:hAnsi="David"/>
                <w:b/>
                <w:bCs/>
                <w:sz w:val="26"/>
                <w:szCs w:val="26"/>
                <w:rtl/>
              </w:rPr>
            </w:pPr>
          </w:p>
          <w:p w14:paraId="1E873F84" w14:textId="77777777" w:rsidR="008B2C3E" w:rsidRPr="004741E8" w:rsidRDefault="008B2C3E" w:rsidP="008B2C3E">
            <w:pPr>
              <w:jc w:val="center"/>
              <w:rPr>
                <w:rFonts w:ascii="David" w:hAnsi="David"/>
                <w:b/>
                <w:bCs/>
                <w:sz w:val="26"/>
                <w:szCs w:val="26"/>
                <w:rtl/>
              </w:rPr>
            </w:pPr>
            <w:r w:rsidRPr="004741E8">
              <w:rPr>
                <w:rFonts w:ascii="David" w:hAnsi="David"/>
                <w:b/>
                <w:bCs/>
                <w:sz w:val="26"/>
                <w:szCs w:val="26"/>
                <w:rtl/>
              </w:rPr>
              <w:t>נגד</w:t>
            </w:r>
          </w:p>
          <w:p w14:paraId="459C7EA6" w14:textId="77777777" w:rsidR="008B2C3E" w:rsidRPr="004741E8" w:rsidRDefault="008B2C3E" w:rsidP="008B2C3E">
            <w:pPr>
              <w:jc w:val="both"/>
              <w:rPr>
                <w:rFonts w:ascii="David" w:hAnsi="David"/>
                <w:sz w:val="26"/>
                <w:szCs w:val="26"/>
              </w:rPr>
            </w:pPr>
          </w:p>
        </w:tc>
      </w:tr>
      <w:tr w:rsidR="008B2C3E" w:rsidRPr="004741E8" w14:paraId="3A3C535D" w14:textId="77777777" w:rsidTr="008B2C3E">
        <w:trPr>
          <w:trHeight w:val="355"/>
          <w:jc w:val="center"/>
        </w:trPr>
        <w:tc>
          <w:tcPr>
            <w:tcW w:w="923" w:type="dxa"/>
            <w:tcBorders>
              <w:top w:val="nil"/>
              <w:left w:val="nil"/>
              <w:bottom w:val="nil"/>
              <w:right w:val="nil"/>
            </w:tcBorders>
            <w:shd w:val="clear" w:color="auto" w:fill="auto"/>
          </w:tcPr>
          <w:p w14:paraId="43A9C43A" w14:textId="77777777" w:rsidR="008B2C3E" w:rsidRPr="004741E8" w:rsidRDefault="008B2C3E" w:rsidP="0003211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2D9BAF0" w14:textId="77777777" w:rsidR="008B2C3E" w:rsidRPr="004741E8" w:rsidRDefault="008B2C3E" w:rsidP="0003211E">
            <w:pPr>
              <w:rPr>
                <w:rFonts w:ascii="Arial" w:hAnsi="Arial"/>
                <w:b/>
                <w:bCs/>
                <w:sz w:val="26"/>
                <w:szCs w:val="26"/>
                <w:rtl/>
              </w:rPr>
            </w:pPr>
            <w:r w:rsidRPr="004741E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5E5692B" w14:textId="77777777" w:rsidR="008B2C3E" w:rsidRPr="004741E8" w:rsidRDefault="008B2C3E" w:rsidP="008B2C3E">
            <w:pPr>
              <w:suppressLineNumbers/>
              <w:rPr>
                <w:rFonts w:ascii="Arial" w:hAnsi="Arial"/>
                <w:b/>
                <w:bCs/>
                <w:sz w:val="26"/>
                <w:szCs w:val="26"/>
                <w:rtl/>
              </w:rPr>
            </w:pPr>
            <w:r w:rsidRPr="004741E8">
              <w:rPr>
                <w:rFonts w:ascii="Arial" w:hAnsi="Arial"/>
                <w:b/>
                <w:bCs/>
                <w:sz w:val="26"/>
                <w:szCs w:val="26"/>
                <w:rtl/>
              </w:rPr>
              <w:t>אחמד חג'אזי (עציר)</w:t>
            </w:r>
            <w:r w:rsidRPr="004741E8">
              <w:rPr>
                <w:rFonts w:ascii="Arial" w:hAnsi="Arial" w:hint="cs"/>
                <w:b/>
                <w:bCs/>
                <w:sz w:val="26"/>
                <w:szCs w:val="26"/>
                <w:rtl/>
              </w:rPr>
              <w:t xml:space="preserve"> </w:t>
            </w:r>
          </w:p>
          <w:p w14:paraId="5D008A9C" w14:textId="77777777" w:rsidR="008B2C3E" w:rsidRPr="004741E8" w:rsidRDefault="008B2C3E" w:rsidP="008B2C3E">
            <w:pPr>
              <w:suppressLineNumbers/>
            </w:pPr>
            <w:r w:rsidRPr="004741E8">
              <w:rPr>
                <w:rFonts w:ascii="Arial" w:hAnsi="Arial"/>
                <w:b/>
                <w:bCs/>
                <w:sz w:val="26"/>
                <w:szCs w:val="26"/>
                <w:rtl/>
              </w:rPr>
              <w:t>ע"י ב"כ עוה"ד</w:t>
            </w:r>
            <w:r w:rsidRPr="004741E8">
              <w:rPr>
                <w:rFonts w:ascii="Arial" w:hAnsi="Arial" w:hint="cs"/>
                <w:b/>
                <w:bCs/>
                <w:sz w:val="26"/>
                <w:szCs w:val="26"/>
                <w:rtl/>
              </w:rPr>
              <w:t xml:space="preserve"> מראם חמוד</w:t>
            </w:r>
          </w:p>
          <w:p w14:paraId="78D26367" w14:textId="77777777" w:rsidR="008B2C3E" w:rsidRPr="004741E8" w:rsidRDefault="008B2C3E" w:rsidP="0003211E">
            <w:pPr>
              <w:rPr>
                <w:rFonts w:ascii="David" w:hAnsi="David"/>
                <w:sz w:val="26"/>
                <w:szCs w:val="26"/>
              </w:rPr>
            </w:pPr>
          </w:p>
        </w:tc>
      </w:tr>
      <w:bookmarkEnd w:id="2"/>
    </w:tbl>
    <w:p w14:paraId="3756F4D2" w14:textId="77777777" w:rsidR="006D1F4A" w:rsidRPr="006D1F4A" w:rsidRDefault="006D1F4A" w:rsidP="006D1F4A">
      <w:pPr>
        <w:spacing w:before="120" w:after="120" w:line="240" w:lineRule="exact"/>
        <w:ind w:left="283" w:hanging="283"/>
        <w:jc w:val="both"/>
        <w:rPr>
          <w:rFonts w:ascii="FrankRuehl" w:hAnsi="FrankRuehl" w:cs="FrankRuehl"/>
          <w:rtl/>
        </w:rPr>
      </w:pPr>
    </w:p>
    <w:p w14:paraId="1DFAF48F" w14:textId="77777777" w:rsidR="0088762C" w:rsidRPr="0088762C" w:rsidRDefault="0088762C" w:rsidP="0088762C">
      <w:pPr>
        <w:spacing w:before="120" w:after="120" w:line="240" w:lineRule="exact"/>
        <w:ind w:left="283" w:hanging="283"/>
        <w:jc w:val="both"/>
        <w:rPr>
          <w:rFonts w:ascii="FrankRuehl" w:hAnsi="FrankRuehl" w:cs="FrankRuehl"/>
          <w:rtl/>
        </w:rPr>
      </w:pPr>
    </w:p>
    <w:p w14:paraId="3F84C460" w14:textId="77777777" w:rsidR="00CB38E8" w:rsidRDefault="00CB38E8" w:rsidP="00CB38E8">
      <w:pPr>
        <w:rPr>
          <w:sz w:val="26"/>
          <w:szCs w:val="26"/>
          <w:rtl/>
        </w:rPr>
      </w:pPr>
      <w:bookmarkStart w:id="3" w:name="LawTable"/>
      <w:bookmarkEnd w:id="3"/>
    </w:p>
    <w:p w14:paraId="636E7A14" w14:textId="77777777" w:rsidR="00CB38E8" w:rsidRPr="00CB38E8" w:rsidRDefault="00CB38E8" w:rsidP="00CB38E8">
      <w:pPr>
        <w:spacing w:before="120" w:after="120" w:line="240" w:lineRule="exact"/>
        <w:ind w:left="283" w:hanging="283"/>
        <w:jc w:val="both"/>
        <w:rPr>
          <w:rFonts w:ascii="FrankRuehl" w:hAnsi="FrankRuehl" w:cs="FrankRuehl"/>
          <w:rtl/>
        </w:rPr>
      </w:pPr>
    </w:p>
    <w:p w14:paraId="204E3DFD" w14:textId="77777777" w:rsidR="00CB38E8" w:rsidRPr="00CB38E8" w:rsidRDefault="00CB38E8" w:rsidP="00CB38E8">
      <w:pPr>
        <w:spacing w:before="120" w:after="120" w:line="240" w:lineRule="exact"/>
        <w:ind w:left="283" w:hanging="283"/>
        <w:jc w:val="both"/>
        <w:rPr>
          <w:rFonts w:ascii="FrankRuehl" w:hAnsi="FrankRuehl" w:cs="FrankRuehl"/>
          <w:rtl/>
        </w:rPr>
      </w:pPr>
    </w:p>
    <w:p w14:paraId="74ACDBE3" w14:textId="77777777" w:rsidR="00CB38E8" w:rsidRPr="00CB38E8" w:rsidRDefault="00CB38E8" w:rsidP="00CB38E8">
      <w:pPr>
        <w:spacing w:before="120" w:after="120" w:line="240" w:lineRule="exact"/>
        <w:ind w:left="283" w:hanging="283"/>
        <w:jc w:val="both"/>
        <w:rPr>
          <w:rFonts w:ascii="FrankRuehl" w:hAnsi="FrankRuehl" w:cs="FrankRuehl"/>
          <w:rtl/>
        </w:rPr>
      </w:pPr>
      <w:r w:rsidRPr="00CB38E8">
        <w:rPr>
          <w:rFonts w:ascii="FrankRuehl" w:hAnsi="FrankRuehl" w:cs="FrankRuehl"/>
          <w:rtl/>
        </w:rPr>
        <w:t xml:space="preserve">חקיקה שאוזכרה: </w:t>
      </w:r>
    </w:p>
    <w:p w14:paraId="267C9086" w14:textId="77777777" w:rsidR="00CB38E8" w:rsidRPr="00CB38E8" w:rsidRDefault="00CB38E8" w:rsidP="00CB38E8">
      <w:pPr>
        <w:spacing w:before="120" w:after="120" w:line="240" w:lineRule="exact"/>
        <w:ind w:left="283" w:hanging="283"/>
        <w:jc w:val="both"/>
        <w:rPr>
          <w:rFonts w:ascii="FrankRuehl" w:hAnsi="FrankRuehl" w:cs="FrankRuehl"/>
          <w:rtl/>
        </w:rPr>
      </w:pPr>
      <w:hyperlink r:id="rId7" w:history="1">
        <w:r w:rsidRPr="00CB38E8">
          <w:rPr>
            <w:rFonts w:ascii="FrankRuehl" w:hAnsi="FrankRuehl" w:cs="FrankRuehl"/>
            <w:color w:val="0000FF"/>
            <w:rtl/>
          </w:rPr>
          <w:t>חוק העונשין, תשל"ז-1977</w:t>
        </w:r>
      </w:hyperlink>
      <w:r w:rsidRPr="00CB38E8">
        <w:rPr>
          <w:rFonts w:ascii="FrankRuehl" w:hAnsi="FrankRuehl" w:cs="FrankRuehl"/>
          <w:rtl/>
        </w:rPr>
        <w:t xml:space="preserve">: סע'  </w:t>
      </w:r>
      <w:hyperlink r:id="rId8" w:history="1">
        <w:r w:rsidRPr="00CB38E8">
          <w:rPr>
            <w:rFonts w:ascii="FrankRuehl" w:hAnsi="FrankRuehl" w:cs="FrankRuehl"/>
            <w:color w:val="0000FF"/>
            <w:rtl/>
          </w:rPr>
          <w:t>144(א)</w:t>
        </w:r>
      </w:hyperlink>
    </w:p>
    <w:p w14:paraId="13C11E4D" w14:textId="77777777" w:rsidR="00CB38E8" w:rsidRPr="00CB38E8" w:rsidRDefault="00CB38E8" w:rsidP="00CB38E8">
      <w:pPr>
        <w:rPr>
          <w:sz w:val="26"/>
          <w:szCs w:val="26"/>
          <w:rtl/>
        </w:rPr>
      </w:pPr>
      <w:bookmarkStart w:id="4" w:name="LawTable_End"/>
      <w:bookmarkEnd w:id="4"/>
    </w:p>
    <w:p w14:paraId="72B43D98" w14:textId="77777777" w:rsidR="008B2C3E" w:rsidRPr="0088762C" w:rsidRDefault="008B2C3E" w:rsidP="0088762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2C3E" w14:paraId="6A38FB7B" w14:textId="77777777" w:rsidTr="008B2C3E">
        <w:trPr>
          <w:trHeight w:val="355"/>
          <w:jc w:val="center"/>
        </w:trPr>
        <w:tc>
          <w:tcPr>
            <w:tcW w:w="8820" w:type="dxa"/>
            <w:tcBorders>
              <w:top w:val="nil"/>
              <w:left w:val="nil"/>
              <w:bottom w:val="nil"/>
              <w:right w:val="nil"/>
            </w:tcBorders>
            <w:shd w:val="clear" w:color="auto" w:fill="auto"/>
          </w:tcPr>
          <w:p w14:paraId="07ABF751" w14:textId="77777777" w:rsidR="004741E8" w:rsidRPr="004741E8" w:rsidRDefault="004741E8" w:rsidP="004741E8">
            <w:pPr>
              <w:jc w:val="center"/>
              <w:rPr>
                <w:rFonts w:ascii="David" w:hAnsi="David"/>
                <w:b/>
                <w:bCs/>
                <w:sz w:val="32"/>
                <w:szCs w:val="32"/>
                <w:u w:val="single"/>
                <w:rtl/>
              </w:rPr>
            </w:pPr>
            <w:bookmarkStart w:id="5" w:name="PsakDin" w:colFirst="0" w:colLast="0"/>
            <w:bookmarkEnd w:id="0"/>
            <w:r w:rsidRPr="004741E8">
              <w:rPr>
                <w:rFonts w:ascii="David" w:hAnsi="David"/>
                <w:b/>
                <w:bCs/>
                <w:sz w:val="32"/>
                <w:szCs w:val="32"/>
                <w:u w:val="single"/>
                <w:rtl/>
              </w:rPr>
              <w:t>גזר דין</w:t>
            </w:r>
          </w:p>
          <w:p w14:paraId="6B3BA515" w14:textId="77777777" w:rsidR="008B2C3E" w:rsidRPr="004741E8" w:rsidRDefault="008B2C3E" w:rsidP="004741E8">
            <w:pPr>
              <w:jc w:val="center"/>
              <w:rPr>
                <w:rFonts w:ascii="David" w:hAnsi="David"/>
                <w:bCs/>
                <w:sz w:val="32"/>
                <w:szCs w:val="32"/>
                <w:u w:val="single"/>
                <w:rtl/>
              </w:rPr>
            </w:pPr>
          </w:p>
        </w:tc>
      </w:tr>
      <w:bookmarkEnd w:id="5"/>
    </w:tbl>
    <w:p w14:paraId="27148A68" w14:textId="77777777" w:rsidR="008B2C3E" w:rsidRPr="000F2247" w:rsidRDefault="008B2C3E" w:rsidP="008B2C3E">
      <w:pPr>
        <w:rPr>
          <w:rFonts w:ascii="Arial" w:hAnsi="Arial"/>
          <w:b/>
          <w:bCs/>
          <w:sz w:val="26"/>
          <w:szCs w:val="26"/>
          <w:rtl/>
        </w:rPr>
      </w:pPr>
    </w:p>
    <w:p w14:paraId="5A0E80C3" w14:textId="77777777" w:rsidR="008B2C3E" w:rsidRPr="000F2247" w:rsidRDefault="008B2C3E" w:rsidP="008B2C3E">
      <w:pPr>
        <w:rPr>
          <w:rFonts w:ascii="Arial" w:hAnsi="Arial"/>
          <w:b/>
          <w:bCs/>
          <w:sz w:val="26"/>
          <w:szCs w:val="26"/>
          <w:rtl/>
        </w:rPr>
      </w:pPr>
    </w:p>
    <w:p w14:paraId="796E8F87" w14:textId="77777777" w:rsidR="008B2C3E" w:rsidRDefault="008B2C3E" w:rsidP="008B2C3E">
      <w:pPr>
        <w:pStyle w:val="a9"/>
        <w:numPr>
          <w:ilvl w:val="0"/>
          <w:numId w:val="1"/>
        </w:numPr>
        <w:spacing w:line="360" w:lineRule="auto"/>
        <w:ind w:left="708" w:right="-426" w:hanging="567"/>
        <w:jc w:val="both"/>
        <w:rPr>
          <w:rFonts w:ascii="Arial" w:hAnsi="Arial"/>
        </w:rPr>
      </w:pPr>
      <w:bookmarkStart w:id="6" w:name="ABSTRACT_START"/>
      <w:bookmarkEnd w:id="6"/>
      <w:r>
        <w:rPr>
          <w:rFonts w:ascii="Arial" w:hAnsi="Arial"/>
          <w:rtl/>
        </w:rPr>
        <w:t xml:space="preserve">הנאשם הורשע על פי </w:t>
      </w:r>
      <w:r>
        <w:rPr>
          <w:rFonts w:ascii="Arial" w:hAnsi="Arial" w:hint="cs"/>
          <w:rtl/>
        </w:rPr>
        <w:t>הודעתו</w:t>
      </w:r>
      <w:r>
        <w:rPr>
          <w:rFonts w:ascii="Arial" w:hAnsi="Arial"/>
          <w:rtl/>
        </w:rPr>
        <w:t xml:space="preserve"> ב</w:t>
      </w:r>
      <w:r>
        <w:rPr>
          <w:rFonts w:ascii="Arial" w:hAnsi="Arial"/>
          <w:b/>
          <w:bCs/>
          <w:rtl/>
        </w:rPr>
        <w:t>עבירת החזקת/רכישת נשק שלא כדין</w:t>
      </w:r>
      <w:r>
        <w:rPr>
          <w:rFonts w:ascii="Arial" w:hAnsi="Arial"/>
          <w:rtl/>
        </w:rPr>
        <w:t xml:space="preserve">- עבירה לפי </w:t>
      </w:r>
      <w:hyperlink r:id="rId9" w:history="1">
        <w:r w:rsidR="006D1F4A" w:rsidRPr="006D1F4A">
          <w:rPr>
            <w:rStyle w:val="Hyperlink"/>
            <w:rFonts w:ascii="Arial" w:hAnsi="Arial"/>
            <w:rtl/>
          </w:rPr>
          <w:t>סעיף 144(א)</w:t>
        </w:r>
      </w:hyperlink>
      <w:r>
        <w:rPr>
          <w:rFonts w:ascii="Arial" w:hAnsi="Arial"/>
          <w:rtl/>
        </w:rPr>
        <w:t xml:space="preserve"> ל</w:t>
      </w:r>
      <w:hyperlink r:id="rId10" w:history="1">
        <w:r w:rsidR="004741E8" w:rsidRPr="004741E8">
          <w:rPr>
            <w:rFonts w:ascii="Arial" w:hAnsi="Arial"/>
            <w:color w:val="0000FF"/>
            <w:u w:val="single"/>
            <w:rtl/>
          </w:rPr>
          <w:t>חוק העונשין</w:t>
        </w:r>
      </w:hyperlink>
      <w:r>
        <w:rPr>
          <w:rFonts w:ascii="Arial" w:hAnsi="Arial"/>
          <w:rtl/>
        </w:rPr>
        <w:t xml:space="preserve">, תשל"ז- 1977 (להלן: </w:t>
      </w:r>
      <w:r>
        <w:rPr>
          <w:rFonts w:ascii="Arial" w:hAnsi="Arial"/>
          <w:b/>
          <w:bCs/>
          <w:rtl/>
        </w:rPr>
        <w:t>"חוק העונשין"</w:t>
      </w:r>
      <w:r>
        <w:rPr>
          <w:rFonts w:ascii="Arial" w:hAnsi="Arial"/>
          <w:rtl/>
        </w:rPr>
        <w:t xml:space="preserve">) ובעבירת </w:t>
      </w:r>
      <w:r>
        <w:rPr>
          <w:rFonts w:ascii="Arial" w:hAnsi="Arial"/>
          <w:b/>
          <w:bCs/>
          <w:rtl/>
        </w:rPr>
        <w:t>רכישת/ החזקת חלק של נשק או תחמושת</w:t>
      </w:r>
      <w:r>
        <w:rPr>
          <w:rFonts w:ascii="Arial" w:hAnsi="Arial"/>
          <w:rtl/>
        </w:rPr>
        <w:t xml:space="preserve">- עבירה לפי </w:t>
      </w:r>
      <w:hyperlink r:id="rId11" w:history="1">
        <w:r w:rsidR="006D1F4A" w:rsidRPr="006D1F4A">
          <w:rPr>
            <w:rStyle w:val="Hyperlink"/>
            <w:rFonts w:ascii="Arial" w:hAnsi="Arial"/>
            <w:rtl/>
          </w:rPr>
          <w:t>סעיף 144(א)</w:t>
        </w:r>
      </w:hyperlink>
      <w:r>
        <w:rPr>
          <w:rFonts w:ascii="Arial" w:hAnsi="Arial"/>
          <w:rtl/>
        </w:rPr>
        <w:t xml:space="preserve"> סיפא לחוק העונשין.</w:t>
      </w:r>
    </w:p>
    <w:p w14:paraId="21853451" w14:textId="77777777" w:rsidR="008B2C3E" w:rsidRPr="00B5072B" w:rsidRDefault="008B2C3E" w:rsidP="008B2C3E">
      <w:pPr>
        <w:pStyle w:val="a9"/>
        <w:spacing w:line="360" w:lineRule="auto"/>
        <w:ind w:left="708" w:right="-426"/>
        <w:jc w:val="both"/>
        <w:rPr>
          <w:rFonts w:ascii="Arial" w:hAnsi="Arial"/>
        </w:rPr>
      </w:pPr>
      <w:bookmarkStart w:id="7" w:name="ABSTRACT_END"/>
      <w:bookmarkEnd w:id="7"/>
    </w:p>
    <w:p w14:paraId="0E34CE16" w14:textId="77777777" w:rsidR="008B2C3E" w:rsidRDefault="008B2C3E" w:rsidP="008B2C3E">
      <w:pPr>
        <w:pStyle w:val="a9"/>
        <w:numPr>
          <w:ilvl w:val="0"/>
          <w:numId w:val="1"/>
        </w:numPr>
        <w:spacing w:line="360" w:lineRule="auto"/>
        <w:ind w:left="708" w:right="-426" w:hanging="567"/>
        <w:jc w:val="both"/>
        <w:rPr>
          <w:rFonts w:ascii="Arial" w:hAnsi="Arial"/>
        </w:rPr>
      </w:pPr>
      <w:r w:rsidRPr="00B5072B">
        <w:rPr>
          <w:rFonts w:ascii="Arial" w:hAnsi="Arial"/>
          <w:rtl/>
        </w:rPr>
        <w:t>על פי ה</w:t>
      </w:r>
      <w:r w:rsidRPr="00B5072B">
        <w:rPr>
          <w:rFonts w:ascii="Arial" w:hAnsi="Arial" w:hint="cs"/>
          <w:rtl/>
        </w:rPr>
        <w:t>עובדות המתוארות בכתב האישום</w:t>
      </w:r>
      <w:r>
        <w:rPr>
          <w:rFonts w:ascii="Arial" w:hAnsi="Arial" w:hint="cs"/>
          <w:rtl/>
        </w:rPr>
        <w:t xml:space="preserve"> </w:t>
      </w:r>
      <w:r w:rsidRPr="00B5072B">
        <w:rPr>
          <w:rFonts w:ascii="Arial" w:hAnsi="Arial" w:hint="cs"/>
          <w:rtl/>
        </w:rPr>
        <w:t>המתוקן בהן הודה הנאשם</w:t>
      </w:r>
      <w:r>
        <w:rPr>
          <w:rFonts w:ascii="Arial" w:hAnsi="Arial" w:hint="cs"/>
          <w:rtl/>
        </w:rPr>
        <w:t xml:space="preserve"> ביום 23.6.22 נמצא כי הנאשם החזיק בבית הוריו, בקומות אשר בשלבי בניה, בתוך כפפה אקדח חצי אוטומטי </w:t>
      </w:r>
      <w:r>
        <w:rPr>
          <w:rFonts w:ascii="Arial" w:hAnsi="Arial" w:hint="cs"/>
        </w:rPr>
        <w:t>FN</w:t>
      </w:r>
      <w:r>
        <w:rPr>
          <w:rFonts w:ascii="Arial" w:hAnsi="Arial" w:hint="cs"/>
          <w:rtl/>
        </w:rPr>
        <w:t xml:space="preserve"> מודל </w:t>
      </w:r>
      <w:r>
        <w:rPr>
          <w:rFonts w:ascii="Arial" w:hAnsi="Arial" w:hint="cs"/>
        </w:rPr>
        <w:t>HP</w:t>
      </w:r>
      <w:r>
        <w:rPr>
          <w:rFonts w:ascii="Arial" w:hAnsi="Arial" w:hint="cs"/>
          <w:rtl/>
        </w:rPr>
        <w:t xml:space="preserve">-35 קליבר 9 מ"מ פראבלום בעל מספר סידורי מחוק  ובו מחסנית טעונה בשני כדורים מסוג 9 מ"מ. באותו היום נכנס אחיו של הנאשם לקומה שבבניה והבין בבגדים שחורים זרוקים שנראו לו חשודים. הוא סרק את המקום וגילה את האקדח. האח דווח על כך לאביהם. למחרת, </w:t>
      </w:r>
      <w:r>
        <w:rPr>
          <w:rFonts w:ascii="Arial" w:hAnsi="Arial" w:hint="cs"/>
          <w:rtl/>
        </w:rPr>
        <w:lastRenderedPageBreak/>
        <w:t xml:space="preserve">לאחר שהנאשם הבחין כי האקדח אינו במקומו, שאל על כך את האב ודרש ממנו להגיע הביתה.  משנכנס האב לביתם החל הנאשם, בנו, לצעוק עליו כי "אם אני לא מחזיר את האקדח אני לא יודע מה יעשו לי" התפתח דין ודברים, האב לא חש בטוב והוזמן אמבולנס והוזמנה המשטרה.  הנאשם ברח מן הבית, והנשק נתפס. בשעה מאורחת יותר תפסו את הנאשם נוסע ברכב, הוא החל לברוח ונעצר. </w:t>
      </w:r>
    </w:p>
    <w:p w14:paraId="1AD2E07C" w14:textId="77777777" w:rsidR="008B2C3E" w:rsidRPr="00B5072B" w:rsidRDefault="008B2C3E" w:rsidP="008B2C3E">
      <w:pPr>
        <w:pStyle w:val="a9"/>
        <w:spacing w:line="360" w:lineRule="auto"/>
        <w:ind w:left="708" w:right="-426"/>
        <w:jc w:val="both"/>
        <w:rPr>
          <w:rFonts w:ascii="Arial" w:hAnsi="Arial"/>
        </w:rPr>
      </w:pPr>
    </w:p>
    <w:p w14:paraId="26FABB42"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 xml:space="preserve">הצדדים טענו לעונש בפניי. </w:t>
      </w:r>
      <w:r>
        <w:rPr>
          <w:rFonts w:ascii="Arial" w:hAnsi="Arial" w:hint="cs"/>
          <w:rtl/>
        </w:rPr>
        <w:t xml:space="preserve"> בטרם החלו הצדדים בטיעוניהם, במסגרת הראיות לעונש העיד אביו של הנאשם.  יובהר כי מדובר בנאשם אשר עוד מעט ימלאו לו 21 ובעת האירועים היה כבן 20.</w:t>
      </w:r>
    </w:p>
    <w:p w14:paraId="7BEE8E04" w14:textId="77777777" w:rsidR="008B2C3E" w:rsidRPr="006538D9" w:rsidRDefault="008B2C3E" w:rsidP="008B2C3E">
      <w:pPr>
        <w:pStyle w:val="a9"/>
        <w:rPr>
          <w:rFonts w:ascii="Arial" w:hAnsi="Arial"/>
          <w:rtl/>
        </w:rPr>
      </w:pPr>
    </w:p>
    <w:p w14:paraId="09CB34C1"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 xml:space="preserve">בטרם אדון בשאלת הערכים המוגנים שנפגעו על ידי מעשיו של הנאשם, יש לטעמי להביא את דברי האב במלואם. אין צורך במאמץ מחשבתי רב על מנת לענות על השאלה באילו ערכים מוגנים של החברה פגע הנאשם בעת ביצוע עבירת החזקת הנשק. הדברים ברורים. קשה הרבה יותר להשיב לשאלה, כיצד הגיעה החברה בה אנו חיים למצב בו אינה מספקת הגנה על בעלי ערכים גבוהים, על משפחות נורמטיביות. כיצד מגיע אדם, דוגמת אביו של הנאשם, למצב בו לא רק שבנו מעורב עם גורמי פשיעה, עצור עד תום ההליכים וצפוי למאסר ממושך, אלא גם הוא נתון תחת איומי גורמי פשיעה, נסחט על ידם, יורים עליו, ואין לו מענה. </w:t>
      </w:r>
    </w:p>
    <w:p w14:paraId="53B388FC" w14:textId="77777777" w:rsidR="008B2C3E" w:rsidRPr="00C61436" w:rsidRDefault="008B2C3E" w:rsidP="008B2C3E">
      <w:pPr>
        <w:pStyle w:val="a9"/>
        <w:rPr>
          <w:rFonts w:ascii="Arial" w:hAnsi="Arial"/>
          <w:rtl/>
        </w:rPr>
      </w:pPr>
    </w:p>
    <w:p w14:paraId="299B0038"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הנאשם אינו קורבן. האב ומשפחתו הם קורבן. קורבן שאין לנו כחברה, על כל גורמי הרווחה, החינוך, אכיפת החוק ובתי המשפט, מענה לספק לה.  לעניות דעתי,,עלינו לשאול את עצמנו לא רק אילו ערכים מוגנים נפגעו על ידי הנאשם, אלא גם על אילו ערכים חברתיים איננו  מצליחים להגן.</w:t>
      </w:r>
    </w:p>
    <w:p w14:paraId="3A642190" w14:textId="77777777" w:rsidR="008B2C3E" w:rsidRPr="00C61436" w:rsidRDefault="008B2C3E" w:rsidP="008B2C3E">
      <w:pPr>
        <w:pStyle w:val="a9"/>
        <w:rPr>
          <w:rFonts w:ascii="Arial" w:hAnsi="Arial"/>
          <w:rtl/>
        </w:rPr>
      </w:pPr>
    </w:p>
    <w:p w14:paraId="2E685426"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להלן דברי האב-</w:t>
      </w:r>
    </w:p>
    <w:p w14:paraId="7371108A" w14:textId="77777777" w:rsidR="008B2C3E" w:rsidRPr="004759EC" w:rsidRDefault="008B2C3E" w:rsidP="008B2C3E">
      <w:pPr>
        <w:pStyle w:val="aa"/>
        <w:shd w:val="clear" w:color="auto" w:fill="auto"/>
        <w:spacing w:line="360" w:lineRule="auto"/>
        <w:ind w:left="720" w:firstLine="0"/>
        <w:jc w:val="both"/>
        <w:rPr>
          <w:rFonts w:ascii="Arial" w:hAnsi="Arial" w:cs="David"/>
          <w:sz w:val="24"/>
          <w:szCs w:val="24"/>
          <w:u w:val="none"/>
        </w:rPr>
      </w:pPr>
      <w:r w:rsidRPr="004759EC">
        <w:rPr>
          <w:rFonts w:ascii="Arial" w:hAnsi="Arial" w:cs="David" w:hint="cs"/>
          <w:b w:val="0"/>
          <w:bCs w:val="0"/>
          <w:sz w:val="24"/>
          <w:szCs w:val="24"/>
          <w:u w:val="none"/>
          <w:rtl/>
        </w:rPr>
        <w:t>"</w:t>
      </w:r>
      <w:r w:rsidRPr="004759EC">
        <w:rPr>
          <w:rFonts w:ascii="Arial" w:hAnsi="Arial" w:cs="David"/>
          <w:sz w:val="24"/>
          <w:szCs w:val="24"/>
          <w:u w:val="none"/>
          <w:rtl/>
        </w:rPr>
        <w:t>אני אבא של אחמד, אני אבא לשלושה בנים.</w:t>
      </w:r>
      <w:r>
        <w:rPr>
          <w:rFonts w:ascii="Arial" w:hAnsi="Arial" w:cs="David" w:hint="cs"/>
          <w:sz w:val="24"/>
          <w:szCs w:val="24"/>
          <w:u w:val="none"/>
          <w:rtl/>
        </w:rPr>
        <w:t>..</w:t>
      </w:r>
      <w:r w:rsidRPr="004759EC">
        <w:rPr>
          <w:rFonts w:ascii="Arial" w:hAnsi="Arial" w:cs="David"/>
          <w:sz w:val="24"/>
          <w:szCs w:val="24"/>
          <w:u w:val="none"/>
          <w:rtl/>
        </w:rPr>
        <w:t xml:space="preserve"> אחמד, השלישי, למד במגמת כימיה ביולוגיה בתיכון טמרה, והתכוון ללמוד. התחבר לאחרונה לחבורה של צעירים, שאני לא רציתי, ואסרתי עליהם להיכנס אלי לבית. ואז ניסיתי לתת לו, לבד, להשתכנע. יום אחד, אחמד אומר לי, הבן שלי הגדול, בבניין שהוא בונה בית פרטי, זה בניין נטוש, אמר לי, אני מצאתי אקדח בתוך הבית, אני רוצה להודיע למשטרה. אנחנו לא ידענו למי האקדח. ואז פניתי לבן שלי, אמרתי לו, תן לי לחשוב. יום לאחר זה, אחמד פנה אלי, אמר לי, אנשים מאיימים עליי, אם אני לא מחזיר להם, הם יורים בי. ואז אני התקשרתי למשטרה. זה אני שהזמנתי את המשטרה. אני רציתי לדעת מי זה מאיים על מורה, ועל אמא שהיא עובדת עירייה, מזכירה ומנהלת חשבונות בעיריית טמרה, ועל שני האחים שגמרו כבר, אחד עובד בבית חולים, השני עובד בחברת נדל"ן גדולה, ומי זה מנסה לסחוט מאיתנו כסף. בגלל זה פניתי למשטרה. גם כי אני לא מסכים, שלבן שאצלי בבית, יהיה נשק. אני כמורה, אני נגד אלימות, ואני נגד כל המלחמה הזאת, מלחמת השעה. אני רוצה להיות חלק ממנה. לצערי הרב, המשטרה לקחה את החלק הקל ביותר, ולקחה את הנאשם. לצערי הרב אני אומר, </w:t>
      </w:r>
      <w:r w:rsidRPr="004759EC">
        <w:rPr>
          <w:rFonts w:ascii="Arial" w:hAnsi="Arial" w:cs="David"/>
          <w:sz w:val="24"/>
          <w:szCs w:val="24"/>
          <w:u w:val="none"/>
          <w:rtl/>
        </w:rPr>
        <w:lastRenderedPageBreak/>
        <w:t>לקחה רק את הנאשם, ולא שאלה, לא חיפשה, מי זה מאיים על המשפחה הזאת. חודשיים אחרי זה, פנו אלי גורמים, עבריינים בעיר, ביקשו ממני לשלם כסף עבור האקדח. ואני, כשסירבתי, ירו עליי, על הבית שלי, ניסו להרוג אותי. ואז נאלצתי לשלם 25 אלף שקל. אני שילמתי עבור האקדח, החזרתי את האקדח. האקדח שאמרו איתנו, אנחנו נתנו את האקדח לבן שלך, והוא איבד אותו. אתה חייב לשלם. מה זה? ככה זה מתנהל העולם? ובגלל זה אני פונה פה לכבוד בית המשפט, אנחנו קורבן. אנחנו, זה כל המשפחה שלנו. אנחנו קורבן, והבן שלי נגרר, הוא גם קורבן. לאנשים שניסו לסחוט אותו, בגלל שהוא בן של משפחה מכובדת, וקל מאוד להשיג ממנו, להוציא ממנו ולהוציא מהמשפחה שלו. בגלל זה אני אומר לך, הוא קורבן. הוא התכוון ללמוד, הוא סיים במגמת ביולוגיה, ביולוגיה כימיה, ויש לו תעודת בגרות, ואנחנו מחכים, מנסים לעזור לו, לכוון אותו לאיזה כיוון שילך. ונפלנו. ואני כל יום מדבר עם אחמד. אחמד מתכוון להמשיך ללמוד, להירשם לאוניברסיטה, וללכת לחיים חדשים, אחרים, וכולי תקווה שגם בית המשפט מתחשב בדברים האלה. שהוא בן למשפחה נורמטיבית מאוד, אנחנו לא עבריינים, אנחנו לא, אנחנו אנשים שומרי חוק. ועובדה, אנחנו התקשרנו למשטרה. אנחנו לא הסכמנו. לא שיסחטו אותנו, ולא שהבן שלי יהיה מעורב בדבר הזה. תודה לך גברתי.</w:t>
      </w:r>
      <w:r>
        <w:rPr>
          <w:rFonts w:ascii="Arial" w:hAnsi="Arial" w:cs="David" w:hint="cs"/>
          <w:sz w:val="24"/>
          <w:szCs w:val="24"/>
          <w:u w:val="none"/>
          <w:rtl/>
        </w:rPr>
        <w:t>"</w:t>
      </w:r>
    </w:p>
    <w:p w14:paraId="53947D0F" w14:textId="77777777" w:rsidR="008B2C3E" w:rsidRDefault="008B2C3E" w:rsidP="008B2C3E">
      <w:pPr>
        <w:pStyle w:val="a9"/>
        <w:spacing w:line="360" w:lineRule="auto"/>
        <w:ind w:left="708" w:right="-426"/>
        <w:jc w:val="both"/>
        <w:rPr>
          <w:rFonts w:ascii="Arial" w:hAnsi="Arial"/>
          <w:u w:val="single"/>
          <w:rtl/>
        </w:rPr>
      </w:pPr>
    </w:p>
    <w:p w14:paraId="028E9D44" w14:textId="77777777" w:rsidR="008B2C3E" w:rsidRDefault="008B2C3E" w:rsidP="008B2C3E">
      <w:pPr>
        <w:pStyle w:val="a9"/>
        <w:spacing w:line="360" w:lineRule="auto"/>
        <w:ind w:left="708" w:right="-426"/>
        <w:jc w:val="both"/>
        <w:rPr>
          <w:rFonts w:ascii="Arial" w:hAnsi="Arial"/>
          <w:u w:val="single"/>
          <w:rtl/>
        </w:rPr>
      </w:pPr>
      <w:r>
        <w:rPr>
          <w:rFonts w:ascii="Arial" w:hAnsi="Arial"/>
          <w:u w:val="single"/>
          <w:rtl/>
        </w:rPr>
        <w:t xml:space="preserve">הערכים המוגנים </w:t>
      </w:r>
    </w:p>
    <w:p w14:paraId="3433F400"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מעשי הנאשם פוגעים בערכים המוגנים של חובת ההגנה על שלומו ובטחונו של הציבור. כמו גם חובת ההגנה על החיים כחלק בלתי נפרד מקדושת החיים. הסיכון הנובע מהחזקת כלי נשק ותחמושת בידי ידיים שאינם מיומנות ואשר אינן מורשות לכך, הנו מוחשי ובנקל עשוי להוביל ל</w:t>
      </w:r>
      <w:r>
        <w:rPr>
          <w:rtl/>
        </w:rPr>
        <w:t xml:space="preserve">התרחשותן של העבירות החמורות ביותר בספר החוקים ובפגיעה החמורה ביותר בגוף האדם. </w:t>
      </w:r>
      <w:r>
        <w:rPr>
          <w:rFonts w:ascii="Arial" w:hAnsi="Arial"/>
          <w:rtl/>
        </w:rPr>
        <w:t xml:space="preserve">הקלות הבלתי נסבלת בה עשויים מעשי עבירה מסוג זה לפגוע בגוף ונפש מחייבים נקיטת ענישה מוחשית ומרתיעה "למען יראו וייראו". בימים אלו בפרט, בהם הפכה תופעה זו ל"מכת מדינה". </w:t>
      </w:r>
    </w:p>
    <w:p w14:paraId="4824639E" w14:textId="77777777" w:rsidR="008B2C3E" w:rsidRDefault="008B2C3E" w:rsidP="008B2C3E">
      <w:pPr>
        <w:spacing w:line="360" w:lineRule="auto"/>
        <w:ind w:left="720"/>
        <w:contextualSpacing/>
        <w:jc w:val="both"/>
        <w:rPr>
          <w:rFonts w:ascii="Arial" w:hAnsi="Arial"/>
        </w:rPr>
      </w:pPr>
    </w:p>
    <w:p w14:paraId="370E770C"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David" w:hAnsi="David"/>
          <w:spacing w:val="10"/>
          <w:rtl/>
        </w:rPr>
        <w:t xml:space="preserve">כבר נפסק לא אחת, כי </w:t>
      </w:r>
      <w:r>
        <w:rPr>
          <w:rFonts w:ascii="David" w:hAnsi="David"/>
          <w:b/>
          <w:bCs/>
          <w:spacing w:val="10"/>
          <w:rtl/>
        </w:rPr>
        <w:t>"התופעה של החזקת נשק שלא כדין, וכל שכן השימוש בו, מהווים  איום על שלום הציבור ותשתית למגוון רחב של עבירות, ומחייבת הירתמות גם של בתי המשפט על ידי ענישה מחמירה ומרתיעה"</w:t>
      </w:r>
      <w:r>
        <w:rPr>
          <w:rFonts w:ascii="Arial" w:hAnsi="Arial"/>
          <w:rtl/>
        </w:rPr>
        <w:t>[</w:t>
      </w:r>
      <w:hyperlink r:id="rId12" w:history="1">
        <w:r w:rsidR="004741E8" w:rsidRPr="004741E8">
          <w:rPr>
            <w:rFonts w:ascii="Arial" w:hAnsi="Arial"/>
            <w:color w:val="0000FF"/>
            <w:u w:val="single"/>
            <w:rtl/>
          </w:rPr>
          <w:t>ע"פ 6277/20</w:t>
        </w:r>
      </w:hyperlink>
      <w:r>
        <w:rPr>
          <w:rFonts w:ascii="Arial" w:hAnsi="Arial"/>
          <w:rtl/>
        </w:rPr>
        <w:t xml:space="preserve"> </w:t>
      </w:r>
      <w:r>
        <w:rPr>
          <w:rFonts w:ascii="Arial" w:hAnsi="Arial"/>
          <w:u w:val="single"/>
          <w:rtl/>
        </w:rPr>
        <w:t>קנאו דניאל היילי</w:t>
      </w:r>
      <w:r>
        <w:rPr>
          <w:rFonts w:ascii="Arial" w:hAnsi="Arial"/>
          <w:rtl/>
        </w:rPr>
        <w:t xml:space="preserve"> נ. </w:t>
      </w:r>
      <w:r>
        <w:rPr>
          <w:rFonts w:ascii="Arial" w:hAnsi="Arial"/>
          <w:u w:val="single"/>
          <w:rtl/>
        </w:rPr>
        <w:t>מדינת ישראל</w:t>
      </w:r>
      <w:r>
        <w:rPr>
          <w:rFonts w:ascii="Arial" w:hAnsi="Arial"/>
          <w:rtl/>
        </w:rPr>
        <w:t xml:space="preserve"> (פורסם בנבו, ניתן ביום 24.3.21) על כלל אזכוריו. ר' גם </w:t>
      </w:r>
      <w:hyperlink r:id="rId13" w:history="1">
        <w:r w:rsidR="004741E8" w:rsidRPr="004741E8">
          <w:rPr>
            <w:rFonts w:ascii="Arial" w:hAnsi="Arial"/>
            <w:color w:val="0000FF"/>
            <w:u w:val="single"/>
            <w:rtl/>
          </w:rPr>
          <w:t>ע"פ 1059/21</w:t>
        </w:r>
      </w:hyperlink>
      <w:r>
        <w:rPr>
          <w:rFonts w:ascii="Arial" w:hAnsi="Arial"/>
          <w:rtl/>
        </w:rPr>
        <w:t xml:space="preserve"> </w:t>
      </w:r>
      <w:r>
        <w:rPr>
          <w:rFonts w:ascii="Arial" w:hAnsi="Arial"/>
          <w:u w:val="single"/>
          <w:rtl/>
        </w:rPr>
        <w:t>פלוני</w:t>
      </w:r>
      <w:r>
        <w:rPr>
          <w:rFonts w:ascii="Arial" w:hAnsi="Arial"/>
          <w:rtl/>
        </w:rPr>
        <w:t xml:space="preserve"> נ. </w:t>
      </w:r>
      <w:r>
        <w:rPr>
          <w:rFonts w:ascii="Arial" w:hAnsi="Arial"/>
          <w:u w:val="single"/>
          <w:rtl/>
        </w:rPr>
        <w:t>מדינת ישראל</w:t>
      </w:r>
      <w:r>
        <w:rPr>
          <w:rFonts w:ascii="Arial" w:hAnsi="Arial"/>
          <w:rtl/>
        </w:rPr>
        <w:t xml:space="preserve"> (פורסם בנבו, ניתן ביום 29.4.21)].</w:t>
      </w:r>
    </w:p>
    <w:p w14:paraId="40F9C83F" w14:textId="77777777" w:rsidR="008B2C3E" w:rsidRDefault="008B2C3E" w:rsidP="008B2C3E">
      <w:pPr>
        <w:spacing w:line="360" w:lineRule="auto"/>
        <w:ind w:left="720"/>
        <w:contextualSpacing/>
        <w:jc w:val="both"/>
        <w:rPr>
          <w:rFonts w:ascii="Arial" w:hAnsi="Arial"/>
        </w:rPr>
      </w:pPr>
    </w:p>
    <w:p w14:paraId="4983FE44"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זריעת פחד בציבור שומר החוק מעצם נוכחות נשק סביבו, אשר אינו בידי המורשים לכך, העלול לשמש בביצוע עבירות ולפעול בסביבתו, פוגע אנושות בתחושת הביטחון האישי, זורע בהלה, הסתגרות, ויכול להסתיים בכניעה של אוכלוסייה תמימה ושומרת חוק לגורמים משליטי טרור.</w:t>
      </w:r>
    </w:p>
    <w:p w14:paraId="67BE4753" w14:textId="77777777" w:rsidR="008B2C3E" w:rsidRDefault="008B2C3E" w:rsidP="008B2C3E">
      <w:pPr>
        <w:pStyle w:val="a9"/>
        <w:rPr>
          <w:rFonts w:ascii="Arial" w:hAnsi="Arial"/>
        </w:rPr>
      </w:pPr>
    </w:p>
    <w:p w14:paraId="09C32614" w14:textId="77777777" w:rsidR="008B2C3E" w:rsidRDefault="008B2C3E" w:rsidP="008B2C3E">
      <w:pPr>
        <w:pStyle w:val="a9"/>
        <w:numPr>
          <w:ilvl w:val="0"/>
          <w:numId w:val="1"/>
        </w:numPr>
        <w:spacing w:line="360" w:lineRule="auto"/>
        <w:ind w:left="708" w:right="-426" w:hanging="567"/>
        <w:jc w:val="both"/>
        <w:rPr>
          <w:rFonts w:ascii="Arial" w:hAnsi="Arial"/>
          <w:rtl/>
        </w:rPr>
      </w:pPr>
      <w:r>
        <w:rPr>
          <w:rFonts w:ascii="Arial" w:hAnsi="Arial"/>
          <w:rtl/>
        </w:rPr>
        <w:t>ב</w:t>
      </w:r>
      <w:hyperlink r:id="rId14" w:history="1">
        <w:r w:rsidR="004741E8" w:rsidRPr="004741E8">
          <w:rPr>
            <w:rFonts w:ascii="Arial" w:hAnsi="Arial"/>
            <w:color w:val="0000FF"/>
            <w:u w:val="single"/>
            <w:rtl/>
          </w:rPr>
          <w:t>ע"פ 4406-19</w:t>
        </w:r>
      </w:hyperlink>
      <w:r>
        <w:rPr>
          <w:rFonts w:ascii="Arial" w:hAnsi="Arial"/>
          <w:rtl/>
        </w:rPr>
        <w:t xml:space="preserve"> </w:t>
      </w:r>
      <w:r>
        <w:rPr>
          <w:rFonts w:ascii="Arial" w:hAnsi="Arial"/>
          <w:u w:val="single"/>
          <w:rtl/>
        </w:rPr>
        <w:t>מדינת ישראל נגד יונס סובח</w:t>
      </w:r>
      <w:r>
        <w:rPr>
          <w:rFonts w:ascii="Arial" w:hAnsi="Arial"/>
          <w:rtl/>
        </w:rPr>
        <w:t xml:space="preserve"> (פורסם בנבו, ניתן ביום 5.11.2019) נפסק, כי </w:t>
      </w:r>
    </w:p>
    <w:p w14:paraId="1E988876" w14:textId="77777777" w:rsidR="008B2C3E" w:rsidRDefault="008B2C3E" w:rsidP="008B2C3E">
      <w:pPr>
        <w:spacing w:line="360" w:lineRule="auto"/>
        <w:ind w:left="1361" w:right="709"/>
        <w:contextualSpacing/>
        <w:jc w:val="both"/>
        <w:rPr>
          <w:rFonts w:ascii="David" w:hAnsi="David"/>
          <w:b/>
          <w:bCs/>
        </w:rPr>
      </w:pPr>
      <w:r>
        <w:rPr>
          <w:rFonts w:ascii="David" w:hAnsi="David"/>
          <w:b/>
          <w:bCs/>
          <w:rtl/>
        </w:rPr>
        <w:t xml:space="preserve">"... </w:t>
      </w:r>
      <w:r>
        <w:rPr>
          <w:rFonts w:ascii="David" w:hAnsi="David"/>
          <w:b/>
          <w:bCs/>
          <w:spacing w:val="10"/>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5CB7DD60" w14:textId="77777777" w:rsidR="008B2C3E" w:rsidRDefault="008B2C3E" w:rsidP="008B2C3E">
      <w:pPr>
        <w:tabs>
          <w:tab w:val="left" w:pos="800"/>
        </w:tabs>
        <w:overflowPunct w:val="0"/>
        <w:autoSpaceDE w:val="0"/>
        <w:autoSpaceDN w:val="0"/>
        <w:adjustRightInd w:val="0"/>
        <w:spacing w:after="420" w:line="360" w:lineRule="auto"/>
        <w:ind w:left="1361" w:right="709"/>
        <w:jc w:val="both"/>
        <w:textAlignment w:val="baseline"/>
        <w:rPr>
          <w:rFonts w:ascii="David" w:hAnsi="David"/>
          <w:b/>
          <w:bCs/>
          <w:spacing w:val="10"/>
          <w:rtl/>
        </w:rPr>
      </w:pPr>
      <w:r>
        <w:rPr>
          <w:b/>
          <w:bCs/>
          <w:sz w:val="2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14B482CB" w14:textId="77777777" w:rsidR="008B2C3E" w:rsidRDefault="008B2C3E" w:rsidP="008B2C3E">
      <w:pPr>
        <w:tabs>
          <w:tab w:val="left" w:pos="800"/>
        </w:tabs>
        <w:overflowPunct w:val="0"/>
        <w:autoSpaceDE w:val="0"/>
        <w:autoSpaceDN w:val="0"/>
        <w:adjustRightInd w:val="0"/>
        <w:spacing w:after="420" w:line="360" w:lineRule="auto"/>
        <w:ind w:right="709"/>
        <w:jc w:val="both"/>
        <w:textAlignment w:val="baseline"/>
        <w:rPr>
          <w:rFonts w:ascii="David" w:hAnsi="David"/>
          <w:spacing w:val="10"/>
          <w:rtl/>
        </w:rPr>
      </w:pPr>
    </w:p>
    <w:p w14:paraId="6C0A7432" w14:textId="77777777" w:rsidR="008B2C3E" w:rsidRDefault="008B2C3E" w:rsidP="008B2C3E">
      <w:pPr>
        <w:tabs>
          <w:tab w:val="left" w:pos="800"/>
        </w:tabs>
        <w:overflowPunct w:val="0"/>
        <w:autoSpaceDE w:val="0"/>
        <w:autoSpaceDN w:val="0"/>
        <w:adjustRightInd w:val="0"/>
        <w:spacing w:after="420" w:line="360" w:lineRule="auto"/>
        <w:ind w:right="709"/>
        <w:jc w:val="both"/>
        <w:textAlignment w:val="baseline"/>
        <w:rPr>
          <w:rFonts w:ascii="David" w:hAnsi="David"/>
          <w:spacing w:val="10"/>
          <w:u w:val="single"/>
          <w:rtl/>
        </w:rPr>
      </w:pPr>
      <w:r>
        <w:rPr>
          <w:rFonts w:ascii="David" w:hAnsi="David"/>
          <w:spacing w:val="10"/>
          <w:rtl/>
        </w:rPr>
        <w:tab/>
      </w:r>
      <w:r>
        <w:rPr>
          <w:rFonts w:ascii="David" w:hAnsi="David"/>
          <w:spacing w:val="10"/>
          <w:u w:val="single"/>
          <w:rtl/>
        </w:rPr>
        <w:t xml:space="preserve">מתחם העונש ההולם </w:t>
      </w:r>
    </w:p>
    <w:p w14:paraId="681882D2" w14:textId="77777777" w:rsidR="008B2C3E" w:rsidRDefault="008B2C3E" w:rsidP="008B2C3E">
      <w:pPr>
        <w:pStyle w:val="a9"/>
        <w:numPr>
          <w:ilvl w:val="0"/>
          <w:numId w:val="1"/>
        </w:numPr>
        <w:spacing w:line="360" w:lineRule="auto"/>
        <w:ind w:left="708" w:right="-426" w:hanging="567"/>
        <w:jc w:val="both"/>
        <w:rPr>
          <w:rFonts w:ascii="Arial" w:hAnsi="Arial"/>
          <w:rtl/>
        </w:rPr>
      </w:pPr>
      <w:r>
        <w:rPr>
          <w:rFonts w:ascii="Arial" w:hAnsi="Arial"/>
          <w:rtl/>
        </w:rPr>
        <w:t xml:space="preserve">חומרת מעשי הנאשם נלמדת מעצם החזקת אקדח </w:t>
      </w:r>
      <w:r>
        <w:rPr>
          <w:rFonts w:ascii="Arial" w:hAnsi="Arial" w:hint="cs"/>
          <w:rtl/>
        </w:rPr>
        <w:t>ובו מחסנית טענוה בשני כדורי תחמושת</w:t>
      </w:r>
      <w:r>
        <w:rPr>
          <w:rFonts w:ascii="Arial" w:hAnsi="Arial"/>
          <w:rtl/>
        </w:rPr>
        <w:t xml:space="preserve"> 9 מ"מ</w:t>
      </w:r>
      <w:r>
        <w:rPr>
          <w:rFonts w:ascii="Arial" w:hAnsi="Arial" w:hint="cs"/>
          <w:rtl/>
        </w:rPr>
        <w:t>.</w:t>
      </w:r>
      <w:r>
        <w:rPr>
          <w:rFonts w:ascii="Arial" w:hAnsi="Arial"/>
          <w:rtl/>
        </w:rPr>
        <w:t xml:space="preserve">  </w:t>
      </w:r>
    </w:p>
    <w:p w14:paraId="0F5F986B" w14:textId="77777777" w:rsidR="008B2C3E" w:rsidRDefault="008B2C3E" w:rsidP="008B2C3E">
      <w:pPr>
        <w:pStyle w:val="a9"/>
        <w:spacing w:line="360" w:lineRule="auto"/>
        <w:ind w:left="708" w:right="-426"/>
        <w:jc w:val="both"/>
        <w:rPr>
          <w:rFonts w:ascii="Arial" w:hAnsi="Arial"/>
        </w:rPr>
      </w:pPr>
    </w:p>
    <w:p w14:paraId="61670A73"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יש לקבוע, כי למעשי הנאשם קדם תכנון. הנאשם הסליק את הנשק והתחמושת בביתו. הנאשם נדרש להשגת הנשק והתחמושת מבעוד מועד</w:t>
      </w:r>
      <w:r>
        <w:rPr>
          <w:rFonts w:ascii="Arial" w:hAnsi="Arial" w:hint="cs"/>
          <w:rtl/>
        </w:rPr>
        <w:t>, גם אם נענה לבקשתם של אחרים לשמור או להחביא</w:t>
      </w:r>
      <w:r>
        <w:rPr>
          <w:rFonts w:ascii="Arial" w:hAnsi="Arial"/>
          <w:rtl/>
        </w:rPr>
        <w:t xml:space="preserve">. </w:t>
      </w:r>
    </w:p>
    <w:p w14:paraId="4908C5DA" w14:textId="77777777" w:rsidR="008B2C3E" w:rsidRPr="004759EC" w:rsidRDefault="008B2C3E" w:rsidP="008B2C3E">
      <w:pPr>
        <w:pStyle w:val="a9"/>
        <w:spacing w:line="360" w:lineRule="auto"/>
        <w:ind w:left="708" w:right="-426"/>
        <w:jc w:val="both"/>
        <w:rPr>
          <w:rFonts w:ascii="Arial" w:hAnsi="Arial"/>
        </w:rPr>
      </w:pPr>
    </w:p>
    <w:p w14:paraId="709B217F" w14:textId="77777777" w:rsidR="008B2C3E" w:rsidRDefault="008B2C3E" w:rsidP="008B2C3E">
      <w:pPr>
        <w:pStyle w:val="a9"/>
        <w:numPr>
          <w:ilvl w:val="0"/>
          <w:numId w:val="1"/>
        </w:numPr>
        <w:spacing w:line="360" w:lineRule="auto"/>
        <w:ind w:left="708" w:right="-426" w:hanging="567"/>
        <w:jc w:val="both"/>
        <w:rPr>
          <w:rFonts w:ascii="Arial" w:hAnsi="Arial"/>
        </w:rPr>
      </w:pPr>
      <w:r w:rsidRPr="004759EC">
        <w:rPr>
          <w:rFonts w:ascii="Arial" w:hAnsi="Arial"/>
          <w:rtl/>
        </w:rPr>
        <w:t xml:space="preserve">למרבה המזל, בעקבות החזקת הנשק והתחמושת לא ארע נזק לגוף או לרכוש, שכן הנשק </w:t>
      </w:r>
      <w:r w:rsidRPr="004759EC">
        <w:rPr>
          <w:rFonts w:ascii="Arial" w:hAnsi="Arial" w:hint="cs"/>
          <w:rtl/>
        </w:rPr>
        <w:t>נתפס</w:t>
      </w:r>
      <w:r w:rsidRPr="004759EC">
        <w:rPr>
          <w:rFonts w:ascii="Arial" w:hAnsi="Arial"/>
          <w:rtl/>
        </w:rPr>
        <w:t xml:space="preserve">. אין לדעת </w:t>
      </w:r>
      <w:r w:rsidRPr="004759EC">
        <w:rPr>
          <w:rFonts w:ascii="Arial" w:hAnsi="Arial" w:hint="cs"/>
          <w:rtl/>
        </w:rPr>
        <w:t>כיום למה שימש הנשק טרם תפיסתו ולמה היה מיועד. האקדח היה מוכן לפעולה מידית.</w:t>
      </w:r>
      <w:r w:rsidRPr="004759EC">
        <w:rPr>
          <w:rFonts w:ascii="Arial" w:hAnsi="Arial"/>
          <w:rtl/>
        </w:rPr>
        <w:t xml:space="preserve"> הנזק הנלווה מעצם הידיעה, כי נשק חם ותחמושת מצויים ומתגלגלים לידיים שאינן מורשות ובלתי מיומנות הנו הטלת אימה ופחד, בפרט בסביבת מגורים. </w:t>
      </w:r>
    </w:p>
    <w:p w14:paraId="0A60F528" w14:textId="77777777" w:rsidR="008B2C3E" w:rsidRPr="004759EC" w:rsidRDefault="008B2C3E" w:rsidP="008B2C3E">
      <w:pPr>
        <w:pStyle w:val="a9"/>
        <w:spacing w:line="360" w:lineRule="auto"/>
        <w:ind w:left="708" w:right="-426"/>
        <w:jc w:val="both"/>
        <w:rPr>
          <w:rFonts w:ascii="Arial" w:hAnsi="Arial"/>
        </w:rPr>
      </w:pPr>
    </w:p>
    <w:p w14:paraId="44A9C849"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 xml:space="preserve">לעניין קביעת מתחם העונש ההולם בעבירות נשק, כבר נפסק, כי </w:t>
      </w:r>
    </w:p>
    <w:p w14:paraId="407580AC" w14:textId="77777777" w:rsidR="008B2C3E" w:rsidRDefault="008B2C3E" w:rsidP="008B2C3E">
      <w:pPr>
        <w:pStyle w:val="a9"/>
        <w:spacing w:line="360" w:lineRule="auto"/>
        <w:jc w:val="both"/>
        <w:rPr>
          <w:rFonts w:ascii="Arial" w:hAnsi="Arial"/>
          <w:b/>
          <w:bCs/>
          <w:rtl/>
        </w:rPr>
      </w:pPr>
      <w:r>
        <w:rPr>
          <w:rFonts w:ascii="Arial" w:hAnsi="Arial"/>
          <w:b/>
          <w:bCs/>
          <w:rtl/>
        </w:rPr>
        <w:t>"מתחם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w:t>
      </w:r>
      <w:hyperlink r:id="rId15" w:history="1">
        <w:r w:rsidR="004741E8" w:rsidRPr="004741E8">
          <w:rPr>
            <w:rFonts w:ascii="Arial" w:hAnsi="Arial"/>
            <w:b/>
            <w:bCs/>
            <w:color w:val="0000FF"/>
            <w:u w:val="single"/>
            <w:rtl/>
          </w:rPr>
          <w:t>ע"פ 1323/13</w:t>
        </w:r>
      </w:hyperlink>
      <w:r>
        <w:rPr>
          <w:rFonts w:ascii="Arial" w:hAnsi="Arial"/>
          <w:b/>
          <w:bCs/>
          <w:rtl/>
        </w:rPr>
        <w:t xml:space="preserve"> רך חסן נגד מדינת ישראל (מיום 5.6.13)].</w:t>
      </w:r>
    </w:p>
    <w:p w14:paraId="76D60C64" w14:textId="77777777" w:rsidR="008B2C3E" w:rsidRDefault="008B2C3E" w:rsidP="008B2C3E">
      <w:pPr>
        <w:pStyle w:val="a9"/>
        <w:jc w:val="both"/>
        <w:rPr>
          <w:rFonts w:ascii="Arial" w:hAnsi="Arial"/>
          <w:rtl/>
        </w:rPr>
      </w:pPr>
      <w:r>
        <w:rPr>
          <w:rFonts w:ascii="Arial" w:hAnsi="Arial"/>
          <w:rtl/>
        </w:rPr>
        <w:t xml:space="preserve">  </w:t>
      </w:r>
    </w:p>
    <w:p w14:paraId="0CA6443A"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 xml:space="preserve">המאשימה עותרת למתחם עונש הולם הנע בין 18-36 חודשי מאסר בפועל לצד ענישה נלווית. לעניין מדיניות הענישה הנוהגת מפנה המאשימה למדיניות הענישה הנוהגת בעבירות החזקת נשק ותחמושת </w:t>
      </w:r>
      <w:r>
        <w:rPr>
          <w:rFonts w:ascii="Arial" w:hAnsi="Arial" w:hint="cs"/>
          <w:rtl/>
        </w:rPr>
        <w:t>בפסיקה.</w:t>
      </w:r>
    </w:p>
    <w:p w14:paraId="61942E20" w14:textId="77777777" w:rsidR="008B2C3E" w:rsidRDefault="008B2C3E" w:rsidP="008B2C3E">
      <w:pPr>
        <w:pStyle w:val="a9"/>
        <w:spacing w:line="360" w:lineRule="auto"/>
        <w:ind w:left="708" w:right="-426"/>
        <w:jc w:val="both"/>
        <w:rPr>
          <w:rFonts w:ascii="Arial" w:hAnsi="Arial"/>
          <w:rtl/>
        </w:rPr>
      </w:pPr>
    </w:p>
    <w:p w14:paraId="0CBA5F4A"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 xml:space="preserve">לטעמו של הסנגור בנסיבות </w:t>
      </w:r>
      <w:r>
        <w:rPr>
          <w:rFonts w:ascii="Arial" w:hAnsi="Arial" w:hint="cs"/>
          <w:rtl/>
        </w:rPr>
        <w:t>ה</w:t>
      </w:r>
      <w:r>
        <w:rPr>
          <w:rFonts w:ascii="Arial" w:hAnsi="Arial"/>
          <w:rtl/>
        </w:rPr>
        <w:t xml:space="preserve">מקרה </w:t>
      </w:r>
      <w:r>
        <w:rPr>
          <w:rFonts w:ascii="Arial" w:hAnsi="Arial" w:hint="cs"/>
          <w:rtl/>
        </w:rPr>
        <w:t>כאשר מדובר בבגיר צעיר מתחם הענישה צריך להתחיל במספר חודשי מאסר אשר</w:t>
      </w:r>
      <w:r w:rsidRPr="00EC7136">
        <w:rPr>
          <w:rFonts w:ascii="Arial" w:hAnsi="Arial"/>
          <w:rtl/>
        </w:rPr>
        <w:t xml:space="preserve"> </w:t>
      </w:r>
      <w:r>
        <w:rPr>
          <w:rFonts w:ascii="Arial" w:hAnsi="Arial"/>
          <w:rtl/>
        </w:rPr>
        <w:t>מספר חודשי מאסר שירוצו בעבודות שירות, לבין 30 חודשי מאסר בפועל</w:t>
      </w:r>
      <w:r>
        <w:rPr>
          <w:rFonts w:ascii="Arial" w:hAnsi="Arial" w:hint="cs"/>
          <w:rtl/>
        </w:rPr>
        <w:t>.</w:t>
      </w:r>
      <w:r>
        <w:rPr>
          <w:rFonts w:ascii="Arial" w:hAnsi="Arial"/>
          <w:rtl/>
        </w:rPr>
        <w:t xml:space="preserve"> הסנגור עותר להסתפקות בתקופת מעצרו של הנאשם</w:t>
      </w:r>
      <w:r>
        <w:rPr>
          <w:rFonts w:ascii="Arial" w:hAnsi="Arial" w:hint="cs"/>
          <w:rtl/>
        </w:rPr>
        <w:t>.</w:t>
      </w:r>
      <w:r>
        <w:rPr>
          <w:rFonts w:ascii="Arial" w:hAnsi="Arial"/>
          <w:rtl/>
        </w:rPr>
        <w:t xml:space="preserve"> לעניין מדיניות הענישה הנוהגת מפנה הסנגור לפסיקה</w:t>
      </w:r>
      <w:r>
        <w:rPr>
          <w:rFonts w:ascii="Arial" w:hAnsi="Arial" w:hint="cs"/>
          <w:rtl/>
        </w:rPr>
        <w:t>.</w:t>
      </w:r>
    </w:p>
    <w:p w14:paraId="64E64F4E" w14:textId="77777777" w:rsidR="008B2C3E" w:rsidRPr="00C305C9" w:rsidRDefault="008B2C3E" w:rsidP="008B2C3E">
      <w:pPr>
        <w:pStyle w:val="a9"/>
        <w:rPr>
          <w:rFonts w:ascii="Arial" w:hAnsi="Arial"/>
          <w:rtl/>
        </w:rPr>
      </w:pPr>
    </w:p>
    <w:p w14:paraId="727D50BA"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עיינתי בפסיקה  בין היתר בפסיקה שניתנה על ידי 53239-10-21 וכן 35119-06-20 וכן למשל בפסיקה-</w:t>
      </w:r>
    </w:p>
    <w:p w14:paraId="4C8EF744" w14:textId="77777777" w:rsidR="008B2C3E" w:rsidRPr="00C305C9" w:rsidRDefault="008B2C3E" w:rsidP="008B2C3E">
      <w:pPr>
        <w:pStyle w:val="a9"/>
        <w:rPr>
          <w:rFonts w:ascii="Arial" w:hAnsi="Arial"/>
          <w:rtl/>
        </w:rPr>
      </w:pPr>
    </w:p>
    <w:p w14:paraId="23B0C3BF" w14:textId="77777777" w:rsidR="008B2C3E" w:rsidRDefault="004741E8" w:rsidP="008B2C3E">
      <w:pPr>
        <w:pStyle w:val="a9"/>
        <w:spacing w:line="360" w:lineRule="auto"/>
        <w:ind w:left="708" w:right="-426"/>
        <w:jc w:val="both"/>
        <w:rPr>
          <w:rFonts w:ascii="Arial" w:hAnsi="Arial"/>
          <w:rtl/>
        </w:rPr>
      </w:pPr>
      <w:hyperlink r:id="rId16" w:history="1">
        <w:r w:rsidRPr="004741E8">
          <w:rPr>
            <w:rFonts w:ascii="Arial" w:hAnsi="Arial"/>
            <w:color w:val="0000FF"/>
            <w:u w:val="single"/>
            <w:rtl/>
          </w:rPr>
          <w:t>ע"פ 5604-11</w:t>
        </w:r>
      </w:hyperlink>
      <w:r w:rsidR="008B2C3E">
        <w:rPr>
          <w:rFonts w:ascii="Arial" w:hAnsi="Arial"/>
          <w:rtl/>
        </w:rPr>
        <w:t xml:space="preserve"> </w:t>
      </w:r>
      <w:r w:rsidR="008B2C3E">
        <w:rPr>
          <w:rFonts w:ascii="Arial" w:hAnsi="Arial"/>
          <w:u w:val="single"/>
          <w:rtl/>
        </w:rPr>
        <w:t>נאסר</w:t>
      </w:r>
      <w:r w:rsidR="008B2C3E">
        <w:rPr>
          <w:rFonts w:ascii="Arial" w:hAnsi="Arial"/>
          <w:rtl/>
        </w:rPr>
        <w:t xml:space="preserve"> נ. </w:t>
      </w:r>
      <w:r w:rsidR="008B2C3E">
        <w:rPr>
          <w:rFonts w:ascii="Arial" w:hAnsi="Arial"/>
          <w:u w:val="single"/>
          <w:rtl/>
        </w:rPr>
        <w:t>מדינת ישראל</w:t>
      </w:r>
      <w:r w:rsidR="008B2C3E">
        <w:rPr>
          <w:rFonts w:ascii="Arial" w:hAnsi="Arial"/>
          <w:rtl/>
        </w:rPr>
        <w:t xml:space="preserve"> (פורסם בנבו, 5.10.11)- הנאשם הורשע בעבירת החזקת נשק ותחמושת בנסיבות בהן החזיק אקדח ברטה לא תקין ומחסנית לאקדח ובה 8 כדורים. הוטלו עליו 12 חודשי מאסר. ערעורו נדחה. בית המשפט קבע, כי </w:t>
      </w:r>
    </w:p>
    <w:p w14:paraId="4F523A45" w14:textId="77777777" w:rsidR="008B2C3E" w:rsidRDefault="008B2C3E" w:rsidP="008B2C3E">
      <w:pPr>
        <w:pStyle w:val="a9"/>
        <w:spacing w:line="360" w:lineRule="auto"/>
        <w:ind w:left="708" w:right="-426"/>
        <w:jc w:val="both"/>
        <w:rPr>
          <w:b/>
          <w:bCs/>
          <w:rtl/>
        </w:rPr>
      </w:pPr>
      <w:r>
        <w:rPr>
          <w:b/>
          <w:bCs/>
          <w:rtl/>
        </w:rPr>
        <w:t>"..אין יסוד להבחנה שניסתה ליצור באת-כוחו של המערער בין פסקי הדין אליהם הפנה בית המשפט קמא לבין העניין בו עסקינן, הבחנה אשר התמקדה בטענה כי אי-שמישות האקדח ממזערת את המסוכנות שיצר המערער בהחזקתו. כפי שציינתי, אף אם נניח כי האקדח היה לא שמיש במועד החזקתו בידי המערער אין ליתן לכך משקל רב".</w:t>
      </w:r>
    </w:p>
    <w:p w14:paraId="209258A3" w14:textId="77777777" w:rsidR="008B2C3E" w:rsidRDefault="008B2C3E" w:rsidP="008B2C3E">
      <w:pPr>
        <w:pStyle w:val="a9"/>
        <w:spacing w:line="360" w:lineRule="auto"/>
        <w:ind w:left="708" w:right="-426"/>
        <w:jc w:val="both"/>
        <w:rPr>
          <w:rFonts w:ascii="Arial" w:hAnsi="Arial"/>
          <w:rtl/>
        </w:rPr>
      </w:pPr>
    </w:p>
    <w:p w14:paraId="295F2A73" w14:textId="77777777" w:rsidR="008B2C3E" w:rsidRDefault="004741E8" w:rsidP="008B2C3E">
      <w:pPr>
        <w:pStyle w:val="a9"/>
        <w:spacing w:line="360" w:lineRule="auto"/>
        <w:ind w:left="708" w:right="-426"/>
        <w:jc w:val="both"/>
        <w:rPr>
          <w:rFonts w:ascii="Arial" w:hAnsi="Arial"/>
        </w:rPr>
      </w:pPr>
      <w:hyperlink r:id="rId17" w:history="1">
        <w:r w:rsidRPr="004741E8">
          <w:rPr>
            <w:rFonts w:ascii="Arial" w:hAnsi="Arial"/>
            <w:color w:val="0000FF"/>
            <w:u w:val="single"/>
            <w:rtl/>
          </w:rPr>
          <w:t>עפ"ג 24796-06-20</w:t>
        </w:r>
      </w:hyperlink>
      <w:r w:rsidR="008B2C3E">
        <w:rPr>
          <w:rFonts w:ascii="Arial" w:hAnsi="Arial"/>
          <w:rtl/>
        </w:rPr>
        <w:t xml:space="preserve"> </w:t>
      </w:r>
      <w:r w:rsidR="008B2C3E">
        <w:rPr>
          <w:rFonts w:ascii="Arial" w:hAnsi="Arial"/>
          <w:u w:val="single"/>
          <w:rtl/>
        </w:rPr>
        <w:t>חג'אזי (אסיר</w:t>
      </w:r>
      <w:r w:rsidR="008B2C3E">
        <w:rPr>
          <w:rFonts w:ascii="Arial" w:hAnsi="Arial"/>
          <w:rtl/>
        </w:rPr>
        <w:t xml:space="preserve">) נ. </w:t>
      </w:r>
      <w:r w:rsidR="008B2C3E">
        <w:rPr>
          <w:rFonts w:ascii="Arial" w:hAnsi="Arial"/>
          <w:u w:val="single"/>
          <w:rtl/>
        </w:rPr>
        <w:t>מדינת ישראל</w:t>
      </w:r>
      <w:r w:rsidR="008B2C3E">
        <w:rPr>
          <w:rFonts w:ascii="Arial" w:hAnsi="Arial"/>
          <w:rtl/>
        </w:rPr>
        <w:t xml:space="preserve"> (9.7.20) הורשע בעבירות החזקת נשק וחלקי תחמושת בנסיבות בהן הוחזק על רגלו אקדח חצי אוטומטי מסוג </w:t>
      </w:r>
      <w:r w:rsidR="008B2C3E">
        <w:rPr>
          <w:rFonts w:ascii="Arial" w:hAnsi="Arial"/>
        </w:rPr>
        <w:t>CZ</w:t>
      </w:r>
      <w:r w:rsidR="008B2C3E">
        <w:rPr>
          <w:rFonts w:ascii="Arial" w:hAnsi="Arial"/>
          <w:rtl/>
        </w:rPr>
        <w:t xml:space="preserve"> מודל 75 כשבתוכו מחסנית תואמת טעונה ב-15 כדורים בעלי קוטר 9 מ"מ במצב "הכנס". נקבע מתחם עונש הולם הנע בין 10-24 חודשי מאסר בפועל. המערער נדון ל15 חודשי מאסר בפועל לצד ענישה נלווית. ערעורו נדחה.</w:t>
      </w:r>
    </w:p>
    <w:p w14:paraId="42EC5153" w14:textId="77777777" w:rsidR="008B2C3E" w:rsidRDefault="008B2C3E" w:rsidP="008B2C3E">
      <w:pPr>
        <w:pStyle w:val="a9"/>
        <w:spacing w:line="360" w:lineRule="auto"/>
        <w:ind w:left="708" w:right="-426"/>
        <w:jc w:val="both"/>
        <w:rPr>
          <w:rFonts w:ascii="Arial" w:hAnsi="Arial"/>
          <w:rtl/>
        </w:rPr>
      </w:pPr>
    </w:p>
    <w:p w14:paraId="7EF8A4EE" w14:textId="77777777" w:rsidR="008B2C3E" w:rsidRDefault="004741E8" w:rsidP="008B2C3E">
      <w:pPr>
        <w:pStyle w:val="a9"/>
        <w:spacing w:line="360" w:lineRule="auto"/>
        <w:ind w:left="708" w:right="-426"/>
        <w:jc w:val="both"/>
        <w:rPr>
          <w:rFonts w:ascii="Arial" w:hAnsi="Arial"/>
          <w:rtl/>
        </w:rPr>
      </w:pPr>
      <w:hyperlink r:id="rId18" w:history="1">
        <w:r w:rsidRPr="004741E8">
          <w:rPr>
            <w:rFonts w:ascii="Arial" w:hAnsi="Arial"/>
            <w:color w:val="0000FF"/>
            <w:u w:val="single"/>
            <w:rtl/>
          </w:rPr>
          <w:t>ת"פ 35119-06-20</w:t>
        </w:r>
      </w:hyperlink>
      <w:r w:rsidR="008B2C3E">
        <w:rPr>
          <w:rFonts w:ascii="Arial" w:hAnsi="Arial"/>
          <w:rtl/>
        </w:rPr>
        <w:t xml:space="preserve"> </w:t>
      </w:r>
      <w:r w:rsidR="008B2C3E">
        <w:rPr>
          <w:rFonts w:ascii="Arial" w:hAnsi="Arial"/>
          <w:u w:val="single"/>
          <w:rtl/>
        </w:rPr>
        <w:t>מדינת ישראל</w:t>
      </w:r>
      <w:r w:rsidR="008B2C3E">
        <w:rPr>
          <w:rFonts w:ascii="Arial" w:hAnsi="Arial"/>
          <w:rtl/>
        </w:rPr>
        <w:t xml:space="preserve"> נ. </w:t>
      </w:r>
      <w:r w:rsidR="008B2C3E">
        <w:rPr>
          <w:rFonts w:ascii="Arial" w:hAnsi="Arial"/>
          <w:u w:val="single"/>
          <w:rtl/>
        </w:rPr>
        <w:t>חסארמה</w:t>
      </w:r>
      <w:r w:rsidR="008B2C3E">
        <w:rPr>
          <w:rFonts w:ascii="Arial" w:hAnsi="Arial"/>
          <w:rtl/>
        </w:rPr>
        <w:t xml:space="preserve"> (17.11.20) נקבע מתחם עונש הולם הנע בין 12-36 חודשי מאסר בפועל בגין החזקת נשק ותחמושת אקדח ומחסנית תואמת בו 6 כדורים,  הפרעה לשוטרים ושיבוש מהלכי משפט. </w:t>
      </w:r>
    </w:p>
    <w:p w14:paraId="23DC3F1D" w14:textId="77777777" w:rsidR="008B2C3E" w:rsidRDefault="008B2C3E" w:rsidP="008B2C3E">
      <w:pPr>
        <w:pStyle w:val="a9"/>
        <w:spacing w:line="360" w:lineRule="auto"/>
        <w:ind w:left="708" w:right="-426"/>
        <w:jc w:val="both"/>
        <w:rPr>
          <w:rFonts w:ascii="Arial" w:hAnsi="Arial"/>
          <w:rtl/>
        </w:rPr>
      </w:pPr>
    </w:p>
    <w:p w14:paraId="536E10BA" w14:textId="77777777" w:rsidR="008B2C3E" w:rsidRDefault="008B2C3E" w:rsidP="008B2C3E">
      <w:pPr>
        <w:pStyle w:val="a9"/>
        <w:spacing w:line="360" w:lineRule="auto"/>
        <w:ind w:left="708" w:right="-426"/>
        <w:jc w:val="both"/>
        <w:rPr>
          <w:rFonts w:ascii="Arial" w:hAnsi="Arial"/>
          <w:rtl/>
        </w:rPr>
      </w:pPr>
      <w:r>
        <w:rPr>
          <w:rFonts w:ascii="Arial" w:hAnsi="Arial"/>
          <w:rtl/>
        </w:rPr>
        <w:t xml:space="preserve">רע"פ </w:t>
      </w:r>
      <w:hyperlink r:id="rId19" w:history="1">
        <w:r w:rsidR="0088762C" w:rsidRPr="0088762C">
          <w:rPr>
            <w:rFonts w:ascii="Arial" w:hAnsi="Arial"/>
            <w:color w:val="0000FF"/>
            <w:u w:val="single"/>
            <w:rtl/>
          </w:rPr>
          <w:t xml:space="preserve">1729/19 </w:t>
        </w:r>
      </w:hyperlink>
      <w:r>
        <w:rPr>
          <w:rFonts w:ascii="Arial" w:hAnsi="Arial"/>
          <w:rtl/>
        </w:rPr>
        <w:t xml:space="preserve"> </w:t>
      </w:r>
      <w:r>
        <w:rPr>
          <w:rFonts w:ascii="Arial" w:hAnsi="Arial"/>
          <w:u w:val="single"/>
          <w:rtl/>
        </w:rPr>
        <w:t>יוסף עבאהרהה</w:t>
      </w:r>
      <w:r>
        <w:rPr>
          <w:rFonts w:ascii="Arial" w:hAnsi="Arial"/>
          <w:rtl/>
        </w:rPr>
        <w:t xml:space="preserve"> נ. </w:t>
      </w:r>
      <w:r>
        <w:rPr>
          <w:rFonts w:ascii="Arial" w:hAnsi="Arial"/>
          <w:u w:val="single"/>
          <w:rtl/>
        </w:rPr>
        <w:t>מדינת ישראל</w:t>
      </w:r>
      <w:r>
        <w:rPr>
          <w:rFonts w:ascii="Arial" w:hAnsi="Arial"/>
          <w:rtl/>
        </w:rPr>
        <w:t xml:space="preserve"> (פורסם בנבו, 10.10.19) בגין החזקת נשק מאולתר מסוג "קלרו", שתי מחסניות וכמה כדורי תחמושת הוטלו על המבקש 15 חודשי מאסר. ערעור על חומרת העונש נדחה.  </w:t>
      </w:r>
    </w:p>
    <w:p w14:paraId="40849D91" w14:textId="77777777" w:rsidR="008B2C3E" w:rsidRDefault="008B2C3E" w:rsidP="008B2C3E">
      <w:pPr>
        <w:pStyle w:val="a9"/>
        <w:spacing w:line="360" w:lineRule="auto"/>
        <w:ind w:left="708" w:right="-426"/>
        <w:jc w:val="both"/>
        <w:rPr>
          <w:rFonts w:ascii="Arial" w:hAnsi="Arial"/>
        </w:rPr>
      </w:pPr>
    </w:p>
    <w:p w14:paraId="3A9D9007" w14:textId="77777777" w:rsidR="008B2C3E" w:rsidRDefault="004741E8" w:rsidP="008B2C3E">
      <w:pPr>
        <w:pStyle w:val="a9"/>
        <w:spacing w:line="360" w:lineRule="auto"/>
        <w:ind w:left="708" w:right="-426"/>
        <w:jc w:val="both"/>
        <w:rPr>
          <w:rFonts w:ascii="Arial" w:hAnsi="Arial"/>
          <w:rtl/>
        </w:rPr>
      </w:pPr>
      <w:hyperlink r:id="rId20" w:history="1">
        <w:r w:rsidRPr="004741E8">
          <w:rPr>
            <w:rFonts w:ascii="Arial" w:hAnsi="Arial"/>
            <w:color w:val="0000FF"/>
            <w:u w:val="single"/>
            <w:rtl/>
          </w:rPr>
          <w:t>ת"פ 25051-05-21</w:t>
        </w:r>
      </w:hyperlink>
      <w:r w:rsidR="008B2C3E">
        <w:rPr>
          <w:rFonts w:ascii="Arial" w:hAnsi="Arial"/>
          <w:rtl/>
        </w:rPr>
        <w:t xml:space="preserve"> </w:t>
      </w:r>
      <w:r w:rsidR="008B2C3E">
        <w:rPr>
          <w:rFonts w:ascii="Arial" w:hAnsi="Arial"/>
          <w:u w:val="single"/>
          <w:rtl/>
        </w:rPr>
        <w:t>מדינת ישראל</w:t>
      </w:r>
      <w:r w:rsidR="008B2C3E">
        <w:rPr>
          <w:rFonts w:ascii="Arial" w:hAnsi="Arial"/>
          <w:rtl/>
        </w:rPr>
        <w:t xml:space="preserve"> נ. </w:t>
      </w:r>
      <w:r w:rsidR="008B2C3E">
        <w:rPr>
          <w:rFonts w:ascii="Arial" w:hAnsi="Arial"/>
          <w:u w:val="single"/>
          <w:rtl/>
        </w:rPr>
        <w:t>בשיר</w:t>
      </w:r>
      <w:r w:rsidR="008B2C3E">
        <w:rPr>
          <w:rFonts w:ascii="Arial" w:hAnsi="Arial"/>
          <w:rtl/>
        </w:rPr>
        <w:t xml:space="preserve"> (30.12.21) באותו עניין בגין החזקת שני אקדחים, שתי מחסניות תואמות לכל אחד מן האקדחים אשר שתיים מהן היו מלאות ב-7 ו-8 כדורים ובנוסף החזקת 11 כדורים בשקית שקופה, בנסיבות בהן הנשק והתחמושת הוסלקו בתוך חור בקיר המטבח, כשלצדם הוסלקה שקית ניילון ובה שתי מסכות פנים וזוג כפפות. נקבע מתחם עונש הולם הנע בין 12-36 חודשי מאסר בפועל. הנאשם נדון ל15 חודשי מאסר בפועל. בית המשפט המחוזי החמיר בעונשו והעמידו על 20 חודשי מאסר בפועל. </w:t>
      </w:r>
    </w:p>
    <w:p w14:paraId="49AB39E7" w14:textId="77777777" w:rsidR="008B2C3E" w:rsidRDefault="008B2C3E" w:rsidP="008B2C3E">
      <w:pPr>
        <w:pStyle w:val="a9"/>
        <w:spacing w:line="360" w:lineRule="auto"/>
        <w:ind w:left="708" w:right="-426"/>
        <w:jc w:val="both"/>
        <w:rPr>
          <w:rFonts w:ascii="Arial" w:hAnsi="Arial"/>
          <w:rtl/>
        </w:rPr>
      </w:pPr>
    </w:p>
    <w:p w14:paraId="48D93932" w14:textId="77777777" w:rsidR="008B2C3E" w:rsidRDefault="008B2C3E" w:rsidP="008B2C3E">
      <w:pPr>
        <w:pStyle w:val="a9"/>
        <w:spacing w:line="360" w:lineRule="auto"/>
        <w:ind w:left="708" w:right="-426"/>
        <w:jc w:val="both"/>
        <w:rPr>
          <w:rFonts w:ascii="Arial" w:hAnsi="Arial"/>
          <w:rtl/>
        </w:rPr>
      </w:pPr>
      <w:r>
        <w:rPr>
          <w:rFonts w:ascii="Arial" w:hAnsi="Arial"/>
          <w:rtl/>
        </w:rPr>
        <w:t xml:space="preserve">ת"פ 26354-01-21 </w:t>
      </w:r>
      <w:r>
        <w:rPr>
          <w:rFonts w:ascii="Arial" w:hAnsi="Arial"/>
          <w:u w:val="single"/>
          <w:rtl/>
        </w:rPr>
        <w:t>מדינת ישראל</w:t>
      </w:r>
      <w:r>
        <w:rPr>
          <w:rFonts w:ascii="Arial" w:hAnsi="Arial"/>
          <w:rtl/>
        </w:rPr>
        <w:t xml:space="preserve"> נ. </w:t>
      </w:r>
      <w:r>
        <w:rPr>
          <w:rFonts w:ascii="Arial" w:hAnsi="Arial"/>
          <w:u w:val="single"/>
          <w:rtl/>
        </w:rPr>
        <w:t>פיראס שאהין</w:t>
      </w:r>
      <w:r>
        <w:rPr>
          <w:rFonts w:ascii="Arial" w:hAnsi="Arial"/>
          <w:rtl/>
        </w:rPr>
        <w:t xml:space="preserve"> (16.2.22) בגין החזקת אקדח זמין לירי, טעון במחסנית ובה 11 כדורים חיים 9 מ"מ וכן באקדח נוסף מסוג </w:t>
      </w:r>
      <w:r>
        <w:rPr>
          <w:rFonts w:ascii="Arial" w:hAnsi="Arial"/>
        </w:rPr>
        <w:t>CZ</w:t>
      </w:r>
      <w:r>
        <w:rPr>
          <w:rFonts w:ascii="Arial" w:hAnsi="Arial"/>
          <w:rtl/>
        </w:rPr>
        <w:t xml:space="preserve"> נקבע מתחם עונש הולם הנע בין 6-36 חודשי מאסר בפועל. נדון למאסר בפועל בן 15 חודשים. </w:t>
      </w:r>
    </w:p>
    <w:p w14:paraId="50740AAE" w14:textId="77777777" w:rsidR="008B2C3E" w:rsidRDefault="008B2C3E" w:rsidP="008B2C3E">
      <w:pPr>
        <w:pStyle w:val="a9"/>
        <w:rPr>
          <w:rStyle w:val="default"/>
          <w:rFonts w:ascii="David" w:hAnsi="David"/>
        </w:rPr>
      </w:pPr>
    </w:p>
    <w:p w14:paraId="0ECA950C" w14:textId="77777777" w:rsidR="008B2C3E" w:rsidRPr="00EC7136" w:rsidRDefault="008B2C3E" w:rsidP="008B2C3E">
      <w:pPr>
        <w:pStyle w:val="a9"/>
        <w:numPr>
          <w:ilvl w:val="0"/>
          <w:numId w:val="1"/>
        </w:numPr>
        <w:spacing w:line="360" w:lineRule="auto"/>
        <w:ind w:left="708" w:right="-426" w:hanging="567"/>
        <w:jc w:val="both"/>
        <w:rPr>
          <w:rStyle w:val="default"/>
          <w:rFonts w:ascii="David" w:hAnsi="David" w:cs="David"/>
          <w:sz w:val="24"/>
          <w:szCs w:val="24"/>
          <w:rtl/>
        </w:rPr>
      </w:pPr>
      <w:r w:rsidRPr="00EC7136">
        <w:rPr>
          <w:rStyle w:val="default"/>
          <w:rFonts w:ascii="David" w:hAnsi="David" w:cs="David"/>
          <w:sz w:val="24"/>
          <w:szCs w:val="24"/>
          <w:rtl/>
        </w:rPr>
        <w:t xml:space="preserve">חומרה יתרה יש ליחס לעובדה כי הנאשם הורשע לא רק </w:t>
      </w:r>
      <w:r>
        <w:rPr>
          <w:rStyle w:val="default"/>
          <w:rFonts w:ascii="David" w:hAnsi="David" w:cs="David" w:hint="cs"/>
          <w:sz w:val="24"/>
          <w:szCs w:val="24"/>
          <w:rtl/>
        </w:rPr>
        <w:t>ב</w:t>
      </w:r>
      <w:r w:rsidRPr="00EC7136">
        <w:rPr>
          <w:rStyle w:val="default"/>
          <w:rFonts w:ascii="David" w:hAnsi="David" w:cs="David"/>
          <w:sz w:val="24"/>
          <w:szCs w:val="24"/>
          <w:rtl/>
        </w:rPr>
        <w:t>החזקת האקדח אלא בהחזקתה של תחמושת לצדו.  התחמושת הופכת את הימצאותו של האקדח למסוכנת פי כמה, כאשר יש בידי אותו מחזיק את כל הנדרש על מנת להפעיל את הא</w:t>
      </w:r>
      <w:r>
        <w:rPr>
          <w:rStyle w:val="default"/>
          <w:rFonts w:ascii="David" w:hAnsi="David" w:cs="David"/>
          <w:sz w:val="24"/>
          <w:szCs w:val="24"/>
          <w:rtl/>
        </w:rPr>
        <w:t xml:space="preserve">קדח, והם מצויים </w:t>
      </w:r>
      <w:r>
        <w:rPr>
          <w:rStyle w:val="default"/>
          <w:rFonts w:ascii="David" w:hAnsi="David" w:cs="David" w:hint="cs"/>
          <w:sz w:val="24"/>
          <w:szCs w:val="24"/>
          <w:rtl/>
        </w:rPr>
        <w:t>ערוכים לפעולה.</w:t>
      </w:r>
    </w:p>
    <w:p w14:paraId="0CC4AD0D" w14:textId="77777777" w:rsidR="008B2C3E" w:rsidRDefault="008B2C3E" w:rsidP="008B2C3E">
      <w:pPr>
        <w:pStyle w:val="a9"/>
        <w:spacing w:line="360" w:lineRule="auto"/>
        <w:ind w:left="708" w:right="-426"/>
        <w:jc w:val="both"/>
        <w:rPr>
          <w:rFonts w:ascii="Arial" w:hAnsi="Arial"/>
        </w:rPr>
      </w:pPr>
    </w:p>
    <w:p w14:paraId="702F8E55"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rtl/>
        </w:rPr>
        <w:t>ברוח מדיניות הענישה הנוהגת בעבירות נשק,</w:t>
      </w:r>
      <w:r>
        <w:rPr>
          <w:rFonts w:ascii="Arial" w:hAnsi="Arial" w:hint="cs"/>
          <w:rtl/>
        </w:rPr>
        <w:t xml:space="preserve"> בהתחשב בסוג הנשק, קיומה של המחסנית טעונה בשני כדורי תחמושת בתוך האקדח,</w:t>
      </w:r>
      <w:r>
        <w:rPr>
          <w:rFonts w:ascii="Arial" w:hAnsi="Arial"/>
          <w:rtl/>
        </w:rPr>
        <w:t xml:space="preserve"> מוצאת אני כי יש להורות על מתחם עונש הולם הנע בין 1</w:t>
      </w:r>
      <w:r>
        <w:rPr>
          <w:rFonts w:ascii="Arial" w:hAnsi="Arial" w:hint="cs"/>
          <w:rtl/>
        </w:rPr>
        <w:t>3 ל-</w:t>
      </w:r>
      <w:r>
        <w:rPr>
          <w:rFonts w:ascii="Arial" w:hAnsi="Arial"/>
          <w:rtl/>
        </w:rPr>
        <w:t>30 חודשי מאסר בפועל.</w:t>
      </w:r>
    </w:p>
    <w:p w14:paraId="6B743F13" w14:textId="77777777" w:rsidR="008B2C3E" w:rsidRDefault="008B2C3E" w:rsidP="008B2C3E">
      <w:pPr>
        <w:pStyle w:val="a9"/>
        <w:spacing w:line="360" w:lineRule="auto"/>
        <w:ind w:left="708" w:right="-426"/>
        <w:jc w:val="both"/>
        <w:rPr>
          <w:rFonts w:ascii="Arial" w:hAnsi="Arial"/>
        </w:rPr>
      </w:pPr>
      <w:r>
        <w:rPr>
          <w:rFonts w:ascii="Arial" w:hAnsi="Arial"/>
          <w:rtl/>
        </w:rPr>
        <w:t xml:space="preserve"> </w:t>
      </w:r>
    </w:p>
    <w:p w14:paraId="65A4A0D4" w14:textId="77777777" w:rsidR="008B2C3E" w:rsidRDefault="008B2C3E" w:rsidP="008B2C3E">
      <w:pPr>
        <w:pStyle w:val="a9"/>
        <w:spacing w:line="360" w:lineRule="auto"/>
        <w:ind w:left="708" w:right="-426"/>
        <w:jc w:val="both"/>
        <w:rPr>
          <w:rFonts w:ascii="Arial" w:hAnsi="Arial"/>
          <w:u w:val="single"/>
          <w:rtl/>
        </w:rPr>
      </w:pPr>
    </w:p>
    <w:p w14:paraId="77BAD8A0" w14:textId="77777777" w:rsidR="008B2C3E" w:rsidRDefault="008B2C3E" w:rsidP="008B2C3E">
      <w:pPr>
        <w:pStyle w:val="a9"/>
        <w:spacing w:line="360" w:lineRule="auto"/>
        <w:ind w:left="708" w:right="-426"/>
        <w:jc w:val="both"/>
        <w:rPr>
          <w:rFonts w:ascii="Arial" w:hAnsi="Arial"/>
          <w:u w:val="single"/>
          <w:rtl/>
        </w:rPr>
      </w:pPr>
      <w:r>
        <w:rPr>
          <w:rFonts w:ascii="Arial" w:hAnsi="Arial"/>
          <w:u w:val="single"/>
          <w:rtl/>
        </w:rPr>
        <w:t xml:space="preserve">נסיבות שאינן קשורות לביצוע העבירות </w:t>
      </w:r>
    </w:p>
    <w:p w14:paraId="56157CBE" w14:textId="77777777" w:rsidR="008B2C3E" w:rsidRDefault="008B2C3E" w:rsidP="008B2C3E">
      <w:pPr>
        <w:pStyle w:val="a9"/>
        <w:spacing w:line="360" w:lineRule="auto"/>
        <w:ind w:left="708" w:right="-426"/>
        <w:jc w:val="both"/>
        <w:rPr>
          <w:rFonts w:ascii="Arial" w:hAnsi="Arial"/>
          <w:u w:val="single"/>
          <w:rtl/>
        </w:rPr>
      </w:pPr>
    </w:p>
    <w:p w14:paraId="115F605D"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הנאשם יליד 28.2.2002. נעדר עבר פלילי.</w:t>
      </w:r>
    </w:p>
    <w:p w14:paraId="13009360" w14:textId="77777777" w:rsidR="008B2C3E" w:rsidRDefault="008B2C3E" w:rsidP="008B2C3E">
      <w:pPr>
        <w:pStyle w:val="a9"/>
        <w:spacing w:line="360" w:lineRule="auto"/>
        <w:ind w:left="708" w:right="-426"/>
        <w:jc w:val="both"/>
        <w:rPr>
          <w:rFonts w:ascii="Arial" w:hAnsi="Arial"/>
          <w:rtl/>
        </w:rPr>
      </w:pPr>
      <w:r>
        <w:rPr>
          <w:rFonts w:ascii="Arial" w:hAnsi="Arial" w:hint="cs"/>
          <w:rtl/>
        </w:rPr>
        <w:t xml:space="preserve">הנאשם הודה מיד לאחר תיקונו של כתב האישום. </w:t>
      </w:r>
    </w:p>
    <w:p w14:paraId="18227736" w14:textId="77777777" w:rsidR="008B2C3E" w:rsidRDefault="008B2C3E" w:rsidP="008B2C3E">
      <w:pPr>
        <w:pStyle w:val="a9"/>
        <w:spacing w:line="360" w:lineRule="auto"/>
        <w:ind w:left="708" w:right="-426"/>
        <w:jc w:val="both"/>
        <w:rPr>
          <w:rFonts w:ascii="Arial" w:hAnsi="Arial"/>
          <w:rtl/>
        </w:rPr>
      </w:pPr>
    </w:p>
    <w:p w14:paraId="7D4401F8"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מתסקיר ישרות המבחן וטיעוני אביו של הנאשם עולה כי הנאשם היה תלמיד טוב ובעל השיגים טובים, בוגר מגמה ביולוגיה  כימיה.  הנאשם תיאר בפני שירות המבחן את הפחד שחווה שעה בה ביצע את העבירות כתוצאה מלחץ חברתי ואת הבושה שחש.  שירות המבחן התרשם מצעיר שגדל במשפחה בעלת סולם ערכים נורמטיבי המחזיקה בעמדות הנוגדות התנהגות עוברת חוק.  שירות המבחן מרחיב בדר התרשמותו מן הנאשם ומציין כי הוא מצוי בשלבים ראשוניים של הכרה בכשלים שבהתנהלותו בזמן העבירה. שירות המבחן התרשם כי רמת הסיכון הישנות עבירות הינה בנונית ברמת חומרה בינונית. נוכח כל האמור ממליץ שירות המבחן על ענישה חיצונית מוחשית בעל גבולו ברורים. כמו כן ממליץ שירות המבחן כי במהלך מאסרו ישולב בהליכים טיפוליים.</w:t>
      </w:r>
    </w:p>
    <w:p w14:paraId="350C7F81" w14:textId="77777777" w:rsidR="008B2C3E" w:rsidRDefault="008B2C3E" w:rsidP="008B2C3E">
      <w:pPr>
        <w:pStyle w:val="a9"/>
        <w:spacing w:line="360" w:lineRule="auto"/>
        <w:ind w:left="708" w:right="-426"/>
        <w:jc w:val="both"/>
        <w:rPr>
          <w:rFonts w:ascii="Arial" w:hAnsi="Arial"/>
        </w:rPr>
      </w:pPr>
    </w:p>
    <w:p w14:paraId="3B844DCE" w14:textId="77777777" w:rsidR="008B2C3E" w:rsidRPr="005972AC"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בדבריו של הנאשם לבית המשפט אמר כי טענה וכי הוא רוצה ללמוד  מהטעויות שלו. הוא ציין כי חש בושה כאשר אביו דיבר.</w:t>
      </w:r>
      <w:r w:rsidRPr="005972AC">
        <w:rPr>
          <w:rFonts w:ascii="Arial" w:hAnsi="Arial"/>
        </w:rPr>
        <w:t xml:space="preserve"> </w:t>
      </w:r>
    </w:p>
    <w:p w14:paraId="5DA9BEC9" w14:textId="77777777" w:rsidR="008B2C3E" w:rsidRPr="005972AC" w:rsidRDefault="008B2C3E" w:rsidP="008B2C3E">
      <w:pPr>
        <w:pStyle w:val="a9"/>
        <w:spacing w:line="360" w:lineRule="auto"/>
        <w:ind w:left="708" w:right="-426"/>
        <w:jc w:val="both"/>
        <w:rPr>
          <w:rFonts w:ascii="Arial" w:hAnsi="Arial"/>
        </w:rPr>
      </w:pPr>
    </w:p>
    <w:p w14:paraId="540914E3"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מיקומו של הנאשם בתחתית מתחם הענישה.</w:t>
      </w:r>
    </w:p>
    <w:p w14:paraId="7B732992" w14:textId="77777777" w:rsidR="008B2C3E" w:rsidRPr="005972AC" w:rsidRDefault="008B2C3E" w:rsidP="008B2C3E">
      <w:pPr>
        <w:pStyle w:val="a9"/>
        <w:rPr>
          <w:rFonts w:ascii="Arial" w:hAnsi="Arial"/>
          <w:rtl/>
        </w:rPr>
      </w:pPr>
    </w:p>
    <w:p w14:paraId="0C0EAF77"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 xml:space="preserve">כל האוחז בנשק, כל המסייע לאחיזה בנשק ,צריך לדעת כי דינו מאסר. הרתעה זו היא בין יתר הגורמים היכולים לתת יד למאבק בתופעת השימוש באמצעי לחימה. יש לקוות כי תקופת המאסר תנוצל על ידי הנאשם לצורך טיפול, למידה וכאשר יצא חזרה לעולם החופשי ימשיך בדרך בה הלך טרם חבירתו לגורמי הפשיעה. יש לקוות ולעודד את הנאשם כי ינצל את תקופת מאסרו בדרך זו ולא על מנת להעמיק את קשריו בעולם הפשע. אולי, לא רק המאסר אלא גם סבלה של משפחתו, יעמדו לנגד עיניו עת יעשה כאדם צעיר את בחירותיו להמשך חייו. </w:t>
      </w:r>
    </w:p>
    <w:p w14:paraId="2A6E3196" w14:textId="77777777" w:rsidR="008B2C3E" w:rsidRPr="007F0B04" w:rsidRDefault="008B2C3E" w:rsidP="008B2C3E">
      <w:pPr>
        <w:pStyle w:val="a9"/>
        <w:rPr>
          <w:rFonts w:ascii="Arial" w:hAnsi="Arial"/>
          <w:rtl/>
        </w:rPr>
      </w:pPr>
    </w:p>
    <w:p w14:paraId="60711AA9" w14:textId="77777777" w:rsidR="008B2C3E" w:rsidRDefault="008B2C3E" w:rsidP="008B2C3E">
      <w:pPr>
        <w:pStyle w:val="a9"/>
        <w:numPr>
          <w:ilvl w:val="0"/>
          <w:numId w:val="1"/>
        </w:numPr>
        <w:spacing w:line="360" w:lineRule="auto"/>
        <w:ind w:left="708" w:right="-426" w:hanging="567"/>
        <w:jc w:val="both"/>
        <w:rPr>
          <w:rFonts w:ascii="Arial" w:hAnsi="Arial"/>
        </w:rPr>
      </w:pPr>
      <w:r>
        <w:rPr>
          <w:rFonts w:ascii="Arial" w:hAnsi="Arial" w:hint="cs"/>
          <w:rtl/>
        </w:rPr>
        <w:t xml:space="preserve">לא אשית על הנאשם קנס, על אף שלטעמי בעבירות נשק יש להשית קנסות, שכן לנשק לא חוקי קיים ערך כלכלי משמעותי בשוק השחור. הקנס לא יושת שכן משפחתו כבר שילמה רבות בגין מעשיו. </w:t>
      </w:r>
    </w:p>
    <w:p w14:paraId="6E18B70F" w14:textId="77777777" w:rsidR="008B2C3E" w:rsidRPr="007F0B04" w:rsidRDefault="008B2C3E" w:rsidP="008B2C3E">
      <w:pPr>
        <w:pStyle w:val="a9"/>
        <w:rPr>
          <w:rFonts w:ascii="Arial" w:hAnsi="Arial"/>
        </w:rPr>
      </w:pPr>
    </w:p>
    <w:p w14:paraId="4533A958" w14:textId="77777777" w:rsidR="008B2C3E" w:rsidRDefault="008B2C3E" w:rsidP="008B2C3E">
      <w:pPr>
        <w:pStyle w:val="a9"/>
        <w:numPr>
          <w:ilvl w:val="0"/>
          <w:numId w:val="1"/>
        </w:numPr>
        <w:spacing w:line="360" w:lineRule="auto"/>
        <w:ind w:left="708" w:right="-426" w:hanging="567"/>
        <w:jc w:val="both"/>
        <w:rPr>
          <w:rFonts w:ascii="Arial" w:hAnsi="Arial"/>
          <w:rtl/>
        </w:rPr>
      </w:pPr>
      <w:r>
        <w:rPr>
          <w:rFonts w:ascii="Arial" w:hAnsi="Arial"/>
          <w:u w:val="single"/>
          <w:rtl/>
        </w:rPr>
        <w:t>לאור כל האמור הנני גוזרת את עונשו של הנאשם כדלהלן</w:t>
      </w:r>
      <w:r>
        <w:rPr>
          <w:rFonts w:ascii="Arial" w:hAnsi="Arial"/>
          <w:rtl/>
        </w:rPr>
        <w:t>:</w:t>
      </w:r>
    </w:p>
    <w:p w14:paraId="69F46836" w14:textId="77777777" w:rsidR="008B2C3E" w:rsidRDefault="008B2C3E" w:rsidP="008B2C3E">
      <w:pPr>
        <w:pStyle w:val="a9"/>
        <w:rPr>
          <w:rFonts w:ascii="Arial" w:hAnsi="Arial"/>
        </w:rPr>
      </w:pPr>
    </w:p>
    <w:p w14:paraId="604ED840" w14:textId="77777777" w:rsidR="008B2C3E" w:rsidRDefault="008B2C3E" w:rsidP="008B2C3E">
      <w:pPr>
        <w:overflowPunct w:val="0"/>
        <w:autoSpaceDE w:val="0"/>
        <w:autoSpaceDN w:val="0"/>
        <w:adjustRightInd w:val="0"/>
        <w:spacing w:line="360" w:lineRule="auto"/>
        <w:rPr>
          <w:rtl/>
        </w:rPr>
      </w:pPr>
      <w:r>
        <w:rPr>
          <w:rtl/>
        </w:rPr>
        <w:t>א.</w:t>
      </w:r>
      <w:r>
        <w:rPr>
          <w:rtl/>
        </w:rPr>
        <w:tab/>
        <w:t>מאסר לתקופה של 1</w:t>
      </w:r>
      <w:r>
        <w:rPr>
          <w:rFonts w:hint="cs"/>
          <w:rtl/>
        </w:rPr>
        <w:t>3</w:t>
      </w:r>
      <w:r>
        <w:rPr>
          <w:rtl/>
        </w:rPr>
        <w:t xml:space="preserve"> חודשים החל מיום מעצרו </w:t>
      </w:r>
      <w:r>
        <w:rPr>
          <w:rFonts w:hint="cs"/>
          <w:rtl/>
        </w:rPr>
        <w:t>28.6.22.</w:t>
      </w:r>
    </w:p>
    <w:p w14:paraId="4BCAFA06" w14:textId="77777777" w:rsidR="008B2C3E" w:rsidRDefault="008B2C3E" w:rsidP="008B2C3E">
      <w:pPr>
        <w:overflowPunct w:val="0"/>
        <w:autoSpaceDE w:val="0"/>
        <w:autoSpaceDN w:val="0"/>
        <w:adjustRightInd w:val="0"/>
        <w:spacing w:line="360" w:lineRule="auto"/>
        <w:rPr>
          <w:rtl/>
        </w:rPr>
      </w:pPr>
    </w:p>
    <w:p w14:paraId="44E68BCD" w14:textId="77777777" w:rsidR="008B2C3E" w:rsidRDefault="008B2C3E" w:rsidP="008B2C3E">
      <w:pPr>
        <w:overflowPunct w:val="0"/>
        <w:autoSpaceDE w:val="0"/>
        <w:autoSpaceDN w:val="0"/>
        <w:adjustRightInd w:val="0"/>
        <w:spacing w:line="360" w:lineRule="auto"/>
        <w:ind w:left="720" w:hanging="720"/>
        <w:jc w:val="both"/>
      </w:pPr>
      <w:r>
        <w:rPr>
          <w:rtl/>
        </w:rPr>
        <w:t>ב.</w:t>
      </w:r>
      <w:r>
        <w:rPr>
          <w:rtl/>
        </w:rPr>
        <w:tab/>
        <w:t xml:space="preserve">מאסר על תנאי לתקופה של  9  חודשים, למשך  3  שנים מיום שחרורו, והתנאי הוא כי הנאשם לא יעבור בתקופה זו עבירת נשק חלקי נשק או תחמושת, ויורשע עליה בדין. </w:t>
      </w:r>
    </w:p>
    <w:p w14:paraId="5B8E0639" w14:textId="77777777" w:rsidR="008B2C3E" w:rsidRDefault="008B2C3E" w:rsidP="008B2C3E">
      <w:pPr>
        <w:rPr>
          <w:rFonts w:ascii="Calibri" w:hAnsi="Calibri"/>
          <w:sz w:val="22"/>
          <w:szCs w:val="22"/>
          <w:rtl/>
        </w:rPr>
      </w:pPr>
    </w:p>
    <w:p w14:paraId="72918EDF" w14:textId="77777777" w:rsidR="008B2C3E" w:rsidRDefault="008B2C3E" w:rsidP="008B2C3E">
      <w:pPr>
        <w:overflowPunct w:val="0"/>
        <w:autoSpaceDE w:val="0"/>
        <w:autoSpaceDN w:val="0"/>
        <w:adjustRightInd w:val="0"/>
        <w:spacing w:line="360" w:lineRule="auto"/>
        <w:ind w:left="720" w:hanging="720"/>
        <w:jc w:val="both"/>
        <w:rPr>
          <w:rtl/>
        </w:rPr>
      </w:pPr>
      <w:r>
        <w:rPr>
          <w:rtl/>
        </w:rPr>
        <w:t>ד.</w:t>
      </w:r>
      <w:r>
        <w:rPr>
          <w:rtl/>
        </w:rPr>
        <w:tab/>
        <w:t xml:space="preserve">הנאשם יצהיר בדבר התחייבות כספית בסך של 10,000 ₪, להימנע מלעבור עבירת נשק, חלקי נשק או תחמושת בתוך 3 שנים מיום שחרורו.  </w:t>
      </w:r>
    </w:p>
    <w:p w14:paraId="5522FCDE" w14:textId="77777777" w:rsidR="008B2C3E" w:rsidRDefault="008B2C3E" w:rsidP="008B2C3E">
      <w:pPr>
        <w:overflowPunct w:val="0"/>
        <w:autoSpaceDE w:val="0"/>
        <w:autoSpaceDN w:val="0"/>
        <w:adjustRightInd w:val="0"/>
        <w:spacing w:line="360" w:lineRule="auto"/>
        <w:ind w:left="720"/>
        <w:jc w:val="both"/>
        <w:rPr>
          <w:rtl/>
        </w:rPr>
      </w:pPr>
      <w:r>
        <w:rPr>
          <w:rtl/>
        </w:rPr>
        <w:t xml:space="preserve">אם לא יצהיר  היום על ההתחייבות, יש לאסור אותו למשך  </w:t>
      </w:r>
      <w:r>
        <w:rPr>
          <w:rFonts w:hint="cs"/>
          <w:rtl/>
        </w:rPr>
        <w:t>30</w:t>
      </w:r>
      <w:r>
        <w:rPr>
          <w:rtl/>
        </w:rPr>
        <w:t xml:space="preserve">  ימים אשר יתווספו לכל תקופת מאסר אותה הוא מרצה. </w:t>
      </w:r>
    </w:p>
    <w:p w14:paraId="3A4BB43B" w14:textId="77777777" w:rsidR="008B2C3E" w:rsidRDefault="008B2C3E" w:rsidP="008B2C3E">
      <w:pPr>
        <w:overflowPunct w:val="0"/>
        <w:autoSpaceDE w:val="0"/>
        <w:autoSpaceDN w:val="0"/>
        <w:adjustRightInd w:val="0"/>
        <w:spacing w:line="360" w:lineRule="auto"/>
        <w:ind w:left="720"/>
        <w:jc w:val="both"/>
        <w:rPr>
          <w:rtl/>
        </w:rPr>
      </w:pPr>
    </w:p>
    <w:p w14:paraId="054DFE46" w14:textId="77777777" w:rsidR="008B2C3E" w:rsidRDefault="008B2C3E" w:rsidP="008B2C3E">
      <w:pPr>
        <w:overflowPunct w:val="0"/>
        <w:autoSpaceDE w:val="0"/>
        <w:autoSpaceDN w:val="0"/>
        <w:adjustRightInd w:val="0"/>
        <w:spacing w:line="360" w:lineRule="auto"/>
        <w:jc w:val="both"/>
        <w:rPr>
          <w:b/>
          <w:bCs/>
          <w:rtl/>
        </w:rPr>
      </w:pPr>
      <w:r>
        <w:rPr>
          <w:b/>
          <w:bCs/>
          <w:rtl/>
        </w:rPr>
        <w:t xml:space="preserve">צו להשמדת או חילוט הנשק והתחמושת על פי החלטת קצין חילוט. </w:t>
      </w:r>
    </w:p>
    <w:p w14:paraId="1C2077CF" w14:textId="77777777" w:rsidR="008B2C3E" w:rsidRDefault="004741E8" w:rsidP="008B2C3E">
      <w:pPr>
        <w:overflowPunct w:val="0"/>
        <w:autoSpaceDE w:val="0"/>
        <w:autoSpaceDN w:val="0"/>
        <w:adjustRightInd w:val="0"/>
        <w:spacing w:line="360" w:lineRule="auto"/>
        <w:rPr>
          <w:color w:val="FFFFFF"/>
          <w:sz w:val="2"/>
          <w:szCs w:val="2"/>
          <w:rtl/>
        </w:rPr>
      </w:pPr>
      <w:r w:rsidRPr="004741E8">
        <w:rPr>
          <w:color w:val="FFFFFF"/>
          <w:sz w:val="2"/>
          <w:szCs w:val="2"/>
          <w:rtl/>
        </w:rPr>
        <w:t>5129371</w:t>
      </w:r>
      <w:r w:rsidR="008B2C3E">
        <w:rPr>
          <w:color w:val="FFFFFF"/>
          <w:sz w:val="2"/>
          <w:szCs w:val="2"/>
          <w:rtl/>
        </w:rPr>
        <w:t>5129371</w:t>
      </w:r>
    </w:p>
    <w:p w14:paraId="24A0F267" w14:textId="77777777" w:rsidR="008B2C3E" w:rsidRPr="004741E8" w:rsidRDefault="004741E8" w:rsidP="008B2C3E">
      <w:pPr>
        <w:rPr>
          <w:rFonts w:ascii="Arial" w:hAnsi="Arial"/>
          <w:b/>
          <w:bCs/>
          <w:color w:val="FFFFFF"/>
          <w:sz w:val="2"/>
          <w:szCs w:val="2"/>
          <w:rtl/>
        </w:rPr>
      </w:pPr>
      <w:r w:rsidRPr="004741E8">
        <w:rPr>
          <w:rFonts w:ascii="Arial" w:hAnsi="Arial"/>
          <w:b/>
          <w:bCs/>
          <w:color w:val="FFFFFF"/>
          <w:sz w:val="2"/>
          <w:szCs w:val="2"/>
          <w:rtl/>
        </w:rPr>
        <w:t>54678313</w:t>
      </w:r>
    </w:p>
    <w:p w14:paraId="4D8027B8" w14:textId="77777777" w:rsidR="008B2C3E" w:rsidRPr="000F2247" w:rsidRDefault="008B2C3E" w:rsidP="008B2C3E">
      <w:pPr>
        <w:rPr>
          <w:rFonts w:ascii="Arial" w:hAnsi="Arial"/>
          <w:b/>
          <w:bCs/>
          <w:sz w:val="26"/>
          <w:szCs w:val="26"/>
          <w:rtl/>
        </w:rPr>
      </w:pPr>
    </w:p>
    <w:p w14:paraId="48809090" w14:textId="77777777" w:rsidR="008B2C3E" w:rsidRPr="000F2247" w:rsidRDefault="004741E8" w:rsidP="008B2C3E">
      <w:pPr>
        <w:rPr>
          <w:rFonts w:ascii="Arial" w:hAnsi="Arial"/>
          <w:b/>
          <w:bCs/>
          <w:sz w:val="26"/>
          <w:szCs w:val="26"/>
          <w:rtl/>
        </w:rPr>
      </w:pPr>
      <w:bookmarkStart w:id="8" w:name="Nitan"/>
      <w:r>
        <w:rPr>
          <w:rFonts w:ascii="Arial" w:hAnsi="Arial"/>
          <w:b/>
          <w:bCs/>
          <w:sz w:val="26"/>
          <w:szCs w:val="26"/>
          <w:rtl/>
        </w:rPr>
        <w:t xml:space="preserve">ניתן היום,  ב' שבט תשפ"ג, 24 ינואר 2023, בנוכחות הצדדים. </w:t>
      </w:r>
      <w:bookmarkEnd w:id="8"/>
    </w:p>
    <w:p w14:paraId="0736D289" w14:textId="77777777" w:rsidR="008B2C3E" w:rsidRPr="000F2247" w:rsidRDefault="008B2C3E" w:rsidP="004741E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D378CA9" w14:textId="77777777" w:rsidR="008B2C3E" w:rsidRPr="000F2247" w:rsidRDefault="008B2C3E" w:rsidP="008B2C3E">
      <w:pPr>
        <w:jc w:val="center"/>
        <w:rPr>
          <w:rFonts w:ascii="Arial" w:hAnsi="Arial"/>
          <w:b/>
          <w:bCs/>
          <w:sz w:val="26"/>
          <w:szCs w:val="26"/>
          <w:rtl/>
        </w:rPr>
      </w:pPr>
    </w:p>
    <w:p w14:paraId="371C26C2" w14:textId="77777777" w:rsidR="00577409" w:rsidRPr="004741E8" w:rsidRDefault="00577409" w:rsidP="004741E8">
      <w:pPr>
        <w:keepNext/>
        <w:rPr>
          <w:rFonts w:ascii="David" w:hAnsi="David"/>
          <w:color w:val="000000"/>
          <w:sz w:val="22"/>
          <w:szCs w:val="22"/>
          <w:rtl/>
        </w:rPr>
      </w:pPr>
    </w:p>
    <w:p w14:paraId="4E07A184" w14:textId="77777777" w:rsidR="004741E8" w:rsidRPr="004741E8" w:rsidRDefault="004741E8" w:rsidP="004741E8">
      <w:pPr>
        <w:keepNext/>
        <w:rPr>
          <w:rFonts w:ascii="David" w:hAnsi="David"/>
          <w:color w:val="000000"/>
          <w:sz w:val="22"/>
          <w:szCs w:val="22"/>
          <w:rtl/>
        </w:rPr>
      </w:pPr>
      <w:r w:rsidRPr="004741E8">
        <w:rPr>
          <w:rFonts w:ascii="David" w:hAnsi="David"/>
          <w:color w:val="000000"/>
          <w:sz w:val="22"/>
          <w:szCs w:val="22"/>
          <w:rtl/>
        </w:rPr>
        <w:t>שושנה פיינסוד כהן 54678313</w:t>
      </w:r>
    </w:p>
    <w:p w14:paraId="15CC11E8" w14:textId="77777777" w:rsidR="004741E8" w:rsidRDefault="004741E8" w:rsidP="004741E8">
      <w:r w:rsidRPr="004741E8">
        <w:rPr>
          <w:color w:val="000000"/>
          <w:rtl/>
        </w:rPr>
        <w:t>נוסח מסמך זה כפוף לשינויי ניסוח ועריכה</w:t>
      </w:r>
    </w:p>
    <w:p w14:paraId="50D7B9A9" w14:textId="77777777" w:rsidR="004741E8" w:rsidRDefault="004741E8" w:rsidP="004741E8">
      <w:pPr>
        <w:rPr>
          <w:rtl/>
        </w:rPr>
      </w:pPr>
    </w:p>
    <w:p w14:paraId="7EFA7410" w14:textId="77777777" w:rsidR="004741E8" w:rsidRDefault="004741E8" w:rsidP="004741E8">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69438AB0" w14:textId="77777777" w:rsidR="004741E8" w:rsidRPr="004741E8" w:rsidRDefault="004741E8" w:rsidP="004741E8">
      <w:pPr>
        <w:jc w:val="center"/>
        <w:rPr>
          <w:color w:val="0000FF"/>
          <w:u w:val="single"/>
        </w:rPr>
      </w:pPr>
    </w:p>
    <w:sectPr w:rsidR="004741E8" w:rsidRPr="004741E8" w:rsidSect="004741E8">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D8408" w14:textId="77777777" w:rsidR="00B768E2" w:rsidRDefault="00B768E2" w:rsidP="00F37E7B">
      <w:r>
        <w:separator/>
      </w:r>
    </w:p>
  </w:endnote>
  <w:endnote w:type="continuationSeparator" w:id="0">
    <w:p w14:paraId="70A0051E" w14:textId="77777777" w:rsidR="00B768E2" w:rsidRDefault="00B768E2" w:rsidP="00F37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F56D" w14:textId="77777777" w:rsidR="006D1F4A" w:rsidRDefault="006D1F4A" w:rsidP="004741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992EDE" w14:textId="77777777" w:rsidR="006D1F4A" w:rsidRPr="004741E8" w:rsidRDefault="006D1F4A" w:rsidP="004741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951C" w14:textId="77777777" w:rsidR="006D1F4A" w:rsidRDefault="006D1F4A" w:rsidP="004741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7D08">
      <w:rPr>
        <w:rFonts w:ascii="FrankRuehl" w:hAnsi="FrankRuehl" w:cs="FrankRuehl"/>
        <w:noProof/>
        <w:rtl/>
      </w:rPr>
      <w:t>1</w:t>
    </w:r>
    <w:r>
      <w:rPr>
        <w:rFonts w:ascii="FrankRuehl" w:hAnsi="FrankRuehl" w:cs="FrankRuehl"/>
        <w:rtl/>
      </w:rPr>
      <w:fldChar w:fldCharType="end"/>
    </w:r>
  </w:p>
  <w:p w14:paraId="11101988" w14:textId="77777777" w:rsidR="006D1F4A" w:rsidRPr="004741E8" w:rsidRDefault="006D1F4A" w:rsidP="004741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29FF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69708" w14:textId="77777777" w:rsidR="00B768E2" w:rsidRDefault="00B768E2" w:rsidP="00F37E7B">
      <w:r>
        <w:separator/>
      </w:r>
    </w:p>
  </w:footnote>
  <w:footnote w:type="continuationSeparator" w:id="0">
    <w:p w14:paraId="1B272A49" w14:textId="77777777" w:rsidR="00B768E2" w:rsidRDefault="00B768E2" w:rsidP="00F37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6D39B" w14:textId="77777777" w:rsidR="006D1F4A" w:rsidRPr="004741E8" w:rsidRDefault="006D1F4A" w:rsidP="004741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28334-07-22</w:t>
    </w:r>
    <w:r>
      <w:rPr>
        <w:rFonts w:ascii="David" w:hAnsi="David"/>
        <w:color w:val="000000"/>
        <w:sz w:val="22"/>
        <w:szCs w:val="22"/>
        <w:rtl/>
      </w:rPr>
      <w:tab/>
      <w:t xml:space="preserve"> מדינת ישראל נ' אחמד חג'אזי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E7289" w14:textId="77777777" w:rsidR="006D1F4A" w:rsidRPr="004741E8" w:rsidRDefault="006D1F4A" w:rsidP="004741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28334-07-22</w:t>
    </w:r>
    <w:r>
      <w:rPr>
        <w:rFonts w:ascii="David" w:hAnsi="David"/>
        <w:color w:val="000000"/>
        <w:sz w:val="22"/>
        <w:szCs w:val="22"/>
        <w:rtl/>
      </w:rPr>
      <w:tab/>
      <w:t xml:space="preserve"> מדינת ישראל נ' אחמד חג'אזי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E33A1"/>
    <w:multiLevelType w:val="hybridMultilevel"/>
    <w:tmpl w:val="17963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54880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2C3E"/>
    <w:rsid w:val="0003211E"/>
    <w:rsid w:val="00087D08"/>
    <w:rsid w:val="001B5A3B"/>
    <w:rsid w:val="004741E8"/>
    <w:rsid w:val="00577409"/>
    <w:rsid w:val="006D1F4A"/>
    <w:rsid w:val="0075595D"/>
    <w:rsid w:val="007A56C1"/>
    <w:rsid w:val="0088762C"/>
    <w:rsid w:val="008B2C3E"/>
    <w:rsid w:val="009A0CA3"/>
    <w:rsid w:val="00AB6125"/>
    <w:rsid w:val="00B768E2"/>
    <w:rsid w:val="00CB38E8"/>
    <w:rsid w:val="00E316AF"/>
    <w:rsid w:val="00E81196"/>
    <w:rsid w:val="00F37AD9"/>
    <w:rsid w:val="00F37E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91E11B"/>
  <w15:chartTrackingRefBased/>
  <w15:docId w15:val="{9F4E7098-93E5-49D5-96D1-A4117C1E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2C3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2C3E"/>
    <w:pPr>
      <w:tabs>
        <w:tab w:val="center" w:pos="4153"/>
        <w:tab w:val="right" w:pos="8306"/>
      </w:tabs>
    </w:pPr>
  </w:style>
  <w:style w:type="character" w:customStyle="1" w:styleId="a4">
    <w:name w:val="כותרת עליונה תו"/>
    <w:link w:val="a3"/>
    <w:rsid w:val="008B2C3E"/>
    <w:rPr>
      <w:rFonts w:ascii="Times New Roman" w:eastAsia="Times New Roman" w:hAnsi="Times New Roman" w:cs="David"/>
      <w:sz w:val="24"/>
      <w:szCs w:val="24"/>
    </w:rPr>
  </w:style>
  <w:style w:type="paragraph" w:styleId="a5">
    <w:name w:val="footer"/>
    <w:basedOn w:val="a"/>
    <w:link w:val="a6"/>
    <w:rsid w:val="008B2C3E"/>
    <w:pPr>
      <w:tabs>
        <w:tab w:val="center" w:pos="4153"/>
        <w:tab w:val="right" w:pos="8306"/>
      </w:tabs>
    </w:pPr>
  </w:style>
  <w:style w:type="character" w:customStyle="1" w:styleId="a6">
    <w:name w:val="כותרת תחתונה תו"/>
    <w:link w:val="a5"/>
    <w:rsid w:val="008B2C3E"/>
    <w:rPr>
      <w:rFonts w:ascii="Times New Roman" w:eastAsia="Times New Roman" w:hAnsi="Times New Roman" w:cs="David"/>
      <w:sz w:val="24"/>
      <w:szCs w:val="24"/>
    </w:rPr>
  </w:style>
  <w:style w:type="table" w:styleId="a7">
    <w:name w:val="Table Grid"/>
    <w:basedOn w:val="a1"/>
    <w:rsid w:val="008B2C3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2C3E"/>
  </w:style>
  <w:style w:type="character" w:styleId="Hyperlink">
    <w:name w:val="Hyperlink"/>
    <w:rsid w:val="008B2C3E"/>
    <w:rPr>
      <w:color w:val="0000FF"/>
      <w:u w:val="single"/>
    </w:rPr>
  </w:style>
  <w:style w:type="paragraph" w:styleId="a9">
    <w:name w:val="List Paragraph"/>
    <w:basedOn w:val="a"/>
    <w:qFormat/>
    <w:rsid w:val="008B2C3E"/>
    <w:pPr>
      <w:ind w:left="720"/>
      <w:contextualSpacing/>
    </w:pPr>
  </w:style>
  <w:style w:type="character" w:customStyle="1" w:styleId="default">
    <w:name w:val="default"/>
    <w:rsid w:val="008B2C3E"/>
    <w:rPr>
      <w:rFonts w:ascii="Times New Roman" w:hAnsi="Times New Roman" w:cs="Times New Roman" w:hint="default"/>
      <w:sz w:val="26"/>
      <w:szCs w:val="26"/>
    </w:rPr>
  </w:style>
  <w:style w:type="paragraph" w:styleId="aa">
    <w:name w:val="Title"/>
    <w:basedOn w:val="a"/>
    <w:link w:val="ab"/>
    <w:qFormat/>
    <w:rsid w:val="008B2C3E"/>
    <w:pPr>
      <w:shd w:val="pct20" w:color="auto" w:fill="FFFFFF"/>
      <w:spacing w:line="480" w:lineRule="auto"/>
      <w:ind w:left="1701" w:hanging="1701"/>
      <w:jc w:val="center"/>
    </w:pPr>
    <w:rPr>
      <w:rFonts w:cs="Times New Roman"/>
      <w:b/>
      <w:bCs/>
      <w:sz w:val="20"/>
      <w:szCs w:val="28"/>
      <w:u w:val="single"/>
      <w:lang w:eastAsia="he-IL"/>
    </w:rPr>
  </w:style>
  <w:style w:type="character" w:customStyle="1" w:styleId="ab">
    <w:name w:val="כותרת טקסט תו"/>
    <w:link w:val="aa"/>
    <w:rsid w:val="008B2C3E"/>
    <w:rPr>
      <w:rFonts w:ascii="Times New Roman" w:eastAsia="Times New Roman" w:hAnsi="Times New Roman" w:cs="Times New Roman"/>
      <w:b/>
      <w:bCs/>
      <w:sz w:val="20"/>
      <w:szCs w:val="28"/>
      <w:u w:val="single"/>
      <w:shd w:val="pct20" w:color="auto" w:fill="FFFFFF"/>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7404359" TargetMode="External"/><Relationship Id="rId18" Type="http://schemas.openxmlformats.org/officeDocument/2006/relationships/hyperlink" Target="http://www.nevo.co.il/case/2675774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6986954" TargetMode="External"/><Relationship Id="rId17" Type="http://schemas.openxmlformats.org/officeDocument/2006/relationships/hyperlink" Target="http://www.nevo.co.il/case/2674525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024035" TargetMode="External"/><Relationship Id="rId20" Type="http://schemas.openxmlformats.org/officeDocument/2006/relationships/hyperlink" Target="http://www.nevo.co.il/case/276164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6473037"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552016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2145</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12847</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3211382</vt:i4>
      </vt:variant>
      <vt:variant>
        <vt:i4>39</vt:i4>
      </vt:variant>
      <vt:variant>
        <vt:i4>0</vt:i4>
      </vt:variant>
      <vt:variant>
        <vt:i4>5</vt:i4>
      </vt:variant>
      <vt:variant>
        <vt:lpwstr>http://www.nevo.co.il/case/27616437</vt:lpwstr>
      </vt:variant>
      <vt:variant>
        <vt:lpwstr/>
      </vt:variant>
      <vt:variant>
        <vt:i4>3211378</vt:i4>
      </vt:variant>
      <vt:variant>
        <vt:i4>36</vt:i4>
      </vt:variant>
      <vt:variant>
        <vt:i4>0</vt:i4>
      </vt:variant>
      <vt:variant>
        <vt:i4>5</vt:i4>
      </vt:variant>
      <vt:variant>
        <vt:lpwstr>http://www.nevo.co.il/case/25520167</vt:lpwstr>
      </vt:variant>
      <vt:variant>
        <vt:lpwstr/>
      </vt:variant>
      <vt:variant>
        <vt:i4>3539056</vt:i4>
      </vt:variant>
      <vt:variant>
        <vt:i4>33</vt:i4>
      </vt:variant>
      <vt:variant>
        <vt:i4>0</vt:i4>
      </vt:variant>
      <vt:variant>
        <vt:i4>5</vt:i4>
      </vt:variant>
      <vt:variant>
        <vt:lpwstr>http://www.nevo.co.il/case/26757745</vt:lpwstr>
      </vt:variant>
      <vt:variant>
        <vt:lpwstr/>
      </vt:variant>
      <vt:variant>
        <vt:i4>3473524</vt:i4>
      </vt:variant>
      <vt:variant>
        <vt:i4>30</vt:i4>
      </vt:variant>
      <vt:variant>
        <vt:i4>0</vt:i4>
      </vt:variant>
      <vt:variant>
        <vt:i4>5</vt:i4>
      </vt:variant>
      <vt:variant>
        <vt:lpwstr>http://www.nevo.co.il/case/26745252</vt:lpwstr>
      </vt:variant>
      <vt:variant>
        <vt:lpwstr/>
      </vt:variant>
      <vt:variant>
        <vt:i4>3211379</vt:i4>
      </vt:variant>
      <vt:variant>
        <vt:i4>27</vt:i4>
      </vt:variant>
      <vt:variant>
        <vt:i4>0</vt:i4>
      </vt:variant>
      <vt:variant>
        <vt:i4>5</vt:i4>
      </vt:variant>
      <vt:variant>
        <vt:lpwstr>http://www.nevo.co.il/case/6024035</vt:lpwstr>
      </vt:variant>
      <vt:variant>
        <vt:lpwstr/>
      </vt:variant>
      <vt:variant>
        <vt:i4>3539056</vt:i4>
      </vt:variant>
      <vt:variant>
        <vt:i4>24</vt:i4>
      </vt:variant>
      <vt:variant>
        <vt:i4>0</vt:i4>
      </vt:variant>
      <vt:variant>
        <vt:i4>5</vt:i4>
      </vt:variant>
      <vt:variant>
        <vt:lpwstr>http://www.nevo.co.il/case/6473037</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3604592</vt:i4>
      </vt:variant>
      <vt:variant>
        <vt:i4>18</vt:i4>
      </vt:variant>
      <vt:variant>
        <vt:i4>0</vt:i4>
      </vt:variant>
      <vt:variant>
        <vt:i4>5</vt:i4>
      </vt:variant>
      <vt:variant>
        <vt:lpwstr>http://www.nevo.co.il/case/27404359</vt:lpwstr>
      </vt:variant>
      <vt:variant>
        <vt:lpwstr/>
      </vt:variant>
      <vt:variant>
        <vt:i4>3670131</vt:i4>
      </vt:variant>
      <vt:variant>
        <vt:i4>15</vt:i4>
      </vt:variant>
      <vt:variant>
        <vt:i4>0</vt:i4>
      </vt:variant>
      <vt:variant>
        <vt:i4>5</vt:i4>
      </vt:variant>
      <vt:variant>
        <vt:lpwstr>http://www.nevo.co.il/case/26986954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28334</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חג'אזי</vt:lpwstr>
  </property>
  <property fmtid="{D5CDD505-2E9C-101B-9397-08002B2CF9AE}" pid="10" name="LAWYER">
    <vt:lpwstr>מראם חמוד</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20230124</vt:lpwstr>
  </property>
  <property fmtid="{D5CDD505-2E9C-101B-9397-08002B2CF9AE}" pid="14" name="TYPE_N_DATE">
    <vt:lpwstr>38020230124</vt:lpwstr>
  </property>
  <property fmtid="{D5CDD505-2E9C-101B-9397-08002B2CF9AE}" pid="15" name="WORDNUMPAGES">
    <vt:lpwstr>7</vt:lpwstr>
  </property>
  <property fmtid="{D5CDD505-2E9C-101B-9397-08002B2CF9AE}" pid="16" name="TYPE_ABS_DATE">
    <vt:lpwstr>380020230124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26986954;27404359;25824863;6473037;6024035;26745252;26757745;25520167;27616437</vt:lpwstr>
  </property>
  <property fmtid="{D5CDD505-2E9C-101B-9397-08002B2CF9AE}" pid="36" name="LAWLISTTMP1">
    <vt:lpwstr>70301/144.a:2</vt:lpwstr>
  </property>
</Properties>
</file>