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C752F" w:rsidRPr="00D656AC" w14:paraId="43028B59" w14:textId="77777777" w:rsidTr="00C635B4">
        <w:trPr>
          <w:trHeight w:hRule="exact" w:val="418"/>
          <w:jc w:val="center"/>
        </w:trPr>
        <w:tc>
          <w:tcPr>
            <w:tcW w:w="8721" w:type="dxa"/>
            <w:gridSpan w:val="2"/>
          </w:tcPr>
          <w:p w14:paraId="4BEFA10F" w14:textId="77777777" w:rsidR="00FC752F" w:rsidRPr="00D656AC" w:rsidRDefault="00FC752F" w:rsidP="003B357D">
            <w:pPr>
              <w:pStyle w:val="a3"/>
              <w:jc w:val="center"/>
              <w:rPr>
                <w:rFonts w:ascii="Tahoma" w:hAnsi="Tahoma" w:cs="Tahoma"/>
                <w:color w:val="000080"/>
                <w:rtl/>
              </w:rPr>
            </w:pPr>
            <w:bookmarkStart w:id="0" w:name="LastJudge"/>
            <w:r w:rsidRPr="00D656AC">
              <w:rPr>
                <w:rFonts w:ascii="Tahoma" w:hAnsi="Tahoma" w:cs="Tahoma"/>
                <w:b/>
                <w:bCs/>
                <w:color w:val="000080"/>
                <w:rtl/>
              </w:rPr>
              <w:t>בית משפט השלום בירושלים</w:t>
            </w:r>
          </w:p>
        </w:tc>
      </w:tr>
      <w:tr w:rsidR="00FC752F" w:rsidRPr="00D656AC" w14:paraId="766DF33C" w14:textId="77777777" w:rsidTr="00C635B4">
        <w:trPr>
          <w:trHeight w:val="337"/>
          <w:jc w:val="center"/>
        </w:trPr>
        <w:tc>
          <w:tcPr>
            <w:tcW w:w="5054" w:type="dxa"/>
          </w:tcPr>
          <w:p w14:paraId="53A8B96F" w14:textId="77777777" w:rsidR="00FC752F" w:rsidRPr="00D656AC" w:rsidRDefault="00FC752F" w:rsidP="003B357D">
            <w:pPr>
              <w:rPr>
                <w:rFonts w:cs="FrankRuehl"/>
                <w:sz w:val="28"/>
                <w:szCs w:val="28"/>
                <w:rtl/>
              </w:rPr>
            </w:pPr>
            <w:r w:rsidRPr="00D656AC">
              <w:rPr>
                <w:rFonts w:cs="FrankRuehl"/>
                <w:sz w:val="28"/>
                <w:szCs w:val="28"/>
                <w:rtl/>
              </w:rPr>
              <w:t>ת"פ</w:t>
            </w:r>
            <w:r w:rsidRPr="00D656AC">
              <w:rPr>
                <w:rFonts w:cs="FrankRuehl" w:hint="cs"/>
                <w:sz w:val="28"/>
                <w:szCs w:val="28"/>
                <w:rtl/>
              </w:rPr>
              <w:t xml:space="preserve"> </w:t>
            </w:r>
            <w:r w:rsidRPr="00D656AC">
              <w:rPr>
                <w:rFonts w:cs="FrankRuehl"/>
                <w:sz w:val="28"/>
                <w:szCs w:val="28"/>
                <w:rtl/>
              </w:rPr>
              <w:t>9989-08-22</w:t>
            </w:r>
            <w:r w:rsidRPr="00D656AC">
              <w:rPr>
                <w:rFonts w:cs="FrankRuehl" w:hint="cs"/>
                <w:sz w:val="28"/>
                <w:szCs w:val="28"/>
                <w:rtl/>
              </w:rPr>
              <w:t xml:space="preserve"> </w:t>
            </w:r>
            <w:r w:rsidRPr="00D656AC">
              <w:rPr>
                <w:rFonts w:cs="FrankRuehl"/>
                <w:sz w:val="28"/>
                <w:szCs w:val="28"/>
                <w:rtl/>
              </w:rPr>
              <w:t>מדינת ישראל נ' חניטי</w:t>
            </w:r>
          </w:p>
          <w:p w14:paraId="0ADECAF1" w14:textId="77777777" w:rsidR="00FC752F" w:rsidRPr="00D656AC" w:rsidRDefault="00FC752F" w:rsidP="003B357D">
            <w:pPr>
              <w:pStyle w:val="a3"/>
              <w:rPr>
                <w:rFonts w:cs="FrankRuehl"/>
                <w:sz w:val="28"/>
                <w:szCs w:val="28"/>
                <w:rtl/>
              </w:rPr>
            </w:pPr>
          </w:p>
        </w:tc>
        <w:tc>
          <w:tcPr>
            <w:tcW w:w="3667" w:type="dxa"/>
          </w:tcPr>
          <w:p w14:paraId="201C3D72" w14:textId="77777777" w:rsidR="00FC752F" w:rsidRPr="00D656AC" w:rsidRDefault="00FC752F" w:rsidP="003B357D">
            <w:pPr>
              <w:pStyle w:val="a3"/>
              <w:jc w:val="right"/>
              <w:rPr>
                <w:rFonts w:cs="FrankRuehl"/>
                <w:sz w:val="28"/>
                <w:szCs w:val="28"/>
                <w:rtl/>
              </w:rPr>
            </w:pPr>
          </w:p>
        </w:tc>
      </w:tr>
    </w:tbl>
    <w:p w14:paraId="7319472B" w14:textId="77777777" w:rsidR="00FC752F" w:rsidRPr="00D656AC" w:rsidRDefault="00FC752F" w:rsidP="00FC752F">
      <w:pPr>
        <w:pStyle w:val="a3"/>
        <w:rPr>
          <w:rtl/>
        </w:rPr>
      </w:pPr>
      <w:r w:rsidRPr="00D656AC">
        <w:rPr>
          <w:rFonts w:hint="cs"/>
          <w:rtl/>
        </w:rPr>
        <w:t xml:space="preserve"> </w:t>
      </w:r>
    </w:p>
    <w:p w14:paraId="2BCC3EEC" w14:textId="77777777" w:rsidR="00FC752F" w:rsidRPr="00D656AC" w:rsidRDefault="00FC752F" w:rsidP="00FC752F">
      <w:pPr>
        <w:rPr>
          <w:rtl/>
        </w:rPr>
      </w:pPr>
    </w:p>
    <w:p w14:paraId="5596B8C7" w14:textId="77777777" w:rsidR="00FC752F" w:rsidRPr="00D656AC" w:rsidRDefault="00FC752F" w:rsidP="00FC752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C752F" w:rsidRPr="00D656AC" w14:paraId="607AB015" w14:textId="77777777" w:rsidTr="00FC752F">
        <w:trPr>
          <w:trHeight w:val="295"/>
          <w:jc w:val="center"/>
        </w:trPr>
        <w:tc>
          <w:tcPr>
            <w:tcW w:w="923" w:type="dxa"/>
            <w:tcBorders>
              <w:top w:val="nil"/>
              <w:left w:val="nil"/>
              <w:bottom w:val="nil"/>
              <w:right w:val="nil"/>
            </w:tcBorders>
            <w:shd w:val="clear" w:color="auto" w:fill="auto"/>
          </w:tcPr>
          <w:p w14:paraId="123B8A5B" w14:textId="77777777" w:rsidR="00FC752F" w:rsidRPr="00D656AC" w:rsidRDefault="00FC752F" w:rsidP="00FC752F">
            <w:pPr>
              <w:jc w:val="both"/>
              <w:rPr>
                <w:rFonts w:ascii="David" w:hAnsi="David"/>
              </w:rPr>
            </w:pPr>
            <w:r w:rsidRPr="00D656AC">
              <w:rPr>
                <w:rFonts w:ascii="David" w:hAnsi="David" w:hint="cs"/>
                <w:rtl/>
              </w:rPr>
              <w:t>ל</w:t>
            </w:r>
            <w:r w:rsidRPr="00D656AC">
              <w:rPr>
                <w:rFonts w:ascii="David" w:hAnsi="David"/>
                <w:rtl/>
              </w:rPr>
              <w:t xml:space="preserve">פני </w:t>
            </w:r>
          </w:p>
        </w:tc>
        <w:tc>
          <w:tcPr>
            <w:tcW w:w="7897" w:type="dxa"/>
            <w:gridSpan w:val="2"/>
            <w:tcBorders>
              <w:top w:val="nil"/>
              <w:left w:val="nil"/>
              <w:bottom w:val="nil"/>
              <w:right w:val="nil"/>
            </w:tcBorders>
            <w:shd w:val="clear" w:color="auto" w:fill="auto"/>
          </w:tcPr>
          <w:p w14:paraId="1137734B" w14:textId="77777777" w:rsidR="00FC752F" w:rsidRPr="00D656AC" w:rsidRDefault="00FC752F" w:rsidP="003B357D">
            <w:pPr>
              <w:rPr>
                <w:rFonts w:ascii="David" w:hAnsi="David"/>
                <w:b/>
                <w:bCs/>
                <w:rtl/>
              </w:rPr>
            </w:pPr>
            <w:r w:rsidRPr="00D656AC">
              <w:rPr>
                <w:rFonts w:ascii="David" w:hAnsi="David"/>
                <w:b/>
                <w:bCs/>
                <w:rtl/>
              </w:rPr>
              <w:t>כבוד השופט  ארנון איתן</w:t>
            </w:r>
          </w:p>
          <w:p w14:paraId="174EBA7F" w14:textId="77777777" w:rsidR="00FC752F" w:rsidRPr="00D656AC" w:rsidRDefault="00FC752F" w:rsidP="003B357D">
            <w:pPr>
              <w:rPr>
                <w:rFonts w:ascii="David" w:hAnsi="David"/>
                <w:rtl/>
              </w:rPr>
            </w:pPr>
          </w:p>
          <w:p w14:paraId="42556118" w14:textId="77777777" w:rsidR="00FC752F" w:rsidRPr="00D656AC" w:rsidRDefault="00FC752F" w:rsidP="00FC752F">
            <w:pPr>
              <w:jc w:val="both"/>
              <w:rPr>
                <w:rFonts w:ascii="David" w:hAnsi="David"/>
              </w:rPr>
            </w:pPr>
          </w:p>
        </w:tc>
      </w:tr>
      <w:tr w:rsidR="00FC752F" w:rsidRPr="00D656AC" w14:paraId="3B95082F" w14:textId="77777777" w:rsidTr="00FC752F">
        <w:trPr>
          <w:trHeight w:val="355"/>
          <w:jc w:val="center"/>
        </w:trPr>
        <w:tc>
          <w:tcPr>
            <w:tcW w:w="923" w:type="dxa"/>
            <w:tcBorders>
              <w:top w:val="nil"/>
              <w:left w:val="nil"/>
              <w:bottom w:val="nil"/>
              <w:right w:val="nil"/>
            </w:tcBorders>
            <w:shd w:val="clear" w:color="auto" w:fill="auto"/>
          </w:tcPr>
          <w:p w14:paraId="5DC1F1B7" w14:textId="77777777" w:rsidR="00FC752F" w:rsidRPr="00D656AC" w:rsidRDefault="00FC752F" w:rsidP="00FC752F">
            <w:pPr>
              <w:jc w:val="both"/>
              <w:rPr>
                <w:rFonts w:ascii="David" w:hAnsi="David"/>
              </w:rPr>
            </w:pPr>
            <w:bookmarkStart w:id="1" w:name="FirstAppellant"/>
            <w:r w:rsidRPr="00D656AC">
              <w:rPr>
                <w:rFonts w:ascii="David" w:hAnsi="David"/>
                <w:rtl/>
              </w:rPr>
              <w:t>בעניין:</w:t>
            </w:r>
          </w:p>
        </w:tc>
        <w:tc>
          <w:tcPr>
            <w:tcW w:w="3219" w:type="dxa"/>
            <w:tcBorders>
              <w:top w:val="nil"/>
              <w:left w:val="nil"/>
              <w:bottom w:val="nil"/>
              <w:right w:val="nil"/>
            </w:tcBorders>
            <w:shd w:val="clear" w:color="auto" w:fill="auto"/>
          </w:tcPr>
          <w:p w14:paraId="7462DC62" w14:textId="77777777" w:rsidR="00FC752F" w:rsidRPr="00D656AC" w:rsidRDefault="00FC752F" w:rsidP="00FC752F">
            <w:pPr>
              <w:suppressLineNumbers/>
            </w:pPr>
            <w:r w:rsidRPr="00D656AC">
              <w:rPr>
                <w:rFonts w:ascii="Arial" w:hAnsi="Arial" w:hint="cs"/>
                <w:b/>
                <w:bCs/>
                <w:rtl/>
              </w:rPr>
              <w:t>ה</w:t>
            </w:r>
            <w:r w:rsidRPr="00D656AC">
              <w:rPr>
                <w:rFonts w:ascii="Arial" w:hAnsi="Arial"/>
                <w:b/>
                <w:bCs/>
                <w:rtl/>
              </w:rPr>
              <w:t>מאשימה</w:t>
            </w:r>
          </w:p>
          <w:p w14:paraId="0FAD92D1" w14:textId="77777777" w:rsidR="00FC752F" w:rsidRPr="00D656AC" w:rsidRDefault="00FC752F" w:rsidP="003B357D">
            <w:pPr>
              <w:rPr>
                <w:rFonts w:ascii="David" w:hAnsi="David"/>
              </w:rPr>
            </w:pPr>
          </w:p>
        </w:tc>
        <w:tc>
          <w:tcPr>
            <w:tcW w:w="4678" w:type="dxa"/>
            <w:tcBorders>
              <w:top w:val="nil"/>
              <w:left w:val="nil"/>
              <w:bottom w:val="nil"/>
              <w:right w:val="nil"/>
            </w:tcBorders>
            <w:shd w:val="clear" w:color="auto" w:fill="auto"/>
            <w:vAlign w:val="center"/>
          </w:tcPr>
          <w:p w14:paraId="10E60F1B" w14:textId="77777777" w:rsidR="00FC752F" w:rsidRPr="00D656AC" w:rsidRDefault="00FC752F" w:rsidP="00FC752F">
            <w:pPr>
              <w:suppressLineNumbers/>
              <w:rPr>
                <w:rFonts w:ascii="Arial" w:hAnsi="Arial"/>
                <w:b/>
                <w:bCs/>
                <w:rtl/>
              </w:rPr>
            </w:pPr>
            <w:r w:rsidRPr="00D656AC">
              <w:rPr>
                <w:rFonts w:ascii="Arial" w:hAnsi="Arial"/>
                <w:b/>
                <w:bCs/>
                <w:rtl/>
              </w:rPr>
              <w:t>מדינת ישראל</w:t>
            </w:r>
            <w:r w:rsidRPr="00D656AC">
              <w:rPr>
                <w:rFonts w:ascii="Arial" w:hAnsi="Arial" w:hint="cs"/>
                <w:b/>
                <w:bCs/>
                <w:rtl/>
              </w:rPr>
              <w:t xml:space="preserve"> </w:t>
            </w:r>
          </w:p>
          <w:p w14:paraId="64DE349B" w14:textId="77777777" w:rsidR="00FC752F" w:rsidRPr="00D656AC" w:rsidRDefault="00FC752F" w:rsidP="00FC752F">
            <w:pPr>
              <w:suppressLineNumbers/>
              <w:rPr>
                <w:rFonts w:ascii="David" w:hAnsi="David"/>
              </w:rPr>
            </w:pPr>
            <w:r w:rsidRPr="00D656AC">
              <w:rPr>
                <w:rFonts w:ascii="Arial" w:hAnsi="Arial" w:hint="cs"/>
                <w:rtl/>
              </w:rPr>
              <w:t>באמצעות פרקליטות מחוז ירושלים</w:t>
            </w:r>
          </w:p>
        </w:tc>
      </w:tr>
      <w:bookmarkEnd w:id="1"/>
      <w:tr w:rsidR="00FC752F" w:rsidRPr="00D656AC" w14:paraId="41D1863D" w14:textId="77777777" w:rsidTr="00FC752F">
        <w:trPr>
          <w:trHeight w:val="355"/>
          <w:jc w:val="center"/>
        </w:trPr>
        <w:tc>
          <w:tcPr>
            <w:tcW w:w="923" w:type="dxa"/>
            <w:tcBorders>
              <w:top w:val="nil"/>
              <w:left w:val="nil"/>
              <w:bottom w:val="nil"/>
              <w:right w:val="nil"/>
            </w:tcBorders>
            <w:shd w:val="clear" w:color="auto" w:fill="auto"/>
          </w:tcPr>
          <w:p w14:paraId="5F67BFCD" w14:textId="77777777" w:rsidR="00FC752F" w:rsidRPr="00D656AC" w:rsidRDefault="00FC752F" w:rsidP="00FC752F">
            <w:pPr>
              <w:jc w:val="both"/>
              <w:rPr>
                <w:rFonts w:ascii="David" w:hAnsi="David"/>
                <w:rtl/>
              </w:rPr>
            </w:pPr>
          </w:p>
        </w:tc>
        <w:tc>
          <w:tcPr>
            <w:tcW w:w="7897" w:type="dxa"/>
            <w:gridSpan w:val="2"/>
            <w:tcBorders>
              <w:top w:val="nil"/>
              <w:left w:val="nil"/>
              <w:bottom w:val="nil"/>
              <w:right w:val="nil"/>
            </w:tcBorders>
            <w:shd w:val="clear" w:color="auto" w:fill="auto"/>
          </w:tcPr>
          <w:p w14:paraId="2A35F550" w14:textId="77777777" w:rsidR="00FC752F" w:rsidRPr="00D656AC" w:rsidRDefault="00FC752F" w:rsidP="00FC752F">
            <w:pPr>
              <w:jc w:val="center"/>
              <w:rPr>
                <w:rFonts w:ascii="David" w:hAnsi="David"/>
                <w:b/>
                <w:bCs/>
                <w:rtl/>
              </w:rPr>
            </w:pPr>
          </w:p>
          <w:p w14:paraId="7310CFBB" w14:textId="77777777" w:rsidR="00FC752F" w:rsidRPr="00D656AC" w:rsidRDefault="00FC752F" w:rsidP="00FC752F">
            <w:pPr>
              <w:jc w:val="center"/>
              <w:rPr>
                <w:rFonts w:ascii="David" w:hAnsi="David"/>
                <w:b/>
                <w:bCs/>
                <w:rtl/>
              </w:rPr>
            </w:pPr>
            <w:r w:rsidRPr="00D656AC">
              <w:rPr>
                <w:rFonts w:ascii="David" w:hAnsi="David"/>
                <w:b/>
                <w:bCs/>
                <w:rtl/>
              </w:rPr>
              <w:t>נגד</w:t>
            </w:r>
          </w:p>
          <w:p w14:paraId="66FE38AF" w14:textId="77777777" w:rsidR="00FC752F" w:rsidRPr="00D656AC" w:rsidRDefault="00FC752F" w:rsidP="00FC752F">
            <w:pPr>
              <w:jc w:val="both"/>
              <w:rPr>
                <w:rFonts w:ascii="David" w:hAnsi="David"/>
              </w:rPr>
            </w:pPr>
          </w:p>
        </w:tc>
      </w:tr>
      <w:tr w:rsidR="00FC752F" w:rsidRPr="00D656AC" w14:paraId="25A35CE5" w14:textId="77777777" w:rsidTr="00FC752F">
        <w:trPr>
          <w:trHeight w:val="355"/>
          <w:jc w:val="center"/>
        </w:trPr>
        <w:tc>
          <w:tcPr>
            <w:tcW w:w="923" w:type="dxa"/>
            <w:tcBorders>
              <w:top w:val="nil"/>
              <w:left w:val="nil"/>
              <w:bottom w:val="nil"/>
              <w:right w:val="nil"/>
            </w:tcBorders>
            <w:shd w:val="clear" w:color="auto" w:fill="auto"/>
          </w:tcPr>
          <w:p w14:paraId="1E17A4E2" w14:textId="77777777" w:rsidR="00FC752F" w:rsidRPr="00D656AC" w:rsidRDefault="00FC752F" w:rsidP="003B357D">
            <w:pPr>
              <w:rPr>
                <w:rFonts w:ascii="David" w:hAnsi="David"/>
                <w:rtl/>
              </w:rPr>
            </w:pPr>
            <w:bookmarkStart w:id="2" w:name="FirstLawyer"/>
          </w:p>
        </w:tc>
        <w:tc>
          <w:tcPr>
            <w:tcW w:w="3219" w:type="dxa"/>
            <w:tcBorders>
              <w:top w:val="nil"/>
              <w:left w:val="nil"/>
              <w:bottom w:val="nil"/>
              <w:right w:val="nil"/>
            </w:tcBorders>
            <w:shd w:val="clear" w:color="auto" w:fill="auto"/>
          </w:tcPr>
          <w:p w14:paraId="0C1D39F6" w14:textId="77777777" w:rsidR="00FC752F" w:rsidRPr="00D656AC" w:rsidRDefault="00FC752F" w:rsidP="003B357D">
            <w:pPr>
              <w:rPr>
                <w:rFonts w:ascii="Arial" w:hAnsi="Arial"/>
                <w:b/>
                <w:bCs/>
                <w:rtl/>
              </w:rPr>
            </w:pPr>
            <w:r w:rsidRPr="00D656AC">
              <w:rPr>
                <w:rFonts w:ascii="Arial" w:hAnsi="Arial"/>
                <w:b/>
                <w:bCs/>
                <w:rtl/>
              </w:rPr>
              <w:t>הנאשם</w:t>
            </w:r>
          </w:p>
        </w:tc>
        <w:tc>
          <w:tcPr>
            <w:tcW w:w="4678" w:type="dxa"/>
            <w:tcBorders>
              <w:top w:val="nil"/>
              <w:left w:val="nil"/>
              <w:bottom w:val="nil"/>
              <w:right w:val="nil"/>
            </w:tcBorders>
            <w:shd w:val="clear" w:color="auto" w:fill="auto"/>
            <w:vAlign w:val="center"/>
          </w:tcPr>
          <w:p w14:paraId="58454D42" w14:textId="77777777" w:rsidR="00FC752F" w:rsidRPr="00D656AC" w:rsidRDefault="00FC752F" w:rsidP="00FC752F">
            <w:pPr>
              <w:suppressLineNumbers/>
              <w:rPr>
                <w:rFonts w:ascii="Arial" w:hAnsi="Arial"/>
                <w:b/>
                <w:bCs/>
                <w:rtl/>
              </w:rPr>
            </w:pPr>
            <w:r w:rsidRPr="00D656AC">
              <w:rPr>
                <w:rFonts w:ascii="Arial" w:hAnsi="Arial"/>
                <w:b/>
                <w:bCs/>
                <w:rtl/>
              </w:rPr>
              <w:t>איברהים חניטי</w:t>
            </w:r>
            <w:r w:rsidRPr="00D656AC">
              <w:rPr>
                <w:rFonts w:ascii="Arial" w:hAnsi="Arial" w:hint="cs"/>
                <w:b/>
                <w:bCs/>
                <w:rtl/>
              </w:rPr>
              <w:t xml:space="preserve"> </w:t>
            </w:r>
          </w:p>
          <w:p w14:paraId="75B1D456" w14:textId="77777777" w:rsidR="00FC752F" w:rsidRPr="00D656AC" w:rsidRDefault="00FC752F" w:rsidP="00FC752F">
            <w:pPr>
              <w:suppressLineNumbers/>
            </w:pPr>
            <w:r w:rsidRPr="00D656AC">
              <w:rPr>
                <w:rFonts w:ascii="Arial" w:hAnsi="Arial"/>
                <w:rtl/>
              </w:rPr>
              <w:t>ע"י ב"כ עוה"ד</w:t>
            </w:r>
            <w:r w:rsidRPr="00D656AC">
              <w:rPr>
                <w:rFonts w:ascii="Arial" w:hAnsi="Arial" w:hint="cs"/>
                <w:rtl/>
              </w:rPr>
              <w:t xml:space="preserve"> מיכאל עירוני</w:t>
            </w:r>
          </w:p>
          <w:p w14:paraId="422BCEA5" w14:textId="77777777" w:rsidR="00FC752F" w:rsidRPr="00D656AC" w:rsidRDefault="00FC752F" w:rsidP="003B357D">
            <w:pPr>
              <w:rPr>
                <w:rFonts w:ascii="David" w:hAnsi="David"/>
              </w:rPr>
            </w:pPr>
          </w:p>
        </w:tc>
      </w:tr>
      <w:bookmarkEnd w:id="2"/>
    </w:tbl>
    <w:p w14:paraId="072F8593" w14:textId="77777777" w:rsidR="00D656AC" w:rsidRPr="00D656AC" w:rsidRDefault="00D656AC" w:rsidP="00D656AC">
      <w:pPr>
        <w:spacing w:before="120" w:after="120" w:line="240" w:lineRule="exact"/>
        <w:ind w:left="283" w:hanging="283"/>
        <w:jc w:val="both"/>
        <w:rPr>
          <w:rFonts w:ascii="FrankRuehl" w:hAnsi="FrankRuehl" w:cs="FrankRuehl"/>
          <w:rtl/>
        </w:rPr>
      </w:pPr>
    </w:p>
    <w:p w14:paraId="45241DB6" w14:textId="77777777" w:rsidR="00D656AC" w:rsidRPr="00D656AC" w:rsidRDefault="00D656AC" w:rsidP="00D656AC">
      <w:pPr>
        <w:rPr>
          <w:rtl/>
        </w:rPr>
      </w:pPr>
    </w:p>
    <w:p w14:paraId="1594A9A2" w14:textId="77777777" w:rsidR="00C635B4" w:rsidRPr="00C635B4" w:rsidRDefault="00C635B4" w:rsidP="00C635B4">
      <w:pPr>
        <w:spacing w:before="120" w:after="120" w:line="240" w:lineRule="exact"/>
        <w:ind w:left="283" w:hanging="283"/>
        <w:jc w:val="both"/>
        <w:rPr>
          <w:rFonts w:ascii="FrankRuehl" w:hAnsi="FrankRuehl" w:cs="FrankRuehl"/>
          <w:rtl/>
        </w:rPr>
      </w:pPr>
      <w:bookmarkStart w:id="3" w:name="LawTable"/>
      <w:bookmarkEnd w:id="3"/>
    </w:p>
    <w:p w14:paraId="033C6F84" w14:textId="77777777" w:rsidR="00C635B4" w:rsidRPr="00C635B4" w:rsidRDefault="00C635B4" w:rsidP="00C635B4">
      <w:pPr>
        <w:spacing w:before="120" w:after="120" w:line="240" w:lineRule="exact"/>
        <w:ind w:left="283" w:hanging="283"/>
        <w:jc w:val="both"/>
        <w:rPr>
          <w:rFonts w:ascii="FrankRuehl" w:hAnsi="FrankRuehl" w:cs="FrankRuehl"/>
          <w:rtl/>
        </w:rPr>
      </w:pPr>
      <w:r w:rsidRPr="00C635B4">
        <w:rPr>
          <w:rFonts w:ascii="FrankRuehl" w:hAnsi="FrankRuehl" w:cs="FrankRuehl"/>
          <w:rtl/>
        </w:rPr>
        <w:t xml:space="preserve">חקיקה שאוזכרה: </w:t>
      </w:r>
    </w:p>
    <w:p w14:paraId="408ECF41" w14:textId="77777777" w:rsidR="00C635B4" w:rsidRPr="00C635B4" w:rsidRDefault="00C635B4" w:rsidP="00C635B4">
      <w:pPr>
        <w:spacing w:before="120" w:after="120" w:line="240" w:lineRule="exact"/>
        <w:ind w:left="283" w:hanging="283"/>
        <w:jc w:val="both"/>
        <w:rPr>
          <w:rFonts w:ascii="FrankRuehl" w:hAnsi="FrankRuehl" w:cs="FrankRuehl"/>
          <w:color w:val="0000FF"/>
          <w:rtl/>
        </w:rPr>
      </w:pPr>
      <w:hyperlink r:id="rId7" w:history="1">
        <w:r w:rsidRPr="00C635B4">
          <w:rPr>
            <w:rStyle w:val="Hyperlink"/>
            <w:rFonts w:ascii="FrankRuehl" w:hAnsi="FrankRuehl" w:cs="FrankRuehl"/>
            <w:u w:val="none"/>
            <w:rtl/>
          </w:rPr>
          <w:t>חוק העונשין, תשל"ז-1977</w:t>
        </w:r>
      </w:hyperlink>
      <w:r w:rsidRPr="00C635B4">
        <w:rPr>
          <w:rFonts w:ascii="FrankRuehl" w:hAnsi="FrankRuehl" w:cs="FrankRuehl"/>
          <w:color w:val="0000FF"/>
          <w:rtl/>
        </w:rPr>
        <w:t xml:space="preserve">: סע'  </w:t>
      </w:r>
      <w:hyperlink r:id="rId8" w:history="1">
        <w:r w:rsidRPr="00C635B4">
          <w:rPr>
            <w:rStyle w:val="Hyperlink"/>
            <w:rFonts w:ascii="FrankRuehl" w:hAnsi="FrankRuehl" w:cs="FrankRuehl"/>
            <w:u w:val="none"/>
          </w:rPr>
          <w:t>144</w:t>
        </w:r>
      </w:hyperlink>
      <w:r w:rsidRPr="00C635B4">
        <w:rPr>
          <w:rFonts w:ascii="FrankRuehl" w:hAnsi="FrankRuehl" w:cs="FrankRuehl"/>
          <w:color w:val="0000FF"/>
          <w:rtl/>
        </w:rPr>
        <w:t>(א)</w:t>
      </w:r>
    </w:p>
    <w:p w14:paraId="41B1C236" w14:textId="77777777" w:rsidR="00FC752F" w:rsidRPr="00C635B4" w:rsidRDefault="00FC752F" w:rsidP="00C635B4">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C752F" w:rsidRPr="00980985" w14:paraId="261355FF" w14:textId="77777777" w:rsidTr="00FC752F">
        <w:trPr>
          <w:trHeight w:val="355"/>
          <w:jc w:val="center"/>
        </w:trPr>
        <w:tc>
          <w:tcPr>
            <w:tcW w:w="8820" w:type="dxa"/>
            <w:tcBorders>
              <w:top w:val="nil"/>
              <w:left w:val="nil"/>
              <w:bottom w:val="nil"/>
              <w:right w:val="nil"/>
            </w:tcBorders>
            <w:shd w:val="clear" w:color="auto" w:fill="auto"/>
          </w:tcPr>
          <w:p w14:paraId="5B747B0A" w14:textId="77777777" w:rsidR="00D656AC" w:rsidRPr="00D656AC" w:rsidRDefault="00D656AC" w:rsidP="00D656AC">
            <w:pPr>
              <w:jc w:val="center"/>
              <w:rPr>
                <w:rFonts w:ascii="David" w:hAnsi="David"/>
                <w:b/>
                <w:bCs/>
                <w:u w:val="single"/>
                <w:rtl/>
              </w:rPr>
            </w:pPr>
            <w:bookmarkStart w:id="5" w:name="PsakDin" w:colFirst="0" w:colLast="0"/>
            <w:bookmarkEnd w:id="0"/>
            <w:r w:rsidRPr="00D656AC">
              <w:rPr>
                <w:rFonts w:ascii="David" w:hAnsi="David"/>
                <w:b/>
                <w:bCs/>
                <w:u w:val="single"/>
                <w:rtl/>
              </w:rPr>
              <w:t>גזר דין</w:t>
            </w:r>
          </w:p>
          <w:p w14:paraId="1EA11E47" w14:textId="77777777" w:rsidR="00FC752F" w:rsidRPr="00D656AC" w:rsidRDefault="00FC752F" w:rsidP="00D656AC">
            <w:pPr>
              <w:jc w:val="center"/>
              <w:rPr>
                <w:rFonts w:ascii="David" w:hAnsi="David"/>
                <w:bCs/>
                <w:u w:val="single"/>
                <w:rtl/>
              </w:rPr>
            </w:pPr>
          </w:p>
        </w:tc>
      </w:tr>
      <w:bookmarkEnd w:id="5"/>
    </w:tbl>
    <w:p w14:paraId="4ED6E70F" w14:textId="77777777" w:rsidR="00FC752F" w:rsidRPr="00980985" w:rsidRDefault="00FC752F" w:rsidP="00FC752F">
      <w:pPr>
        <w:rPr>
          <w:rFonts w:ascii="Arial" w:hAnsi="Arial"/>
          <w:b/>
          <w:bCs/>
          <w:rtl/>
        </w:rPr>
      </w:pPr>
    </w:p>
    <w:p w14:paraId="256B18F8" w14:textId="77777777" w:rsidR="00FC752F" w:rsidRPr="00DA70DB" w:rsidRDefault="00FC752F" w:rsidP="00FC752F">
      <w:pPr>
        <w:spacing w:line="360" w:lineRule="auto"/>
        <w:ind w:left="360" w:firstLine="360"/>
        <w:jc w:val="both"/>
        <w:rPr>
          <w:rFonts w:ascii="Arial" w:hAnsi="Arial"/>
          <w:b/>
          <w:bCs/>
        </w:rPr>
      </w:pPr>
      <w:r w:rsidRPr="00DA70DB">
        <w:rPr>
          <w:rFonts w:ascii="Arial" w:hAnsi="Arial" w:hint="cs"/>
          <w:b/>
          <w:bCs/>
          <w:u w:val="single"/>
          <w:rtl/>
        </w:rPr>
        <w:t>כתב האישום</w:t>
      </w:r>
      <w:r w:rsidRPr="00DA70DB">
        <w:rPr>
          <w:rFonts w:ascii="Arial" w:hAnsi="Arial" w:hint="cs"/>
          <w:b/>
          <w:bCs/>
          <w:rtl/>
        </w:rPr>
        <w:t>:</w:t>
      </w:r>
    </w:p>
    <w:p w14:paraId="18A9B8DD" w14:textId="77777777" w:rsidR="00FC752F" w:rsidRDefault="00FC752F" w:rsidP="00FC752F">
      <w:pPr>
        <w:pStyle w:val="a9"/>
        <w:numPr>
          <w:ilvl w:val="0"/>
          <w:numId w:val="1"/>
        </w:numPr>
        <w:spacing w:line="360" w:lineRule="auto"/>
        <w:jc w:val="both"/>
        <w:rPr>
          <w:rFonts w:ascii="Arial" w:hAnsi="Arial"/>
        </w:rPr>
      </w:pPr>
      <w:bookmarkStart w:id="6" w:name="ABSTRACT_START"/>
      <w:bookmarkEnd w:id="6"/>
      <w:r>
        <w:rPr>
          <w:rFonts w:ascii="Arial" w:hAnsi="Arial" w:hint="cs"/>
          <w:rtl/>
        </w:rPr>
        <w:t xml:space="preserve">הנאשם הורשע על פי הודאתו, ובמסגרת הסדר טעון, בכתב אישום מתוקן המייחס לו עבירה של החזקת נשק, לפי </w:t>
      </w:r>
      <w:hyperlink r:id="rId9" w:history="1">
        <w:r w:rsidR="00C635B4" w:rsidRPr="00C635B4">
          <w:rPr>
            <w:rStyle w:val="Hyperlink"/>
            <w:rFonts w:ascii="Arial" w:hAnsi="Arial" w:hint="eastAsia"/>
            <w:color w:val="0000FF"/>
            <w:rtl/>
          </w:rPr>
          <w:t>סעיף</w:t>
        </w:r>
        <w:r w:rsidR="00C635B4" w:rsidRPr="00C635B4">
          <w:rPr>
            <w:rStyle w:val="Hyperlink"/>
            <w:rFonts w:ascii="Arial" w:hAnsi="Arial"/>
            <w:color w:val="0000FF"/>
            <w:rtl/>
          </w:rPr>
          <w:t xml:space="preserve"> 144(א)</w:t>
        </w:r>
      </w:hyperlink>
      <w:r>
        <w:rPr>
          <w:rFonts w:ascii="Arial" w:hAnsi="Arial" w:hint="cs"/>
          <w:rtl/>
        </w:rPr>
        <w:t xml:space="preserve"> ל</w:t>
      </w:r>
      <w:hyperlink r:id="rId10" w:history="1">
        <w:r w:rsidR="00D656AC" w:rsidRPr="00D656AC">
          <w:rPr>
            <w:rFonts w:ascii="Arial" w:hAnsi="Arial"/>
            <w:color w:val="0000FF"/>
            <w:u w:val="single"/>
            <w:rtl/>
          </w:rPr>
          <w:t>חוק העונשין</w:t>
        </w:r>
      </w:hyperlink>
      <w:r>
        <w:rPr>
          <w:rFonts w:ascii="Arial" w:hAnsi="Arial" w:hint="cs"/>
          <w:rtl/>
        </w:rPr>
        <w:t>, התשל"ז 1977.</w:t>
      </w:r>
    </w:p>
    <w:p w14:paraId="4225B6CC" w14:textId="77777777" w:rsidR="00FC752F" w:rsidRDefault="00FC752F" w:rsidP="00FC752F">
      <w:pPr>
        <w:pStyle w:val="a9"/>
        <w:numPr>
          <w:ilvl w:val="0"/>
          <w:numId w:val="1"/>
        </w:numPr>
        <w:spacing w:line="360" w:lineRule="auto"/>
        <w:jc w:val="both"/>
        <w:rPr>
          <w:rFonts w:ascii="Arial" w:hAnsi="Arial"/>
          <w:b/>
          <w:bCs/>
        </w:rPr>
      </w:pPr>
      <w:r w:rsidRPr="00980985">
        <w:rPr>
          <w:rFonts w:ascii="Arial" w:hAnsi="Arial" w:hint="cs"/>
          <w:rtl/>
        </w:rPr>
        <w:t>על פי הנטען בכתב האישום, עובר ליום 25.6.2022 לפנות בוקר, התגלע סכסוך בין צעירים בא</w:t>
      </w:r>
      <w:r>
        <w:rPr>
          <w:rFonts w:ascii="Arial" w:hAnsi="Arial" w:hint="cs"/>
          <w:rtl/>
        </w:rPr>
        <w:t xml:space="preserve">-טור </w:t>
      </w:r>
      <w:r w:rsidRPr="00980985">
        <w:rPr>
          <w:rFonts w:ascii="Arial" w:hAnsi="Arial" w:hint="cs"/>
          <w:rtl/>
        </w:rPr>
        <w:t>לבין הנאשם (להלן: "הסכסו</w:t>
      </w:r>
      <w:r>
        <w:rPr>
          <w:rFonts w:ascii="Arial" w:hAnsi="Arial" w:hint="cs"/>
          <w:rtl/>
        </w:rPr>
        <w:t xml:space="preserve">ך"), </w:t>
      </w:r>
      <w:r w:rsidRPr="00980985">
        <w:rPr>
          <w:rFonts w:ascii="Arial" w:hAnsi="Arial" w:hint="cs"/>
          <w:rtl/>
        </w:rPr>
        <w:t>במהלכו נפצעו מספר צעירים בשכונה.</w:t>
      </w:r>
    </w:p>
    <w:p w14:paraId="3BE29902" w14:textId="77777777" w:rsidR="00FC752F" w:rsidRPr="00980985" w:rsidRDefault="00FC752F" w:rsidP="00FC752F">
      <w:pPr>
        <w:pStyle w:val="a9"/>
        <w:numPr>
          <w:ilvl w:val="0"/>
          <w:numId w:val="1"/>
        </w:numPr>
        <w:spacing w:line="360" w:lineRule="auto"/>
        <w:jc w:val="both"/>
        <w:rPr>
          <w:rFonts w:ascii="Arial" w:hAnsi="Arial"/>
          <w:b/>
          <w:bCs/>
        </w:rPr>
      </w:pPr>
      <w:r>
        <w:rPr>
          <w:rFonts w:ascii="Arial" w:hAnsi="Arial" w:hint="cs"/>
          <w:rtl/>
        </w:rPr>
        <w:t>אותה עת, החזיק הנאשם מתחת לרכבו בסמוך לביתו, ברחוב אוסתאז תמאם באבו טור (להלן: "הבית") אקדח שבכוחו להמית אדם.</w:t>
      </w:r>
    </w:p>
    <w:p w14:paraId="7F14C6F3" w14:textId="77777777" w:rsidR="00FC752F" w:rsidRPr="00980985" w:rsidRDefault="00FC752F" w:rsidP="00FC752F">
      <w:pPr>
        <w:pStyle w:val="a9"/>
        <w:numPr>
          <w:ilvl w:val="0"/>
          <w:numId w:val="1"/>
        </w:numPr>
        <w:spacing w:line="360" w:lineRule="auto"/>
        <w:jc w:val="both"/>
        <w:rPr>
          <w:rFonts w:ascii="Arial" w:hAnsi="Arial"/>
          <w:b/>
          <w:bCs/>
        </w:rPr>
      </w:pPr>
      <w:bookmarkStart w:id="7" w:name="ABSTRACT_END"/>
      <w:bookmarkEnd w:id="7"/>
      <w:r>
        <w:rPr>
          <w:rFonts w:ascii="Arial" w:hAnsi="Arial" w:hint="cs"/>
          <w:rtl/>
        </w:rPr>
        <w:t>לאחר הסכסוך המתואר, בתאריך 25.6.2022 בשעה 05:20, או בסמוך, בבית, ביקש הנאשם מאחמד חניטי אבו לבן (להלן: "אחמד") לגשת להביא לו את האקדח.</w:t>
      </w:r>
    </w:p>
    <w:p w14:paraId="5B2167B0" w14:textId="77777777" w:rsidR="00FC752F" w:rsidRPr="00276408" w:rsidRDefault="00FC752F" w:rsidP="00FC752F">
      <w:pPr>
        <w:pStyle w:val="a9"/>
        <w:numPr>
          <w:ilvl w:val="0"/>
          <w:numId w:val="1"/>
        </w:numPr>
        <w:spacing w:line="360" w:lineRule="auto"/>
        <w:jc w:val="both"/>
        <w:rPr>
          <w:rFonts w:ascii="Arial" w:hAnsi="Arial"/>
          <w:b/>
          <w:bCs/>
        </w:rPr>
      </w:pPr>
      <w:r>
        <w:rPr>
          <w:rFonts w:ascii="Arial" w:hAnsi="Arial" w:hint="cs"/>
          <w:rtl/>
        </w:rPr>
        <w:t>בשעה 05:35 או בסמוך, על רקע הסכסוך , הגיעו מספר אנשים שזהותם אינם ידועה במדויק למאשימה (להלן: "החבורה") לרחוב אוסתאז סמוך לבית, כשהם מצוידים באקדחים ובאבנים והחלו לירות וליידות אבנים לעבר הבית בכוונה לפגוע באדם.</w:t>
      </w:r>
    </w:p>
    <w:p w14:paraId="2B93BE41" w14:textId="77777777" w:rsidR="00FC752F" w:rsidRPr="00276408" w:rsidRDefault="00FC752F" w:rsidP="00FC752F">
      <w:pPr>
        <w:pStyle w:val="a9"/>
        <w:numPr>
          <w:ilvl w:val="0"/>
          <w:numId w:val="1"/>
        </w:numPr>
        <w:spacing w:line="360" w:lineRule="auto"/>
        <w:jc w:val="both"/>
        <w:rPr>
          <w:rFonts w:ascii="Arial" w:hAnsi="Arial"/>
          <w:b/>
          <w:bCs/>
        </w:rPr>
      </w:pPr>
      <w:r>
        <w:rPr>
          <w:rFonts w:ascii="Arial" w:hAnsi="Arial" w:hint="cs"/>
          <w:rtl/>
        </w:rPr>
        <w:lastRenderedPageBreak/>
        <w:t>בסמוך לכך, עלו הנאשם ואחמד יחד עם בני משפחה וצעירים לגג הבית שם מסר אחמד את האקדח לנאשם. בשלב זה ירה הנאשם לעבר חברי החבורה במטרה להרחיקם, ולהגן על יושבי הבית. במקביל לכך יידו האחרים אבנים לבית וזרקו חפצים לעבר הרחוב.</w:t>
      </w:r>
    </w:p>
    <w:p w14:paraId="5DF68BFE" w14:textId="77777777" w:rsidR="00FC752F" w:rsidRPr="00276408" w:rsidRDefault="00FC752F" w:rsidP="00FC752F">
      <w:pPr>
        <w:pStyle w:val="a9"/>
        <w:numPr>
          <w:ilvl w:val="0"/>
          <w:numId w:val="1"/>
        </w:numPr>
        <w:spacing w:line="360" w:lineRule="auto"/>
        <w:jc w:val="both"/>
        <w:rPr>
          <w:rFonts w:ascii="Arial" w:hAnsi="Arial"/>
          <w:b/>
          <w:bCs/>
        </w:rPr>
      </w:pPr>
      <w:r>
        <w:rPr>
          <w:rFonts w:ascii="Arial" w:hAnsi="Arial" w:hint="cs"/>
          <w:rtl/>
        </w:rPr>
        <w:t>חילופי האש וידוי האבנים נמשכו מספר דקות במהלכם נורו עשרות כדורים.</w:t>
      </w:r>
    </w:p>
    <w:p w14:paraId="56657AF2" w14:textId="77777777" w:rsidR="00FC752F" w:rsidRPr="00276408" w:rsidRDefault="00FC752F" w:rsidP="00FC752F">
      <w:pPr>
        <w:pStyle w:val="a9"/>
        <w:numPr>
          <w:ilvl w:val="0"/>
          <w:numId w:val="1"/>
        </w:numPr>
        <w:spacing w:line="360" w:lineRule="auto"/>
        <w:jc w:val="both"/>
        <w:rPr>
          <w:rFonts w:ascii="Arial" w:hAnsi="Arial"/>
          <w:b/>
          <w:bCs/>
        </w:rPr>
      </w:pPr>
      <w:r>
        <w:rPr>
          <w:rFonts w:ascii="Arial" w:hAnsi="Arial" w:hint="cs"/>
          <w:rtl/>
        </w:rPr>
        <w:t>זמן קצר לאחר מכן, העביר הנאשם את האקדח לאחמד. בהמשך, באותו בוקר החזיר אחמד את האקדח לנאשם לאחר שהוטען בכדורים.</w:t>
      </w:r>
    </w:p>
    <w:p w14:paraId="0E2A706E" w14:textId="77777777" w:rsidR="00FC752F" w:rsidRPr="00276408" w:rsidRDefault="00FC752F" w:rsidP="00FC752F">
      <w:pPr>
        <w:pStyle w:val="a9"/>
        <w:numPr>
          <w:ilvl w:val="0"/>
          <w:numId w:val="1"/>
        </w:numPr>
        <w:spacing w:line="360" w:lineRule="auto"/>
        <w:jc w:val="both"/>
        <w:rPr>
          <w:rFonts w:ascii="Arial" w:hAnsi="Arial"/>
          <w:b/>
          <w:bCs/>
        </w:rPr>
      </w:pPr>
      <w:r>
        <w:rPr>
          <w:rFonts w:ascii="Arial" w:hAnsi="Arial" w:hint="cs"/>
          <w:rtl/>
        </w:rPr>
        <w:t>מאוחר יותר באותו היום, בסמוך לשעה 18:00 חזרו חברי החבורה לרחוב אוסתאז חמאם וירו באקדחים, יידו אבנים, וירו זיקוקים לעבר הבית.</w:t>
      </w:r>
    </w:p>
    <w:p w14:paraId="0D27EFA0" w14:textId="77777777" w:rsidR="00FC752F" w:rsidRPr="00276408" w:rsidRDefault="00FC752F" w:rsidP="00FC752F">
      <w:pPr>
        <w:pStyle w:val="a9"/>
        <w:numPr>
          <w:ilvl w:val="0"/>
          <w:numId w:val="1"/>
        </w:numPr>
        <w:spacing w:line="360" w:lineRule="auto"/>
        <w:jc w:val="both"/>
        <w:rPr>
          <w:rFonts w:ascii="Arial" w:hAnsi="Arial"/>
          <w:b/>
          <w:bCs/>
        </w:rPr>
      </w:pPr>
      <w:r>
        <w:rPr>
          <w:rFonts w:ascii="Arial" w:hAnsi="Arial" w:hint="cs"/>
          <w:rtl/>
        </w:rPr>
        <w:t>בתגובה, נטל הנאשם שוב את האקדח שברשותו וביחד עם אחרים עלו לגג הבית, בשלב זה ירו הנאשם והאחרים בכלי הנשק לעבר חברי החבורה וכן יידו אבנים וחפצים לעברם.</w:t>
      </w:r>
    </w:p>
    <w:p w14:paraId="5020816D" w14:textId="77777777" w:rsidR="00FC752F" w:rsidRPr="000B519A" w:rsidRDefault="00FC752F" w:rsidP="00FC752F">
      <w:pPr>
        <w:pStyle w:val="a9"/>
        <w:numPr>
          <w:ilvl w:val="0"/>
          <w:numId w:val="1"/>
        </w:numPr>
        <w:spacing w:line="360" w:lineRule="auto"/>
        <w:jc w:val="both"/>
        <w:rPr>
          <w:rFonts w:ascii="Arial" w:hAnsi="Arial"/>
          <w:b/>
          <w:bCs/>
        </w:rPr>
      </w:pPr>
      <w:r>
        <w:rPr>
          <w:rFonts w:ascii="Arial" w:hAnsi="Arial" w:hint="cs"/>
          <w:rtl/>
        </w:rPr>
        <w:t>במסגרת ההסכמות הדיוניות שבין הצדדים, צוין כי "משפרץ הסכסוך ועוד בטרם הצטיידות הנאשם בנשק המתוארת בסעיף 3, נערכה שיחת טלפון למשטרת ישראל מצד בני משפחת הנאשם. בהמשך, לאחר שהצטייד הנאשם בנשק, נערכו מספר שיחות למשטרת ישראל מצד בני משפחת הנאשם".</w:t>
      </w:r>
    </w:p>
    <w:p w14:paraId="0A120433" w14:textId="77777777" w:rsidR="00FC752F" w:rsidRPr="000B519A" w:rsidRDefault="00FC752F" w:rsidP="00FC752F">
      <w:pPr>
        <w:pStyle w:val="a9"/>
        <w:numPr>
          <w:ilvl w:val="0"/>
          <w:numId w:val="1"/>
        </w:numPr>
        <w:spacing w:line="360" w:lineRule="auto"/>
        <w:jc w:val="both"/>
        <w:rPr>
          <w:rFonts w:ascii="Arial" w:hAnsi="Arial"/>
          <w:b/>
          <w:bCs/>
        </w:rPr>
      </w:pPr>
      <w:r>
        <w:rPr>
          <w:rFonts w:ascii="Arial" w:hAnsi="Arial" w:hint="cs"/>
          <w:rtl/>
        </w:rPr>
        <w:t>עוד הוסכם, כי בהתאם לאמור בסעיף 6 לכתב האישום, ספג בית משפחת הנאשם פגיעות קליעים.</w:t>
      </w:r>
    </w:p>
    <w:p w14:paraId="7037C495" w14:textId="77777777" w:rsidR="00FC752F" w:rsidRPr="000B519A" w:rsidRDefault="00FC752F" w:rsidP="00FC752F">
      <w:pPr>
        <w:pStyle w:val="a9"/>
        <w:numPr>
          <w:ilvl w:val="0"/>
          <w:numId w:val="1"/>
        </w:numPr>
        <w:spacing w:line="360" w:lineRule="auto"/>
        <w:jc w:val="both"/>
        <w:rPr>
          <w:rFonts w:ascii="Arial" w:hAnsi="Arial"/>
          <w:b/>
          <w:bCs/>
        </w:rPr>
      </w:pPr>
      <w:r>
        <w:rPr>
          <w:rFonts w:ascii="Arial" w:hAnsi="Arial" w:hint="cs"/>
          <w:rtl/>
        </w:rPr>
        <w:t>באשר לעונש הגבילה המאשימה את עתירתה ל-18 חודשי מאסר, תחתית מתחם הענישה לו היא עותרת בהתאם להנחיית פרקליט המדינה. עוד סוכם, כי ההגנה תטען לעונש באופן חופשי. הצדדים הסכימו, כי בטרם תישמע פרשת העונש יוגש תסקיר מבחן בעניינו של הנאשם.</w:t>
      </w:r>
    </w:p>
    <w:p w14:paraId="267D80D7" w14:textId="77777777" w:rsidR="00FC752F" w:rsidRPr="0085308A" w:rsidRDefault="00FC752F" w:rsidP="00FC752F">
      <w:pPr>
        <w:spacing w:line="360" w:lineRule="auto"/>
        <w:ind w:left="360" w:firstLine="360"/>
        <w:jc w:val="both"/>
        <w:rPr>
          <w:rFonts w:ascii="Arial" w:hAnsi="Arial"/>
          <w:b/>
          <w:bCs/>
        </w:rPr>
      </w:pPr>
      <w:r w:rsidRPr="0085308A">
        <w:rPr>
          <w:rFonts w:ascii="Arial" w:hAnsi="Arial" w:hint="cs"/>
          <w:b/>
          <w:bCs/>
          <w:u w:val="single"/>
          <w:rtl/>
        </w:rPr>
        <w:t>תמצית טיעוני הצדדים</w:t>
      </w:r>
      <w:r w:rsidRPr="0085308A">
        <w:rPr>
          <w:rFonts w:ascii="Arial" w:hAnsi="Arial" w:hint="cs"/>
          <w:b/>
          <w:bCs/>
          <w:rtl/>
        </w:rPr>
        <w:t>:</w:t>
      </w:r>
    </w:p>
    <w:p w14:paraId="37C4838F" w14:textId="77777777" w:rsidR="00FC752F" w:rsidRPr="00550024" w:rsidRDefault="00FC752F" w:rsidP="00FC752F">
      <w:pPr>
        <w:pStyle w:val="a9"/>
        <w:numPr>
          <w:ilvl w:val="0"/>
          <w:numId w:val="1"/>
        </w:numPr>
        <w:spacing w:line="360" w:lineRule="auto"/>
        <w:jc w:val="both"/>
        <w:rPr>
          <w:rFonts w:ascii="Arial" w:hAnsi="Arial"/>
        </w:rPr>
      </w:pPr>
      <w:r>
        <w:rPr>
          <w:rFonts w:ascii="Arial" w:hAnsi="Arial" w:hint="cs"/>
          <w:rtl/>
        </w:rPr>
        <w:t xml:space="preserve">המאשימה הפנתה בטיעוניה לעונש לנסיבותיו של האירוע, כמפורט בכתב האישום. סכסוך אלים במהלכו נעשה שימוש בנשק ואבנים בין הנאשם ומשפחתו לבין הצד השני לסכסוך. צוין, כי הערך המוגן בו פגע הנאשם הינו שלום הציבור וביטחונו, אף בנסיבות אירוע זה, בהן הנאשם פעל אל מול תוקפיו כדי להגן על עצמו ומשפחתו, שכן הרציונל הינו ככלל למנוע החזקה בנשק שלא כדין, בין היתר כדי למנוע מצבים בהם נוקט אדם בדין </w:t>
      </w:r>
      <w:r w:rsidRPr="00550024">
        <w:rPr>
          <w:rFonts w:ascii="Arial" w:hAnsi="Arial" w:hint="cs"/>
          <w:rtl/>
        </w:rPr>
        <w:t>עצמי, כבענייננו.</w:t>
      </w:r>
    </w:p>
    <w:p w14:paraId="08F7DB6C" w14:textId="77777777" w:rsidR="00FC752F" w:rsidRPr="00550024" w:rsidRDefault="00FC752F" w:rsidP="00FC752F">
      <w:pPr>
        <w:pStyle w:val="a9"/>
        <w:numPr>
          <w:ilvl w:val="0"/>
          <w:numId w:val="1"/>
        </w:numPr>
        <w:spacing w:line="360" w:lineRule="auto"/>
        <w:jc w:val="both"/>
        <w:rPr>
          <w:rFonts w:ascii="Arial" w:hAnsi="Arial"/>
        </w:rPr>
      </w:pPr>
      <w:r w:rsidRPr="00550024">
        <w:rPr>
          <w:rFonts w:ascii="Arial" w:hAnsi="Arial" w:hint="cs"/>
          <w:rtl/>
        </w:rPr>
        <w:t xml:space="preserve">בהתייחס לתסקיר צוין, כי נטילת האחריות הייתה חלקית, ובנסיבות אלו אין לקבלת את המלצת שרות המבחן להטלת עונש בדרך של עבודת שירות, שכן אין המדובר בנאשם שעבר הליך טיפולי </w:t>
      </w:r>
      <w:r>
        <w:rPr>
          <w:rFonts w:ascii="Arial" w:hAnsi="Arial" w:hint="cs"/>
          <w:rtl/>
        </w:rPr>
        <w:t xml:space="preserve">או </w:t>
      </w:r>
      <w:r w:rsidRPr="00550024">
        <w:rPr>
          <w:rFonts w:ascii="Arial" w:hAnsi="Arial" w:hint="cs"/>
          <w:rtl/>
        </w:rPr>
        <w:t xml:space="preserve">שיש לשקול בעניינו שיקולי שיקום, ובנסיבות אלו יש להעדיף שיקולי גמול והרתעה. </w:t>
      </w:r>
    </w:p>
    <w:p w14:paraId="27A962E0" w14:textId="77777777" w:rsidR="00FC752F" w:rsidRPr="00301D45" w:rsidRDefault="00FC752F" w:rsidP="00FC752F">
      <w:pPr>
        <w:pStyle w:val="a9"/>
        <w:numPr>
          <w:ilvl w:val="0"/>
          <w:numId w:val="1"/>
        </w:numPr>
        <w:spacing w:line="360" w:lineRule="auto"/>
        <w:jc w:val="both"/>
        <w:rPr>
          <w:rFonts w:ascii="Arial" w:hAnsi="Arial"/>
          <w:b/>
          <w:bCs/>
        </w:rPr>
      </w:pPr>
      <w:r w:rsidRPr="003423B1">
        <w:rPr>
          <w:rFonts w:ascii="Arial" w:hAnsi="Arial" w:hint="cs"/>
          <w:rtl/>
        </w:rPr>
        <w:t>המאשימה ה</w:t>
      </w:r>
      <w:r>
        <w:rPr>
          <w:rFonts w:ascii="Arial" w:hAnsi="Arial" w:hint="cs"/>
          <w:rtl/>
        </w:rPr>
        <w:t>וסיפה, כי המדובר באירוע המורכב משני חלקים, במהלכם בוצע ירי באמצעות האקדח. עוד ציינה, כ</w:t>
      </w:r>
      <w:r w:rsidRPr="003423B1">
        <w:rPr>
          <w:rFonts w:ascii="Arial" w:hAnsi="Arial" w:hint="cs"/>
          <w:rtl/>
        </w:rPr>
        <w:t>י כל אות</w:t>
      </w:r>
      <w:r>
        <w:rPr>
          <w:rFonts w:ascii="Arial" w:hAnsi="Arial" w:hint="cs"/>
          <w:rtl/>
        </w:rPr>
        <w:t xml:space="preserve">ן נסיבות המפורטות </w:t>
      </w:r>
      <w:r w:rsidRPr="003423B1">
        <w:rPr>
          <w:rFonts w:ascii="Arial" w:hAnsi="Arial" w:hint="cs"/>
          <w:rtl/>
        </w:rPr>
        <w:t xml:space="preserve">במסגרת ההסכמה הדיונית, </w:t>
      </w:r>
      <w:r>
        <w:rPr>
          <w:rFonts w:ascii="Arial" w:hAnsi="Arial" w:hint="cs"/>
          <w:rtl/>
        </w:rPr>
        <w:t>הם שעומדים בבסיס הסכמתה לקבוע את עונשו של הנאשם בתחתית המתחם, כך שיוטל על הנאשם מאסר למשך 18 ח</w:t>
      </w:r>
      <w:r w:rsidRPr="003423B1">
        <w:rPr>
          <w:rFonts w:ascii="Arial" w:hAnsi="Arial" w:hint="cs"/>
          <w:rtl/>
        </w:rPr>
        <w:t xml:space="preserve">ודשים, </w:t>
      </w:r>
      <w:r>
        <w:rPr>
          <w:rFonts w:ascii="Arial" w:hAnsi="Arial" w:hint="cs"/>
          <w:rtl/>
        </w:rPr>
        <w:t xml:space="preserve">(ביחס למתחם שבין 18 חודשים ועד ל-33 חודשים), </w:t>
      </w:r>
      <w:r w:rsidRPr="003423B1">
        <w:rPr>
          <w:rFonts w:ascii="Arial" w:hAnsi="Arial" w:hint="cs"/>
          <w:rtl/>
        </w:rPr>
        <w:t xml:space="preserve">שאם </w:t>
      </w:r>
      <w:r w:rsidRPr="003423B1">
        <w:rPr>
          <w:rFonts w:ascii="Arial" w:hAnsi="Arial" w:hint="cs"/>
          <w:rtl/>
        </w:rPr>
        <w:lastRenderedPageBreak/>
        <w:t xml:space="preserve">לא כן הייתה מבקשת לקבוע את עונשו </w:t>
      </w:r>
      <w:r>
        <w:rPr>
          <w:rFonts w:ascii="Arial" w:hAnsi="Arial" w:hint="cs"/>
          <w:rtl/>
        </w:rPr>
        <w:t xml:space="preserve">של הנאשם </w:t>
      </w:r>
      <w:r w:rsidRPr="003423B1">
        <w:rPr>
          <w:rFonts w:ascii="Arial" w:hAnsi="Arial" w:hint="cs"/>
          <w:rtl/>
        </w:rPr>
        <w:t>בחלק העליון של השליש התחתון</w:t>
      </w:r>
      <w:r>
        <w:rPr>
          <w:rFonts w:ascii="Arial" w:hAnsi="Arial" w:hint="cs"/>
          <w:rtl/>
        </w:rPr>
        <w:t xml:space="preserve"> של מתחם זה</w:t>
      </w:r>
      <w:r w:rsidRPr="003423B1">
        <w:rPr>
          <w:rFonts w:ascii="Arial" w:hAnsi="Arial" w:hint="cs"/>
          <w:rtl/>
        </w:rPr>
        <w:t>.</w:t>
      </w:r>
    </w:p>
    <w:p w14:paraId="2842FE66" w14:textId="77777777" w:rsidR="00FC752F" w:rsidRPr="00F63349" w:rsidRDefault="00FC752F" w:rsidP="00FC752F">
      <w:pPr>
        <w:pStyle w:val="a9"/>
        <w:numPr>
          <w:ilvl w:val="0"/>
          <w:numId w:val="1"/>
        </w:numPr>
        <w:spacing w:line="360" w:lineRule="auto"/>
        <w:jc w:val="both"/>
        <w:rPr>
          <w:rFonts w:ascii="Arial" w:hAnsi="Arial"/>
          <w:b/>
          <w:bCs/>
        </w:rPr>
      </w:pPr>
      <w:r w:rsidRPr="003423B1">
        <w:rPr>
          <w:rFonts w:ascii="Arial" w:hAnsi="Arial" w:hint="cs"/>
          <w:rtl/>
        </w:rPr>
        <w:t xml:space="preserve"> </w:t>
      </w:r>
      <w:r>
        <w:rPr>
          <w:rFonts w:ascii="Arial" w:hAnsi="Arial" w:hint="cs"/>
          <w:rtl/>
        </w:rPr>
        <w:t>הסנגור עמד בטיעוניו לעונש על נסיבותיו הייחודיו</w:t>
      </w:r>
      <w:r>
        <w:rPr>
          <w:rFonts w:ascii="Arial" w:hAnsi="Arial" w:hint="eastAsia"/>
          <w:rtl/>
        </w:rPr>
        <w:t>ת</w:t>
      </w:r>
      <w:r>
        <w:rPr>
          <w:rFonts w:ascii="Arial" w:hAnsi="Arial" w:hint="cs"/>
          <w:rtl/>
        </w:rPr>
        <w:t xml:space="preserve"> של האירוע, עת מתאספים אנשים סביב ביתו של הנאשם ומשפחתו, מצוידים בנשק, החלו לירות ולזרוק אבנים אל עבר הבית, כשילדיו בביתו. הסנגור הדגיש, כי את הירי ביצע לאחר שיחת טלפון למשטרת ישראל ומשלא הגיעה למקום, אף שהאירוע נמשך זמן רב במהלכו נורו יריות אל עבר הבית. רק לאחר מכן, כך לדבריו, ובלית ברירה </w:t>
      </w:r>
      <w:r>
        <w:rPr>
          <w:rFonts w:ascii="Arial" w:hAnsi="Arial"/>
          <w:rtl/>
        </w:rPr>
        <w:t>–</w:t>
      </w:r>
      <w:r>
        <w:rPr>
          <w:rFonts w:ascii="Arial" w:hAnsi="Arial" w:hint="cs"/>
          <w:rtl/>
        </w:rPr>
        <w:t>עת ביתו הוצת, נאלץ לעשות שימוש באקדח. הסנגור הוסיף, כי בסיטואציית דברים זו, לא ניתן היה לנוס מהבית, ודאי כאשר בבית מצויים גם ילדים קטנים, ועל כן אופן פעולת הנאשם נועדה להרחיק את הפורעים מהם, שאם לא כן, מי מבני ביתו או אף הנאשם עצמו, היו נרצחים באירוע.</w:t>
      </w:r>
    </w:p>
    <w:p w14:paraId="2D264C6C" w14:textId="77777777" w:rsidR="00FC752F" w:rsidRPr="00F63349" w:rsidRDefault="00FC752F" w:rsidP="00FC752F">
      <w:pPr>
        <w:pStyle w:val="a9"/>
        <w:numPr>
          <w:ilvl w:val="0"/>
          <w:numId w:val="1"/>
        </w:numPr>
        <w:spacing w:line="360" w:lineRule="auto"/>
        <w:jc w:val="both"/>
        <w:rPr>
          <w:rFonts w:ascii="Arial" w:hAnsi="Arial"/>
          <w:b/>
          <w:bCs/>
        </w:rPr>
      </w:pPr>
      <w:r>
        <w:rPr>
          <w:rFonts w:ascii="Arial" w:hAnsi="Arial" w:hint="cs"/>
          <w:rtl/>
        </w:rPr>
        <w:t>לדעת הסנגור, הנחיות פרקליט המדינה ביחס לעבירות נשק, לרבות בנסיבותיו הייחודיו</w:t>
      </w:r>
      <w:r>
        <w:rPr>
          <w:rFonts w:ascii="Arial" w:hAnsi="Arial" w:hint="eastAsia"/>
          <w:rtl/>
        </w:rPr>
        <w:t>ת</w:t>
      </w:r>
      <w:r>
        <w:rPr>
          <w:rFonts w:ascii="Arial" w:hAnsi="Arial" w:hint="cs"/>
          <w:rtl/>
        </w:rPr>
        <w:t xml:space="preserve"> של המקרה, מאפשרים לקבוע כי במקרה זה מתקיימת  "קרבה לסייג" נתון המצדיק הטלת עונש מאסר שלא מאחורי סורג ובריח.</w:t>
      </w:r>
    </w:p>
    <w:p w14:paraId="314E9C02" w14:textId="77777777" w:rsidR="00FC752F" w:rsidRPr="00F63349" w:rsidRDefault="00FC752F" w:rsidP="00FC752F">
      <w:pPr>
        <w:pStyle w:val="a9"/>
        <w:numPr>
          <w:ilvl w:val="0"/>
          <w:numId w:val="1"/>
        </w:numPr>
        <w:spacing w:line="360" w:lineRule="auto"/>
        <w:jc w:val="both"/>
        <w:rPr>
          <w:rFonts w:ascii="Arial" w:hAnsi="Arial"/>
          <w:b/>
          <w:bCs/>
        </w:rPr>
      </w:pPr>
      <w:r>
        <w:rPr>
          <w:rFonts w:ascii="Arial" w:hAnsi="Arial" w:hint="cs"/>
          <w:rtl/>
        </w:rPr>
        <w:t>הסנגור הוסיף, כי לדעתו אין מקום להפריד בין "החזקת הנשק" לנסיבותיו של האירוע, אלא להביט עליהם כמכלול אחד של אירוע, במסגרתו, נוכח נסיבות האירוע, ומשום ההגנה הקיימת ב</w:t>
      </w:r>
      <w:hyperlink r:id="rId11" w:history="1">
        <w:r w:rsidR="00D656AC" w:rsidRPr="00D656AC">
          <w:rPr>
            <w:rFonts w:ascii="Arial" w:hAnsi="Arial"/>
            <w:color w:val="0000FF"/>
            <w:u w:val="single"/>
            <w:rtl/>
          </w:rPr>
          <w:t>חוק העונשין</w:t>
        </w:r>
      </w:hyperlink>
      <w:r>
        <w:rPr>
          <w:rFonts w:ascii="Arial" w:hAnsi="Arial" w:hint="cs"/>
          <w:rtl/>
        </w:rPr>
        <w:t xml:space="preserve"> בנסיבות אלו נעשה השימוש באקדח.</w:t>
      </w:r>
    </w:p>
    <w:p w14:paraId="2FC3CB39" w14:textId="77777777" w:rsidR="00FC752F" w:rsidRPr="00CB5259" w:rsidRDefault="00FC752F" w:rsidP="00FC752F">
      <w:pPr>
        <w:pStyle w:val="a9"/>
        <w:numPr>
          <w:ilvl w:val="0"/>
          <w:numId w:val="1"/>
        </w:numPr>
        <w:spacing w:line="360" w:lineRule="auto"/>
        <w:jc w:val="both"/>
        <w:rPr>
          <w:rFonts w:ascii="Arial" w:hAnsi="Arial"/>
          <w:b/>
          <w:bCs/>
        </w:rPr>
      </w:pPr>
      <w:r>
        <w:rPr>
          <w:rFonts w:ascii="Arial" w:hAnsi="Arial" w:hint="cs"/>
          <w:rtl/>
        </w:rPr>
        <w:t>בהתייחס לנסיבותיו האישיות של הנאשם ציין הסנגור, כי הנאשם הינו בעל חברת אינסטלציה ושיפוצים. הנאשם היה עצור משך כחודשיים (בין התאריכים 20.7.2022 ועד ליום 20.9.2022 ובהמשך במעצר בתנאי איזוק עד ליום 17.12.2022).</w:t>
      </w:r>
    </w:p>
    <w:p w14:paraId="05582307" w14:textId="77777777" w:rsidR="00FC752F" w:rsidRPr="008C238F" w:rsidRDefault="00FC752F" w:rsidP="00FC752F">
      <w:pPr>
        <w:pStyle w:val="a9"/>
        <w:numPr>
          <w:ilvl w:val="0"/>
          <w:numId w:val="1"/>
        </w:numPr>
        <w:spacing w:line="360" w:lineRule="auto"/>
        <w:jc w:val="both"/>
        <w:rPr>
          <w:rFonts w:ascii="Arial" w:hAnsi="Arial"/>
          <w:b/>
          <w:bCs/>
        </w:rPr>
      </w:pPr>
      <w:r>
        <w:rPr>
          <w:rFonts w:ascii="Arial" w:hAnsi="Arial" w:hint="cs"/>
          <w:rtl/>
        </w:rPr>
        <w:t xml:space="preserve">הנאשם בסיום ביקש שלא לשוב לריצוי עונש מאסר מאחורי סורג ובריח. דבר זה, כך לדבריו, יוביל לקריסת העסק שגם כך נפגע, עקב מעצרו בתחילה. הנאשם הפנה לתחושותיו באירוע, בהן בנותיו הקטנות בנות שנתיים ושלוש חשות חשש ופחד גדול, ונאלצות לעבור את האירוע יחד עם הוריו ובני משפחתו, בלא שיש לו מוצא אחר זולת שימוש בנשק לא חוקי. </w:t>
      </w:r>
      <w:r w:rsidRPr="003423B1">
        <w:rPr>
          <w:rFonts w:ascii="Arial" w:hAnsi="Arial" w:hint="cs"/>
          <w:rtl/>
        </w:rPr>
        <w:t xml:space="preserve">  </w:t>
      </w:r>
    </w:p>
    <w:p w14:paraId="21446470" w14:textId="77777777" w:rsidR="00FC752F" w:rsidRPr="001628FB" w:rsidRDefault="00FC752F" w:rsidP="00FC752F">
      <w:pPr>
        <w:spacing w:line="360" w:lineRule="auto"/>
        <w:ind w:left="360" w:firstLine="354"/>
        <w:jc w:val="both"/>
        <w:rPr>
          <w:rFonts w:ascii="Arial" w:hAnsi="Arial"/>
          <w:b/>
          <w:bCs/>
        </w:rPr>
      </w:pPr>
      <w:r w:rsidRPr="001628FB">
        <w:rPr>
          <w:rFonts w:ascii="Arial" w:hAnsi="Arial" w:hint="cs"/>
          <w:b/>
          <w:bCs/>
          <w:u w:val="single"/>
          <w:rtl/>
        </w:rPr>
        <w:t>דיון</w:t>
      </w:r>
      <w:r w:rsidRPr="001628FB">
        <w:rPr>
          <w:rFonts w:ascii="Arial" w:hAnsi="Arial" w:hint="cs"/>
          <w:b/>
          <w:bCs/>
          <w:rtl/>
        </w:rPr>
        <w:t>:</w:t>
      </w:r>
    </w:p>
    <w:p w14:paraId="57CDEC8F" w14:textId="77777777" w:rsidR="00FC752F" w:rsidRPr="00D77F9D" w:rsidRDefault="00FC752F" w:rsidP="00FC752F">
      <w:pPr>
        <w:pStyle w:val="a9"/>
        <w:numPr>
          <w:ilvl w:val="0"/>
          <w:numId w:val="1"/>
        </w:numPr>
        <w:spacing w:line="360" w:lineRule="auto"/>
        <w:ind w:left="714" w:hanging="357"/>
        <w:jc w:val="both"/>
        <w:rPr>
          <w:rFonts w:ascii="Arial" w:hAnsi="Arial"/>
          <w:rtl/>
        </w:rPr>
      </w:pPr>
      <w:r w:rsidRPr="00D77F9D">
        <w:rPr>
          <w:rFonts w:ascii="Arial" w:hAnsi="Arial"/>
          <w:rtl/>
        </w:rPr>
        <w:t>הערך החברתי המוגן העומד בבסיס עבירות הנשק הינו ההגנה על שלום הציבור וביטחונו. בעבירות מסוג זה, גלום סיכון רב לשימוש בנשק שאינו חוקי על ידי המחזיק בו לצורך ביצוען של עבירות פליליות, והוא עלול להגיע לגורמים עברייניים העוסקים בפעילות פלילית, או אף חמור מכך, לביצוע עבירות ביטחון.</w:t>
      </w:r>
    </w:p>
    <w:p w14:paraId="11F91BEB" w14:textId="77777777" w:rsidR="00FC752F" w:rsidRPr="00D16B98" w:rsidRDefault="00FC752F" w:rsidP="00FC752F">
      <w:pPr>
        <w:pStyle w:val="a9"/>
        <w:numPr>
          <w:ilvl w:val="0"/>
          <w:numId w:val="1"/>
        </w:numPr>
        <w:spacing w:line="360" w:lineRule="auto"/>
        <w:jc w:val="both"/>
        <w:rPr>
          <w:rFonts w:ascii="Arial" w:hAnsi="Arial"/>
          <w:rtl/>
        </w:rPr>
      </w:pPr>
      <w:r>
        <w:rPr>
          <w:rFonts w:ascii="Arial" w:hAnsi="Arial" w:hint="cs"/>
          <w:rtl/>
        </w:rPr>
        <w:t>ה</w:t>
      </w:r>
      <w:r w:rsidRPr="00D16B98">
        <w:rPr>
          <w:rFonts w:ascii="Arial" w:hAnsi="Arial" w:hint="cs"/>
          <w:rtl/>
        </w:rPr>
        <w:t>סיטואציה המתוארת בכתב האישום, עת מגיע</w:t>
      </w:r>
      <w:r>
        <w:rPr>
          <w:rFonts w:ascii="Arial" w:hAnsi="Arial" w:hint="cs"/>
          <w:rtl/>
        </w:rPr>
        <w:t xml:space="preserve">ה חבורה </w:t>
      </w:r>
      <w:r w:rsidRPr="00D16B98">
        <w:rPr>
          <w:rFonts w:ascii="Arial" w:hAnsi="Arial" w:hint="cs"/>
          <w:rtl/>
        </w:rPr>
        <w:t>אלי</w:t>
      </w:r>
      <w:r>
        <w:rPr>
          <w:rFonts w:ascii="Arial" w:hAnsi="Arial" w:hint="cs"/>
          <w:rtl/>
        </w:rPr>
        <w:t>מה</w:t>
      </w:r>
      <w:r w:rsidRPr="00D16B98">
        <w:rPr>
          <w:rFonts w:ascii="Arial" w:hAnsi="Arial" w:hint="cs"/>
          <w:rtl/>
        </w:rPr>
        <w:t xml:space="preserve"> </w:t>
      </w:r>
      <w:r>
        <w:rPr>
          <w:rFonts w:ascii="Arial" w:hAnsi="Arial" w:hint="cs"/>
          <w:rtl/>
        </w:rPr>
        <w:t>ה</w:t>
      </w:r>
      <w:r w:rsidRPr="00D16B98">
        <w:rPr>
          <w:rFonts w:ascii="Arial" w:hAnsi="Arial" w:hint="cs"/>
          <w:rtl/>
        </w:rPr>
        <w:t>מצויד</w:t>
      </w:r>
      <w:r>
        <w:rPr>
          <w:rFonts w:ascii="Arial" w:hAnsi="Arial" w:hint="cs"/>
          <w:rtl/>
        </w:rPr>
        <w:t>ת</w:t>
      </w:r>
      <w:r w:rsidRPr="00D16B98">
        <w:rPr>
          <w:rFonts w:ascii="Arial" w:hAnsi="Arial" w:hint="cs"/>
          <w:rtl/>
        </w:rPr>
        <w:t xml:space="preserve"> בנשק ואבנים אל עבר ביתו של אדם, ופותח</w:t>
      </w:r>
      <w:r>
        <w:rPr>
          <w:rFonts w:ascii="Arial" w:hAnsi="Arial" w:hint="cs"/>
          <w:rtl/>
        </w:rPr>
        <w:t>ת</w:t>
      </w:r>
      <w:r w:rsidRPr="00D16B98">
        <w:rPr>
          <w:rFonts w:ascii="Arial" w:hAnsi="Arial" w:hint="cs"/>
          <w:rtl/>
        </w:rPr>
        <w:t xml:space="preserve"> באש ללא אבחנה, בעת שבני המשפחה מצויים בו, בשתי הזדמנויות </w:t>
      </w:r>
      <w:r>
        <w:rPr>
          <w:rFonts w:ascii="Arial" w:hAnsi="Arial" w:hint="cs"/>
          <w:rtl/>
        </w:rPr>
        <w:t xml:space="preserve">שונות </w:t>
      </w:r>
      <w:r w:rsidRPr="00D16B98">
        <w:rPr>
          <w:rFonts w:ascii="Arial" w:hAnsi="Arial" w:hint="cs"/>
          <w:rtl/>
        </w:rPr>
        <w:t xml:space="preserve">במהלך אותו היום, </w:t>
      </w:r>
      <w:r>
        <w:rPr>
          <w:rFonts w:ascii="Arial" w:hAnsi="Arial" w:hint="cs"/>
          <w:rtl/>
        </w:rPr>
        <w:t>הינה חמורה וקשה,</w:t>
      </w:r>
      <w:r w:rsidRPr="00D16B98">
        <w:rPr>
          <w:rFonts w:ascii="Arial" w:hAnsi="Arial" w:hint="cs"/>
          <w:rtl/>
        </w:rPr>
        <w:t xml:space="preserve"> וניתן רק להניח מה היו תחושותיה</w:t>
      </w:r>
      <w:r w:rsidRPr="00D16B98">
        <w:rPr>
          <w:rFonts w:ascii="Arial" w:hAnsi="Arial" w:hint="eastAsia"/>
          <w:rtl/>
        </w:rPr>
        <w:t>ם</w:t>
      </w:r>
      <w:r w:rsidRPr="00D16B98">
        <w:rPr>
          <w:rFonts w:ascii="Arial" w:hAnsi="Arial" w:hint="cs"/>
          <w:rtl/>
        </w:rPr>
        <w:t xml:space="preserve"> של בני משפחת הנאשם, והנאשם עצמו במהלך אות</w:t>
      </w:r>
      <w:r>
        <w:rPr>
          <w:rFonts w:ascii="Arial" w:hAnsi="Arial" w:hint="cs"/>
          <w:rtl/>
        </w:rPr>
        <w:t>ו הזמן</w:t>
      </w:r>
      <w:r w:rsidRPr="00D16B98">
        <w:rPr>
          <w:rFonts w:ascii="Arial" w:hAnsi="Arial" w:hint="cs"/>
          <w:rtl/>
        </w:rPr>
        <w:t xml:space="preserve">. אם לא די בכך, </w:t>
      </w:r>
      <w:r>
        <w:rPr>
          <w:rFonts w:ascii="Arial" w:hAnsi="Arial" w:hint="cs"/>
          <w:rtl/>
        </w:rPr>
        <w:t>מוסכם בין הצדדים, כ</w:t>
      </w:r>
      <w:r w:rsidRPr="00D16B98">
        <w:rPr>
          <w:rFonts w:ascii="Arial" w:hAnsi="Arial"/>
          <w:rtl/>
        </w:rPr>
        <w:t>י משפרץ הסכסוך ועוד בטרם הצטיידות הנאשם בנשק</w:t>
      </w:r>
      <w:r>
        <w:rPr>
          <w:rFonts w:ascii="Arial" w:hAnsi="Arial" w:hint="cs"/>
          <w:rtl/>
        </w:rPr>
        <w:t xml:space="preserve">, יצרו בני משפחת הנאשם קשר עם </w:t>
      </w:r>
      <w:r w:rsidRPr="00D16B98">
        <w:rPr>
          <w:rFonts w:ascii="Arial" w:hAnsi="Arial"/>
          <w:rtl/>
        </w:rPr>
        <w:t>משטרת ישראל</w:t>
      </w:r>
      <w:r>
        <w:rPr>
          <w:rFonts w:ascii="Arial" w:hAnsi="Arial" w:hint="cs"/>
          <w:rtl/>
        </w:rPr>
        <w:t>, במטרה שיסייעו להם, ואף ב</w:t>
      </w:r>
      <w:r w:rsidRPr="00D16B98">
        <w:rPr>
          <w:rFonts w:ascii="Arial" w:hAnsi="Arial"/>
          <w:rtl/>
        </w:rPr>
        <w:t>המשך, לאחר שה</w:t>
      </w:r>
      <w:r>
        <w:rPr>
          <w:rFonts w:ascii="Arial" w:hAnsi="Arial" w:hint="cs"/>
          <w:rtl/>
        </w:rPr>
        <w:t>נאשם ה</w:t>
      </w:r>
      <w:r w:rsidRPr="00D16B98">
        <w:rPr>
          <w:rFonts w:ascii="Arial" w:hAnsi="Arial"/>
          <w:rtl/>
        </w:rPr>
        <w:t>צטייד בנשק</w:t>
      </w:r>
      <w:r>
        <w:rPr>
          <w:rFonts w:ascii="Arial" w:hAnsi="Arial" w:hint="cs"/>
          <w:rtl/>
        </w:rPr>
        <w:t xml:space="preserve"> לצורך הגנה על משפחתו</w:t>
      </w:r>
      <w:r w:rsidRPr="00D16B98">
        <w:rPr>
          <w:rFonts w:ascii="Arial" w:hAnsi="Arial"/>
          <w:rtl/>
        </w:rPr>
        <w:t xml:space="preserve">, נערכו </w:t>
      </w:r>
      <w:r>
        <w:rPr>
          <w:rFonts w:ascii="Arial" w:hAnsi="Arial" w:hint="cs"/>
          <w:rtl/>
        </w:rPr>
        <w:t>שיחות נוספות למשטרת ישראל, שהגיעה למקום באיחור ניכר</w:t>
      </w:r>
      <w:r w:rsidRPr="00D16B98">
        <w:rPr>
          <w:rFonts w:ascii="Arial" w:hAnsi="Arial"/>
          <w:rtl/>
        </w:rPr>
        <w:t>.</w:t>
      </w:r>
    </w:p>
    <w:p w14:paraId="1CB0C46A" w14:textId="77777777" w:rsidR="00FC752F" w:rsidRPr="00D65F41" w:rsidRDefault="00FC752F" w:rsidP="00FC752F">
      <w:pPr>
        <w:pStyle w:val="a9"/>
        <w:numPr>
          <w:ilvl w:val="0"/>
          <w:numId w:val="1"/>
        </w:numPr>
        <w:spacing w:line="360" w:lineRule="auto"/>
        <w:jc w:val="both"/>
        <w:rPr>
          <w:rFonts w:ascii="Arial" w:hAnsi="Arial"/>
        </w:rPr>
      </w:pPr>
      <w:r w:rsidRPr="00D65F41">
        <w:rPr>
          <w:rFonts w:ascii="Arial" w:hAnsi="Arial" w:hint="cs"/>
          <w:rtl/>
        </w:rPr>
        <w:t xml:space="preserve">הצדדים </w:t>
      </w:r>
      <w:r>
        <w:rPr>
          <w:rFonts w:ascii="Arial" w:hAnsi="Arial" w:hint="cs"/>
          <w:rtl/>
        </w:rPr>
        <w:t xml:space="preserve">כאמור </w:t>
      </w:r>
      <w:r w:rsidRPr="00D65F41">
        <w:rPr>
          <w:rFonts w:ascii="Arial" w:hAnsi="Arial" w:hint="cs"/>
          <w:rtl/>
        </w:rPr>
        <w:t xml:space="preserve">חלוקים בשאלה האם ישנו מקום להפריד בין ההחזקה שנעשתה שלא כדין, לבין נסיבות האירוע הקשות, כפי המתואר בכתב האישום. לדעת המאשימה, "קרבה לסייג" או טענה של "הגנה עצמית" יכולות להילקח בחשבון רק ביחס לאירוע עצמו, אך לא ביחס להחזקת הנשק, שנעשתה מלכתחילה שלא כדין. מנגד, ב"כ הנאשם מבקש לכלול הן את ההחזקה בנשק והן את נסיבות האירוע יחדיו, וממנו לגזור </w:t>
      </w:r>
      <w:r>
        <w:rPr>
          <w:rFonts w:ascii="Arial" w:hAnsi="Arial" w:hint="cs"/>
          <w:rtl/>
        </w:rPr>
        <w:t>עונש שאינו כולל רכיב של מאסר לריצוי מאחורי סורג ובריח.</w:t>
      </w:r>
      <w:r w:rsidRPr="00D65F41">
        <w:rPr>
          <w:rFonts w:ascii="Arial" w:hAnsi="Arial" w:hint="cs"/>
          <w:rtl/>
        </w:rPr>
        <w:t xml:space="preserve"> </w:t>
      </w:r>
    </w:p>
    <w:p w14:paraId="446BD945" w14:textId="77777777" w:rsidR="00FC752F" w:rsidRDefault="00FC752F" w:rsidP="00FC752F">
      <w:pPr>
        <w:pStyle w:val="a9"/>
        <w:numPr>
          <w:ilvl w:val="0"/>
          <w:numId w:val="1"/>
        </w:numPr>
        <w:spacing w:line="360" w:lineRule="auto"/>
        <w:jc w:val="both"/>
        <w:rPr>
          <w:rFonts w:ascii="Arial" w:hAnsi="Arial"/>
        </w:rPr>
      </w:pPr>
      <w:r>
        <w:rPr>
          <w:rFonts w:ascii="Arial" w:hAnsi="Arial" w:hint="cs"/>
          <w:rtl/>
        </w:rPr>
        <w:t xml:space="preserve">לא יכולה להיות מחלוקת, </w:t>
      </w:r>
      <w:r w:rsidRPr="008E2AE5">
        <w:rPr>
          <w:rFonts w:ascii="Arial" w:hAnsi="Arial" w:hint="cs"/>
          <w:rtl/>
        </w:rPr>
        <w:t xml:space="preserve">כי </w:t>
      </w:r>
      <w:r>
        <w:rPr>
          <w:rFonts w:ascii="Arial" w:hAnsi="Arial" w:hint="cs"/>
          <w:rtl/>
        </w:rPr>
        <w:t xml:space="preserve">הנאשם ומשפחתו חוו אירוע אלים, קשה ומסוכן, במסגרתו </w:t>
      </w:r>
      <w:r w:rsidRPr="008E2AE5">
        <w:rPr>
          <w:rFonts w:ascii="Arial" w:hAnsi="Arial"/>
          <w:rtl/>
        </w:rPr>
        <w:t>הותק</w:t>
      </w:r>
      <w:r>
        <w:rPr>
          <w:rFonts w:ascii="Arial" w:hAnsi="Arial" w:hint="cs"/>
          <w:rtl/>
        </w:rPr>
        <w:t xml:space="preserve">פו </w:t>
      </w:r>
      <w:r w:rsidRPr="008E2AE5">
        <w:rPr>
          <w:rFonts w:ascii="Arial" w:hAnsi="Arial"/>
          <w:rtl/>
        </w:rPr>
        <w:t xml:space="preserve">בצורה </w:t>
      </w:r>
      <w:r>
        <w:rPr>
          <w:rFonts w:ascii="Arial" w:hAnsi="Arial" w:hint="cs"/>
          <w:rtl/>
        </w:rPr>
        <w:t xml:space="preserve">אלימה </w:t>
      </w:r>
      <w:r w:rsidRPr="008E2AE5">
        <w:rPr>
          <w:rFonts w:ascii="Arial" w:hAnsi="Arial"/>
          <w:rtl/>
        </w:rPr>
        <w:t>ומסוכנת בבית</w:t>
      </w:r>
      <w:r>
        <w:rPr>
          <w:rFonts w:ascii="Arial" w:hAnsi="Arial" w:hint="cs"/>
          <w:rtl/>
        </w:rPr>
        <w:t xml:space="preserve">ם. אין לי גם ספק, כי </w:t>
      </w:r>
      <w:r w:rsidRPr="008E2AE5">
        <w:rPr>
          <w:rFonts w:ascii="Arial" w:hAnsi="Arial"/>
          <w:rtl/>
        </w:rPr>
        <w:t>פעולת</w:t>
      </w:r>
      <w:r>
        <w:rPr>
          <w:rFonts w:ascii="Arial" w:hAnsi="Arial" w:hint="cs"/>
          <w:rtl/>
        </w:rPr>
        <w:t xml:space="preserve"> הנאשם באירוע </w:t>
      </w:r>
      <w:r w:rsidRPr="008E2AE5">
        <w:rPr>
          <w:rFonts w:ascii="Arial" w:hAnsi="Arial"/>
          <w:rtl/>
        </w:rPr>
        <w:t>נעשתה מתוך מצוקה</w:t>
      </w:r>
      <w:r>
        <w:rPr>
          <w:rFonts w:ascii="Arial" w:hAnsi="Arial" w:hint="cs"/>
          <w:rtl/>
        </w:rPr>
        <w:t xml:space="preserve"> ולחץ</w:t>
      </w:r>
      <w:r w:rsidRPr="008E2AE5">
        <w:rPr>
          <w:rFonts w:ascii="Arial" w:hAnsi="Arial"/>
          <w:rtl/>
        </w:rPr>
        <w:t>, ו</w:t>
      </w:r>
      <w:r>
        <w:rPr>
          <w:rFonts w:ascii="Arial" w:hAnsi="Arial" w:hint="cs"/>
          <w:rtl/>
        </w:rPr>
        <w:t xml:space="preserve">בהתאם לכתב האישום נועדה </w:t>
      </w:r>
      <w:r w:rsidRPr="008E2AE5">
        <w:rPr>
          <w:rFonts w:ascii="Arial" w:hAnsi="Arial"/>
          <w:rtl/>
        </w:rPr>
        <w:t>להרחיק את החבורה ו</w:t>
      </w:r>
      <w:r>
        <w:rPr>
          <w:rFonts w:ascii="Arial" w:hAnsi="Arial" w:hint="cs"/>
          <w:rtl/>
        </w:rPr>
        <w:t xml:space="preserve">כדי </w:t>
      </w:r>
      <w:r w:rsidRPr="008E2AE5">
        <w:rPr>
          <w:rFonts w:ascii="Arial" w:hAnsi="Arial"/>
          <w:rtl/>
        </w:rPr>
        <w:t>להגן על משפחתו</w:t>
      </w:r>
      <w:r>
        <w:rPr>
          <w:rFonts w:ascii="Arial" w:hAnsi="Arial" w:hint="cs"/>
          <w:rtl/>
        </w:rPr>
        <w:t xml:space="preserve">, ודאי בסיטואציה בה יצירת קשר עם משטרת ישראל אינה מקבלת את המענה הנדרש. </w:t>
      </w:r>
      <w:r w:rsidRPr="008E2AE5">
        <w:rPr>
          <w:rFonts w:ascii="Arial" w:hAnsi="Arial" w:hint="cs"/>
          <w:rtl/>
        </w:rPr>
        <w:t>על אף זאת, במדינה מתוקנת לא ניתן להחזיק בנשק</w:t>
      </w:r>
      <w:r>
        <w:rPr>
          <w:rFonts w:ascii="Arial" w:hAnsi="Arial" w:hint="cs"/>
          <w:rtl/>
        </w:rPr>
        <w:t xml:space="preserve"> </w:t>
      </w:r>
      <w:r w:rsidRPr="008E2AE5">
        <w:rPr>
          <w:rFonts w:ascii="Arial" w:hAnsi="Arial" w:hint="cs"/>
          <w:rtl/>
        </w:rPr>
        <w:t xml:space="preserve">שלא כדין לצורך הגנה עצמית, באופן שיצדיק </w:t>
      </w:r>
      <w:r>
        <w:rPr>
          <w:rFonts w:ascii="Arial" w:hAnsi="Arial" w:hint="cs"/>
          <w:rtl/>
        </w:rPr>
        <w:t xml:space="preserve">את </w:t>
      </w:r>
      <w:r w:rsidRPr="008E2AE5">
        <w:rPr>
          <w:rFonts w:ascii="Arial" w:hAnsi="Arial" w:hint="cs"/>
          <w:rtl/>
        </w:rPr>
        <w:t xml:space="preserve">נטילת החוק לידיים, על רקע סכסוך מתגלגל, כפי שאירע בענייננו. </w:t>
      </w:r>
    </w:p>
    <w:p w14:paraId="787AFFD5" w14:textId="77777777" w:rsidR="00FC752F" w:rsidRPr="008E2AE5" w:rsidRDefault="00FC752F" w:rsidP="00FC752F">
      <w:pPr>
        <w:pStyle w:val="a9"/>
        <w:numPr>
          <w:ilvl w:val="0"/>
          <w:numId w:val="1"/>
        </w:numPr>
        <w:spacing w:line="360" w:lineRule="auto"/>
        <w:jc w:val="both"/>
        <w:rPr>
          <w:rFonts w:ascii="Arial" w:hAnsi="Arial"/>
          <w:rtl/>
        </w:rPr>
      </w:pPr>
      <w:r>
        <w:rPr>
          <w:rFonts w:ascii="Arial" w:hAnsi="Arial" w:hint="cs"/>
          <w:rtl/>
        </w:rPr>
        <w:t xml:space="preserve">כאמור, הנשק </w:t>
      </w:r>
      <w:r w:rsidRPr="008E2AE5">
        <w:rPr>
          <w:rFonts w:ascii="Arial" w:hAnsi="Arial" w:hint="cs"/>
          <w:rtl/>
        </w:rPr>
        <w:t>הוסתר מתחת לרכבו</w:t>
      </w:r>
      <w:r>
        <w:rPr>
          <w:rFonts w:ascii="Arial" w:hAnsi="Arial" w:hint="cs"/>
          <w:rtl/>
        </w:rPr>
        <w:t xml:space="preserve"> של הנאשם</w:t>
      </w:r>
      <w:r w:rsidRPr="008E2AE5">
        <w:rPr>
          <w:rFonts w:ascii="Arial" w:hAnsi="Arial" w:hint="cs"/>
          <w:rtl/>
        </w:rPr>
        <w:t xml:space="preserve">, ובמהלך יום האירוע, העביר אחמד </w:t>
      </w:r>
      <w:r>
        <w:rPr>
          <w:rFonts w:ascii="Arial" w:hAnsi="Arial" w:hint="cs"/>
          <w:rtl/>
        </w:rPr>
        <w:t xml:space="preserve">את הנשק </w:t>
      </w:r>
      <w:r w:rsidRPr="008E2AE5">
        <w:rPr>
          <w:rFonts w:ascii="Arial" w:hAnsi="Arial" w:hint="cs"/>
          <w:rtl/>
        </w:rPr>
        <w:t>לנאשם כאשר הוא טעון בתחמושת, לצורך שימוש בו.</w:t>
      </w:r>
      <w:r>
        <w:rPr>
          <w:rFonts w:ascii="Arial" w:hAnsi="Arial" w:hint="cs"/>
          <w:rtl/>
        </w:rPr>
        <w:t xml:space="preserve"> מצב דברים זה עלול היה להוביל ל</w:t>
      </w:r>
      <w:r w:rsidRPr="008E2AE5">
        <w:rPr>
          <w:rFonts w:ascii="Arial" w:hAnsi="Arial"/>
          <w:rtl/>
        </w:rPr>
        <w:t>פגיעה הן במעורבים בסכסוך והן בעוברי אורח בלתי מעורבים</w:t>
      </w:r>
      <w:r>
        <w:rPr>
          <w:rFonts w:ascii="Arial" w:hAnsi="Arial" w:hint="cs"/>
          <w:rtl/>
        </w:rPr>
        <w:t>, ואך במזל לא הסתיים האירוע באופן זה.</w:t>
      </w:r>
    </w:p>
    <w:p w14:paraId="21B5916E" w14:textId="77777777" w:rsidR="00FC752F" w:rsidRDefault="00FC752F" w:rsidP="00FC752F">
      <w:pPr>
        <w:pStyle w:val="a9"/>
        <w:numPr>
          <w:ilvl w:val="0"/>
          <w:numId w:val="1"/>
        </w:numPr>
        <w:spacing w:line="360" w:lineRule="auto"/>
        <w:jc w:val="both"/>
        <w:rPr>
          <w:rFonts w:ascii="Arial" w:hAnsi="Arial"/>
        </w:rPr>
      </w:pPr>
      <w:r>
        <w:rPr>
          <w:rFonts w:ascii="Arial" w:hAnsi="Arial" w:hint="cs"/>
          <w:rtl/>
        </w:rPr>
        <w:t xml:space="preserve">בכל הנוגע לעבירות נשק אף בנסיבות אלו ציין בית המשפט את הדברים הבאים: </w:t>
      </w:r>
    </w:p>
    <w:p w14:paraId="4D98F6F6" w14:textId="77777777" w:rsidR="00FC752F" w:rsidRPr="00484BFF" w:rsidRDefault="00FC752F" w:rsidP="00FC752F">
      <w:pPr>
        <w:spacing w:line="360" w:lineRule="auto"/>
        <w:ind w:left="720"/>
        <w:jc w:val="both"/>
        <w:rPr>
          <w:rFonts w:ascii="Arial" w:hAnsi="Arial"/>
          <w:rtl/>
        </w:rPr>
      </w:pPr>
      <w:r w:rsidRPr="00484BFF">
        <w:rPr>
          <w:rFonts w:ascii="Arial" w:hAnsi="Arial" w:hint="cs"/>
          <w:rtl/>
        </w:rPr>
        <w:t xml:space="preserve">"גישה </w:t>
      </w:r>
      <w:r w:rsidRPr="00484BFF">
        <w:rPr>
          <w:rFonts w:ascii="Arial" w:hAnsi="Arial"/>
          <w:rtl/>
        </w:rPr>
        <w:t>מחמירה זו מיושמת גם במקרים שבהם נרכש הנשק למטרת 'הגנה עצמית', מתוך הבנה כי זמינות נשק בלתי חוקי מעודדת שימוש בו לביצוע עבירות ונושאת עמה פוטנציאל גבוה לפגיעה ממשית וקשה בביטחון הציבור ובשלומו (</w:t>
      </w:r>
      <w:hyperlink r:id="rId12" w:history="1">
        <w:r w:rsidR="00D656AC" w:rsidRPr="00D656AC">
          <w:rPr>
            <w:rFonts w:ascii="Arial" w:hAnsi="Arial"/>
            <w:color w:val="0000FF"/>
            <w:u w:val="single"/>
            <w:rtl/>
          </w:rPr>
          <w:t>ע"פ 4406/19</w:t>
        </w:r>
      </w:hyperlink>
      <w:r w:rsidRPr="00484BFF">
        <w:rPr>
          <w:rFonts w:ascii="Arial" w:hAnsi="Arial"/>
          <w:rtl/>
        </w:rPr>
        <w:t xml:space="preserve"> סובח נ' מדינת ישראל, [פורסם בנבו] פסק דינו של השופט מ' מזוז (5.11.2019))"</w:t>
      </w:r>
    </w:p>
    <w:p w14:paraId="00471895" w14:textId="77777777" w:rsidR="00FC752F" w:rsidRDefault="00FC752F" w:rsidP="00FC752F">
      <w:pPr>
        <w:pStyle w:val="a9"/>
        <w:numPr>
          <w:ilvl w:val="0"/>
          <w:numId w:val="1"/>
        </w:numPr>
        <w:spacing w:line="360" w:lineRule="auto"/>
        <w:jc w:val="both"/>
        <w:rPr>
          <w:rFonts w:ascii="Arial" w:hAnsi="Arial"/>
        </w:rPr>
      </w:pPr>
      <w:r>
        <w:rPr>
          <w:rFonts w:ascii="Arial" w:hAnsi="Arial" w:hint="cs"/>
          <w:rtl/>
        </w:rPr>
        <w:t xml:space="preserve">במסגרת אותו פס"ד קבע בית המשפט, כי הרף התחתון שנקבע על ידי הערכאה הדיונית החל מ-9 חודשים ועד 36 חודשים, </w:t>
      </w:r>
      <w:r w:rsidRPr="00883B8C">
        <w:rPr>
          <w:rFonts w:ascii="Arial" w:hAnsi="Arial"/>
          <w:rtl/>
        </w:rPr>
        <w:t>צריך להיות עונש שניתן לרצותו מאחורי סורג ובריח</w:t>
      </w:r>
      <w:r>
        <w:rPr>
          <w:rFonts w:ascii="Arial" w:hAnsi="Arial" w:hint="cs"/>
          <w:rtl/>
        </w:rPr>
        <w:t>, וכי אף טעמים של "הגנה עצמית" אין בהם כדי לפטור נאשם מענישה ממשית.</w:t>
      </w:r>
      <w:r w:rsidRPr="00883B8C">
        <w:rPr>
          <w:rFonts w:ascii="Arial" w:hAnsi="Arial"/>
          <w:rtl/>
        </w:rPr>
        <w:t xml:space="preserve"> </w:t>
      </w:r>
    </w:p>
    <w:p w14:paraId="4286BE1B" w14:textId="77777777" w:rsidR="00FC752F" w:rsidRPr="00883B8C" w:rsidRDefault="00FC752F" w:rsidP="00FC752F">
      <w:pPr>
        <w:pStyle w:val="a9"/>
        <w:numPr>
          <w:ilvl w:val="0"/>
          <w:numId w:val="1"/>
        </w:numPr>
        <w:spacing w:line="360" w:lineRule="auto"/>
        <w:jc w:val="both"/>
        <w:rPr>
          <w:rFonts w:ascii="Arial" w:hAnsi="Arial"/>
          <w:rtl/>
        </w:rPr>
      </w:pPr>
      <w:r>
        <w:rPr>
          <w:rFonts w:ascii="Arial" w:hAnsi="Arial" w:hint="cs"/>
          <w:rtl/>
        </w:rPr>
        <w:t xml:space="preserve">במסגרת </w:t>
      </w:r>
      <w:hyperlink r:id="rId13" w:history="1">
        <w:r w:rsidR="00D656AC" w:rsidRPr="00D656AC">
          <w:rPr>
            <w:rFonts w:ascii="Arial" w:hAnsi="Arial"/>
            <w:color w:val="0000FF"/>
            <w:u w:val="single"/>
            <w:rtl/>
          </w:rPr>
          <w:t>עפ"ג (מחוזי מרכז) 58855-12-21</w:t>
        </w:r>
      </w:hyperlink>
      <w:r w:rsidRPr="00883B8C">
        <w:rPr>
          <w:rFonts w:ascii="Arial" w:hAnsi="Arial"/>
          <w:rtl/>
        </w:rPr>
        <w:t xml:space="preserve"> עלי שעבאן נ' מדינת ישראל (נבו 03.04.2022)‏‏ </w:t>
      </w:r>
      <w:r>
        <w:rPr>
          <w:rFonts w:ascii="Arial" w:hAnsi="Arial" w:hint="cs"/>
          <w:rtl/>
        </w:rPr>
        <w:t>נקבע כדלקמן:</w:t>
      </w:r>
    </w:p>
    <w:p w14:paraId="4637F192" w14:textId="77777777" w:rsidR="00FC752F" w:rsidRDefault="00FC752F" w:rsidP="00FC752F">
      <w:pPr>
        <w:spacing w:line="360" w:lineRule="auto"/>
        <w:ind w:left="720"/>
        <w:jc w:val="both"/>
        <w:rPr>
          <w:rFonts w:ascii="Arial" w:hAnsi="Arial"/>
          <w:rtl/>
        </w:rPr>
      </w:pPr>
    </w:p>
    <w:p w14:paraId="6B3B3525" w14:textId="77777777" w:rsidR="00FC752F" w:rsidRPr="008E1D77" w:rsidRDefault="00FC752F" w:rsidP="00FC752F">
      <w:pPr>
        <w:spacing w:line="360" w:lineRule="auto"/>
        <w:ind w:left="720"/>
        <w:jc w:val="both"/>
        <w:rPr>
          <w:rFonts w:ascii="Arial" w:hAnsi="Arial"/>
          <w:rtl/>
        </w:rPr>
      </w:pPr>
      <w:r w:rsidRPr="008E1D77">
        <w:rPr>
          <w:rFonts w:ascii="Arial" w:hAnsi="Arial"/>
          <w:rtl/>
        </w:rPr>
        <w:t>"בית משפט קמא דחה את טענת המערער כי החזקת האקדח "להגנה עצמית" במסגרת סכסוך פעיל עם משפחה היא נסיבה לקולה שמצדיקה הקלה משמעותית בעונש או לחלופין הפחתה בגבולות מתחם העונש ההולם. נקבע</w:t>
      </w:r>
      <w:r>
        <w:rPr>
          <w:rFonts w:ascii="Arial" w:hAnsi="Arial" w:hint="cs"/>
          <w:rtl/>
        </w:rPr>
        <w:t>,</w:t>
      </w:r>
      <w:r w:rsidRPr="008E1D77">
        <w:rPr>
          <w:rFonts w:ascii="Arial" w:hAnsi="Arial"/>
          <w:rtl/>
        </w:rPr>
        <w:t xml:space="preserve"> כי מתחם העונש ההולם לעבירות שביצע המערער ובנסיבות ביצוען נע בין 12 ל-36 חודשי מאסר בפועל, בצירוף מאסר על תנאי וקנס כספי."</w:t>
      </w:r>
    </w:p>
    <w:p w14:paraId="5972B4BE" w14:textId="77777777" w:rsidR="00FC752F" w:rsidRPr="00883B8C" w:rsidRDefault="00FC752F" w:rsidP="00FC752F">
      <w:pPr>
        <w:spacing w:line="360" w:lineRule="auto"/>
        <w:ind w:left="720"/>
        <w:jc w:val="both"/>
        <w:rPr>
          <w:rFonts w:ascii="Arial" w:hAnsi="Arial"/>
          <w:rtl/>
        </w:rPr>
      </w:pPr>
      <w:r w:rsidRPr="008E1D77">
        <w:rPr>
          <w:rFonts w:ascii="Arial" w:hAnsi="Arial" w:hint="cs"/>
          <w:rtl/>
        </w:rPr>
        <w:t>ב</w:t>
      </w:r>
      <w:r>
        <w:rPr>
          <w:rFonts w:ascii="Arial" w:hAnsi="Arial" w:hint="cs"/>
          <w:rtl/>
        </w:rPr>
        <w:t xml:space="preserve">מסגרת </w:t>
      </w:r>
      <w:r w:rsidRPr="008E1D77">
        <w:rPr>
          <w:rFonts w:ascii="Arial" w:hAnsi="Arial"/>
          <w:rtl/>
        </w:rPr>
        <w:t>פס"ד זה המחוזי קבע מתחם של 9-48 וגזר 20 חודשי מאסר על החזקת נשק להגנה עצמית. העליון הקל בעונשו והפחית ל-12 חודשים.</w:t>
      </w:r>
      <w:r>
        <w:rPr>
          <w:rFonts w:ascii="Arial" w:hAnsi="Arial" w:hint="cs"/>
          <w:rtl/>
        </w:rPr>
        <w:t xml:space="preserve"> וראו גם: </w:t>
      </w:r>
      <w:hyperlink r:id="rId14" w:history="1">
        <w:r w:rsidR="00D656AC" w:rsidRPr="00D656AC">
          <w:rPr>
            <w:rFonts w:ascii="Arial" w:hAnsi="Arial"/>
            <w:color w:val="0000FF"/>
            <w:u w:val="single"/>
            <w:rtl/>
          </w:rPr>
          <w:t>ע"פ 8473/13</w:t>
        </w:r>
      </w:hyperlink>
      <w:r w:rsidRPr="00883B8C">
        <w:rPr>
          <w:rFonts w:ascii="Arial" w:hAnsi="Arial"/>
          <w:rtl/>
        </w:rPr>
        <w:t xml:space="preserve"> סאמי חוסיין נ' מדינת ישראל (נבו 22.07.2014)‏‏</w:t>
      </w:r>
    </w:p>
    <w:p w14:paraId="208CB0DF" w14:textId="77777777" w:rsidR="00FC752F" w:rsidRDefault="00FC752F" w:rsidP="00FC752F">
      <w:pPr>
        <w:pStyle w:val="a9"/>
        <w:numPr>
          <w:ilvl w:val="0"/>
          <w:numId w:val="1"/>
        </w:numPr>
        <w:spacing w:line="360" w:lineRule="auto"/>
        <w:jc w:val="both"/>
        <w:rPr>
          <w:rFonts w:ascii="Arial" w:hAnsi="Arial"/>
        </w:rPr>
      </w:pPr>
      <w:r w:rsidRPr="00DA4C94">
        <w:rPr>
          <w:rFonts w:ascii="Arial" w:hAnsi="Arial" w:hint="cs"/>
          <w:rtl/>
        </w:rPr>
        <w:t xml:space="preserve">כאמור, </w:t>
      </w:r>
      <w:r w:rsidRPr="00DA4C94">
        <w:rPr>
          <w:rFonts w:ascii="Arial" w:hAnsi="Arial"/>
          <w:rtl/>
        </w:rPr>
        <w:t xml:space="preserve">נסיבות המקרה שלפניי </w:t>
      </w:r>
      <w:r w:rsidRPr="00DA4C94">
        <w:rPr>
          <w:rFonts w:ascii="Arial" w:hAnsi="Arial" w:hint="cs"/>
          <w:rtl/>
        </w:rPr>
        <w:t xml:space="preserve">הן </w:t>
      </w:r>
      <w:r w:rsidRPr="00DA4C94">
        <w:rPr>
          <w:rFonts w:ascii="Arial" w:hAnsi="Arial"/>
          <w:rtl/>
        </w:rPr>
        <w:t>ייחודיות</w:t>
      </w:r>
      <w:r w:rsidRPr="00DA4C94">
        <w:rPr>
          <w:rFonts w:ascii="Arial" w:hAnsi="Arial" w:hint="cs"/>
          <w:rtl/>
        </w:rPr>
        <w:t xml:space="preserve"> בהיבט האירוע האלים אותו חוותה משפחתו של הנאשם באותו היום, והן בפנייה שנעשתה על ידי בני המשפחה, לערב את רשויות החוק בעניין</w:t>
      </w:r>
      <w:r>
        <w:rPr>
          <w:rFonts w:ascii="Arial" w:hAnsi="Arial" w:hint="cs"/>
          <w:rtl/>
        </w:rPr>
        <w:t>.</w:t>
      </w:r>
    </w:p>
    <w:p w14:paraId="506A184D" w14:textId="77777777" w:rsidR="00FC752F" w:rsidRPr="00DA4C94" w:rsidRDefault="00FC752F" w:rsidP="00FC752F">
      <w:pPr>
        <w:pStyle w:val="a9"/>
        <w:numPr>
          <w:ilvl w:val="0"/>
          <w:numId w:val="1"/>
        </w:numPr>
        <w:spacing w:line="360" w:lineRule="auto"/>
        <w:jc w:val="both"/>
        <w:rPr>
          <w:rFonts w:ascii="Arial" w:hAnsi="Arial"/>
        </w:rPr>
      </w:pPr>
      <w:r>
        <w:rPr>
          <w:rFonts w:ascii="Arial" w:hAnsi="Arial" w:hint="cs"/>
          <w:rtl/>
        </w:rPr>
        <w:t>ב</w:t>
      </w:r>
      <w:r w:rsidRPr="00DA4C94">
        <w:rPr>
          <w:rFonts w:ascii="Arial" w:hAnsi="Arial" w:hint="cs"/>
          <w:rtl/>
        </w:rPr>
        <w:t xml:space="preserve">איזון בין שיקולים אלו, ובנסיבות מקרה זה, ראיתי לקבוע את מתחם העונש ההולם החל מ-9 חודשי מאסר ועד 30 חודשים לצד ענישה נלווית. </w:t>
      </w:r>
      <w:r w:rsidRPr="00DA4C94">
        <w:rPr>
          <w:rFonts w:ascii="Arial" w:hAnsi="Arial"/>
          <w:rtl/>
        </w:rPr>
        <w:t>לטעמי, ככלל, בעבירות מהסוג הנדון</w:t>
      </w:r>
      <w:r w:rsidRPr="00DA4C94">
        <w:rPr>
          <w:rFonts w:ascii="Arial" w:hAnsi="Arial" w:hint="cs"/>
          <w:rtl/>
        </w:rPr>
        <w:t xml:space="preserve">, אף בנסיבות האירוע דנן, </w:t>
      </w:r>
      <w:r w:rsidRPr="00DA4C94">
        <w:rPr>
          <w:rFonts w:ascii="Arial" w:hAnsi="Arial"/>
          <w:rtl/>
        </w:rPr>
        <w:t>לא ניתן להסתפק בעונש של מאסר בעבודת שירות, אלא ראוי להטיל מאסר שירוצה מאחורי סורג ובריח.</w:t>
      </w:r>
      <w:r w:rsidRPr="00DA4C94">
        <w:rPr>
          <w:rFonts w:ascii="Arial" w:hAnsi="Arial" w:hint="cs"/>
          <w:rtl/>
        </w:rPr>
        <w:t xml:space="preserve"> </w:t>
      </w:r>
      <w:r w:rsidRPr="00DA4C94">
        <w:rPr>
          <w:rFonts w:ascii="Arial" w:hAnsi="Arial"/>
          <w:rtl/>
        </w:rPr>
        <w:t xml:space="preserve"> </w:t>
      </w:r>
    </w:p>
    <w:p w14:paraId="11333225" w14:textId="77777777" w:rsidR="00FC752F" w:rsidRDefault="00FC752F" w:rsidP="00FC752F">
      <w:pPr>
        <w:pStyle w:val="a9"/>
        <w:numPr>
          <w:ilvl w:val="0"/>
          <w:numId w:val="1"/>
        </w:numPr>
        <w:spacing w:line="360" w:lineRule="auto"/>
        <w:jc w:val="both"/>
        <w:rPr>
          <w:rFonts w:ascii="Arial" w:hAnsi="Arial"/>
        </w:rPr>
      </w:pPr>
      <w:r w:rsidRPr="008D3D44">
        <w:rPr>
          <w:rFonts w:ascii="Arial" w:hAnsi="Arial" w:hint="cs"/>
          <w:rtl/>
        </w:rPr>
        <w:t xml:space="preserve">ניתוח הפסיקה מלמד, כי סטייה ממתחם העונש ההולם בעבירות דומות, </w:t>
      </w:r>
      <w:r>
        <w:rPr>
          <w:rFonts w:ascii="Arial" w:hAnsi="Arial" w:hint="cs"/>
          <w:rtl/>
        </w:rPr>
        <w:t xml:space="preserve">לכדי הטלת </w:t>
      </w:r>
      <w:r w:rsidRPr="008D3D44">
        <w:rPr>
          <w:rFonts w:ascii="Arial" w:hAnsi="Arial" w:hint="cs"/>
          <w:rtl/>
        </w:rPr>
        <w:t xml:space="preserve">עונש מאסר שיבוצע בעבודת שירות שמור למקרים </w:t>
      </w:r>
      <w:r>
        <w:rPr>
          <w:rFonts w:ascii="Arial" w:hAnsi="Arial" w:hint="cs"/>
          <w:rtl/>
        </w:rPr>
        <w:t xml:space="preserve">חריגים </w:t>
      </w:r>
      <w:r w:rsidRPr="008D3D44">
        <w:rPr>
          <w:rFonts w:ascii="Arial" w:hAnsi="Arial" w:hint="cs"/>
          <w:rtl/>
        </w:rPr>
        <w:t xml:space="preserve">בהם קיימים סיכויי שיקום ממשיים בעניינו של נאשם, ואשר אינם קיימים בענייננו. בנוסף, ואף שקיימת המלצה </w:t>
      </w:r>
      <w:r>
        <w:rPr>
          <w:rFonts w:ascii="Arial" w:hAnsi="Arial" w:hint="cs"/>
          <w:rtl/>
        </w:rPr>
        <w:t xml:space="preserve">ברוח זו </w:t>
      </w:r>
      <w:r w:rsidRPr="008D3D44">
        <w:rPr>
          <w:rFonts w:ascii="Arial" w:hAnsi="Arial" w:hint="cs"/>
          <w:rtl/>
        </w:rPr>
        <w:t xml:space="preserve">בתסקיר שרות המבחן, </w:t>
      </w:r>
      <w:r>
        <w:rPr>
          <w:rFonts w:ascii="Arial" w:hAnsi="Arial" w:hint="cs"/>
          <w:rtl/>
        </w:rPr>
        <w:t xml:space="preserve">קיים קושי לאמץ עמדה זו, אף בהתאם לתסקיר, </w:t>
      </w:r>
      <w:r w:rsidRPr="008D3D44">
        <w:rPr>
          <w:rFonts w:ascii="Arial" w:hAnsi="Arial" w:hint="cs"/>
          <w:rtl/>
        </w:rPr>
        <w:t xml:space="preserve">נוכח </w:t>
      </w:r>
      <w:r>
        <w:rPr>
          <w:rFonts w:ascii="Arial" w:hAnsi="Arial" w:hint="cs"/>
          <w:rtl/>
        </w:rPr>
        <w:t>סוג העבירה ו</w:t>
      </w:r>
      <w:r w:rsidRPr="008D3D44">
        <w:rPr>
          <w:rFonts w:ascii="Arial" w:hAnsi="Arial" w:hint="cs"/>
          <w:rtl/>
        </w:rPr>
        <w:t>חומרת</w:t>
      </w:r>
      <w:r>
        <w:rPr>
          <w:rFonts w:ascii="Arial" w:hAnsi="Arial" w:hint="cs"/>
          <w:rtl/>
        </w:rPr>
        <w:t xml:space="preserve">ה, וכן </w:t>
      </w:r>
      <w:r w:rsidRPr="008D3D44">
        <w:rPr>
          <w:rFonts w:ascii="Arial" w:hAnsi="Arial" w:hint="cs"/>
          <w:rtl/>
        </w:rPr>
        <w:t xml:space="preserve">קיומו של רישום </w:t>
      </w:r>
      <w:r>
        <w:rPr>
          <w:rFonts w:ascii="Arial" w:hAnsi="Arial" w:hint="cs"/>
          <w:rtl/>
        </w:rPr>
        <w:t xml:space="preserve">פלילי </w:t>
      </w:r>
      <w:r w:rsidRPr="008D3D44">
        <w:rPr>
          <w:rFonts w:ascii="Arial" w:hAnsi="Arial" w:hint="cs"/>
          <w:rtl/>
        </w:rPr>
        <w:t xml:space="preserve">קודם בעבירת אלימות. הנאשם </w:t>
      </w:r>
      <w:r>
        <w:rPr>
          <w:rFonts w:ascii="Arial" w:hAnsi="Arial" w:hint="cs"/>
          <w:rtl/>
        </w:rPr>
        <w:t xml:space="preserve">גם </w:t>
      </w:r>
      <w:r w:rsidRPr="008D3D44">
        <w:rPr>
          <w:rFonts w:ascii="Arial" w:hAnsi="Arial" w:hint="cs"/>
          <w:rtl/>
        </w:rPr>
        <w:t>התקשה ליטול אחריות מלאה על המעשים</w:t>
      </w:r>
      <w:r>
        <w:rPr>
          <w:rFonts w:ascii="Arial" w:hAnsi="Arial" w:hint="cs"/>
          <w:rtl/>
        </w:rPr>
        <w:t xml:space="preserve"> בשרות המבחן</w:t>
      </w:r>
      <w:r w:rsidRPr="008D3D44">
        <w:rPr>
          <w:rFonts w:ascii="Arial" w:hAnsi="Arial" w:hint="cs"/>
          <w:rtl/>
        </w:rPr>
        <w:t xml:space="preserve">, ואף שלל את השימוש שנעשה בנשק, אלא שלדבריו זרק אבן לצורך הגנה עצמית, תוך שהדגיש כי אינו מחזיק בכלי נשק. לצד זאת, יש להביא בחשבון </w:t>
      </w:r>
      <w:r>
        <w:rPr>
          <w:rFonts w:ascii="Arial" w:hAnsi="Arial" w:hint="cs"/>
          <w:rtl/>
        </w:rPr>
        <w:t xml:space="preserve">במסגרת שיקולי הענישה </w:t>
      </w:r>
      <w:r w:rsidRPr="008D3D44">
        <w:rPr>
          <w:rFonts w:ascii="Arial" w:hAnsi="Arial" w:hint="cs"/>
          <w:rtl/>
        </w:rPr>
        <w:t>את גורמי הסיכוי עליהם עומד שרות המבחן</w:t>
      </w:r>
      <w:r>
        <w:rPr>
          <w:rFonts w:ascii="Arial" w:hAnsi="Arial" w:hint="cs"/>
          <w:rtl/>
        </w:rPr>
        <w:t>,</w:t>
      </w:r>
      <w:r w:rsidRPr="008D3D44">
        <w:rPr>
          <w:rFonts w:ascii="Arial" w:hAnsi="Arial" w:hint="cs"/>
          <w:rtl/>
        </w:rPr>
        <w:t xml:space="preserve"> בהם: גילו הצעיר, יציבות תעסוקתית, גורמי תמיכה משפחתיים, והיותו נעדר דפוסי עב</w:t>
      </w:r>
      <w:r>
        <w:rPr>
          <w:rFonts w:ascii="Arial" w:hAnsi="Arial" w:hint="cs"/>
          <w:rtl/>
        </w:rPr>
        <w:t>ריי</w:t>
      </w:r>
      <w:r w:rsidRPr="008D3D44">
        <w:rPr>
          <w:rFonts w:ascii="Arial" w:hAnsi="Arial" w:hint="cs"/>
          <w:rtl/>
        </w:rPr>
        <w:t xml:space="preserve">נות מגובשים תוך </w:t>
      </w:r>
      <w:r>
        <w:rPr>
          <w:rFonts w:ascii="Arial" w:hAnsi="Arial" w:hint="cs"/>
          <w:rtl/>
        </w:rPr>
        <w:t xml:space="preserve">שהוא מגלה </w:t>
      </w:r>
      <w:r w:rsidRPr="008D3D44">
        <w:rPr>
          <w:rFonts w:ascii="Arial" w:hAnsi="Arial" w:hint="cs"/>
          <w:rtl/>
        </w:rPr>
        <w:t>שאיפה לניהול אורח חיים יציב ותקין</w:t>
      </w:r>
      <w:r>
        <w:rPr>
          <w:rFonts w:ascii="Arial" w:hAnsi="Arial" w:hint="cs"/>
          <w:rtl/>
        </w:rPr>
        <w:t>.</w:t>
      </w:r>
      <w:r w:rsidRPr="008D3D44">
        <w:rPr>
          <w:rFonts w:ascii="Arial" w:hAnsi="Arial" w:hint="cs"/>
          <w:rtl/>
        </w:rPr>
        <w:t xml:space="preserve"> </w:t>
      </w:r>
    </w:p>
    <w:p w14:paraId="741765B1" w14:textId="77777777" w:rsidR="00FC752F" w:rsidRPr="00883B8C" w:rsidRDefault="00FC752F" w:rsidP="00FC752F">
      <w:pPr>
        <w:pStyle w:val="a9"/>
        <w:numPr>
          <w:ilvl w:val="0"/>
          <w:numId w:val="1"/>
        </w:numPr>
        <w:spacing w:line="360" w:lineRule="auto"/>
        <w:jc w:val="both"/>
        <w:rPr>
          <w:rFonts w:ascii="Arial" w:hAnsi="Arial"/>
          <w:rtl/>
        </w:rPr>
      </w:pPr>
      <w:r>
        <w:rPr>
          <w:rFonts w:ascii="Arial" w:hAnsi="Arial" w:hint="cs"/>
          <w:rtl/>
        </w:rPr>
        <w:t>הבאתי במסגרת שיקוליי גם את חלוף הזמן מעת ביצוע העבירה, משך תקופת המעצר בה שהה הנאשם (כחודש וחצי במעצר(, ובהמשך למשך כ-3 חודשים במעצר בתנאי פיקוח אלקטרוני.</w:t>
      </w:r>
    </w:p>
    <w:p w14:paraId="40A5369B" w14:textId="77777777" w:rsidR="00FC752F" w:rsidRPr="00883B8C" w:rsidRDefault="00FC752F" w:rsidP="00FC752F">
      <w:pPr>
        <w:pStyle w:val="a9"/>
        <w:numPr>
          <w:ilvl w:val="0"/>
          <w:numId w:val="1"/>
        </w:numPr>
        <w:spacing w:line="360" w:lineRule="auto"/>
        <w:jc w:val="both"/>
        <w:rPr>
          <w:rFonts w:ascii="Arial" w:hAnsi="Arial"/>
          <w:rtl/>
        </w:rPr>
      </w:pPr>
      <w:r>
        <w:rPr>
          <w:rFonts w:ascii="Arial" w:hAnsi="Arial" w:hint="cs"/>
          <w:rtl/>
        </w:rPr>
        <w:t>באיזון בין שיקולים אלו יש לקבוע את עונשו של הנאשם בתחתית המתחם, כך שיוטלו עליו העונשים הבאים:</w:t>
      </w:r>
    </w:p>
    <w:p w14:paraId="1D2CA32A" w14:textId="77777777" w:rsidR="00FC752F" w:rsidRPr="00FB2E6C" w:rsidRDefault="00FC752F" w:rsidP="00FC752F">
      <w:pPr>
        <w:pStyle w:val="a9"/>
        <w:numPr>
          <w:ilvl w:val="0"/>
          <w:numId w:val="2"/>
        </w:numPr>
        <w:spacing w:line="360" w:lineRule="auto"/>
        <w:jc w:val="both"/>
      </w:pPr>
      <w:r>
        <w:rPr>
          <w:rFonts w:ascii="David" w:hAnsi="David" w:hint="cs"/>
          <w:rtl/>
        </w:rPr>
        <w:t>מאסר למשך 10 חודשים בניכוי ימי המעצר</w:t>
      </w:r>
      <w:r w:rsidRPr="00FB2E6C">
        <w:rPr>
          <w:rtl/>
        </w:rPr>
        <w:t>.</w:t>
      </w:r>
    </w:p>
    <w:p w14:paraId="547C4757" w14:textId="77777777" w:rsidR="00FC752F" w:rsidRPr="00CF00B4" w:rsidRDefault="00FC752F" w:rsidP="00FC752F">
      <w:pPr>
        <w:pStyle w:val="a9"/>
        <w:spacing w:line="360" w:lineRule="auto"/>
        <w:ind w:left="1080"/>
        <w:jc w:val="both"/>
      </w:pPr>
    </w:p>
    <w:p w14:paraId="3EC9C094" w14:textId="77777777" w:rsidR="00FC752F" w:rsidRDefault="00FC752F" w:rsidP="00FC752F">
      <w:pPr>
        <w:pStyle w:val="a9"/>
        <w:spacing w:line="360" w:lineRule="auto"/>
        <w:jc w:val="both"/>
      </w:pPr>
      <w:r>
        <w:rPr>
          <w:rFonts w:hint="cs"/>
          <w:rtl/>
        </w:rPr>
        <w:t>על הנאשם להתייצב לריצוי עונש המאסר בימ"ר ניצן אזור התעשייה הצפוני רמלה, ביום 1.10.2024 בשעה 10:00 כשברשותו תעודת זהות או דרכון והעתק מגזר הדין.</w:t>
      </w:r>
    </w:p>
    <w:p w14:paraId="5CEDBDCA" w14:textId="77777777" w:rsidR="00FC752F" w:rsidRDefault="00FC752F" w:rsidP="00FC752F">
      <w:pPr>
        <w:pStyle w:val="a9"/>
        <w:spacing w:line="360" w:lineRule="auto"/>
        <w:jc w:val="both"/>
        <w:rPr>
          <w:rtl/>
        </w:rPr>
      </w:pPr>
      <w:r>
        <w:rPr>
          <w:rFonts w:hint="cs"/>
          <w:rtl/>
        </w:rPr>
        <w:t xml:space="preserve">על הנאשם לתאם את הכניסה למאסר, כולל האפשרות למיון מוקדם, עם ענף אבחון ומיון של שב"ס, טל': 08-9787377, 08-9787336 או בפקס: 08-9193314, דואר אלקטרוני </w:t>
      </w:r>
      <w:r>
        <w:t>MaasarN@ips.gov.il</w:t>
      </w:r>
      <w:r>
        <w:rPr>
          <w:rFonts w:hint="cs"/>
          <w:rtl/>
        </w:rPr>
        <w:t>.</w:t>
      </w:r>
    </w:p>
    <w:p w14:paraId="2796C7ED" w14:textId="77777777" w:rsidR="00FC752F" w:rsidRPr="00FB2E6C" w:rsidRDefault="00FC752F" w:rsidP="00FC752F">
      <w:pPr>
        <w:pStyle w:val="a9"/>
        <w:spacing w:line="360" w:lineRule="auto"/>
        <w:ind w:left="1080"/>
        <w:jc w:val="both"/>
      </w:pPr>
    </w:p>
    <w:p w14:paraId="5E8084E5" w14:textId="77777777" w:rsidR="00FC752F" w:rsidRPr="00FB2E6C" w:rsidRDefault="00FC752F" w:rsidP="00FC752F">
      <w:pPr>
        <w:pStyle w:val="a9"/>
        <w:numPr>
          <w:ilvl w:val="0"/>
          <w:numId w:val="2"/>
        </w:numPr>
        <w:spacing w:line="360" w:lineRule="auto"/>
        <w:jc w:val="both"/>
      </w:pPr>
      <w:r w:rsidRPr="00FB2E6C">
        <w:rPr>
          <w:rtl/>
        </w:rPr>
        <w:t>אני מצווה על מאסרו של הנאשם למשך</w:t>
      </w:r>
      <w:r>
        <w:rPr>
          <w:rFonts w:hint="cs"/>
          <w:rtl/>
        </w:rPr>
        <w:t xml:space="preserve"> שישה חודשים</w:t>
      </w:r>
      <w:r w:rsidRPr="00FB2E6C">
        <w:rPr>
          <w:rtl/>
        </w:rPr>
        <w:t xml:space="preserve">, וזאת על תנאי למשך שלוש שנים, </w:t>
      </w:r>
      <w:r>
        <w:rPr>
          <w:rFonts w:hint="cs"/>
          <w:rtl/>
        </w:rPr>
        <w:t>שלא יעבור עבירה כל עבירה הקשורה בנשק</w:t>
      </w:r>
      <w:r w:rsidRPr="00FB2E6C">
        <w:rPr>
          <w:rtl/>
        </w:rPr>
        <w:t>.</w:t>
      </w:r>
    </w:p>
    <w:p w14:paraId="03772F12" w14:textId="77777777" w:rsidR="00FC752F" w:rsidRPr="00FB2E6C" w:rsidRDefault="00FC752F" w:rsidP="00FC752F">
      <w:pPr>
        <w:spacing w:line="360" w:lineRule="auto"/>
        <w:jc w:val="both"/>
        <w:rPr>
          <w:rFonts w:ascii="David" w:hAnsi="David"/>
          <w:b/>
          <w:bCs/>
          <w:rtl/>
        </w:rPr>
      </w:pPr>
    </w:p>
    <w:p w14:paraId="0E556BE8" w14:textId="77777777" w:rsidR="00FC752F" w:rsidRDefault="00D656AC" w:rsidP="00FC752F">
      <w:pPr>
        <w:spacing w:line="360" w:lineRule="auto"/>
        <w:jc w:val="both"/>
        <w:rPr>
          <w:rFonts w:ascii="David" w:hAnsi="David"/>
          <w:b/>
          <w:bCs/>
          <w:rtl/>
        </w:rPr>
      </w:pPr>
      <w:r w:rsidRPr="00D656AC">
        <w:rPr>
          <w:rFonts w:ascii="David" w:hAnsi="David"/>
          <w:b/>
          <w:bCs/>
          <w:color w:val="FFFFFF"/>
          <w:sz w:val="2"/>
          <w:szCs w:val="2"/>
          <w:rtl/>
        </w:rPr>
        <w:t>5129371</w:t>
      </w:r>
      <w:r w:rsidR="00FC752F" w:rsidRPr="00FB2E6C">
        <w:rPr>
          <w:rFonts w:ascii="David" w:hAnsi="David"/>
          <w:b/>
          <w:bCs/>
          <w:rtl/>
        </w:rPr>
        <w:t>זכות ערעור לבית המשפט המחוזי בירושלים בתוך 45 יום מהיום.</w:t>
      </w:r>
    </w:p>
    <w:p w14:paraId="7E1956C1" w14:textId="77777777" w:rsidR="00FC752F" w:rsidRPr="00D656AC" w:rsidRDefault="00D656AC" w:rsidP="00FC752F">
      <w:pPr>
        <w:rPr>
          <w:rFonts w:ascii="David" w:hAnsi="David"/>
          <w:color w:val="FFFFFF"/>
          <w:sz w:val="2"/>
          <w:szCs w:val="2"/>
        </w:rPr>
      </w:pPr>
      <w:r w:rsidRPr="00D656AC">
        <w:rPr>
          <w:rFonts w:ascii="David" w:hAnsi="David"/>
          <w:color w:val="FFFFFF"/>
          <w:sz w:val="2"/>
          <w:szCs w:val="2"/>
          <w:rtl/>
        </w:rPr>
        <w:t>54678313</w:t>
      </w:r>
    </w:p>
    <w:p w14:paraId="2D222226" w14:textId="77777777" w:rsidR="00FC752F" w:rsidRDefault="00FC752F" w:rsidP="00FC752F">
      <w:pPr>
        <w:spacing w:line="360" w:lineRule="auto"/>
        <w:jc w:val="both"/>
        <w:rPr>
          <w:rFonts w:ascii="Arial" w:hAnsi="Arial"/>
          <w:rtl/>
        </w:rPr>
      </w:pPr>
    </w:p>
    <w:p w14:paraId="1184E559" w14:textId="77777777" w:rsidR="00FC752F" w:rsidRPr="00980985" w:rsidRDefault="00D656AC" w:rsidP="00FC752F">
      <w:pPr>
        <w:spacing w:line="360" w:lineRule="auto"/>
        <w:jc w:val="both"/>
        <w:rPr>
          <w:rFonts w:ascii="Arial" w:hAnsi="Arial"/>
          <w:rtl/>
        </w:rPr>
      </w:pPr>
      <w:bookmarkStart w:id="8" w:name="Nitan"/>
      <w:r>
        <w:rPr>
          <w:rFonts w:ascii="Arial" w:hAnsi="Arial"/>
          <w:rtl/>
        </w:rPr>
        <w:t xml:space="preserve">ניתן היום,  ז' תמוז תשפ"ד, 13 יולי 2024, במעמד הנוכחים. </w:t>
      </w:r>
      <w:bookmarkEnd w:id="8"/>
      <w:r w:rsidR="00FC752F" w:rsidRPr="00980985">
        <w:rPr>
          <w:rFonts w:ascii="Arial" w:hAnsi="Arial"/>
          <w:rtl/>
        </w:rPr>
        <w:tab/>
      </w:r>
      <w:r w:rsidR="00FC752F" w:rsidRPr="00980985">
        <w:rPr>
          <w:rFonts w:ascii="Arial" w:hAnsi="Arial"/>
          <w:rtl/>
        </w:rPr>
        <w:tab/>
      </w:r>
      <w:r w:rsidR="00FC752F" w:rsidRPr="00980985">
        <w:rPr>
          <w:rFonts w:ascii="Arial" w:hAnsi="Arial"/>
          <w:rtl/>
        </w:rPr>
        <w:tab/>
      </w:r>
      <w:r w:rsidR="00FC752F" w:rsidRPr="00980985">
        <w:rPr>
          <w:rFonts w:ascii="Arial" w:hAnsi="Arial"/>
          <w:rtl/>
        </w:rPr>
        <w:tab/>
      </w:r>
      <w:r w:rsidR="00FC752F" w:rsidRPr="00980985">
        <w:rPr>
          <w:rFonts w:ascii="Arial" w:hAnsi="Arial"/>
          <w:rtl/>
        </w:rPr>
        <w:tab/>
      </w:r>
      <w:r w:rsidR="00FC752F" w:rsidRPr="00980985">
        <w:rPr>
          <w:rFonts w:ascii="Arial" w:hAnsi="Arial"/>
          <w:rtl/>
        </w:rPr>
        <w:tab/>
      </w:r>
      <w:r w:rsidR="00FC752F" w:rsidRPr="00980985">
        <w:rPr>
          <w:rFonts w:ascii="Arial" w:hAnsi="Arial"/>
          <w:rtl/>
        </w:rPr>
        <w:tab/>
      </w:r>
      <w:r w:rsidR="00FC752F" w:rsidRPr="00980985">
        <w:rPr>
          <w:rFonts w:ascii="Arial" w:hAnsi="Arial" w:hint="cs"/>
          <w:rtl/>
        </w:rPr>
        <w:t xml:space="preserve">         </w:t>
      </w:r>
    </w:p>
    <w:p w14:paraId="325F3D22" w14:textId="77777777" w:rsidR="00D656AC" w:rsidRDefault="00D656AC" w:rsidP="00D656AC">
      <w:pPr>
        <w:rPr>
          <w:rtl/>
        </w:rPr>
      </w:pPr>
    </w:p>
    <w:p w14:paraId="0AB904DE" w14:textId="77777777" w:rsidR="00D656AC" w:rsidRDefault="00D656AC" w:rsidP="00D656AC">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76FC5F02" w14:textId="77777777" w:rsidR="00C635B4" w:rsidRPr="00C635B4" w:rsidRDefault="00C635B4" w:rsidP="00C635B4">
      <w:pPr>
        <w:keepNext/>
        <w:rPr>
          <w:rFonts w:ascii="David" w:hAnsi="David"/>
          <w:color w:val="000000"/>
          <w:sz w:val="22"/>
          <w:szCs w:val="22"/>
          <w:rtl/>
        </w:rPr>
      </w:pPr>
    </w:p>
    <w:p w14:paraId="4AD5CFEE" w14:textId="77777777" w:rsidR="00C635B4" w:rsidRPr="00C635B4" w:rsidRDefault="00C635B4" w:rsidP="00C635B4">
      <w:pPr>
        <w:keepNext/>
        <w:rPr>
          <w:rFonts w:ascii="David" w:hAnsi="David"/>
          <w:color w:val="000000"/>
          <w:sz w:val="22"/>
          <w:szCs w:val="22"/>
          <w:rtl/>
        </w:rPr>
      </w:pPr>
      <w:r w:rsidRPr="00C635B4">
        <w:rPr>
          <w:rFonts w:ascii="David" w:hAnsi="David"/>
          <w:color w:val="000000"/>
          <w:sz w:val="22"/>
          <w:szCs w:val="22"/>
          <w:rtl/>
        </w:rPr>
        <w:t>ארנון איתן 54678313-/</w:t>
      </w:r>
    </w:p>
    <w:p w14:paraId="0796AF36" w14:textId="77777777" w:rsidR="00D656AC" w:rsidRPr="00D656AC" w:rsidRDefault="00C635B4" w:rsidP="00C635B4">
      <w:pPr>
        <w:rPr>
          <w:color w:val="0000FF"/>
          <w:u w:val="single"/>
        </w:rPr>
      </w:pPr>
      <w:r w:rsidRPr="00C635B4">
        <w:rPr>
          <w:color w:val="000000"/>
          <w:u w:val="single"/>
          <w:rtl/>
        </w:rPr>
        <w:t>נוסח מסמך זה כפוף לשינויי ניסוח ועריכה</w:t>
      </w:r>
    </w:p>
    <w:sectPr w:rsidR="00D656AC" w:rsidRPr="00D656AC" w:rsidSect="00C635B4">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96E3D" w14:textId="77777777" w:rsidR="000A52E1" w:rsidRDefault="000A52E1" w:rsidP="003A23BB">
      <w:r>
        <w:separator/>
      </w:r>
    </w:p>
  </w:endnote>
  <w:endnote w:type="continuationSeparator" w:id="0">
    <w:p w14:paraId="009DE578" w14:textId="77777777" w:rsidR="000A52E1" w:rsidRDefault="000A52E1" w:rsidP="003A2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8C4C5" w14:textId="77777777" w:rsidR="00C635B4" w:rsidRDefault="00C635B4" w:rsidP="00C635B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9166D3" w14:textId="77777777" w:rsidR="003B357D" w:rsidRPr="00C635B4" w:rsidRDefault="00C635B4" w:rsidP="00C635B4">
    <w:pPr>
      <w:pStyle w:val="a5"/>
      <w:pBdr>
        <w:top w:val="single" w:sz="4" w:space="1" w:color="auto"/>
        <w:between w:val="single" w:sz="4" w:space="0" w:color="auto"/>
      </w:pBdr>
      <w:spacing w:after="60"/>
      <w:jc w:val="center"/>
      <w:rPr>
        <w:rFonts w:ascii="FrankRuehl" w:hAnsi="FrankRuehl" w:cs="FrankRuehl"/>
        <w:color w:val="000000"/>
      </w:rPr>
    </w:pPr>
    <w:r w:rsidRPr="00C635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4F495" w14:textId="77777777" w:rsidR="00C635B4" w:rsidRDefault="00C635B4" w:rsidP="00C635B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52038">
      <w:rPr>
        <w:rFonts w:ascii="FrankRuehl" w:hAnsi="FrankRuehl" w:cs="FrankRuehl"/>
        <w:noProof/>
        <w:rtl/>
      </w:rPr>
      <w:t>1</w:t>
    </w:r>
    <w:r>
      <w:rPr>
        <w:rFonts w:ascii="FrankRuehl" w:hAnsi="FrankRuehl" w:cs="FrankRuehl"/>
        <w:rtl/>
      </w:rPr>
      <w:fldChar w:fldCharType="end"/>
    </w:r>
  </w:p>
  <w:p w14:paraId="1A87F3FD" w14:textId="77777777" w:rsidR="003B357D" w:rsidRPr="00C635B4" w:rsidRDefault="00C635B4" w:rsidP="00C635B4">
    <w:pPr>
      <w:pStyle w:val="a5"/>
      <w:pBdr>
        <w:top w:val="single" w:sz="4" w:space="1" w:color="auto"/>
        <w:between w:val="single" w:sz="4" w:space="0" w:color="auto"/>
      </w:pBdr>
      <w:spacing w:after="60"/>
      <w:jc w:val="center"/>
      <w:rPr>
        <w:rFonts w:ascii="FrankRuehl" w:hAnsi="FrankRuehl" w:cs="FrankRuehl"/>
        <w:color w:val="000000"/>
      </w:rPr>
    </w:pPr>
    <w:r w:rsidRPr="00C635B4">
      <w:rPr>
        <w:rFonts w:ascii="FrankRuehl" w:hAnsi="FrankRuehl" w:cs="FrankRuehl"/>
        <w:color w:val="000000"/>
      </w:rPr>
      <w:pict w14:anchorId="6DE2B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CA524" w14:textId="77777777" w:rsidR="000A52E1" w:rsidRDefault="000A52E1" w:rsidP="003A23BB">
      <w:r>
        <w:separator/>
      </w:r>
    </w:p>
  </w:footnote>
  <w:footnote w:type="continuationSeparator" w:id="0">
    <w:p w14:paraId="726513B5" w14:textId="77777777" w:rsidR="000A52E1" w:rsidRDefault="000A52E1" w:rsidP="003A2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2B27E" w14:textId="77777777" w:rsidR="00D656AC" w:rsidRPr="00C635B4" w:rsidRDefault="00C635B4" w:rsidP="00C635B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9989-08-22</w:t>
    </w:r>
    <w:r>
      <w:rPr>
        <w:rFonts w:ascii="David" w:hAnsi="David"/>
        <w:color w:val="000000"/>
        <w:sz w:val="22"/>
        <w:szCs w:val="22"/>
        <w:rtl/>
      </w:rPr>
      <w:tab/>
      <w:t xml:space="preserve"> מדינת ישראל נ' איברהים חניטי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6404" w14:textId="77777777" w:rsidR="00D656AC" w:rsidRPr="00C635B4" w:rsidRDefault="00C635B4" w:rsidP="00C635B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9989-08-22</w:t>
    </w:r>
    <w:r>
      <w:rPr>
        <w:rFonts w:ascii="David" w:hAnsi="David"/>
        <w:color w:val="000000"/>
        <w:sz w:val="22"/>
        <w:szCs w:val="22"/>
        <w:rtl/>
      </w:rPr>
      <w:tab/>
      <w:t xml:space="preserve"> מדינת ישראל נ' איברהים חניטי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96565B"/>
    <w:multiLevelType w:val="hybridMultilevel"/>
    <w:tmpl w:val="1EC24E18"/>
    <w:lvl w:ilvl="0" w:tplc="3DA09D7A">
      <w:start w:val="1"/>
      <w:numFmt w:val="decimal"/>
      <w:lvlText w:val="%1."/>
      <w:lvlJc w:val="left"/>
      <w:pPr>
        <w:ind w:left="720" w:hanging="360"/>
      </w:pPr>
      <w:rPr>
        <w:rFonts w:hint="default"/>
        <w:b w:val="0"/>
        <w:bCs w:val="0"/>
        <w:lang w:val="en-US"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2E3DE9"/>
    <w:multiLevelType w:val="hybridMultilevel"/>
    <w:tmpl w:val="FE92E2B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660460">
    <w:abstractNumId w:val="0"/>
  </w:num>
  <w:num w:numId="2" w16cid:durableId="557209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752F"/>
    <w:rsid w:val="000A52E1"/>
    <w:rsid w:val="001B5A3B"/>
    <w:rsid w:val="001F3AAD"/>
    <w:rsid w:val="003A23BB"/>
    <w:rsid w:val="003B357D"/>
    <w:rsid w:val="0056731E"/>
    <w:rsid w:val="00652038"/>
    <w:rsid w:val="00C635B4"/>
    <w:rsid w:val="00D656AC"/>
    <w:rsid w:val="00FC75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D70208"/>
  <w15:chartTrackingRefBased/>
  <w15:docId w15:val="{E9584B60-A0AB-4F85-8226-E356FDC77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75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C752F"/>
    <w:pPr>
      <w:tabs>
        <w:tab w:val="center" w:pos="4153"/>
        <w:tab w:val="right" w:pos="8306"/>
      </w:tabs>
    </w:pPr>
  </w:style>
  <w:style w:type="character" w:customStyle="1" w:styleId="a4">
    <w:name w:val="כותרת עליונה תו"/>
    <w:link w:val="a3"/>
    <w:rsid w:val="00FC752F"/>
    <w:rPr>
      <w:rFonts w:ascii="Times New Roman" w:eastAsia="Times New Roman" w:hAnsi="Times New Roman" w:cs="David"/>
      <w:sz w:val="24"/>
      <w:szCs w:val="24"/>
    </w:rPr>
  </w:style>
  <w:style w:type="paragraph" w:styleId="a5">
    <w:name w:val="footer"/>
    <w:basedOn w:val="a"/>
    <w:link w:val="a6"/>
    <w:rsid w:val="00FC752F"/>
    <w:pPr>
      <w:tabs>
        <w:tab w:val="center" w:pos="4153"/>
        <w:tab w:val="right" w:pos="8306"/>
      </w:tabs>
    </w:pPr>
  </w:style>
  <w:style w:type="character" w:customStyle="1" w:styleId="a6">
    <w:name w:val="כותרת תחתונה תו"/>
    <w:link w:val="a5"/>
    <w:rsid w:val="00FC752F"/>
    <w:rPr>
      <w:rFonts w:ascii="Times New Roman" w:eastAsia="Times New Roman" w:hAnsi="Times New Roman" w:cs="David"/>
      <w:sz w:val="24"/>
      <w:szCs w:val="24"/>
    </w:rPr>
  </w:style>
  <w:style w:type="table" w:styleId="a7">
    <w:name w:val="Table Grid"/>
    <w:basedOn w:val="a1"/>
    <w:rsid w:val="00FC75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C752F"/>
  </w:style>
  <w:style w:type="paragraph" w:styleId="a9">
    <w:name w:val="List Paragraph"/>
    <w:basedOn w:val="a"/>
    <w:qFormat/>
    <w:rsid w:val="00FC752F"/>
    <w:pPr>
      <w:ind w:left="720"/>
      <w:contextualSpacing/>
    </w:pPr>
  </w:style>
  <w:style w:type="character" w:styleId="Hyperlink">
    <w:name w:val="Hyperlink"/>
    <w:rsid w:val="00D656A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820302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case/2582486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1052772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1756</Words>
  <Characters>8780</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10515</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3211377</vt:i4>
      </vt:variant>
      <vt:variant>
        <vt:i4>21</vt:i4>
      </vt:variant>
      <vt:variant>
        <vt:i4>0</vt:i4>
      </vt:variant>
      <vt:variant>
        <vt:i4>5</vt:i4>
      </vt:variant>
      <vt:variant>
        <vt:lpwstr>http://www.nevo.co.il/case/10527728</vt:lpwstr>
      </vt:variant>
      <vt:variant>
        <vt:lpwstr/>
      </vt:variant>
      <vt:variant>
        <vt:i4>3211388</vt:i4>
      </vt:variant>
      <vt:variant>
        <vt:i4>18</vt:i4>
      </vt:variant>
      <vt:variant>
        <vt:i4>0</vt:i4>
      </vt:variant>
      <vt:variant>
        <vt:i4>5</vt:i4>
      </vt:variant>
      <vt:variant>
        <vt:lpwstr>http://www.nevo.co.il/case/28203020</vt:lpwstr>
      </vt:variant>
      <vt:variant>
        <vt:lpwstr/>
      </vt:variant>
      <vt:variant>
        <vt:i4>3670139</vt:i4>
      </vt:variant>
      <vt:variant>
        <vt:i4>15</vt:i4>
      </vt:variant>
      <vt:variant>
        <vt:i4>0</vt:i4>
      </vt:variant>
      <vt:variant>
        <vt:i4>5</vt:i4>
      </vt:variant>
      <vt:variant>
        <vt:lpwstr>http://www.nevo.co.il/case/25824863</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2025-01-19T17:51:00Z</dcterms:created>
  <dcterms:modified xsi:type="dcterms:W3CDTF">2025-01-19T17:51:00Z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9989</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איברהים חניטי</vt:lpwstr>
  </property>
  <property fmtid="{D5CDD505-2E9C-101B-9397-08002B2CF9AE}" pid="10" name="LAWYER">
    <vt:lpwstr>מיכאל עירוני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20240713</vt:lpwstr>
  </property>
  <property fmtid="{D5CDD505-2E9C-101B-9397-08002B2CF9AE}" pid="14" name="TYPE_N_DATE">
    <vt:lpwstr>38020240713</vt:lpwstr>
  </property>
  <property fmtid="{D5CDD505-2E9C-101B-9397-08002B2CF9AE}" pid="15" name="CASESLISTTMP1">
    <vt:lpwstr>25824863;28203020;10527728</vt:lpwstr>
  </property>
  <property fmtid="{D5CDD505-2E9C-101B-9397-08002B2CF9AE}" pid="16" name="WORDNUMPAGES">
    <vt:lpwstr>6</vt:lpwstr>
  </property>
  <property fmtid="{D5CDD505-2E9C-101B-9397-08002B2CF9AE}" pid="17" name="TYPE_ABS_DATE">
    <vt:lpwstr>380020240713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vt:lpwstr>
  </property>
</Properties>
</file>