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64A6F" w:rsidRPr="00EE43CF" w14:paraId="1F418348" w14:textId="77777777" w:rsidTr="006C5D6E">
        <w:trPr>
          <w:trHeight w:hRule="exact" w:val="418"/>
          <w:jc w:val="center"/>
        </w:trPr>
        <w:tc>
          <w:tcPr>
            <w:tcW w:w="8721" w:type="dxa"/>
            <w:gridSpan w:val="2"/>
          </w:tcPr>
          <w:p w14:paraId="4E57F43C" w14:textId="77777777" w:rsidR="00164A6F" w:rsidRPr="00EE43CF" w:rsidRDefault="00164A6F" w:rsidP="000E593F">
            <w:pPr>
              <w:pStyle w:val="a3"/>
              <w:jc w:val="center"/>
              <w:rPr>
                <w:rFonts w:ascii="Tahoma" w:hAnsi="Tahoma" w:cs="Tahoma"/>
                <w:color w:val="000080"/>
                <w:rtl/>
              </w:rPr>
            </w:pPr>
            <w:r w:rsidRPr="00EE43CF">
              <w:rPr>
                <w:rFonts w:ascii="Tahoma" w:hAnsi="Tahoma" w:cs="Tahoma"/>
                <w:b/>
                <w:bCs/>
                <w:color w:val="000080"/>
                <w:rtl/>
              </w:rPr>
              <w:t>בית משפט השלום בקריות</w:t>
            </w:r>
          </w:p>
        </w:tc>
      </w:tr>
      <w:tr w:rsidR="00164A6F" w:rsidRPr="00EE43CF" w14:paraId="2F7EA369" w14:textId="77777777" w:rsidTr="006C5D6E">
        <w:trPr>
          <w:trHeight w:val="337"/>
          <w:jc w:val="center"/>
        </w:trPr>
        <w:tc>
          <w:tcPr>
            <w:tcW w:w="5054" w:type="dxa"/>
          </w:tcPr>
          <w:p w14:paraId="2F5620B2" w14:textId="77777777" w:rsidR="00164A6F" w:rsidRPr="00EE43CF" w:rsidRDefault="00164A6F" w:rsidP="000E593F">
            <w:pPr>
              <w:rPr>
                <w:rFonts w:cs="FrankRuehl"/>
                <w:sz w:val="28"/>
                <w:szCs w:val="28"/>
                <w:rtl/>
              </w:rPr>
            </w:pPr>
            <w:r w:rsidRPr="00EE43CF">
              <w:rPr>
                <w:rFonts w:cs="FrankRuehl"/>
                <w:sz w:val="28"/>
                <w:szCs w:val="28"/>
                <w:rtl/>
              </w:rPr>
              <w:t>ת"פ</w:t>
            </w:r>
            <w:r w:rsidRPr="00EE43CF">
              <w:rPr>
                <w:rFonts w:cs="FrankRuehl" w:hint="cs"/>
                <w:sz w:val="28"/>
                <w:szCs w:val="28"/>
                <w:rtl/>
              </w:rPr>
              <w:t xml:space="preserve"> </w:t>
            </w:r>
            <w:r w:rsidRPr="00EE43CF">
              <w:rPr>
                <w:rFonts w:cs="FrankRuehl"/>
                <w:sz w:val="28"/>
                <w:szCs w:val="28"/>
                <w:rtl/>
              </w:rPr>
              <w:t>18228-09-22</w:t>
            </w:r>
            <w:r w:rsidRPr="00EE43CF">
              <w:rPr>
                <w:rFonts w:cs="FrankRuehl" w:hint="cs"/>
                <w:sz w:val="28"/>
                <w:szCs w:val="28"/>
                <w:rtl/>
              </w:rPr>
              <w:t xml:space="preserve"> </w:t>
            </w:r>
            <w:r w:rsidRPr="00EE43CF">
              <w:rPr>
                <w:rFonts w:cs="FrankRuehl"/>
                <w:sz w:val="28"/>
                <w:szCs w:val="28"/>
                <w:rtl/>
              </w:rPr>
              <w:t>מדינת ישראל נ' עמריה</w:t>
            </w:r>
          </w:p>
          <w:p w14:paraId="163127B4" w14:textId="77777777" w:rsidR="00164A6F" w:rsidRPr="00EE43CF" w:rsidRDefault="00164A6F" w:rsidP="000E593F">
            <w:pPr>
              <w:pStyle w:val="a3"/>
              <w:rPr>
                <w:rFonts w:cs="FrankRuehl"/>
                <w:sz w:val="28"/>
                <w:szCs w:val="28"/>
                <w:rtl/>
              </w:rPr>
            </w:pPr>
          </w:p>
        </w:tc>
        <w:tc>
          <w:tcPr>
            <w:tcW w:w="3667" w:type="dxa"/>
          </w:tcPr>
          <w:p w14:paraId="76CCF276" w14:textId="77777777" w:rsidR="00164A6F" w:rsidRPr="00EE43CF" w:rsidRDefault="00164A6F" w:rsidP="000E593F">
            <w:pPr>
              <w:pStyle w:val="a3"/>
              <w:jc w:val="right"/>
              <w:rPr>
                <w:rFonts w:cs="FrankRuehl"/>
                <w:sz w:val="28"/>
                <w:szCs w:val="28"/>
                <w:rtl/>
              </w:rPr>
            </w:pPr>
          </w:p>
        </w:tc>
      </w:tr>
    </w:tbl>
    <w:p w14:paraId="284FC771" w14:textId="77777777" w:rsidR="00164A6F" w:rsidRPr="00EE43CF" w:rsidRDefault="00164A6F" w:rsidP="00164A6F">
      <w:pPr>
        <w:pStyle w:val="a3"/>
        <w:rPr>
          <w:rtl/>
        </w:rPr>
      </w:pPr>
      <w:r w:rsidRPr="00EE43CF">
        <w:rPr>
          <w:rFonts w:hint="cs"/>
          <w:rtl/>
        </w:rPr>
        <w:t xml:space="preserve"> </w:t>
      </w:r>
    </w:p>
    <w:p w14:paraId="17A2FACB" w14:textId="77777777" w:rsidR="00164A6F" w:rsidRPr="00EE43CF" w:rsidRDefault="00164A6F" w:rsidP="00164A6F">
      <w:pPr>
        <w:rPr>
          <w:sz w:val="26"/>
          <w:szCs w:val="26"/>
          <w:rtl/>
        </w:rPr>
      </w:pPr>
    </w:p>
    <w:p w14:paraId="627BEED3" w14:textId="77777777" w:rsidR="00164A6F" w:rsidRPr="00EE43CF" w:rsidRDefault="00164A6F" w:rsidP="00164A6F">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
        <w:gridCol w:w="4078"/>
        <w:gridCol w:w="3820"/>
      </w:tblGrid>
      <w:tr w:rsidR="00164A6F" w:rsidRPr="00EE43CF" w14:paraId="7035C5C4" w14:textId="77777777" w:rsidTr="00164A6F">
        <w:trPr>
          <w:trHeight w:val="295"/>
          <w:jc w:val="center"/>
        </w:trPr>
        <w:tc>
          <w:tcPr>
            <w:tcW w:w="922" w:type="dxa"/>
            <w:tcBorders>
              <w:top w:val="nil"/>
              <w:left w:val="nil"/>
              <w:bottom w:val="nil"/>
              <w:right w:val="nil"/>
            </w:tcBorders>
            <w:shd w:val="clear" w:color="auto" w:fill="auto"/>
          </w:tcPr>
          <w:p w14:paraId="4785ED84" w14:textId="77777777" w:rsidR="00164A6F" w:rsidRPr="00EE43CF" w:rsidRDefault="00164A6F" w:rsidP="00164A6F">
            <w:pPr>
              <w:jc w:val="both"/>
              <w:rPr>
                <w:rFonts w:ascii="David" w:hAnsi="David"/>
                <w:b/>
                <w:bCs/>
              </w:rPr>
            </w:pPr>
            <w:r w:rsidRPr="00EE43CF">
              <w:rPr>
                <w:rFonts w:ascii="David" w:hAnsi="David"/>
                <w:b/>
                <w:bCs/>
                <w:rtl/>
              </w:rPr>
              <w:t xml:space="preserve">בפני </w:t>
            </w:r>
          </w:p>
        </w:tc>
        <w:tc>
          <w:tcPr>
            <w:tcW w:w="7898" w:type="dxa"/>
            <w:gridSpan w:val="2"/>
            <w:tcBorders>
              <w:top w:val="nil"/>
              <w:left w:val="nil"/>
              <w:bottom w:val="nil"/>
              <w:right w:val="nil"/>
            </w:tcBorders>
            <w:shd w:val="clear" w:color="auto" w:fill="auto"/>
          </w:tcPr>
          <w:p w14:paraId="77F5CB20" w14:textId="77777777" w:rsidR="00164A6F" w:rsidRPr="00EE43CF" w:rsidRDefault="00164A6F" w:rsidP="000E593F">
            <w:pPr>
              <w:rPr>
                <w:rFonts w:ascii="David" w:hAnsi="David"/>
                <w:b/>
                <w:bCs/>
                <w:rtl/>
              </w:rPr>
            </w:pPr>
            <w:r w:rsidRPr="00EE43CF">
              <w:rPr>
                <w:rFonts w:ascii="Arial" w:hAnsi="Arial"/>
                <w:b/>
                <w:bCs/>
                <w:rtl/>
              </w:rPr>
              <w:t>כב' השופט יוסי טורס , סגן הנשיאה</w:t>
            </w:r>
          </w:p>
          <w:p w14:paraId="2B7E733A" w14:textId="77777777" w:rsidR="00164A6F" w:rsidRPr="00EE43CF" w:rsidRDefault="00164A6F" w:rsidP="000E593F">
            <w:pPr>
              <w:rPr>
                <w:rFonts w:ascii="David" w:hAnsi="David"/>
                <w:b/>
                <w:bCs/>
              </w:rPr>
            </w:pPr>
          </w:p>
          <w:p w14:paraId="2D17416D" w14:textId="77777777" w:rsidR="00164A6F" w:rsidRPr="00EE43CF" w:rsidRDefault="00164A6F" w:rsidP="000E593F">
            <w:pPr>
              <w:rPr>
                <w:rFonts w:ascii="David" w:hAnsi="David"/>
                <w:b/>
                <w:bCs/>
              </w:rPr>
            </w:pPr>
          </w:p>
        </w:tc>
      </w:tr>
      <w:tr w:rsidR="00164A6F" w:rsidRPr="00EE43CF" w14:paraId="47DCD02F" w14:textId="77777777" w:rsidTr="00164A6F">
        <w:trPr>
          <w:trHeight w:val="355"/>
          <w:jc w:val="center"/>
        </w:trPr>
        <w:tc>
          <w:tcPr>
            <w:tcW w:w="922" w:type="dxa"/>
            <w:tcBorders>
              <w:top w:val="nil"/>
              <w:left w:val="nil"/>
              <w:bottom w:val="nil"/>
              <w:right w:val="nil"/>
            </w:tcBorders>
            <w:shd w:val="clear" w:color="auto" w:fill="auto"/>
          </w:tcPr>
          <w:p w14:paraId="59F0E1DE" w14:textId="77777777" w:rsidR="00164A6F" w:rsidRPr="00EE43CF" w:rsidRDefault="00164A6F" w:rsidP="00164A6F">
            <w:pPr>
              <w:jc w:val="both"/>
              <w:rPr>
                <w:rFonts w:ascii="David" w:hAnsi="David"/>
                <w:b/>
                <w:bCs/>
              </w:rPr>
            </w:pPr>
            <w:bookmarkStart w:id="0" w:name="FirstAppellant"/>
            <w:bookmarkStart w:id="1" w:name="LastJudge"/>
            <w:bookmarkEnd w:id="1"/>
            <w:r w:rsidRPr="00EE43CF">
              <w:rPr>
                <w:rFonts w:ascii="David" w:hAnsi="David"/>
                <w:b/>
                <w:bCs/>
                <w:rtl/>
              </w:rPr>
              <w:t>בעניין:</w:t>
            </w:r>
          </w:p>
        </w:tc>
        <w:tc>
          <w:tcPr>
            <w:tcW w:w="4078" w:type="dxa"/>
            <w:tcBorders>
              <w:top w:val="nil"/>
              <w:left w:val="nil"/>
              <w:bottom w:val="nil"/>
              <w:right w:val="nil"/>
            </w:tcBorders>
            <w:shd w:val="clear" w:color="auto" w:fill="auto"/>
          </w:tcPr>
          <w:p w14:paraId="0915F09F" w14:textId="77777777" w:rsidR="00164A6F" w:rsidRPr="00EE43CF" w:rsidRDefault="00164A6F" w:rsidP="000E593F">
            <w:pPr>
              <w:rPr>
                <w:rFonts w:ascii="David" w:hAnsi="David"/>
                <w:b/>
                <w:bCs/>
              </w:rPr>
            </w:pPr>
            <w:r w:rsidRPr="00EE43CF">
              <w:rPr>
                <w:rFonts w:ascii="David" w:hAnsi="David"/>
                <w:b/>
                <w:bCs/>
                <w:rtl/>
              </w:rPr>
              <w:t>מדינת ישראל</w:t>
            </w:r>
          </w:p>
        </w:tc>
        <w:tc>
          <w:tcPr>
            <w:tcW w:w="3820" w:type="dxa"/>
            <w:tcBorders>
              <w:top w:val="nil"/>
              <w:left w:val="nil"/>
              <w:bottom w:val="nil"/>
              <w:right w:val="nil"/>
            </w:tcBorders>
            <w:shd w:val="clear" w:color="auto" w:fill="auto"/>
          </w:tcPr>
          <w:p w14:paraId="29BCB79D" w14:textId="77777777" w:rsidR="00164A6F" w:rsidRPr="00EE43CF" w:rsidRDefault="00164A6F" w:rsidP="00164A6F">
            <w:pPr>
              <w:ind w:firstLine="2667"/>
              <w:jc w:val="both"/>
              <w:rPr>
                <w:rFonts w:ascii="David" w:hAnsi="David"/>
                <w:b/>
                <w:bCs/>
              </w:rPr>
            </w:pPr>
            <w:r w:rsidRPr="00EE43CF">
              <w:rPr>
                <w:rFonts w:ascii="David" w:hAnsi="David" w:hint="cs"/>
                <w:b/>
                <w:bCs/>
                <w:rtl/>
              </w:rPr>
              <w:t>המאשימה</w:t>
            </w:r>
          </w:p>
        </w:tc>
      </w:tr>
      <w:bookmarkEnd w:id="0"/>
      <w:tr w:rsidR="00164A6F" w:rsidRPr="00EE43CF" w14:paraId="3881A7DE" w14:textId="77777777" w:rsidTr="00164A6F">
        <w:trPr>
          <w:trHeight w:val="355"/>
          <w:jc w:val="center"/>
        </w:trPr>
        <w:tc>
          <w:tcPr>
            <w:tcW w:w="922" w:type="dxa"/>
            <w:tcBorders>
              <w:top w:val="nil"/>
              <w:left w:val="nil"/>
              <w:bottom w:val="nil"/>
              <w:right w:val="nil"/>
            </w:tcBorders>
            <w:shd w:val="clear" w:color="auto" w:fill="auto"/>
          </w:tcPr>
          <w:p w14:paraId="7D2B8638" w14:textId="77777777" w:rsidR="00164A6F" w:rsidRPr="00EE43CF" w:rsidRDefault="00164A6F" w:rsidP="00164A6F">
            <w:pPr>
              <w:jc w:val="both"/>
              <w:rPr>
                <w:rFonts w:ascii="David" w:hAnsi="David"/>
                <w:b/>
                <w:bCs/>
                <w:rtl/>
              </w:rPr>
            </w:pPr>
          </w:p>
        </w:tc>
        <w:tc>
          <w:tcPr>
            <w:tcW w:w="7898" w:type="dxa"/>
            <w:gridSpan w:val="2"/>
            <w:tcBorders>
              <w:top w:val="nil"/>
              <w:left w:val="nil"/>
              <w:bottom w:val="nil"/>
              <w:right w:val="nil"/>
            </w:tcBorders>
            <w:shd w:val="clear" w:color="auto" w:fill="auto"/>
          </w:tcPr>
          <w:p w14:paraId="09C908CF" w14:textId="77777777" w:rsidR="00164A6F" w:rsidRPr="00EE43CF" w:rsidRDefault="00164A6F" w:rsidP="00164A6F">
            <w:pPr>
              <w:jc w:val="center"/>
              <w:rPr>
                <w:rFonts w:ascii="David" w:hAnsi="David"/>
                <w:b/>
                <w:bCs/>
                <w:rtl/>
              </w:rPr>
            </w:pPr>
          </w:p>
          <w:p w14:paraId="0063A76C" w14:textId="77777777" w:rsidR="00164A6F" w:rsidRPr="00EE43CF" w:rsidRDefault="00164A6F" w:rsidP="00164A6F">
            <w:pPr>
              <w:jc w:val="center"/>
              <w:rPr>
                <w:rFonts w:ascii="David" w:hAnsi="David"/>
                <w:b/>
                <w:bCs/>
                <w:rtl/>
              </w:rPr>
            </w:pPr>
            <w:r w:rsidRPr="00EE43CF">
              <w:rPr>
                <w:rFonts w:ascii="David" w:hAnsi="David"/>
                <w:b/>
                <w:bCs/>
                <w:rtl/>
              </w:rPr>
              <w:t>נגד</w:t>
            </w:r>
          </w:p>
          <w:p w14:paraId="0A1A92E2" w14:textId="77777777" w:rsidR="00164A6F" w:rsidRPr="00EE43CF" w:rsidRDefault="00164A6F" w:rsidP="00164A6F">
            <w:pPr>
              <w:jc w:val="both"/>
              <w:rPr>
                <w:rFonts w:ascii="David" w:hAnsi="David"/>
                <w:b/>
                <w:bCs/>
              </w:rPr>
            </w:pPr>
          </w:p>
        </w:tc>
      </w:tr>
      <w:tr w:rsidR="00164A6F" w:rsidRPr="00EE43CF" w14:paraId="42BF0C3E" w14:textId="77777777" w:rsidTr="00164A6F">
        <w:trPr>
          <w:trHeight w:val="355"/>
          <w:jc w:val="center"/>
        </w:trPr>
        <w:tc>
          <w:tcPr>
            <w:tcW w:w="922" w:type="dxa"/>
            <w:tcBorders>
              <w:top w:val="nil"/>
              <w:left w:val="nil"/>
              <w:bottom w:val="nil"/>
              <w:right w:val="nil"/>
            </w:tcBorders>
            <w:shd w:val="clear" w:color="auto" w:fill="auto"/>
          </w:tcPr>
          <w:p w14:paraId="6111C79A" w14:textId="77777777" w:rsidR="00164A6F" w:rsidRPr="00EE43CF" w:rsidRDefault="00164A6F" w:rsidP="000E593F">
            <w:pPr>
              <w:rPr>
                <w:rFonts w:ascii="David" w:hAnsi="David"/>
                <w:b/>
                <w:bCs/>
                <w:rtl/>
              </w:rPr>
            </w:pPr>
          </w:p>
        </w:tc>
        <w:tc>
          <w:tcPr>
            <w:tcW w:w="4078" w:type="dxa"/>
            <w:tcBorders>
              <w:top w:val="nil"/>
              <w:left w:val="nil"/>
              <w:bottom w:val="nil"/>
              <w:right w:val="nil"/>
            </w:tcBorders>
            <w:shd w:val="clear" w:color="auto" w:fill="auto"/>
          </w:tcPr>
          <w:p w14:paraId="0223594F" w14:textId="77777777" w:rsidR="00164A6F" w:rsidRPr="00EE43CF" w:rsidRDefault="00164A6F" w:rsidP="000E593F">
            <w:pPr>
              <w:rPr>
                <w:rFonts w:ascii="David" w:hAnsi="David"/>
                <w:b/>
                <w:bCs/>
                <w:rtl/>
              </w:rPr>
            </w:pPr>
            <w:r w:rsidRPr="00EE43CF">
              <w:rPr>
                <w:rFonts w:ascii="David" w:hAnsi="David"/>
                <w:b/>
                <w:bCs/>
                <w:rtl/>
              </w:rPr>
              <w:t>זיד עמריה</w:t>
            </w:r>
          </w:p>
        </w:tc>
        <w:tc>
          <w:tcPr>
            <w:tcW w:w="3820" w:type="dxa"/>
            <w:tcBorders>
              <w:top w:val="nil"/>
              <w:left w:val="nil"/>
              <w:bottom w:val="nil"/>
              <w:right w:val="nil"/>
            </w:tcBorders>
            <w:shd w:val="clear" w:color="auto" w:fill="auto"/>
          </w:tcPr>
          <w:p w14:paraId="2125D091" w14:textId="77777777" w:rsidR="00164A6F" w:rsidRPr="00EE43CF" w:rsidRDefault="00164A6F" w:rsidP="00164A6F">
            <w:pPr>
              <w:jc w:val="right"/>
              <w:rPr>
                <w:rFonts w:ascii="David" w:hAnsi="David"/>
                <w:b/>
                <w:bCs/>
              </w:rPr>
            </w:pPr>
            <w:r w:rsidRPr="00EE43CF">
              <w:rPr>
                <w:rFonts w:ascii="David" w:hAnsi="David" w:hint="cs"/>
                <w:b/>
                <w:bCs/>
                <w:rtl/>
              </w:rPr>
              <w:t>הנאשם</w:t>
            </w:r>
          </w:p>
        </w:tc>
      </w:tr>
    </w:tbl>
    <w:p w14:paraId="36456E88" w14:textId="77777777" w:rsidR="00600EC7" w:rsidRPr="00600EC7" w:rsidRDefault="00600EC7" w:rsidP="00600EC7">
      <w:pPr>
        <w:spacing w:before="120" w:after="120" w:line="240" w:lineRule="exact"/>
        <w:ind w:left="283" w:hanging="283"/>
        <w:jc w:val="both"/>
        <w:rPr>
          <w:rFonts w:ascii="FrankRuehl" w:hAnsi="FrankRuehl" w:cs="FrankRuehl"/>
          <w:rtl/>
        </w:rPr>
      </w:pPr>
    </w:p>
    <w:p w14:paraId="20AE203D" w14:textId="77777777" w:rsidR="002F571C" w:rsidRDefault="002F571C" w:rsidP="002F571C">
      <w:pPr>
        <w:rPr>
          <w:rFonts w:ascii="David" w:hAnsi="David"/>
          <w:sz w:val="26"/>
          <w:szCs w:val="26"/>
          <w:rtl/>
        </w:rPr>
      </w:pPr>
      <w:bookmarkStart w:id="2" w:name="LawTable"/>
      <w:bookmarkEnd w:id="2"/>
    </w:p>
    <w:p w14:paraId="53178CEA" w14:textId="77777777" w:rsidR="002F571C" w:rsidRPr="002F571C" w:rsidRDefault="002F571C" w:rsidP="002F571C">
      <w:pPr>
        <w:spacing w:before="120" w:after="120" w:line="240" w:lineRule="exact"/>
        <w:ind w:left="283" w:hanging="283"/>
        <w:jc w:val="both"/>
        <w:rPr>
          <w:rFonts w:ascii="FrankRuehl" w:hAnsi="FrankRuehl" w:cs="FrankRuehl"/>
          <w:rtl/>
        </w:rPr>
      </w:pPr>
    </w:p>
    <w:p w14:paraId="4985D528" w14:textId="77777777" w:rsidR="002F571C" w:rsidRPr="002F571C" w:rsidRDefault="002F571C" w:rsidP="002F571C">
      <w:pPr>
        <w:spacing w:before="120" w:after="120" w:line="240" w:lineRule="exact"/>
        <w:ind w:left="283" w:hanging="283"/>
        <w:jc w:val="both"/>
        <w:rPr>
          <w:rFonts w:ascii="FrankRuehl" w:hAnsi="FrankRuehl" w:cs="FrankRuehl"/>
          <w:rtl/>
        </w:rPr>
      </w:pPr>
    </w:p>
    <w:p w14:paraId="2E4F4BCE" w14:textId="77777777" w:rsidR="002F571C" w:rsidRPr="002F571C" w:rsidRDefault="002F571C" w:rsidP="002F571C">
      <w:pPr>
        <w:spacing w:before="120" w:after="120" w:line="240" w:lineRule="exact"/>
        <w:ind w:left="283" w:hanging="283"/>
        <w:jc w:val="both"/>
        <w:rPr>
          <w:rFonts w:ascii="FrankRuehl" w:hAnsi="FrankRuehl" w:cs="FrankRuehl"/>
          <w:rtl/>
        </w:rPr>
      </w:pPr>
      <w:r w:rsidRPr="002F571C">
        <w:rPr>
          <w:rFonts w:ascii="FrankRuehl" w:hAnsi="FrankRuehl" w:cs="FrankRuehl"/>
          <w:rtl/>
        </w:rPr>
        <w:t xml:space="preserve">חקיקה שאוזכרה: </w:t>
      </w:r>
    </w:p>
    <w:p w14:paraId="331BE35F" w14:textId="77777777" w:rsidR="002F571C" w:rsidRPr="002F571C" w:rsidRDefault="002F571C" w:rsidP="002F571C">
      <w:pPr>
        <w:spacing w:before="120" w:after="120" w:line="240" w:lineRule="exact"/>
        <w:ind w:left="283" w:hanging="283"/>
        <w:jc w:val="both"/>
        <w:rPr>
          <w:rFonts w:ascii="FrankRuehl" w:hAnsi="FrankRuehl" w:cs="FrankRuehl"/>
          <w:rtl/>
        </w:rPr>
      </w:pPr>
      <w:hyperlink r:id="rId7" w:history="1">
        <w:r w:rsidRPr="002F571C">
          <w:rPr>
            <w:rFonts w:ascii="FrankRuehl" w:hAnsi="FrankRuehl" w:cs="FrankRuehl"/>
            <w:color w:val="0000FF"/>
            <w:rtl/>
          </w:rPr>
          <w:t>חוק העונשין, תשל"ז-1977</w:t>
        </w:r>
      </w:hyperlink>
      <w:r w:rsidRPr="002F571C">
        <w:rPr>
          <w:rFonts w:ascii="FrankRuehl" w:hAnsi="FrankRuehl" w:cs="FrankRuehl"/>
          <w:rtl/>
        </w:rPr>
        <w:t xml:space="preserve">: סע'  </w:t>
      </w:r>
      <w:hyperlink r:id="rId8" w:history="1">
        <w:r w:rsidRPr="002F571C">
          <w:rPr>
            <w:rFonts w:ascii="FrankRuehl" w:hAnsi="FrankRuehl" w:cs="FrankRuehl"/>
            <w:color w:val="0000FF"/>
            <w:rtl/>
          </w:rPr>
          <w:t>40י'</w:t>
        </w:r>
      </w:hyperlink>
      <w:r w:rsidRPr="002F571C">
        <w:rPr>
          <w:rFonts w:ascii="FrankRuehl" w:hAnsi="FrankRuehl" w:cs="FrankRuehl"/>
          <w:rtl/>
        </w:rPr>
        <w:t xml:space="preserve">, </w:t>
      </w:r>
      <w:hyperlink r:id="rId9" w:history="1">
        <w:r w:rsidRPr="002F571C">
          <w:rPr>
            <w:rFonts w:ascii="FrankRuehl" w:hAnsi="FrankRuehl" w:cs="FrankRuehl"/>
            <w:color w:val="0000FF"/>
            <w:rtl/>
          </w:rPr>
          <w:t>144</w:t>
        </w:r>
      </w:hyperlink>
      <w:r w:rsidRPr="002F571C">
        <w:rPr>
          <w:rFonts w:ascii="FrankRuehl" w:hAnsi="FrankRuehl" w:cs="FrankRuehl"/>
          <w:rtl/>
        </w:rPr>
        <w:t xml:space="preserve">, </w:t>
      </w:r>
      <w:hyperlink r:id="rId10" w:history="1">
        <w:r w:rsidRPr="002F571C">
          <w:rPr>
            <w:rFonts w:ascii="FrankRuehl" w:hAnsi="FrankRuehl" w:cs="FrankRuehl"/>
            <w:color w:val="0000FF"/>
            <w:rtl/>
          </w:rPr>
          <w:t>144(א)</w:t>
        </w:r>
      </w:hyperlink>
    </w:p>
    <w:p w14:paraId="4FEE7C91" w14:textId="77777777" w:rsidR="002F571C" w:rsidRPr="002F571C" w:rsidRDefault="002F571C" w:rsidP="002F571C">
      <w:pPr>
        <w:rPr>
          <w:rFonts w:ascii="David" w:hAnsi="David"/>
          <w:sz w:val="26"/>
          <w:szCs w:val="26"/>
          <w:rtl/>
        </w:rPr>
      </w:pPr>
      <w:bookmarkStart w:id="3" w:name="LawTable_End"/>
      <w:bookmarkEnd w:id="3"/>
    </w:p>
    <w:p w14:paraId="0B2DA457" w14:textId="77777777" w:rsidR="00164A6F" w:rsidRPr="00600EC7" w:rsidRDefault="00164A6F" w:rsidP="00600EC7">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4A6F" w14:paraId="58787885" w14:textId="77777777" w:rsidTr="00164A6F">
        <w:trPr>
          <w:trHeight w:val="355"/>
          <w:jc w:val="center"/>
        </w:trPr>
        <w:tc>
          <w:tcPr>
            <w:tcW w:w="8820" w:type="dxa"/>
            <w:tcBorders>
              <w:top w:val="nil"/>
              <w:left w:val="nil"/>
              <w:bottom w:val="nil"/>
              <w:right w:val="nil"/>
            </w:tcBorders>
            <w:shd w:val="clear" w:color="auto" w:fill="auto"/>
          </w:tcPr>
          <w:p w14:paraId="71065307" w14:textId="77777777" w:rsidR="00EE43CF" w:rsidRPr="00EE43CF" w:rsidRDefault="00EE43CF" w:rsidP="00EE43CF">
            <w:pPr>
              <w:jc w:val="center"/>
              <w:rPr>
                <w:rFonts w:ascii="David" w:hAnsi="David"/>
                <w:b/>
                <w:bCs/>
                <w:sz w:val="32"/>
                <w:szCs w:val="32"/>
                <w:u w:val="single"/>
                <w:rtl/>
              </w:rPr>
            </w:pPr>
            <w:bookmarkStart w:id="4" w:name="PsakDin" w:colFirst="0" w:colLast="0"/>
            <w:r w:rsidRPr="00EE43CF">
              <w:rPr>
                <w:rFonts w:ascii="David" w:hAnsi="David"/>
                <w:b/>
                <w:bCs/>
                <w:sz w:val="32"/>
                <w:szCs w:val="32"/>
                <w:u w:val="single"/>
                <w:rtl/>
              </w:rPr>
              <w:t>גזר דין</w:t>
            </w:r>
          </w:p>
          <w:p w14:paraId="1AAC20F1" w14:textId="77777777" w:rsidR="00164A6F" w:rsidRPr="00EE43CF" w:rsidRDefault="00164A6F" w:rsidP="00EE43CF">
            <w:pPr>
              <w:jc w:val="center"/>
              <w:rPr>
                <w:rFonts w:ascii="David" w:hAnsi="David"/>
                <w:bCs/>
                <w:sz w:val="32"/>
                <w:szCs w:val="32"/>
                <w:u w:val="single"/>
                <w:rtl/>
              </w:rPr>
            </w:pPr>
          </w:p>
        </w:tc>
      </w:tr>
      <w:bookmarkEnd w:id="4"/>
    </w:tbl>
    <w:p w14:paraId="20B45E49" w14:textId="77777777" w:rsidR="00164A6F" w:rsidRDefault="00164A6F" w:rsidP="00164A6F">
      <w:pPr>
        <w:rPr>
          <w:rFonts w:ascii="David" w:hAnsi="David"/>
          <w:sz w:val="26"/>
          <w:szCs w:val="26"/>
          <w:rtl/>
        </w:rPr>
      </w:pPr>
    </w:p>
    <w:p w14:paraId="4291D370" w14:textId="77777777" w:rsidR="00164A6F" w:rsidRDefault="00164A6F" w:rsidP="00164A6F">
      <w:pPr>
        <w:rPr>
          <w:rFonts w:ascii="David" w:hAnsi="David"/>
          <w:b/>
          <w:bCs/>
          <w:u w:val="single"/>
          <w:rtl/>
        </w:rPr>
      </w:pPr>
      <w:r w:rsidRPr="00E91604">
        <w:rPr>
          <w:rFonts w:ascii="David" w:hAnsi="David" w:hint="cs"/>
          <w:b/>
          <w:bCs/>
          <w:u w:val="single"/>
          <w:rtl/>
        </w:rPr>
        <w:t>כתב האישום וההליכים</w:t>
      </w:r>
    </w:p>
    <w:p w14:paraId="6F693D03" w14:textId="77777777" w:rsidR="00164A6F" w:rsidRDefault="00164A6F" w:rsidP="00164A6F">
      <w:pPr>
        <w:rPr>
          <w:rFonts w:ascii="David" w:hAnsi="David"/>
          <w:b/>
          <w:bCs/>
          <w:u w:val="single"/>
          <w:rtl/>
        </w:rPr>
      </w:pPr>
    </w:p>
    <w:p w14:paraId="33568750" w14:textId="77777777" w:rsidR="00164A6F" w:rsidRPr="003B3B10" w:rsidRDefault="00164A6F" w:rsidP="00164A6F">
      <w:pPr>
        <w:pStyle w:val="a9"/>
        <w:numPr>
          <w:ilvl w:val="0"/>
          <w:numId w:val="1"/>
        </w:numPr>
        <w:spacing w:line="360" w:lineRule="auto"/>
        <w:jc w:val="both"/>
        <w:rPr>
          <w:rFonts w:ascii="David" w:hAnsi="David"/>
          <w:b/>
          <w:bCs/>
          <w:u w:val="single"/>
        </w:rPr>
      </w:pPr>
      <w:bookmarkStart w:id="5" w:name="ABSTRACT_START"/>
      <w:bookmarkEnd w:id="5"/>
      <w:r w:rsidRPr="003B3B10">
        <w:rPr>
          <w:rFonts w:ascii="David" w:hAnsi="David" w:hint="cs"/>
          <w:rtl/>
        </w:rPr>
        <w:t xml:space="preserve">הנאשם הורשע על פי הודאתו בעבירה של החזקת תחמושת, לפי </w:t>
      </w:r>
      <w:hyperlink r:id="rId11" w:history="1">
        <w:r w:rsidR="006C5D6E" w:rsidRPr="006C5D6E">
          <w:rPr>
            <w:rStyle w:val="Hyperlink"/>
            <w:rFonts w:ascii="David" w:hAnsi="David" w:hint="eastAsia"/>
            <w:rtl/>
          </w:rPr>
          <w:t>סעיף</w:t>
        </w:r>
        <w:r w:rsidR="006C5D6E" w:rsidRPr="006C5D6E">
          <w:rPr>
            <w:rStyle w:val="Hyperlink"/>
            <w:rFonts w:ascii="David" w:hAnsi="David"/>
            <w:rtl/>
          </w:rPr>
          <w:t xml:space="preserve"> 144(א)</w:t>
        </w:r>
      </w:hyperlink>
      <w:r w:rsidRPr="003B3B10">
        <w:rPr>
          <w:rFonts w:ascii="David" w:hAnsi="David" w:hint="cs"/>
          <w:rtl/>
        </w:rPr>
        <w:t xml:space="preserve"> סיפא ל</w:t>
      </w:r>
      <w:hyperlink r:id="rId12" w:history="1">
        <w:r w:rsidR="00EE43CF" w:rsidRPr="00EE43CF">
          <w:rPr>
            <w:rFonts w:ascii="David" w:hAnsi="David"/>
            <w:color w:val="0000FF"/>
            <w:u w:val="single"/>
            <w:rtl/>
          </w:rPr>
          <w:t>חוק העונשין</w:t>
        </w:r>
      </w:hyperlink>
      <w:r w:rsidRPr="003B3B10">
        <w:rPr>
          <w:rFonts w:ascii="David" w:hAnsi="David" w:hint="cs"/>
          <w:rtl/>
        </w:rPr>
        <w:t xml:space="preserve">, התשל"ז- 1977 </w:t>
      </w:r>
      <w:r w:rsidRPr="003B3B10">
        <w:rPr>
          <w:rFonts w:ascii="David" w:hAnsi="David"/>
          <w:rtl/>
        </w:rPr>
        <w:t xml:space="preserve">(להלן – </w:t>
      </w:r>
      <w:r w:rsidRPr="003B3B10">
        <w:rPr>
          <w:rFonts w:ascii="Miriam" w:hAnsi="Miriam" w:cs="Miriam"/>
          <w:rtl/>
        </w:rPr>
        <w:t>חוק העונשין</w:t>
      </w:r>
      <w:r w:rsidRPr="003B3B10">
        <w:rPr>
          <w:rFonts w:ascii="David" w:hAnsi="David"/>
          <w:rtl/>
        </w:rPr>
        <w:t>).</w:t>
      </w:r>
      <w:r w:rsidRPr="003B3B10">
        <w:rPr>
          <w:rFonts w:ascii="David" w:hAnsi="David" w:hint="cs"/>
          <w:rtl/>
        </w:rPr>
        <w:t xml:space="preserve"> על פי עובדות כתב האישום, </w:t>
      </w:r>
      <w:r>
        <w:rPr>
          <w:rFonts w:ascii="David" w:hAnsi="David" w:hint="cs"/>
          <w:rtl/>
        </w:rPr>
        <w:t>ביום 23.5.21 החזיק הנאשם</w:t>
      </w:r>
      <w:r w:rsidRPr="003B3B10">
        <w:rPr>
          <w:rFonts w:ascii="David" w:hAnsi="David" w:hint="cs"/>
          <w:rtl/>
        </w:rPr>
        <w:t xml:space="preserve"> בארון חדר הילדים </w:t>
      </w:r>
      <w:r>
        <w:rPr>
          <w:rFonts w:ascii="David" w:hAnsi="David" w:hint="cs"/>
          <w:rtl/>
        </w:rPr>
        <w:t>שבביתו</w:t>
      </w:r>
      <w:r w:rsidRPr="003B3B10">
        <w:rPr>
          <w:rFonts w:ascii="David" w:hAnsi="David" w:hint="cs"/>
          <w:rtl/>
        </w:rPr>
        <w:t xml:space="preserve"> ארגז ברזל המשמש לתחמושת צה"לית ובו 720 כדורי תחמושת מסוג 5.56 מ"מ ב-24 אריזות. </w:t>
      </w:r>
      <w:bookmarkStart w:id="6" w:name="ABSTRACT_END"/>
      <w:bookmarkEnd w:id="6"/>
      <w:r w:rsidRPr="003B3B10">
        <w:rPr>
          <w:rFonts w:ascii="David" w:hAnsi="David"/>
          <w:rtl/>
        </w:rPr>
        <w:tab/>
      </w:r>
    </w:p>
    <w:p w14:paraId="1991DF35" w14:textId="77777777" w:rsidR="00164A6F" w:rsidRPr="009C6572" w:rsidRDefault="00164A6F" w:rsidP="00164A6F">
      <w:pPr>
        <w:pStyle w:val="a9"/>
        <w:rPr>
          <w:rFonts w:ascii="David" w:hAnsi="David"/>
          <w:rtl/>
        </w:rPr>
      </w:pPr>
    </w:p>
    <w:p w14:paraId="0C2CB140" w14:textId="77777777" w:rsidR="00164A6F" w:rsidRDefault="00164A6F" w:rsidP="00164A6F">
      <w:pPr>
        <w:pStyle w:val="a9"/>
        <w:numPr>
          <w:ilvl w:val="0"/>
          <w:numId w:val="1"/>
        </w:numPr>
        <w:spacing w:line="360" w:lineRule="auto"/>
        <w:jc w:val="both"/>
        <w:rPr>
          <w:rFonts w:ascii="David" w:hAnsi="David"/>
          <w:sz w:val="26"/>
          <w:szCs w:val="26"/>
        </w:rPr>
      </w:pPr>
      <w:r>
        <w:rPr>
          <w:rFonts w:ascii="David" w:hAnsi="David"/>
          <w:rtl/>
        </w:rPr>
        <w:t xml:space="preserve">לצורך השלמת התמונה אציין כי הודאתו של הנאשם באה על רקע הסדר טיעון, </w:t>
      </w:r>
      <w:r>
        <w:rPr>
          <w:rFonts w:ascii="David" w:hAnsi="David" w:hint="cs"/>
          <w:rtl/>
        </w:rPr>
        <w:t xml:space="preserve">במסגרתו הוסכם שהמאשימה תטען לעונש של 6 חודשי מאסר שניתן לשאת בעבודות שירות ואילו ההגנה תטען באופן חופשי. </w:t>
      </w:r>
      <w:r>
        <w:rPr>
          <w:rFonts w:ascii="David" w:hAnsi="David"/>
          <w:rtl/>
        </w:rPr>
        <w:t xml:space="preserve"> </w:t>
      </w:r>
    </w:p>
    <w:p w14:paraId="2998922F" w14:textId="77777777" w:rsidR="00164A6F" w:rsidRPr="00FF518A" w:rsidRDefault="00164A6F" w:rsidP="00164A6F">
      <w:pPr>
        <w:pStyle w:val="a9"/>
        <w:rPr>
          <w:rFonts w:ascii="David" w:hAnsi="David"/>
          <w:sz w:val="26"/>
          <w:szCs w:val="26"/>
          <w:rtl/>
        </w:rPr>
      </w:pPr>
    </w:p>
    <w:p w14:paraId="5D2CD5D0" w14:textId="77777777" w:rsidR="00164A6F" w:rsidRDefault="00164A6F" w:rsidP="00164A6F">
      <w:pPr>
        <w:spacing w:line="360" w:lineRule="auto"/>
        <w:jc w:val="both"/>
        <w:rPr>
          <w:rFonts w:ascii="David" w:hAnsi="David"/>
          <w:b/>
          <w:bCs/>
          <w:sz w:val="26"/>
          <w:szCs w:val="26"/>
          <w:u w:val="single"/>
          <w:rtl/>
        </w:rPr>
      </w:pPr>
      <w:r>
        <w:rPr>
          <w:rFonts w:ascii="David" w:hAnsi="David" w:hint="cs"/>
          <w:b/>
          <w:bCs/>
          <w:sz w:val="26"/>
          <w:szCs w:val="26"/>
          <w:u w:val="single"/>
          <w:rtl/>
        </w:rPr>
        <w:t>טיעוני הצדדים והראיות לעונש</w:t>
      </w:r>
    </w:p>
    <w:p w14:paraId="1C136402" w14:textId="77777777" w:rsidR="00164A6F" w:rsidRDefault="00164A6F" w:rsidP="00164A6F">
      <w:pPr>
        <w:jc w:val="both"/>
        <w:rPr>
          <w:rFonts w:ascii="David" w:hAnsi="David"/>
          <w:sz w:val="26"/>
          <w:szCs w:val="26"/>
          <w:rtl/>
        </w:rPr>
      </w:pPr>
    </w:p>
    <w:p w14:paraId="2EF0533B" w14:textId="77777777" w:rsidR="00164A6F" w:rsidRPr="00772C4E" w:rsidRDefault="00164A6F" w:rsidP="00164A6F">
      <w:pPr>
        <w:pStyle w:val="a9"/>
        <w:numPr>
          <w:ilvl w:val="0"/>
          <w:numId w:val="1"/>
        </w:numPr>
        <w:spacing w:line="360" w:lineRule="auto"/>
        <w:jc w:val="both"/>
        <w:rPr>
          <w:rFonts w:ascii="David" w:hAnsi="David"/>
        </w:rPr>
      </w:pPr>
      <w:r>
        <w:rPr>
          <w:rFonts w:ascii="David" w:hAnsi="David" w:hint="cs"/>
          <w:rtl/>
        </w:rPr>
        <w:t xml:space="preserve">ב"כ המאשימה הגיש טיעונים בכתב והשלימם על פה. המאשימה עמדה על הערכים המוגנים שנפגעו במעשי הנאשם ועל נסיבות ביצוע העבירה, לרבות כמות התחמושת המשמעותית, ועתרה למתחם ענישה הנע בין 6-18 חודשי מאסר. ביחס לעונש שיש להטיל על הנאשם הודגש הצורך </w:t>
      </w:r>
      <w:r>
        <w:rPr>
          <w:rFonts w:ascii="David" w:hAnsi="David" w:hint="cs"/>
          <w:rtl/>
        </w:rPr>
        <w:lastRenderedPageBreak/>
        <w:t>בהחמרה וב</w:t>
      </w:r>
      <w:r w:rsidRPr="00772C4E">
        <w:rPr>
          <w:rFonts w:ascii="David" w:hAnsi="David" w:hint="cs"/>
          <w:rtl/>
        </w:rPr>
        <w:t>הרתע</w:t>
      </w:r>
      <w:r>
        <w:rPr>
          <w:rFonts w:ascii="David" w:hAnsi="David" w:hint="cs"/>
          <w:rtl/>
        </w:rPr>
        <w:t>ה</w:t>
      </w:r>
      <w:r w:rsidRPr="00772C4E">
        <w:rPr>
          <w:rFonts w:ascii="David" w:hAnsi="David" w:hint="cs"/>
          <w:rtl/>
        </w:rPr>
        <w:t xml:space="preserve">. </w:t>
      </w:r>
      <w:r>
        <w:rPr>
          <w:rFonts w:ascii="David" w:hAnsi="David" w:hint="cs"/>
          <w:rtl/>
        </w:rPr>
        <w:t xml:space="preserve">עם זאת, על רקע </w:t>
      </w:r>
      <w:r w:rsidRPr="00772C4E">
        <w:rPr>
          <w:rFonts w:ascii="David" w:hAnsi="David" w:hint="cs"/>
          <w:rtl/>
        </w:rPr>
        <w:t xml:space="preserve">הסדר הטיעון </w:t>
      </w:r>
      <w:r>
        <w:rPr>
          <w:rFonts w:ascii="David" w:hAnsi="David" w:hint="cs"/>
          <w:rtl/>
        </w:rPr>
        <w:t xml:space="preserve">והעבר הנקי, </w:t>
      </w:r>
      <w:r w:rsidRPr="00772C4E">
        <w:rPr>
          <w:rFonts w:ascii="David" w:hAnsi="David" w:hint="cs"/>
          <w:rtl/>
        </w:rPr>
        <w:t>ביקש</w:t>
      </w:r>
      <w:r>
        <w:rPr>
          <w:rFonts w:ascii="David" w:hAnsi="David" w:hint="cs"/>
          <w:rtl/>
        </w:rPr>
        <w:t>ה</w:t>
      </w:r>
      <w:r w:rsidRPr="00772C4E">
        <w:rPr>
          <w:rFonts w:ascii="David" w:hAnsi="David" w:hint="cs"/>
          <w:rtl/>
        </w:rPr>
        <w:t xml:space="preserve"> המאשימה </w:t>
      </w:r>
      <w:r>
        <w:rPr>
          <w:rFonts w:ascii="David" w:hAnsi="David" w:hint="cs"/>
          <w:rtl/>
        </w:rPr>
        <w:t>להשית על הנאשם עונש של 6 חודשי מאסר בעבודות שירות,</w:t>
      </w:r>
      <w:r w:rsidRPr="00772C4E">
        <w:rPr>
          <w:rFonts w:ascii="David" w:hAnsi="David" w:hint="cs"/>
          <w:rtl/>
        </w:rPr>
        <w:t xml:space="preserve"> מאסר מותנה, קנס והתחייבות. </w:t>
      </w:r>
    </w:p>
    <w:p w14:paraId="54B5C23E" w14:textId="77777777" w:rsidR="00164A6F" w:rsidRPr="00772C4E" w:rsidRDefault="00164A6F" w:rsidP="00164A6F">
      <w:pPr>
        <w:spacing w:line="360" w:lineRule="auto"/>
        <w:jc w:val="both"/>
        <w:rPr>
          <w:rFonts w:ascii="David" w:hAnsi="David"/>
          <w:rtl/>
        </w:rPr>
      </w:pPr>
    </w:p>
    <w:p w14:paraId="5BE9AD1F" w14:textId="77777777" w:rsidR="00164A6F" w:rsidRPr="00357979" w:rsidRDefault="00164A6F" w:rsidP="00164A6F">
      <w:pPr>
        <w:pStyle w:val="a9"/>
        <w:numPr>
          <w:ilvl w:val="0"/>
          <w:numId w:val="1"/>
        </w:numPr>
        <w:spacing w:line="360" w:lineRule="auto"/>
        <w:jc w:val="both"/>
        <w:rPr>
          <w:rFonts w:ascii="David" w:hAnsi="David"/>
        </w:rPr>
      </w:pPr>
      <w:r w:rsidRPr="00772C4E">
        <w:rPr>
          <w:rFonts w:ascii="David" w:hAnsi="David" w:hint="cs"/>
          <w:rtl/>
        </w:rPr>
        <w:t xml:space="preserve">ב"כ הנאשם </w:t>
      </w:r>
      <w:r>
        <w:rPr>
          <w:rFonts w:ascii="David" w:hAnsi="David" w:hint="cs"/>
          <w:rtl/>
        </w:rPr>
        <w:t>עתר למתחם ענישה הנע בין מאסר מותנה ועד מספר חודשי מאסר שניתן לשאת בעבודות שירות. כן ציין ש</w:t>
      </w:r>
      <w:r w:rsidRPr="00357979">
        <w:rPr>
          <w:rFonts w:ascii="David" w:hAnsi="David" w:hint="cs"/>
          <w:rtl/>
        </w:rPr>
        <w:t>הנאשם הודה בהזדמנו</w:t>
      </w:r>
      <w:r>
        <w:rPr>
          <w:rFonts w:ascii="David" w:hAnsi="David" w:hint="cs"/>
          <w:rtl/>
        </w:rPr>
        <w:t>ת הראשונה ו</w:t>
      </w:r>
      <w:r w:rsidRPr="00357979">
        <w:rPr>
          <w:rFonts w:ascii="David" w:hAnsi="David" w:hint="cs"/>
          <w:rtl/>
        </w:rPr>
        <w:t xml:space="preserve">חסך זמן שיפוטי </w:t>
      </w:r>
      <w:r>
        <w:rPr>
          <w:rFonts w:ascii="David" w:hAnsi="David" w:hint="cs"/>
          <w:rtl/>
        </w:rPr>
        <w:t>יקר</w:t>
      </w:r>
      <w:r w:rsidRPr="00357979">
        <w:rPr>
          <w:rFonts w:ascii="David" w:hAnsi="David" w:hint="cs"/>
          <w:rtl/>
        </w:rPr>
        <w:t>. באשר לנסיבות האישיות נטען כי הנאשם נשוי</w:t>
      </w:r>
      <w:r>
        <w:rPr>
          <w:rFonts w:ascii="David" w:hAnsi="David" w:hint="cs"/>
          <w:rtl/>
        </w:rPr>
        <w:t>,</w:t>
      </w:r>
      <w:r w:rsidRPr="00357979">
        <w:rPr>
          <w:rFonts w:ascii="David" w:hAnsi="David" w:hint="cs"/>
          <w:rtl/>
        </w:rPr>
        <w:t xml:space="preserve"> אב לארבעה, עובד ומפרנס את משפחתו</w:t>
      </w:r>
      <w:r>
        <w:rPr>
          <w:rFonts w:ascii="David" w:hAnsi="David" w:hint="cs"/>
          <w:rtl/>
        </w:rPr>
        <w:t xml:space="preserve"> ועברו נקי. </w:t>
      </w:r>
      <w:r w:rsidRPr="00357979">
        <w:rPr>
          <w:rFonts w:ascii="David" w:hAnsi="David" w:hint="cs"/>
          <w:rtl/>
        </w:rPr>
        <w:t xml:space="preserve">לאור האמור לעיל ביקש </w:t>
      </w:r>
      <w:r>
        <w:rPr>
          <w:rFonts w:ascii="David" w:hAnsi="David" w:hint="cs"/>
          <w:rtl/>
        </w:rPr>
        <w:t>הסנגור להסתפק במא</w:t>
      </w:r>
      <w:r w:rsidRPr="00357979">
        <w:rPr>
          <w:rFonts w:ascii="David" w:hAnsi="David" w:hint="cs"/>
          <w:rtl/>
        </w:rPr>
        <w:t xml:space="preserve">סר </w:t>
      </w:r>
      <w:r>
        <w:rPr>
          <w:rFonts w:ascii="David" w:hAnsi="David" w:hint="cs"/>
          <w:rtl/>
        </w:rPr>
        <w:t>מותנה לצד ענישה נלוו</w:t>
      </w:r>
      <w:r w:rsidRPr="00357979">
        <w:rPr>
          <w:rFonts w:ascii="David" w:hAnsi="David" w:hint="cs"/>
          <w:rtl/>
        </w:rPr>
        <w:t xml:space="preserve">ת. </w:t>
      </w:r>
    </w:p>
    <w:p w14:paraId="2EA36DFB" w14:textId="77777777" w:rsidR="00164A6F" w:rsidRPr="00F9069D" w:rsidRDefault="00164A6F" w:rsidP="00164A6F">
      <w:pPr>
        <w:pStyle w:val="a9"/>
        <w:rPr>
          <w:rFonts w:ascii="David" w:hAnsi="David"/>
          <w:rtl/>
        </w:rPr>
      </w:pPr>
    </w:p>
    <w:p w14:paraId="4EBF095A" w14:textId="77777777" w:rsidR="00164A6F" w:rsidRPr="00772C4E" w:rsidRDefault="00164A6F" w:rsidP="00164A6F">
      <w:pPr>
        <w:pStyle w:val="a9"/>
        <w:numPr>
          <w:ilvl w:val="0"/>
          <w:numId w:val="1"/>
        </w:numPr>
        <w:spacing w:line="360" w:lineRule="auto"/>
        <w:jc w:val="both"/>
        <w:rPr>
          <w:rFonts w:ascii="David" w:hAnsi="David"/>
        </w:rPr>
      </w:pPr>
      <w:r w:rsidRPr="00772C4E">
        <w:rPr>
          <w:rFonts w:ascii="David" w:hAnsi="David" w:hint="cs"/>
          <w:rtl/>
        </w:rPr>
        <w:t xml:space="preserve">הנאשם בדברו האחרון הצטער על מעשיו </w:t>
      </w:r>
      <w:r>
        <w:rPr>
          <w:rFonts w:ascii="David" w:hAnsi="David" w:hint="cs"/>
          <w:rtl/>
        </w:rPr>
        <w:t xml:space="preserve">וביקש התחשבות לאור העובדה שהוא המפרנס </w:t>
      </w:r>
      <w:r w:rsidRPr="00772C4E">
        <w:rPr>
          <w:rFonts w:ascii="David" w:hAnsi="David" w:hint="cs"/>
          <w:rtl/>
        </w:rPr>
        <w:t xml:space="preserve">היחיד. </w:t>
      </w:r>
    </w:p>
    <w:p w14:paraId="11D6B35D" w14:textId="77777777" w:rsidR="00164A6F" w:rsidRPr="00B6423C" w:rsidRDefault="00164A6F" w:rsidP="00164A6F">
      <w:pPr>
        <w:pStyle w:val="a9"/>
        <w:rPr>
          <w:rFonts w:ascii="David" w:hAnsi="David"/>
          <w:rtl/>
        </w:rPr>
      </w:pPr>
    </w:p>
    <w:p w14:paraId="74ABBF50" w14:textId="77777777" w:rsidR="00164A6F" w:rsidRDefault="00164A6F" w:rsidP="00164A6F">
      <w:pPr>
        <w:spacing w:line="360" w:lineRule="auto"/>
        <w:jc w:val="both"/>
        <w:rPr>
          <w:rFonts w:ascii="David" w:hAnsi="David"/>
          <w:b/>
          <w:bCs/>
          <w:u w:val="single"/>
          <w:rtl/>
        </w:rPr>
      </w:pPr>
    </w:p>
    <w:p w14:paraId="7BD759AB" w14:textId="77777777" w:rsidR="00164A6F" w:rsidRPr="00772C4E" w:rsidRDefault="00164A6F" w:rsidP="00164A6F">
      <w:pPr>
        <w:spacing w:line="360" w:lineRule="auto"/>
        <w:jc w:val="both"/>
        <w:rPr>
          <w:rFonts w:ascii="David" w:hAnsi="David"/>
          <w:b/>
          <w:bCs/>
          <w:u w:val="single"/>
          <w:rtl/>
        </w:rPr>
      </w:pPr>
      <w:r w:rsidRPr="00772C4E">
        <w:rPr>
          <w:rFonts w:ascii="David" w:hAnsi="David" w:hint="cs"/>
          <w:b/>
          <w:bCs/>
          <w:u w:val="single"/>
          <w:rtl/>
        </w:rPr>
        <w:t>דיון והכרעה</w:t>
      </w:r>
    </w:p>
    <w:p w14:paraId="0F97EDD5" w14:textId="77777777" w:rsidR="00164A6F" w:rsidRDefault="00164A6F" w:rsidP="00164A6F">
      <w:pPr>
        <w:pStyle w:val="a9"/>
        <w:spacing w:line="360" w:lineRule="auto"/>
        <w:ind w:left="0"/>
        <w:jc w:val="both"/>
        <w:rPr>
          <w:rFonts w:ascii="David" w:hAnsi="David"/>
        </w:rPr>
      </w:pPr>
      <w:r>
        <w:rPr>
          <w:rFonts w:ascii="David" w:hAnsi="David"/>
          <w:b/>
          <w:bCs/>
          <w:color w:val="000000"/>
          <w:u w:val="single"/>
          <w:rtl/>
        </w:rPr>
        <w:t>קביעת מתחם העונש</w:t>
      </w:r>
    </w:p>
    <w:p w14:paraId="528BCFD5" w14:textId="77777777" w:rsidR="00164A6F" w:rsidRPr="00772C4E" w:rsidRDefault="00164A6F" w:rsidP="00164A6F">
      <w:pPr>
        <w:pStyle w:val="a9"/>
        <w:rPr>
          <w:rFonts w:ascii="David" w:hAnsi="David"/>
          <w:rtl/>
        </w:rPr>
      </w:pPr>
    </w:p>
    <w:p w14:paraId="58B0F4D8" w14:textId="77777777" w:rsidR="00164A6F" w:rsidRPr="00700CF6" w:rsidRDefault="00164A6F" w:rsidP="00164A6F">
      <w:pPr>
        <w:pStyle w:val="a9"/>
        <w:numPr>
          <w:ilvl w:val="0"/>
          <w:numId w:val="1"/>
        </w:numPr>
        <w:spacing w:line="360" w:lineRule="auto"/>
        <w:jc w:val="both"/>
        <w:rPr>
          <w:rFonts w:ascii="David" w:hAnsi="David"/>
        </w:rPr>
      </w:pPr>
      <w:r w:rsidRPr="00700CF6">
        <w:rPr>
          <w:rFonts w:ascii="Arial" w:hAnsi="Arial"/>
          <w:rtl/>
        </w:rPr>
        <w:t xml:space="preserve">עבירות נשק פוגעות בערך המוגן של קדושת החיים והצורך בשמירה על הסדר הציבורי. בהקשר זה </w:t>
      </w:r>
      <w:r w:rsidRPr="00700CF6">
        <w:rPr>
          <w:rFonts w:ascii="Arial" w:hAnsi="Arial" w:hint="cs"/>
          <w:rtl/>
        </w:rPr>
        <w:t>אפנה ל</w:t>
      </w:r>
      <w:hyperlink r:id="rId13" w:history="1">
        <w:r w:rsidR="00EE43CF" w:rsidRPr="00EE43CF">
          <w:rPr>
            <w:rFonts w:ascii="Arial" w:hAnsi="Arial"/>
            <w:color w:val="0000FF"/>
            <w:u w:val="single"/>
            <w:rtl/>
          </w:rPr>
          <w:t>ע"פ 309/22</w:t>
        </w:r>
      </w:hyperlink>
      <w:r w:rsidRPr="00700CF6">
        <w:rPr>
          <w:rFonts w:ascii="Arial" w:hAnsi="Arial"/>
          <w:rtl/>
        </w:rPr>
        <w:t xml:space="preserve"> </w:t>
      </w:r>
      <w:r w:rsidRPr="00700CF6">
        <w:rPr>
          <w:rFonts w:ascii="Arial" w:hAnsi="Arial"/>
          <w:b/>
          <w:bCs/>
          <w:rtl/>
        </w:rPr>
        <w:t>מדינת ישראל נ' חאמד ביאדסה</w:t>
      </w:r>
      <w:r w:rsidRPr="00700CF6">
        <w:rPr>
          <w:rFonts w:ascii="Arial" w:hAnsi="Arial"/>
          <w:rtl/>
        </w:rPr>
        <w:t xml:space="preserve"> (10.5.2022)</w:t>
      </w:r>
      <w:r>
        <w:rPr>
          <w:rFonts w:ascii="Arial" w:hAnsi="Arial" w:hint="cs"/>
          <w:rtl/>
        </w:rPr>
        <w:t>,</w:t>
      </w:r>
      <w:r w:rsidRPr="00700CF6">
        <w:rPr>
          <w:rFonts w:ascii="Arial" w:hAnsi="Arial" w:hint="cs"/>
          <w:rtl/>
        </w:rPr>
        <w:t xml:space="preserve"> בו צוין כי </w:t>
      </w:r>
      <w:r w:rsidRPr="00700CF6">
        <w:rPr>
          <w:rFonts w:ascii="Arial" w:hAnsi="Arial"/>
          <w:rtl/>
        </w:rPr>
        <w:t>"</w:t>
      </w:r>
      <w:r w:rsidRPr="00700CF6">
        <w:rPr>
          <w:rFonts w:ascii="Miriam" w:hAnsi="Miriam" w:cs="Miriam"/>
          <w:rtl/>
        </w:rPr>
        <w:t>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פעילות עבריינית או פעילות טרור".</w:t>
      </w:r>
      <w:r w:rsidRPr="00700CF6">
        <w:rPr>
          <w:rFonts w:ascii="Miriam" w:hAnsi="Miriam" w:cs="Miriam" w:hint="cs"/>
          <w:rtl/>
        </w:rPr>
        <w:t xml:space="preserve"> </w:t>
      </w:r>
      <w:r w:rsidRPr="00700CF6">
        <w:rPr>
          <w:rFonts w:ascii="David" w:hAnsi="David" w:hint="cs"/>
          <w:rtl/>
        </w:rPr>
        <w:t xml:space="preserve">בפסיקה צוין כי </w:t>
      </w:r>
      <w:r w:rsidRPr="00700CF6">
        <w:rPr>
          <w:rFonts w:ascii="Miriam" w:hAnsi="Miriam" w:cs="Miriam"/>
          <w:rtl/>
        </w:rPr>
        <w:t>"</w:t>
      </w:r>
      <w:r w:rsidRPr="00700CF6">
        <w:rPr>
          <w:rFonts w:ascii="Miriam" w:hAnsi="Miriam" w:cs="Miriam"/>
          <w:color w:val="000000"/>
          <w:rtl/>
        </w:rPr>
        <w:t>מידת החומרה מושפעת מסוג התחמושת שהוחזקה, כמותה, נסיבות החזקתה, נסיבות השגתה, המטרה לשמה הוחזקה התחמושת, זהות המחזיק בתחמושת, אורחותיו ועברו הפלילי, ועוד"</w:t>
      </w:r>
      <w:r w:rsidRPr="00700CF6">
        <w:rPr>
          <w:rFonts w:ascii="David" w:hAnsi="David" w:hint="cs"/>
          <w:color w:val="000000"/>
          <w:rtl/>
        </w:rPr>
        <w:t xml:space="preserve"> (</w:t>
      </w:r>
      <w:hyperlink r:id="rId14" w:history="1">
        <w:r w:rsidR="00EE43CF" w:rsidRPr="00EE43CF">
          <w:rPr>
            <w:rFonts w:ascii="David" w:hAnsi="David"/>
            <w:color w:val="0000FF"/>
            <w:u w:val="single"/>
            <w:rtl/>
          </w:rPr>
          <w:t>עפ"ג 9036-02-23</w:t>
        </w:r>
      </w:hyperlink>
      <w:r w:rsidRPr="00700CF6">
        <w:rPr>
          <w:rFonts w:ascii="David" w:hAnsi="David"/>
          <w:rtl/>
        </w:rPr>
        <w:t xml:space="preserve"> </w:t>
      </w:r>
      <w:r w:rsidRPr="00700CF6">
        <w:rPr>
          <w:rFonts w:ascii="David" w:hAnsi="David"/>
          <w:b/>
          <w:bCs/>
          <w:rtl/>
        </w:rPr>
        <w:t>אסולין נ' מדינת ישראל</w:t>
      </w:r>
      <w:r w:rsidRPr="00700CF6">
        <w:rPr>
          <w:rFonts w:ascii="David" w:hAnsi="David"/>
          <w:rtl/>
        </w:rPr>
        <w:t xml:space="preserve"> (15.3.</w:t>
      </w:r>
      <w:r w:rsidRPr="00700CF6">
        <w:rPr>
          <w:rFonts w:ascii="David" w:hAnsi="David" w:hint="cs"/>
          <w:rtl/>
        </w:rPr>
        <w:t>2023</w:t>
      </w:r>
      <w:r w:rsidRPr="00700CF6">
        <w:rPr>
          <w:rFonts w:ascii="David" w:hAnsi="David"/>
          <w:rtl/>
        </w:rPr>
        <w:t>)</w:t>
      </w:r>
      <w:r w:rsidRPr="00700CF6">
        <w:rPr>
          <w:rFonts w:ascii="David" w:hAnsi="David" w:hint="cs"/>
          <w:rtl/>
        </w:rPr>
        <w:t xml:space="preserve">). </w:t>
      </w:r>
      <w:r w:rsidRPr="00700CF6">
        <w:rPr>
          <w:rFonts w:ascii="David" w:hAnsi="David"/>
          <w:rtl/>
        </w:rPr>
        <w:t xml:space="preserve">במקרה זה הפגיעה בערכים </w:t>
      </w:r>
      <w:r w:rsidRPr="00700CF6">
        <w:rPr>
          <w:rFonts w:ascii="David" w:hAnsi="David" w:hint="cs"/>
          <w:rtl/>
        </w:rPr>
        <w:t xml:space="preserve">המוגנים </w:t>
      </w:r>
      <w:r w:rsidRPr="00700CF6">
        <w:rPr>
          <w:rFonts w:ascii="David" w:hAnsi="David"/>
          <w:rtl/>
        </w:rPr>
        <w:t xml:space="preserve">גבוהה יחסית וזאת לאור </w:t>
      </w:r>
      <w:r w:rsidRPr="00700CF6">
        <w:rPr>
          <w:rFonts w:ascii="David" w:hAnsi="David" w:hint="cs"/>
          <w:rtl/>
        </w:rPr>
        <w:t xml:space="preserve">סוג </w:t>
      </w:r>
      <w:r w:rsidRPr="00700CF6">
        <w:rPr>
          <w:rFonts w:ascii="David" w:hAnsi="David"/>
          <w:rtl/>
        </w:rPr>
        <w:t xml:space="preserve">התחמושת </w:t>
      </w:r>
      <w:r w:rsidRPr="00700CF6">
        <w:rPr>
          <w:rFonts w:ascii="David" w:hAnsi="David" w:hint="cs"/>
          <w:rtl/>
        </w:rPr>
        <w:t>(התואמת לנשק אוטומטי</w:t>
      </w:r>
      <w:r>
        <w:rPr>
          <w:rFonts w:ascii="David" w:hAnsi="David" w:hint="cs"/>
          <w:rtl/>
        </w:rPr>
        <w:t>, למשל</w:t>
      </w:r>
      <w:r w:rsidRPr="00700CF6">
        <w:rPr>
          <w:rFonts w:ascii="David" w:hAnsi="David" w:hint="cs"/>
          <w:rtl/>
        </w:rPr>
        <w:t xml:space="preserve"> מסוג 16-</w:t>
      </w:r>
      <w:r w:rsidRPr="00700CF6">
        <w:rPr>
          <w:rFonts w:ascii="David" w:hAnsi="David" w:hint="cs"/>
        </w:rPr>
        <w:t>M</w:t>
      </w:r>
      <w:r w:rsidRPr="00700CF6">
        <w:rPr>
          <w:rFonts w:ascii="David" w:hAnsi="David" w:hint="cs"/>
          <w:rtl/>
        </w:rPr>
        <w:t xml:space="preserve">) והכמות </w:t>
      </w:r>
      <w:r w:rsidRPr="00700CF6">
        <w:rPr>
          <w:rFonts w:ascii="David" w:hAnsi="David"/>
          <w:rtl/>
        </w:rPr>
        <w:t>המשמעותית</w:t>
      </w:r>
      <w:r w:rsidRPr="00700CF6">
        <w:rPr>
          <w:rFonts w:ascii="David" w:hAnsi="David" w:hint="cs"/>
          <w:rtl/>
        </w:rPr>
        <w:t>. כן אציין שמדובר בהחזקה במקום נגיש</w:t>
      </w:r>
      <w:r>
        <w:rPr>
          <w:rFonts w:ascii="David" w:hAnsi="David" w:hint="cs"/>
          <w:rtl/>
        </w:rPr>
        <w:t xml:space="preserve"> </w:t>
      </w:r>
      <w:r>
        <w:rPr>
          <w:rFonts w:ascii="David" w:hAnsi="David"/>
          <w:rtl/>
        </w:rPr>
        <w:t>–</w:t>
      </w:r>
      <w:r w:rsidRPr="00700CF6">
        <w:rPr>
          <w:rFonts w:ascii="David" w:hAnsi="David" w:hint="cs"/>
          <w:rtl/>
        </w:rPr>
        <w:t xml:space="preserve"> בית מגורים</w:t>
      </w:r>
      <w:r>
        <w:rPr>
          <w:rFonts w:ascii="David" w:hAnsi="David" w:hint="cs"/>
          <w:rtl/>
        </w:rPr>
        <w:t xml:space="preserve"> </w:t>
      </w:r>
      <w:r>
        <w:rPr>
          <w:rFonts w:ascii="David" w:hAnsi="David"/>
          <w:rtl/>
        </w:rPr>
        <w:t>–</w:t>
      </w:r>
      <w:r w:rsidRPr="00700CF6">
        <w:rPr>
          <w:rFonts w:ascii="David" w:hAnsi="David" w:hint="cs"/>
          <w:rtl/>
        </w:rPr>
        <w:t xml:space="preserve"> ובצד זאת יודגש שלא נמצא בבית נשק תואם, אלא תחמושת בלבד. נתון רלוונטי נוסף </w:t>
      </w:r>
      <w:r>
        <w:rPr>
          <w:rFonts w:ascii="David" w:hAnsi="David" w:hint="cs"/>
          <w:rtl/>
        </w:rPr>
        <w:t>הוא</w:t>
      </w:r>
      <w:r w:rsidRPr="00700CF6">
        <w:rPr>
          <w:rFonts w:ascii="David" w:hAnsi="David" w:hint="cs"/>
          <w:rtl/>
        </w:rPr>
        <w:t xml:space="preserve"> שהנאשם לא סיפק הסבר לסיבת ההחזקה ובוודאי שלא הוכיח ברמת ההוכחה הנדרשת נסיבה מקלה כלשהי</w:t>
      </w:r>
      <w:r>
        <w:rPr>
          <w:rFonts w:ascii="David" w:hAnsi="David" w:hint="cs"/>
          <w:rtl/>
        </w:rPr>
        <w:t xml:space="preserve"> שמקהה את המסוכנות האינהרנטית הטמונה בהחזקת נשק או תחמושת</w:t>
      </w:r>
      <w:r w:rsidRPr="00700CF6">
        <w:rPr>
          <w:rFonts w:ascii="David" w:hAnsi="David" w:hint="cs"/>
          <w:rtl/>
        </w:rPr>
        <w:t>.</w:t>
      </w:r>
      <w:r>
        <w:rPr>
          <w:rFonts w:ascii="David" w:hAnsi="David" w:hint="cs"/>
          <w:rtl/>
        </w:rPr>
        <w:t xml:space="preserve"> בעניין זה אציין שאין בדבריו בשלב הטיעונים לעונש לעמוד בדרישות להוכחת נסיבה מקלה (</w:t>
      </w:r>
      <w:hyperlink r:id="rId15" w:history="1">
        <w:r w:rsidR="00EE43CF" w:rsidRPr="00EE43CF">
          <w:rPr>
            <w:color w:val="0000FF"/>
            <w:u w:val="single"/>
            <w:rtl/>
          </w:rPr>
          <w:t>ע"פ 7349/14</w:t>
        </w:r>
      </w:hyperlink>
      <w:r>
        <w:rPr>
          <w:rtl/>
        </w:rPr>
        <w:t xml:space="preserve"> </w:t>
      </w:r>
      <w:r>
        <w:rPr>
          <w:b/>
          <w:bCs/>
          <w:rtl/>
        </w:rPr>
        <w:t xml:space="preserve">מדינת ישראל נ' פלונית </w:t>
      </w:r>
      <w:r>
        <w:rPr>
          <w:rtl/>
        </w:rPr>
        <w:t>(14.5.2015)</w:t>
      </w:r>
      <w:r>
        <w:rPr>
          <w:rFonts w:ascii="David" w:hAnsi="David" w:hint="cs"/>
          <w:rtl/>
        </w:rPr>
        <w:t xml:space="preserve">; </w:t>
      </w:r>
      <w:hyperlink r:id="rId16" w:history="1">
        <w:r w:rsidR="006C5D6E" w:rsidRPr="006C5D6E">
          <w:rPr>
            <w:rStyle w:val="Hyperlink"/>
            <w:rFonts w:ascii="David" w:hAnsi="David" w:hint="eastAsia"/>
            <w:rtl/>
          </w:rPr>
          <w:t>סעיף</w:t>
        </w:r>
        <w:r w:rsidR="006C5D6E" w:rsidRPr="006C5D6E">
          <w:rPr>
            <w:rStyle w:val="Hyperlink"/>
            <w:rFonts w:ascii="David" w:hAnsi="David"/>
            <w:rtl/>
          </w:rPr>
          <w:t xml:space="preserve"> 40י'</w:t>
        </w:r>
      </w:hyperlink>
      <w:r>
        <w:rPr>
          <w:rFonts w:ascii="David" w:hAnsi="David" w:hint="cs"/>
          <w:rtl/>
        </w:rPr>
        <w:t xml:space="preserve"> ל</w:t>
      </w:r>
      <w:hyperlink r:id="rId17" w:history="1">
        <w:r w:rsidR="00EE43CF" w:rsidRPr="00EE43CF">
          <w:rPr>
            <w:rFonts w:ascii="David" w:hAnsi="David"/>
            <w:color w:val="0000FF"/>
            <w:u w:val="single"/>
            <w:rtl/>
          </w:rPr>
          <w:t>חוק העונשין</w:t>
        </w:r>
      </w:hyperlink>
      <w:r>
        <w:rPr>
          <w:rFonts w:ascii="David" w:hAnsi="David"/>
          <w:rtl/>
        </w:rPr>
        <w:t>)</w:t>
      </w:r>
      <w:r>
        <w:rPr>
          <w:rFonts w:ascii="David" w:hAnsi="David" w:hint="cs"/>
          <w:rtl/>
        </w:rPr>
        <w:t>, כך שסיבת ההחזקה ונסיבותיה נותרו עלומות.</w:t>
      </w:r>
    </w:p>
    <w:p w14:paraId="17ADF3D7" w14:textId="77777777" w:rsidR="00164A6F" w:rsidRPr="00F86F2C" w:rsidRDefault="00164A6F" w:rsidP="00164A6F">
      <w:pPr>
        <w:pStyle w:val="a9"/>
        <w:rPr>
          <w:rFonts w:ascii="David" w:hAnsi="David"/>
          <w:rtl/>
        </w:rPr>
      </w:pPr>
    </w:p>
    <w:p w14:paraId="07702BC4" w14:textId="77777777" w:rsidR="00164A6F" w:rsidRDefault="00164A6F" w:rsidP="00164A6F">
      <w:pPr>
        <w:pStyle w:val="a9"/>
        <w:numPr>
          <w:ilvl w:val="0"/>
          <w:numId w:val="1"/>
        </w:numPr>
        <w:spacing w:line="360" w:lineRule="auto"/>
        <w:jc w:val="both"/>
        <w:rPr>
          <w:rFonts w:ascii="David" w:hAnsi="David"/>
        </w:rPr>
      </w:pPr>
      <w:r w:rsidRPr="00B6423C">
        <w:rPr>
          <w:rFonts w:ascii="Arial" w:hAnsi="Arial"/>
          <w:rtl/>
        </w:rPr>
        <w:t xml:space="preserve">מדיניות </w:t>
      </w:r>
      <w:r w:rsidRPr="00B6423C">
        <w:rPr>
          <w:rFonts w:ascii="Arial" w:hAnsi="Arial" w:hint="cs"/>
          <w:rtl/>
        </w:rPr>
        <w:t xml:space="preserve">הענישה </w:t>
      </w:r>
      <w:r w:rsidRPr="00B6423C">
        <w:rPr>
          <w:rFonts w:ascii="Arial" w:hAnsi="Arial"/>
          <w:rtl/>
        </w:rPr>
        <w:t>הנוהגת</w:t>
      </w:r>
      <w:r>
        <w:rPr>
          <w:rFonts w:ascii="Arial" w:hAnsi="Arial" w:hint="cs"/>
          <w:rtl/>
        </w:rPr>
        <w:t xml:space="preserve"> בעבירות נשק הוחמרה בשנים האחרונות</w:t>
      </w:r>
      <w:r>
        <w:rPr>
          <w:rFonts w:ascii="David" w:hAnsi="David" w:hint="cs"/>
          <w:rtl/>
        </w:rPr>
        <w:t>.</w:t>
      </w:r>
      <w:r w:rsidRPr="00772C4E">
        <w:rPr>
          <w:rFonts w:ascii="David" w:hAnsi="David"/>
          <w:rtl/>
        </w:rPr>
        <w:t xml:space="preserve"> </w:t>
      </w:r>
      <w:r w:rsidRPr="00405CCA">
        <w:rPr>
          <w:rFonts w:ascii="David" w:hAnsi="David"/>
          <w:rtl/>
        </w:rPr>
        <w:t xml:space="preserve">בית המשפט העליון קבע בשורה ארוכה של מקרים כי על בתי המשפט לתרום תרומתם בביעור עבירות הנשק וכי יש צורך בהחמרה בענישה במקרים אלו. </w:t>
      </w:r>
      <w:r>
        <w:rPr>
          <w:rFonts w:ascii="David" w:hAnsi="David" w:hint="cs"/>
          <w:rtl/>
        </w:rPr>
        <w:t xml:space="preserve">ראו: </w:t>
      </w:r>
    </w:p>
    <w:p w14:paraId="754BBB91" w14:textId="77777777" w:rsidR="00164A6F" w:rsidRPr="00454BD6" w:rsidRDefault="00164A6F" w:rsidP="00164A6F">
      <w:pPr>
        <w:pStyle w:val="a9"/>
        <w:rPr>
          <w:rFonts w:ascii="David" w:hAnsi="David"/>
          <w:rtl/>
        </w:rPr>
      </w:pPr>
    </w:p>
    <w:p w14:paraId="7567A0CF" w14:textId="77777777" w:rsidR="00164A6F" w:rsidRPr="00405CCA" w:rsidRDefault="00164A6F" w:rsidP="00164A6F">
      <w:pPr>
        <w:pStyle w:val="a9"/>
        <w:ind w:left="1134" w:right="709"/>
        <w:jc w:val="both"/>
        <w:rPr>
          <w:rFonts w:ascii="David" w:hAnsi="David"/>
        </w:rPr>
      </w:pPr>
      <w:r>
        <w:rPr>
          <w:rFonts w:ascii="Miriam" w:hAnsi="Miriam" w:cs="Miriam"/>
          <w:rtl/>
        </w:rPr>
        <w:t>"אין צורך להכביר במילים על אודות החומרה הנלווית לעבירות נשק. אין היום חולקין כי עבירות מסוג זה הפכו ל</w:t>
      </w:r>
      <w:r>
        <w:rPr>
          <w:rFonts w:ascii="Miriam" w:hAnsi="Miriam" w:cs="Miriam" w:hint="cs"/>
          <w:rtl/>
        </w:rPr>
        <w:t>'</w:t>
      </w:r>
      <w:r>
        <w:rPr>
          <w:rFonts w:ascii="Miriam" w:hAnsi="Miriam" w:cs="Miriam"/>
          <w:rtl/>
        </w:rPr>
        <w:t>מכת מדינה</w:t>
      </w:r>
      <w:r>
        <w:rPr>
          <w:rFonts w:ascii="Miriam" w:hAnsi="Miriam" w:cs="Miriam" w:hint="cs"/>
          <w:rtl/>
        </w:rPr>
        <w:t>'</w:t>
      </w:r>
      <w:r>
        <w:rPr>
          <w:rFonts w:ascii="Miriam" w:hAnsi="Miriam" w:cs="Miriam"/>
          <w:rtl/>
        </w:rPr>
        <w:t xml:space="preserve"> של ממש...מכה </w:t>
      </w:r>
      <w:r>
        <w:rPr>
          <w:rFonts w:ascii="Miriam" w:hAnsi="Miriam" w:cs="Miriam"/>
          <w:rtl/>
        </w:rPr>
        <w:lastRenderedPageBreak/>
        <w:t>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8" w:history="1">
        <w:r w:rsidR="00EE43CF" w:rsidRPr="00EE43CF">
          <w:rPr>
            <w:rFonts w:ascii="Miriam" w:hAnsi="Miriam" w:cs="Miriam"/>
            <w:color w:val="0000FF"/>
            <w:u w:val="single"/>
            <w:rtl/>
          </w:rPr>
          <w:t>חוק העונשין</w:t>
        </w:r>
      </w:hyperlink>
      <w:r>
        <w:rPr>
          <w:rFonts w:ascii="Miriam" w:hAnsi="Miriam" w:cs="Miriam"/>
          <w:rtl/>
        </w:rPr>
        <w:t xml:space="preserve"> (חוק העונשין (תיקון מס' 140 – הוראת שעה), התשפ"ב-2021) – שלא חל בענייננו – הקובע עונשי מינימום לעבירות נשק" </w:t>
      </w:r>
      <w:r>
        <w:rPr>
          <w:rFonts w:ascii="David" w:hAnsi="David"/>
          <w:rtl/>
        </w:rPr>
        <w:t>(</w:t>
      </w:r>
      <w:hyperlink r:id="rId19" w:history="1">
        <w:r w:rsidR="00EE43CF" w:rsidRPr="00EE43CF">
          <w:rPr>
            <w:rFonts w:ascii="David" w:hAnsi="David"/>
            <w:color w:val="0000FF"/>
            <w:u w:val="single"/>
            <w:rtl/>
          </w:rPr>
          <w:t>ע"פ 2251/21</w:t>
        </w:r>
      </w:hyperlink>
      <w:r>
        <w:rPr>
          <w:rFonts w:ascii="David" w:hAnsi="David"/>
          <w:color w:val="000000"/>
          <w:rtl/>
        </w:rPr>
        <w:t xml:space="preserve"> ‏</w:t>
      </w:r>
      <w:r>
        <w:rPr>
          <w:rFonts w:ascii="David" w:hAnsi="David"/>
          <w:b/>
          <w:bCs/>
          <w:color w:val="000000"/>
          <w:rtl/>
        </w:rPr>
        <w:t>אנואר אבו עראר נ' מדינת ישראל</w:t>
      </w:r>
      <w:r>
        <w:rPr>
          <w:rFonts w:ascii="David" w:hAnsi="David"/>
          <w:rtl/>
        </w:rPr>
        <w:t xml:space="preserve"> (15.12.2021); ראו גם </w:t>
      </w:r>
      <w:hyperlink r:id="rId20" w:history="1">
        <w:r w:rsidR="00EE43CF" w:rsidRPr="00EE43CF">
          <w:rPr>
            <w:rFonts w:ascii="David" w:hAnsi="David"/>
            <w:color w:val="0000FF"/>
            <w:u w:val="single"/>
            <w:rtl/>
          </w:rPr>
          <w:t>ע"פ 4456/21</w:t>
        </w:r>
      </w:hyperlink>
      <w:r>
        <w:rPr>
          <w:rFonts w:ascii="David" w:hAnsi="David"/>
          <w:rtl/>
        </w:rPr>
        <w:t xml:space="preserve"> ‏</w:t>
      </w:r>
      <w:r>
        <w:rPr>
          <w:rFonts w:ascii="David" w:hAnsi="David"/>
          <w:b/>
          <w:bCs/>
          <w:rtl/>
        </w:rPr>
        <w:t>מדינת ישראל נ' מוחמד אבו עבסה</w:t>
      </w:r>
      <w:r>
        <w:rPr>
          <w:rFonts w:ascii="David" w:hAnsi="David"/>
          <w:rtl/>
        </w:rPr>
        <w:t>, פסקה 15 (23.1.2022)</w:t>
      </w:r>
      <w:r>
        <w:rPr>
          <w:rFonts w:ascii="David" w:hAnsi="David" w:hint="cs"/>
          <w:rtl/>
        </w:rPr>
        <w:t xml:space="preserve">; </w:t>
      </w:r>
      <w:hyperlink r:id="rId21" w:history="1">
        <w:r w:rsidR="00EE43CF" w:rsidRPr="00EE43CF">
          <w:rPr>
            <w:rFonts w:ascii="David" w:hAnsi="David"/>
            <w:color w:val="0000FF"/>
            <w:u w:val="single"/>
            <w:rtl/>
          </w:rPr>
          <w:t>רע"פ 3619/21</w:t>
        </w:r>
      </w:hyperlink>
      <w:r w:rsidRPr="00405CCA">
        <w:rPr>
          <w:rFonts w:ascii="David" w:hAnsi="David"/>
          <w:rtl/>
        </w:rPr>
        <w:t xml:space="preserve"> </w:t>
      </w:r>
      <w:r w:rsidRPr="00405CCA">
        <w:rPr>
          <w:rFonts w:ascii="David" w:hAnsi="David"/>
          <w:b/>
          <w:bCs/>
          <w:rtl/>
        </w:rPr>
        <w:t>אבו הלאל נ' מדינת ישראל</w:t>
      </w:r>
      <w:r w:rsidRPr="00405CCA">
        <w:rPr>
          <w:rFonts w:ascii="David" w:hAnsi="David"/>
          <w:rtl/>
        </w:rPr>
        <w:t xml:space="preserve"> (26.5.</w:t>
      </w:r>
      <w:r>
        <w:rPr>
          <w:rFonts w:ascii="David" w:hAnsi="David" w:hint="cs"/>
          <w:rtl/>
        </w:rPr>
        <w:t>20</w:t>
      </w:r>
      <w:r>
        <w:rPr>
          <w:rFonts w:ascii="David" w:hAnsi="David"/>
          <w:rtl/>
        </w:rPr>
        <w:t>21)</w:t>
      </w:r>
      <w:r>
        <w:rPr>
          <w:rFonts w:ascii="David" w:hAnsi="David" w:hint="cs"/>
          <w:rtl/>
        </w:rPr>
        <w:t>).</w:t>
      </w:r>
    </w:p>
    <w:p w14:paraId="23911E36" w14:textId="77777777" w:rsidR="00164A6F" w:rsidRDefault="00164A6F" w:rsidP="00164A6F">
      <w:pPr>
        <w:jc w:val="both"/>
        <w:rPr>
          <w:rFonts w:ascii="Miriam" w:hAnsi="Miriam" w:cs="Miriam"/>
          <w:rtl/>
        </w:rPr>
      </w:pPr>
    </w:p>
    <w:p w14:paraId="1140BE95" w14:textId="77777777" w:rsidR="00164A6F" w:rsidRDefault="00164A6F" w:rsidP="00164A6F">
      <w:pPr>
        <w:pStyle w:val="a9"/>
        <w:numPr>
          <w:ilvl w:val="0"/>
          <w:numId w:val="1"/>
        </w:numPr>
        <w:spacing w:line="360" w:lineRule="auto"/>
        <w:jc w:val="both"/>
        <w:rPr>
          <w:rFonts w:ascii="David" w:hAnsi="David"/>
        </w:rPr>
      </w:pPr>
      <w:r>
        <w:rPr>
          <w:rFonts w:ascii="David" w:hAnsi="David" w:hint="cs"/>
          <w:rtl/>
        </w:rPr>
        <w:t xml:space="preserve">אכן, במקרה זה מדובר בתחמושת לנשק ולא בנשק, ואולם אין בכך ללמד כי לא מדובר בעבירה בעלת חומרה ומובן שאותו רציונל המלמד על החומרה בהחזקת נשק חל גם ביחס להחזקת תחמושת לנשק, לא כל שכן בכמות משמעותית, שהרי </w:t>
      </w:r>
      <w:r w:rsidRPr="00454BD6">
        <w:rPr>
          <w:rFonts w:ascii="Miriam" w:hAnsi="Miriam" w:cs="Miriam"/>
          <w:rtl/>
        </w:rPr>
        <w:t xml:space="preserve">"טבעם של דברים הוא, כי התחמושת היא בבחינת 'תנאי בלעדיו אין' לביצוע ירי, ובסופו של יום, נשקים ותחמושת שהושגו שלא כדין מובילים לפגיעה בחיי אדם ולא פעם בקורבנות תמימים" </w:t>
      </w:r>
      <w:r w:rsidRPr="00454BD6">
        <w:rPr>
          <w:rFonts w:ascii="David" w:hAnsi="David" w:hint="cs"/>
          <w:rtl/>
        </w:rPr>
        <w:t>(</w:t>
      </w:r>
      <w:hyperlink r:id="rId22" w:history="1">
        <w:r w:rsidR="00EE43CF" w:rsidRPr="00EE43CF">
          <w:rPr>
            <w:rFonts w:ascii="David" w:hAnsi="David"/>
            <w:color w:val="0000FF"/>
            <w:u w:val="single"/>
            <w:rtl/>
          </w:rPr>
          <w:t>ע"פ 587/22</w:t>
        </w:r>
      </w:hyperlink>
      <w:r>
        <w:rPr>
          <w:rFonts w:ascii="David" w:hAnsi="David" w:hint="cs"/>
          <w:rtl/>
        </w:rPr>
        <w:t xml:space="preserve"> </w:t>
      </w:r>
      <w:r w:rsidRPr="00170A79">
        <w:rPr>
          <w:b/>
          <w:bCs/>
          <w:rtl/>
        </w:rPr>
        <w:t>עדאב אבו נאעסה</w:t>
      </w:r>
      <w:r w:rsidRPr="00170A79">
        <w:rPr>
          <w:rFonts w:hint="cs"/>
          <w:b/>
          <w:bCs/>
          <w:rtl/>
        </w:rPr>
        <w:t xml:space="preserve"> נ' מדינת ישראל</w:t>
      </w:r>
      <w:r>
        <w:rPr>
          <w:rFonts w:hint="cs"/>
          <w:rtl/>
        </w:rPr>
        <w:t xml:space="preserve"> (22.5.2022))</w:t>
      </w:r>
      <w:r>
        <w:rPr>
          <w:rFonts w:ascii="David" w:hAnsi="David" w:hint="cs"/>
          <w:rtl/>
        </w:rPr>
        <w:t xml:space="preserve">. </w:t>
      </w:r>
    </w:p>
    <w:p w14:paraId="7BDC201C" w14:textId="77777777" w:rsidR="00164A6F" w:rsidRDefault="00164A6F" w:rsidP="00164A6F">
      <w:pPr>
        <w:pStyle w:val="a9"/>
        <w:ind w:left="0"/>
        <w:jc w:val="both"/>
        <w:rPr>
          <w:rFonts w:ascii="David" w:hAnsi="David"/>
        </w:rPr>
      </w:pPr>
    </w:p>
    <w:p w14:paraId="46C8C509" w14:textId="77777777" w:rsidR="00164A6F" w:rsidRDefault="00164A6F" w:rsidP="00164A6F">
      <w:pPr>
        <w:pStyle w:val="a9"/>
        <w:numPr>
          <w:ilvl w:val="0"/>
          <w:numId w:val="1"/>
        </w:numPr>
        <w:spacing w:line="360" w:lineRule="auto"/>
        <w:jc w:val="both"/>
        <w:rPr>
          <w:rFonts w:ascii="David" w:hAnsi="David"/>
        </w:rPr>
      </w:pPr>
      <w:r>
        <w:rPr>
          <w:rFonts w:ascii="David" w:hAnsi="David" w:hint="cs"/>
          <w:rtl/>
        </w:rPr>
        <w:t xml:space="preserve">לצורך בחינת מדיניות הענישה בעבירות דומות אפנה לפסקי הדין הבאים: </w:t>
      </w:r>
    </w:p>
    <w:p w14:paraId="1F3BD5A5" w14:textId="77777777" w:rsidR="00164A6F" w:rsidRPr="00161E19" w:rsidRDefault="00164A6F" w:rsidP="00164A6F">
      <w:pPr>
        <w:spacing w:line="360" w:lineRule="auto"/>
        <w:jc w:val="both"/>
        <w:rPr>
          <w:rtl/>
        </w:rPr>
      </w:pPr>
    </w:p>
    <w:p w14:paraId="557FD995" w14:textId="77777777" w:rsidR="00164A6F" w:rsidRDefault="00164A6F" w:rsidP="00164A6F">
      <w:pPr>
        <w:spacing w:line="360" w:lineRule="auto"/>
        <w:ind w:left="720"/>
        <w:jc w:val="both"/>
        <w:rPr>
          <w:rtl/>
        </w:rPr>
      </w:pPr>
      <w:r>
        <w:rPr>
          <w:rFonts w:hint="cs"/>
          <w:rtl/>
        </w:rPr>
        <w:t>(-)</w:t>
      </w:r>
      <w:r>
        <w:rPr>
          <w:rtl/>
        </w:rPr>
        <w:tab/>
      </w:r>
      <w:hyperlink r:id="rId23" w:history="1">
        <w:r w:rsidR="00EE43CF" w:rsidRPr="00EE43CF">
          <w:rPr>
            <w:rFonts w:ascii="David" w:hAnsi="David"/>
            <w:color w:val="0000FF"/>
            <w:u w:val="single"/>
            <w:rtl/>
          </w:rPr>
          <w:t>עפ"ג 9036-02-23</w:t>
        </w:r>
      </w:hyperlink>
      <w:r w:rsidRPr="001069EB">
        <w:rPr>
          <w:rFonts w:ascii="David" w:hAnsi="David"/>
          <w:rtl/>
        </w:rPr>
        <w:t xml:space="preserve"> </w:t>
      </w:r>
      <w:r w:rsidRPr="001069EB">
        <w:rPr>
          <w:rFonts w:ascii="David" w:hAnsi="David"/>
          <w:b/>
          <w:bCs/>
          <w:rtl/>
        </w:rPr>
        <w:t>אסולין נ' מדינת ישראל</w:t>
      </w:r>
      <w:r w:rsidRPr="001069EB">
        <w:rPr>
          <w:rFonts w:ascii="David" w:hAnsi="David"/>
          <w:rtl/>
        </w:rPr>
        <w:t xml:space="preserve"> (15.3.</w:t>
      </w:r>
      <w:r>
        <w:rPr>
          <w:rFonts w:ascii="David" w:hAnsi="David" w:hint="cs"/>
          <w:rtl/>
        </w:rPr>
        <w:t>2023</w:t>
      </w:r>
      <w:r w:rsidRPr="001069EB">
        <w:rPr>
          <w:rFonts w:ascii="David" w:hAnsi="David"/>
          <w:rtl/>
        </w:rPr>
        <w:t xml:space="preserve">) </w:t>
      </w:r>
      <w:r>
        <w:rPr>
          <w:rFonts w:ascii="David" w:hAnsi="David" w:hint="cs"/>
          <w:rtl/>
        </w:rPr>
        <w:t>בו</w:t>
      </w:r>
      <w:r w:rsidRPr="001069EB">
        <w:rPr>
          <w:rFonts w:ascii="David" w:hAnsi="David"/>
          <w:rtl/>
        </w:rPr>
        <w:t xml:space="preserve"> התקבל ערעור נאשם על חומרת עונשו והוטל עליו מאסר על תנאי, תחת עונש של 3 חודשי מאסר בעבודות שירות. </w:t>
      </w:r>
      <w:r>
        <w:rPr>
          <w:rFonts w:ascii="David" w:hAnsi="David" w:hint="cs"/>
          <w:rtl/>
        </w:rPr>
        <w:t>במקרה זה מ</w:t>
      </w:r>
      <w:r w:rsidRPr="001069EB">
        <w:rPr>
          <w:rFonts w:ascii="David" w:hAnsi="David"/>
          <w:rtl/>
        </w:rPr>
        <w:t xml:space="preserve">דובר </w:t>
      </w:r>
      <w:r>
        <w:rPr>
          <w:rFonts w:ascii="David" w:hAnsi="David" w:hint="cs"/>
          <w:rtl/>
        </w:rPr>
        <w:t xml:space="preserve">היה </w:t>
      </w:r>
      <w:r w:rsidRPr="001069EB">
        <w:rPr>
          <w:rFonts w:ascii="David" w:hAnsi="David"/>
          <w:rtl/>
        </w:rPr>
        <w:t xml:space="preserve">בנאשם שהורשע בהחזקת </w:t>
      </w:r>
      <w:r>
        <w:rPr>
          <w:rFonts w:ascii="David" w:hAnsi="David" w:hint="cs"/>
          <w:rtl/>
        </w:rPr>
        <w:t xml:space="preserve">120 </w:t>
      </w:r>
      <w:r>
        <w:rPr>
          <w:rFonts w:ascii="David" w:hAnsi="David"/>
          <w:rtl/>
        </w:rPr>
        <w:t>כדורי 5.56 מ"מ</w:t>
      </w:r>
      <w:r>
        <w:rPr>
          <w:rFonts w:ascii="David" w:hAnsi="David" w:hint="cs"/>
          <w:rtl/>
        </w:rPr>
        <w:t xml:space="preserve">. בית המשפט המחוזי הביא בחשבון כי הסברו של הנאשם </w:t>
      </w:r>
      <w:r>
        <w:rPr>
          <w:rFonts w:hint="cs"/>
          <w:rtl/>
        </w:rPr>
        <w:t xml:space="preserve">כי מצא את הכדורים במטווח לפני שנים רבות לא נבדק. כן ציין שלפי נתוניו </w:t>
      </w:r>
      <w:r w:rsidRPr="005F089A">
        <w:rPr>
          <w:rFonts w:ascii="Miriam" w:hAnsi="Miriam" w:cs="Miriam"/>
          <w:rtl/>
        </w:rPr>
        <w:t>"</w:t>
      </w:r>
      <w:r w:rsidRPr="005F089A">
        <w:rPr>
          <w:rFonts w:ascii="Miriam" w:hAnsi="Miriam" w:cs="Miriam"/>
          <w:color w:val="000000"/>
          <w:rtl/>
        </w:rPr>
        <w:t>יש בסיס להנחה שהחזקת התחמושת על ידי המערער לא היתה למטרה עבריינית</w:t>
      </w:r>
      <w:r w:rsidRPr="005F089A">
        <w:rPr>
          <w:rFonts w:ascii="Miriam" w:hAnsi="Miriam" w:cs="Miriam"/>
          <w:rtl/>
        </w:rPr>
        <w:t>"</w:t>
      </w:r>
      <w:r>
        <w:rPr>
          <w:rFonts w:hint="cs"/>
          <w:rtl/>
        </w:rPr>
        <w:t>.</w:t>
      </w:r>
    </w:p>
    <w:p w14:paraId="24CAFD46" w14:textId="77777777" w:rsidR="00164A6F" w:rsidRDefault="00164A6F" w:rsidP="00164A6F">
      <w:pPr>
        <w:jc w:val="both"/>
        <w:rPr>
          <w:rtl/>
        </w:rPr>
      </w:pPr>
    </w:p>
    <w:p w14:paraId="1A633F99" w14:textId="77777777" w:rsidR="00164A6F" w:rsidRDefault="00164A6F" w:rsidP="00164A6F">
      <w:pPr>
        <w:spacing w:line="360" w:lineRule="auto"/>
        <w:ind w:left="720"/>
        <w:jc w:val="both"/>
        <w:rPr>
          <w:rFonts w:ascii="David" w:hAnsi="David"/>
          <w:rtl/>
        </w:rPr>
      </w:pPr>
      <w:r>
        <w:rPr>
          <w:rFonts w:ascii="David" w:hAnsi="David" w:hint="cs"/>
          <w:rtl/>
        </w:rPr>
        <w:t>(-)</w:t>
      </w:r>
      <w:r>
        <w:rPr>
          <w:rFonts w:ascii="David" w:hAnsi="David"/>
          <w:rtl/>
        </w:rPr>
        <w:tab/>
      </w:r>
      <w:hyperlink r:id="rId24" w:history="1">
        <w:r w:rsidR="00EE43CF" w:rsidRPr="00EE43CF">
          <w:rPr>
            <w:rFonts w:ascii="David" w:hAnsi="David"/>
            <w:color w:val="0000FF"/>
            <w:u w:val="single"/>
            <w:rtl/>
          </w:rPr>
          <w:t>ת"פ 66124-12-19</w:t>
        </w:r>
      </w:hyperlink>
      <w:r w:rsidRPr="00CA58EF">
        <w:rPr>
          <w:rFonts w:ascii="David" w:hAnsi="David" w:hint="cs"/>
          <w:rtl/>
        </w:rPr>
        <w:t xml:space="preserve"> </w:t>
      </w:r>
      <w:r w:rsidRPr="00CA58EF">
        <w:rPr>
          <w:rFonts w:ascii="David" w:hAnsi="David" w:hint="cs"/>
          <w:b/>
          <w:bCs/>
          <w:rtl/>
        </w:rPr>
        <w:t>מדינת ישראל נ' רביע</w:t>
      </w:r>
      <w:r w:rsidRPr="00CA58EF">
        <w:rPr>
          <w:rFonts w:ascii="David" w:hAnsi="David" w:hint="cs"/>
          <w:rtl/>
        </w:rPr>
        <w:t xml:space="preserve"> (27.07.2022), </w:t>
      </w:r>
      <w:r>
        <w:rPr>
          <w:rFonts w:ascii="David" w:hAnsi="David" w:hint="cs"/>
          <w:rtl/>
        </w:rPr>
        <w:t xml:space="preserve">בו </w:t>
      </w:r>
      <w:r w:rsidRPr="00CA58EF">
        <w:rPr>
          <w:rFonts w:ascii="David" w:hAnsi="David" w:hint="cs"/>
          <w:rtl/>
        </w:rPr>
        <w:t xml:space="preserve">הורשע נאשם בעבירת החזקת תחמושת בכך </w:t>
      </w:r>
      <w:r>
        <w:rPr>
          <w:rFonts w:ascii="David" w:hAnsi="David" w:hint="cs"/>
          <w:rtl/>
        </w:rPr>
        <w:t xml:space="preserve">שהחזיק </w:t>
      </w:r>
      <w:r w:rsidRPr="00CA58EF">
        <w:rPr>
          <w:rFonts w:ascii="David" w:hAnsi="David" w:hint="cs"/>
          <w:rtl/>
        </w:rPr>
        <w:t>בביתו 1183 כדורים בקוטר 5.56, 91 כדורים בקוטר 7.62 מ"מ, 47 תחמישים, 51 תרמילים וכן כדור צ</w:t>
      </w:r>
      <w:r>
        <w:rPr>
          <w:rFonts w:ascii="David" w:hAnsi="David" w:hint="cs"/>
          <w:rtl/>
        </w:rPr>
        <w:t>י</w:t>
      </w:r>
      <w:r w:rsidRPr="00CA58EF">
        <w:rPr>
          <w:rFonts w:ascii="David" w:hAnsi="David" w:hint="cs"/>
          <w:rtl/>
        </w:rPr>
        <w:t xml:space="preserve">יד אחד. בית המשפט קבע מתחם ענישה </w:t>
      </w:r>
      <w:r>
        <w:rPr>
          <w:rFonts w:ascii="David" w:hAnsi="David" w:hint="cs"/>
          <w:rtl/>
        </w:rPr>
        <w:t>ה</w:t>
      </w:r>
      <w:r w:rsidRPr="00CA58EF">
        <w:rPr>
          <w:rFonts w:ascii="David" w:hAnsi="David" w:hint="cs"/>
          <w:rtl/>
        </w:rPr>
        <w:t>נע בין תקופת מאסר קצרה לריצוי בעבודות שירות ועד 15 חודשי מאסר וגזר על הנאשם 5 חודשי מאסר בפועל</w:t>
      </w:r>
      <w:r>
        <w:rPr>
          <w:rFonts w:ascii="David" w:hAnsi="David" w:hint="cs"/>
          <w:rtl/>
        </w:rPr>
        <w:t xml:space="preserve">. </w:t>
      </w:r>
    </w:p>
    <w:p w14:paraId="6C8B89E6" w14:textId="77777777" w:rsidR="00164A6F" w:rsidRDefault="00164A6F" w:rsidP="00164A6F">
      <w:pPr>
        <w:ind w:left="720"/>
        <w:jc w:val="both"/>
        <w:rPr>
          <w:rtl/>
        </w:rPr>
      </w:pPr>
    </w:p>
    <w:p w14:paraId="40363B09" w14:textId="77777777" w:rsidR="00164A6F" w:rsidRDefault="00164A6F" w:rsidP="00164A6F">
      <w:pPr>
        <w:spacing w:line="360" w:lineRule="auto"/>
        <w:ind w:left="720"/>
        <w:jc w:val="both"/>
        <w:rPr>
          <w:rtl/>
        </w:rPr>
      </w:pPr>
      <w:r>
        <w:rPr>
          <w:rFonts w:hint="cs"/>
          <w:rtl/>
        </w:rPr>
        <w:t>(-)</w:t>
      </w:r>
      <w:r>
        <w:rPr>
          <w:rtl/>
        </w:rPr>
        <w:tab/>
      </w:r>
      <w:hyperlink r:id="rId25" w:history="1">
        <w:r w:rsidR="00EE43CF" w:rsidRPr="00EE43CF">
          <w:rPr>
            <w:rFonts w:ascii="David" w:hAnsi="David"/>
            <w:color w:val="0000FF"/>
            <w:u w:val="single"/>
            <w:rtl/>
          </w:rPr>
          <w:t>ת"פ 41041-07-21</w:t>
        </w:r>
      </w:hyperlink>
      <w:r w:rsidR="00EE43CF">
        <w:rPr>
          <w:rFonts w:ascii="David" w:hAnsi="David"/>
          <w:rtl/>
        </w:rPr>
        <w:t xml:space="preserve"> </w:t>
      </w:r>
      <w:r w:rsidRPr="00972481">
        <w:rPr>
          <w:rFonts w:ascii="David" w:hAnsi="David"/>
          <w:rtl/>
        </w:rPr>
        <w:t xml:space="preserve"> </w:t>
      </w:r>
      <w:r w:rsidRPr="00972481">
        <w:rPr>
          <w:rFonts w:ascii="David" w:hAnsi="David"/>
          <w:b/>
          <w:bCs/>
          <w:rtl/>
        </w:rPr>
        <w:t>מדינת ישראל נ' גאזי אמארה</w:t>
      </w:r>
      <w:r>
        <w:rPr>
          <w:rFonts w:ascii="David" w:hAnsi="David" w:hint="cs"/>
          <w:rtl/>
        </w:rPr>
        <w:t xml:space="preserve"> (9.2.2022), </w:t>
      </w:r>
      <w:r>
        <w:rPr>
          <w:rFonts w:hint="cs"/>
          <w:rtl/>
        </w:rPr>
        <w:t xml:space="preserve">בו הורשע נאשם בעבירות של נשיאת תחמושת, קבלת נכס שהושג בפשע, קשירת קשר לביצוע פשע ונהיגה ללא רישיון. במקרה זה קשר הנאשם קשר עם חייל שימסור לו תחמושת צהלית. החייל עשה כן ובביתו של הנאשם נמצאו 4,957 כדורים מסוגים שונים. נקבע מתחם ענישה של 10-30 חודשי מאסר והוטלו על הנאשם 12 חודשי מאסר. יצוין כי העונש על נשיאת תחמושת זהה לעונש על החזקתו. </w:t>
      </w:r>
    </w:p>
    <w:p w14:paraId="7B83931F" w14:textId="77777777" w:rsidR="00164A6F" w:rsidRDefault="00164A6F" w:rsidP="00164A6F">
      <w:pPr>
        <w:ind w:left="720"/>
        <w:jc w:val="both"/>
        <w:rPr>
          <w:rtl/>
        </w:rPr>
      </w:pPr>
    </w:p>
    <w:p w14:paraId="01AFF7B7" w14:textId="77777777" w:rsidR="00164A6F" w:rsidRDefault="00164A6F" w:rsidP="00164A6F">
      <w:pPr>
        <w:spacing w:line="360" w:lineRule="auto"/>
        <w:ind w:left="720"/>
        <w:jc w:val="both"/>
        <w:rPr>
          <w:rtl/>
        </w:rPr>
      </w:pPr>
      <w:r>
        <w:rPr>
          <w:rFonts w:hint="cs"/>
          <w:rtl/>
        </w:rPr>
        <w:t>(-)</w:t>
      </w:r>
      <w:r>
        <w:rPr>
          <w:rtl/>
        </w:rPr>
        <w:tab/>
      </w:r>
      <w:hyperlink r:id="rId26" w:history="1">
        <w:r w:rsidR="00EE43CF" w:rsidRPr="00EE43CF">
          <w:rPr>
            <w:color w:val="0000FF"/>
            <w:u w:val="single"/>
            <w:rtl/>
          </w:rPr>
          <w:t>ת"פ 67410-12-21</w:t>
        </w:r>
      </w:hyperlink>
      <w:r>
        <w:rPr>
          <w:rFonts w:hint="cs"/>
          <w:rtl/>
        </w:rPr>
        <w:t xml:space="preserve"> </w:t>
      </w:r>
      <w:r w:rsidRPr="00C300A1">
        <w:rPr>
          <w:rFonts w:hint="cs"/>
          <w:b/>
          <w:bCs/>
          <w:rtl/>
        </w:rPr>
        <w:t>מדינת ישראל נ' סובחי אמארה</w:t>
      </w:r>
      <w:r>
        <w:rPr>
          <w:rFonts w:hint="cs"/>
          <w:rtl/>
        </w:rPr>
        <w:t xml:space="preserve"> (15.5.2022), בו הוטלו על נאשם נעדר עבר פלילי 12 חודשי מאסר בגין נשיאת 19 קופסאות תחמושת ובהן 960 קליעים. </w:t>
      </w:r>
    </w:p>
    <w:p w14:paraId="56BEC6E0" w14:textId="77777777" w:rsidR="00164A6F" w:rsidRDefault="00164A6F" w:rsidP="00164A6F">
      <w:pPr>
        <w:spacing w:line="360" w:lineRule="auto"/>
        <w:ind w:left="720"/>
        <w:jc w:val="both"/>
        <w:rPr>
          <w:rtl/>
        </w:rPr>
      </w:pPr>
    </w:p>
    <w:p w14:paraId="6FE05D56" w14:textId="77777777" w:rsidR="00164A6F" w:rsidRDefault="00164A6F" w:rsidP="00164A6F">
      <w:pPr>
        <w:spacing w:line="360" w:lineRule="auto"/>
        <w:ind w:left="720"/>
        <w:jc w:val="both"/>
        <w:rPr>
          <w:rtl/>
        </w:rPr>
      </w:pPr>
      <w:r>
        <w:rPr>
          <w:rFonts w:hint="cs"/>
          <w:rtl/>
        </w:rPr>
        <w:t>(-)</w:t>
      </w:r>
      <w:r>
        <w:rPr>
          <w:rtl/>
        </w:rPr>
        <w:tab/>
      </w:r>
      <w:hyperlink r:id="rId27" w:history="1">
        <w:r w:rsidR="00EE43CF" w:rsidRPr="00EE43CF">
          <w:rPr>
            <w:color w:val="0000FF"/>
            <w:u w:val="single"/>
            <w:rtl/>
          </w:rPr>
          <w:t>ת"פ 10380-03-21</w:t>
        </w:r>
      </w:hyperlink>
      <w:r>
        <w:rPr>
          <w:rFonts w:hint="cs"/>
          <w:rtl/>
        </w:rPr>
        <w:t xml:space="preserve"> </w:t>
      </w:r>
      <w:r w:rsidRPr="00161E19">
        <w:rPr>
          <w:rFonts w:hint="cs"/>
          <w:b/>
          <w:bCs/>
          <w:rtl/>
        </w:rPr>
        <w:t>מדינת ישראל נ' סלימאן</w:t>
      </w:r>
      <w:r>
        <w:rPr>
          <w:rFonts w:hint="cs"/>
          <w:rtl/>
        </w:rPr>
        <w:t xml:space="preserve"> (2.11.2021), בו הוטלו על הנאשם 5 חודשי מאסר בעבודות שירות בגין החזקת חמש מחסניות של 16- </w:t>
      </w:r>
      <w:r>
        <w:rPr>
          <w:rFonts w:hint="cs"/>
        </w:rPr>
        <w:t>M</w:t>
      </w:r>
      <w:r>
        <w:rPr>
          <w:rFonts w:hint="cs"/>
          <w:rtl/>
        </w:rPr>
        <w:t xml:space="preserve"> ובאחת 18 כדורים. </w:t>
      </w:r>
    </w:p>
    <w:p w14:paraId="0D69948C" w14:textId="77777777" w:rsidR="00164A6F" w:rsidRDefault="00164A6F" w:rsidP="00164A6F">
      <w:pPr>
        <w:spacing w:line="360" w:lineRule="auto"/>
        <w:ind w:left="720"/>
        <w:jc w:val="both"/>
        <w:rPr>
          <w:rtl/>
        </w:rPr>
      </w:pPr>
    </w:p>
    <w:p w14:paraId="26746C58" w14:textId="77777777" w:rsidR="00164A6F" w:rsidRDefault="00164A6F" w:rsidP="00164A6F">
      <w:pPr>
        <w:spacing w:line="360" w:lineRule="auto"/>
        <w:ind w:left="720"/>
        <w:jc w:val="both"/>
        <w:rPr>
          <w:rtl/>
        </w:rPr>
      </w:pPr>
      <w:r>
        <w:rPr>
          <w:rFonts w:hint="cs"/>
          <w:rtl/>
        </w:rPr>
        <w:t>(-)</w:t>
      </w:r>
      <w:r>
        <w:rPr>
          <w:rtl/>
        </w:rPr>
        <w:tab/>
      </w:r>
      <w:r>
        <w:rPr>
          <w:rFonts w:hint="cs"/>
          <w:rtl/>
        </w:rPr>
        <w:t xml:space="preserve">ת"פ </w:t>
      </w:r>
      <w:hyperlink r:id="rId28" w:history="1">
        <w:r w:rsidR="00600EC7" w:rsidRPr="00600EC7">
          <w:rPr>
            <w:color w:val="0000FF"/>
            <w:u w:val="single"/>
            <w:rtl/>
          </w:rPr>
          <w:t xml:space="preserve">8274-01-21 </w:t>
        </w:r>
      </w:hyperlink>
      <w:r>
        <w:rPr>
          <w:rFonts w:hint="cs"/>
          <w:rtl/>
        </w:rPr>
        <w:t xml:space="preserve"> </w:t>
      </w:r>
      <w:r w:rsidRPr="00161E19">
        <w:rPr>
          <w:rFonts w:hint="cs"/>
          <w:b/>
          <w:bCs/>
          <w:rtl/>
        </w:rPr>
        <w:t>מדינת ישראל נ' פרח עואד</w:t>
      </w:r>
      <w:r>
        <w:rPr>
          <w:rFonts w:hint="cs"/>
          <w:rtl/>
        </w:rPr>
        <w:t xml:space="preserve"> (29.6.2021), בו הוטלו על נאשם 5 חודשי מאסר בעבודות שירות בגין החזקת 8 מחסניות של 16- </w:t>
      </w:r>
      <w:r>
        <w:rPr>
          <w:rFonts w:hint="cs"/>
        </w:rPr>
        <w:t>M</w:t>
      </w:r>
      <w:r>
        <w:rPr>
          <w:rFonts w:hint="cs"/>
          <w:rtl/>
        </w:rPr>
        <w:t xml:space="preserve"> כאשר שתיים הכילו 36 כדורים וכן נמצאו 85 כדורים נוספים מסוג 5.56. </w:t>
      </w:r>
    </w:p>
    <w:p w14:paraId="5B6D2942" w14:textId="77777777" w:rsidR="00164A6F" w:rsidRPr="00972481" w:rsidRDefault="00164A6F" w:rsidP="00164A6F">
      <w:pPr>
        <w:spacing w:line="360" w:lineRule="auto"/>
        <w:jc w:val="both"/>
        <w:rPr>
          <w:rtl/>
        </w:rPr>
      </w:pPr>
    </w:p>
    <w:p w14:paraId="05D4B926" w14:textId="77777777" w:rsidR="00164A6F" w:rsidRPr="00454BD6" w:rsidRDefault="00164A6F" w:rsidP="00164A6F">
      <w:pPr>
        <w:pStyle w:val="a9"/>
        <w:numPr>
          <w:ilvl w:val="0"/>
          <w:numId w:val="1"/>
        </w:numPr>
        <w:spacing w:line="360" w:lineRule="auto"/>
        <w:jc w:val="both"/>
        <w:rPr>
          <w:rFonts w:ascii="David" w:hAnsi="David"/>
        </w:rPr>
      </w:pPr>
      <w:r>
        <w:rPr>
          <w:rFonts w:ascii="David" w:hAnsi="David" w:hint="cs"/>
          <w:rtl/>
        </w:rPr>
        <w:t xml:space="preserve">לאור כך אני בדעה כי מתחם הענישה ההולם עבירה זו בנסיבות ביצועה נע בין מאסר קצר ועד 15 חודשי מאסר. </w:t>
      </w:r>
    </w:p>
    <w:p w14:paraId="4CCF970F" w14:textId="77777777" w:rsidR="00164A6F" w:rsidRPr="00161E19" w:rsidRDefault="00164A6F" w:rsidP="00164A6F">
      <w:pPr>
        <w:ind w:left="720"/>
        <w:jc w:val="both"/>
        <w:rPr>
          <w:rtl/>
        </w:rPr>
      </w:pPr>
    </w:p>
    <w:p w14:paraId="52E2F363" w14:textId="77777777" w:rsidR="00164A6F" w:rsidRDefault="00164A6F" w:rsidP="00164A6F">
      <w:pPr>
        <w:spacing w:line="360" w:lineRule="auto"/>
        <w:jc w:val="both"/>
        <w:rPr>
          <w:rFonts w:ascii="David" w:hAnsi="David"/>
        </w:rPr>
      </w:pPr>
      <w:r>
        <w:rPr>
          <w:rFonts w:ascii="David" w:hAnsi="David"/>
          <w:b/>
          <w:bCs/>
          <w:color w:val="000000"/>
          <w:u w:val="single"/>
          <w:rtl/>
        </w:rPr>
        <w:t>קביעת עונשו של הנאשם</w:t>
      </w:r>
    </w:p>
    <w:p w14:paraId="67A00E1B" w14:textId="77777777" w:rsidR="00164A6F" w:rsidRDefault="00164A6F" w:rsidP="00164A6F">
      <w:pPr>
        <w:jc w:val="both"/>
        <w:rPr>
          <w:rFonts w:ascii="David" w:hAnsi="David"/>
          <w:rtl/>
        </w:rPr>
      </w:pPr>
    </w:p>
    <w:p w14:paraId="024A064B" w14:textId="77777777" w:rsidR="00164A6F" w:rsidRDefault="00164A6F" w:rsidP="00164A6F">
      <w:pPr>
        <w:pStyle w:val="a9"/>
        <w:numPr>
          <w:ilvl w:val="0"/>
          <w:numId w:val="1"/>
        </w:numPr>
        <w:spacing w:line="360" w:lineRule="auto"/>
        <w:jc w:val="both"/>
      </w:pPr>
      <w:r>
        <w:rPr>
          <w:rtl/>
        </w:rPr>
        <w:t xml:space="preserve">לא הייתה מחלוקת בין הצדדים כי העונש אמור להיגזר בגדרי מתחם הענישה. לא נטען דבר בעניין סיכויי שיקומו של הנאשם המצדיקים חריגה לקולה ממתחם הענישה. בכל מקרה, לא התבקש תסקיר </w:t>
      </w:r>
      <w:r>
        <w:rPr>
          <w:rFonts w:hint="cs"/>
          <w:rtl/>
        </w:rPr>
        <w:t>וזולת היות הנאשם איש משפחה העובד לפרנסתה לא הובאו בפני נתונים כלשהם על אודותיו</w:t>
      </w:r>
      <w:r>
        <w:rPr>
          <w:rtl/>
        </w:rPr>
        <w:t xml:space="preserve">. </w:t>
      </w:r>
    </w:p>
    <w:p w14:paraId="6CE00E9C" w14:textId="77777777" w:rsidR="00164A6F" w:rsidRDefault="00164A6F" w:rsidP="00164A6F">
      <w:pPr>
        <w:pStyle w:val="a9"/>
        <w:spacing w:line="360" w:lineRule="auto"/>
        <w:ind w:left="0"/>
        <w:jc w:val="both"/>
        <w:rPr>
          <w:rtl/>
        </w:rPr>
      </w:pPr>
    </w:p>
    <w:p w14:paraId="6A9D6CAF" w14:textId="77777777" w:rsidR="00164A6F" w:rsidRPr="00460A7E" w:rsidRDefault="00164A6F" w:rsidP="00164A6F">
      <w:pPr>
        <w:pStyle w:val="a9"/>
        <w:numPr>
          <w:ilvl w:val="0"/>
          <w:numId w:val="1"/>
        </w:numPr>
        <w:spacing w:line="360" w:lineRule="auto"/>
        <w:jc w:val="both"/>
        <w:rPr>
          <w:rFonts w:ascii="David" w:hAnsi="David"/>
        </w:rPr>
      </w:pPr>
      <w:r>
        <w:rPr>
          <w:rtl/>
        </w:rPr>
        <w:t>לצורך קביעת עונשו של הנאשם הבאתי בחשבון</w:t>
      </w:r>
      <w:r w:rsidRPr="00343613">
        <w:rPr>
          <w:rFonts w:ascii="David" w:hAnsi="David"/>
          <w:rtl/>
        </w:rPr>
        <w:t xml:space="preserve"> את גילו הצעיר</w:t>
      </w:r>
      <w:r>
        <w:rPr>
          <w:rtl/>
        </w:rPr>
        <w:t xml:space="preserve"> יחסית</w:t>
      </w:r>
      <w:r w:rsidRPr="00343613">
        <w:rPr>
          <w:rFonts w:ascii="David" w:hAnsi="David"/>
          <w:rtl/>
        </w:rPr>
        <w:t>, את עברו הפלילי</w:t>
      </w:r>
      <w:r w:rsidRPr="00343613">
        <w:rPr>
          <w:rFonts w:ascii="Arial" w:hAnsi="Arial" w:hint="cs"/>
          <w:rtl/>
        </w:rPr>
        <w:t xml:space="preserve"> הנקי והודאתו בכתב האישום</w:t>
      </w:r>
      <w:r>
        <w:rPr>
          <w:rFonts w:ascii="Arial" w:hAnsi="Arial" w:hint="cs"/>
          <w:rtl/>
        </w:rPr>
        <w:t xml:space="preserve"> אשר ביטאה קבלת אחריות והפנמת הפסול שבמעשה</w:t>
      </w:r>
      <w:r w:rsidRPr="00343613">
        <w:rPr>
          <w:rFonts w:ascii="Arial" w:hAnsi="Arial" w:hint="cs"/>
          <w:rtl/>
        </w:rPr>
        <w:t xml:space="preserve">. עוד הבאתי בחשבון את הפגיעה </w:t>
      </w:r>
      <w:r>
        <w:rPr>
          <w:rFonts w:ascii="Arial" w:hAnsi="Arial" w:hint="cs"/>
          <w:rtl/>
        </w:rPr>
        <w:t xml:space="preserve">הכלכלית </w:t>
      </w:r>
      <w:r w:rsidRPr="00343613">
        <w:rPr>
          <w:rFonts w:ascii="Arial" w:hAnsi="Arial" w:hint="cs"/>
          <w:rtl/>
        </w:rPr>
        <w:t xml:space="preserve">שתיגרם </w:t>
      </w:r>
      <w:r>
        <w:rPr>
          <w:rFonts w:ascii="Arial" w:hAnsi="Arial" w:hint="cs"/>
          <w:rtl/>
        </w:rPr>
        <w:t>לנאשם ו</w:t>
      </w:r>
      <w:r w:rsidRPr="00343613">
        <w:rPr>
          <w:rFonts w:ascii="Arial" w:hAnsi="Arial" w:hint="cs"/>
          <w:rtl/>
        </w:rPr>
        <w:t>למשפחתו בשל מאסר ממושך</w:t>
      </w:r>
      <w:r>
        <w:rPr>
          <w:rFonts w:ascii="Arial" w:hAnsi="Arial" w:hint="cs"/>
          <w:rtl/>
        </w:rPr>
        <w:t xml:space="preserve"> ולו בעבודות שירות</w:t>
      </w:r>
      <w:r w:rsidRPr="00343613">
        <w:rPr>
          <w:rFonts w:ascii="Arial" w:hAnsi="Arial" w:hint="cs"/>
          <w:rtl/>
        </w:rPr>
        <w:t>.</w:t>
      </w:r>
      <w:r>
        <w:rPr>
          <w:rFonts w:ascii="Arial" w:hAnsi="Arial" w:hint="cs"/>
          <w:rtl/>
        </w:rPr>
        <w:t xml:space="preserve"> עם זאת אציין כי בית המשפט העליון הדגיש שבעבירות בנשק יש להעניק משקל ממשי לשיקולי ההלימה וההרתעה אף כאשר מדובר בנאשמים נעדרי עבר פלילי </w:t>
      </w:r>
      <w:r w:rsidRPr="005C4394">
        <w:rPr>
          <w:rFonts w:ascii="David" w:hAnsi="David"/>
          <w:rtl/>
        </w:rPr>
        <w:t>(</w:t>
      </w:r>
      <w:r>
        <w:rPr>
          <w:rFonts w:ascii="David" w:hAnsi="David" w:hint="cs"/>
          <w:rtl/>
        </w:rPr>
        <w:t xml:space="preserve">ראו למשל </w:t>
      </w:r>
      <w:hyperlink r:id="rId29" w:history="1">
        <w:r w:rsidR="00EE43CF" w:rsidRPr="00EE43CF">
          <w:rPr>
            <w:rFonts w:ascii="David" w:hAnsi="David"/>
            <w:color w:val="0000FF"/>
            <w:u w:val="single"/>
            <w:rtl/>
          </w:rPr>
          <w:t>ע"פ 4103/22</w:t>
        </w:r>
      </w:hyperlink>
      <w:r w:rsidRPr="005C4394">
        <w:rPr>
          <w:rFonts w:ascii="David" w:hAnsi="David"/>
          <w:rtl/>
        </w:rPr>
        <w:t xml:space="preserve"> </w:t>
      </w:r>
      <w:r w:rsidRPr="005C4394">
        <w:rPr>
          <w:rFonts w:ascii="David" w:hAnsi="David"/>
          <w:b/>
          <w:bCs/>
          <w:rtl/>
        </w:rPr>
        <w:t>מדינת ישראל נ' מוחמד אמון</w:t>
      </w:r>
      <w:r w:rsidRPr="005C4394">
        <w:rPr>
          <w:rFonts w:ascii="David" w:hAnsi="David"/>
          <w:rtl/>
        </w:rPr>
        <w:t xml:space="preserve"> (6.11.</w:t>
      </w:r>
      <w:r w:rsidRPr="005C4394">
        <w:rPr>
          <w:rFonts w:ascii="David" w:hAnsi="David" w:hint="cs"/>
          <w:rtl/>
        </w:rPr>
        <w:t>2022</w:t>
      </w:r>
      <w:r>
        <w:rPr>
          <w:rtl/>
        </w:rPr>
        <w:t>)</w:t>
      </w:r>
      <w:r>
        <w:rPr>
          <w:rFonts w:hint="cs"/>
          <w:rtl/>
        </w:rPr>
        <w:t xml:space="preserve">, פסקה 11). </w:t>
      </w:r>
      <w:r>
        <w:rPr>
          <w:rFonts w:ascii="David" w:hAnsi="David" w:hint="cs"/>
          <w:rtl/>
        </w:rPr>
        <w:t xml:space="preserve">בצד דברים אלו הבאתי בחשבון את הסדר הטיעון שבין הצדדים, אשר הגביל את המאשימה לעונש נמוך משמעותית מגבולו העליון של מתחם הענישה שקבעתי ולמעשה המאשימה ביקשה להטיל עונש בגבול התחתון של המתחם שהציעה. </w:t>
      </w:r>
    </w:p>
    <w:p w14:paraId="345F69A4" w14:textId="77777777" w:rsidR="00164A6F" w:rsidRPr="00460A7E" w:rsidRDefault="00164A6F" w:rsidP="00164A6F">
      <w:pPr>
        <w:rPr>
          <w:rFonts w:ascii="David" w:hAnsi="David"/>
          <w:rtl/>
        </w:rPr>
      </w:pPr>
    </w:p>
    <w:p w14:paraId="4B6479EA" w14:textId="77777777" w:rsidR="00164A6F" w:rsidRDefault="00164A6F" w:rsidP="00164A6F">
      <w:pPr>
        <w:pStyle w:val="a9"/>
        <w:numPr>
          <w:ilvl w:val="0"/>
          <w:numId w:val="1"/>
        </w:numPr>
        <w:spacing w:line="360" w:lineRule="auto"/>
        <w:jc w:val="both"/>
        <w:rPr>
          <w:rFonts w:ascii="David" w:hAnsi="David"/>
        </w:rPr>
      </w:pPr>
      <w:r>
        <w:rPr>
          <w:rFonts w:ascii="David" w:hAnsi="David"/>
          <w:color w:val="000000"/>
          <w:rtl/>
        </w:rPr>
        <w:t>סיכומו של דבר, לאחר שבחנתי את מכלול השיקולים, הן לקולה והן לחומרה, אני מטיל על הנאשם את העונשים הבאים:</w:t>
      </w:r>
    </w:p>
    <w:p w14:paraId="68A5EED5" w14:textId="77777777" w:rsidR="00164A6F" w:rsidRPr="00460A7E" w:rsidRDefault="00164A6F" w:rsidP="00164A6F">
      <w:pPr>
        <w:spacing w:line="360" w:lineRule="auto"/>
        <w:jc w:val="both"/>
        <w:rPr>
          <w:rFonts w:ascii="David" w:hAnsi="David"/>
          <w:rtl/>
        </w:rPr>
      </w:pPr>
    </w:p>
    <w:p w14:paraId="40C83FA4" w14:textId="77777777" w:rsidR="00164A6F" w:rsidRDefault="00164A6F" w:rsidP="00164A6F">
      <w:pPr>
        <w:pStyle w:val="a9"/>
        <w:numPr>
          <w:ilvl w:val="0"/>
          <w:numId w:val="2"/>
        </w:numPr>
        <w:spacing w:line="360" w:lineRule="auto"/>
        <w:jc w:val="both"/>
        <w:rPr>
          <w:rFonts w:ascii="David" w:hAnsi="David"/>
        </w:rPr>
      </w:pPr>
      <w:r>
        <w:rPr>
          <w:rFonts w:ascii="David" w:hAnsi="David" w:hint="cs"/>
          <w:rtl/>
        </w:rPr>
        <w:t>3</w:t>
      </w:r>
      <w:r>
        <w:rPr>
          <w:rFonts w:ascii="David" w:hAnsi="David"/>
          <w:rtl/>
        </w:rPr>
        <w:t xml:space="preserve"> חודשי מאסר. </w:t>
      </w:r>
      <w:r>
        <w:rPr>
          <w:rtl/>
        </w:rPr>
        <w:t>הנאשם יישא עונש זה בעבודות שירות בהתאם לחוות דעת הממונה</w:t>
      </w:r>
      <w:r>
        <w:rPr>
          <w:rFonts w:hint="cs"/>
          <w:rtl/>
        </w:rPr>
        <w:t xml:space="preserve"> ויתייצב לתחילת עונשו ביום 1.4.24. </w:t>
      </w:r>
      <w:r w:rsidRPr="00460A7E">
        <w:rPr>
          <w:rtl/>
        </w:rPr>
        <w:t>מובהר לנאשם כי עליו לבצע את העבודות לשביעות רצון הממונה וכי אם לא יעשה כן ניתן יהיה להפקיע את העבודות מנהלית והוא יאלץ לשאת ביתרת התקופה בבית מאסר.</w:t>
      </w:r>
    </w:p>
    <w:p w14:paraId="5D3E3D62" w14:textId="77777777" w:rsidR="00164A6F" w:rsidRPr="00637F08" w:rsidRDefault="00164A6F" w:rsidP="00164A6F">
      <w:pPr>
        <w:pStyle w:val="a9"/>
        <w:numPr>
          <w:ilvl w:val="0"/>
          <w:numId w:val="2"/>
        </w:numPr>
        <w:spacing w:line="360" w:lineRule="auto"/>
        <w:jc w:val="both"/>
        <w:rPr>
          <w:rFonts w:ascii="David" w:hAnsi="David"/>
        </w:rPr>
      </w:pPr>
      <w:r>
        <w:rPr>
          <w:rtl/>
        </w:rPr>
        <w:t xml:space="preserve">מאסר על תנאי למשך 6 חודשים והתנאי הוא שהנאשם לא יעבור במשך שלוש שנים </w:t>
      </w:r>
      <w:r>
        <w:rPr>
          <w:rFonts w:hint="cs"/>
          <w:rtl/>
        </w:rPr>
        <w:t xml:space="preserve">עבירה על </w:t>
      </w:r>
      <w:hyperlink r:id="rId30" w:history="1">
        <w:r w:rsidR="006C5D6E" w:rsidRPr="006C5D6E">
          <w:rPr>
            <w:rStyle w:val="Hyperlink"/>
            <w:rFonts w:hint="eastAsia"/>
            <w:rtl/>
          </w:rPr>
          <w:t>סעיף</w:t>
        </w:r>
        <w:r w:rsidR="006C5D6E" w:rsidRPr="006C5D6E">
          <w:rPr>
            <w:rStyle w:val="Hyperlink"/>
            <w:rtl/>
          </w:rPr>
          <w:t xml:space="preserve"> 144</w:t>
        </w:r>
      </w:hyperlink>
      <w:r>
        <w:rPr>
          <w:rFonts w:hint="cs"/>
          <w:rtl/>
        </w:rPr>
        <w:t xml:space="preserve"> ל</w:t>
      </w:r>
      <w:hyperlink r:id="rId31" w:history="1">
        <w:r w:rsidR="00EE43CF" w:rsidRPr="00EE43CF">
          <w:rPr>
            <w:color w:val="0000FF"/>
            <w:u w:val="single"/>
            <w:rtl/>
          </w:rPr>
          <w:t>חוק העונשין</w:t>
        </w:r>
      </w:hyperlink>
      <w:r>
        <w:rPr>
          <w:rFonts w:hint="cs"/>
          <w:rtl/>
        </w:rPr>
        <w:t>.</w:t>
      </w:r>
      <w:r>
        <w:rPr>
          <w:rtl/>
        </w:rPr>
        <w:t xml:space="preserve"> </w:t>
      </w:r>
    </w:p>
    <w:p w14:paraId="37C5CB64" w14:textId="77777777" w:rsidR="00164A6F" w:rsidRDefault="00164A6F" w:rsidP="00164A6F">
      <w:pPr>
        <w:pStyle w:val="a9"/>
        <w:numPr>
          <w:ilvl w:val="0"/>
          <w:numId w:val="2"/>
        </w:numPr>
        <w:spacing w:line="360" w:lineRule="auto"/>
        <w:jc w:val="both"/>
        <w:rPr>
          <w:rFonts w:ascii="David" w:hAnsi="David"/>
        </w:rPr>
      </w:pPr>
      <w:r>
        <w:rPr>
          <w:rFonts w:ascii="David" w:hAnsi="David" w:hint="cs"/>
          <w:rtl/>
        </w:rPr>
        <w:t xml:space="preserve">לאור תקופת עונש עבודות השירות אני נמנע מהטלת קנס. </w:t>
      </w:r>
    </w:p>
    <w:p w14:paraId="3A189FA8" w14:textId="77777777" w:rsidR="00164A6F" w:rsidRDefault="00164A6F" w:rsidP="00164A6F">
      <w:pPr>
        <w:jc w:val="both"/>
        <w:rPr>
          <w:rFonts w:ascii="David" w:hAnsi="David"/>
          <w:b/>
          <w:bCs/>
          <w:color w:val="000000"/>
          <w:u w:val="single"/>
          <w:rtl/>
        </w:rPr>
      </w:pPr>
    </w:p>
    <w:p w14:paraId="5DB1D230" w14:textId="77777777" w:rsidR="00164A6F" w:rsidRDefault="00164A6F" w:rsidP="00164A6F">
      <w:pPr>
        <w:jc w:val="both"/>
        <w:rPr>
          <w:rFonts w:ascii="David" w:hAnsi="David"/>
          <w:b/>
          <w:bCs/>
          <w:color w:val="000000"/>
          <w:u w:val="single"/>
          <w:rtl/>
        </w:rPr>
      </w:pPr>
      <w:r>
        <w:rPr>
          <w:rFonts w:ascii="David" w:hAnsi="David" w:hint="cs"/>
          <w:b/>
          <w:bCs/>
          <w:color w:val="000000"/>
          <w:u w:val="single"/>
          <w:rtl/>
        </w:rPr>
        <w:t xml:space="preserve">המוצג- תחמושת </w:t>
      </w:r>
      <w:r>
        <w:rPr>
          <w:rFonts w:ascii="David" w:hAnsi="David"/>
          <w:b/>
          <w:bCs/>
          <w:color w:val="000000"/>
          <w:u w:val="single"/>
          <w:rtl/>
        </w:rPr>
        <w:t>–</w:t>
      </w:r>
      <w:r>
        <w:rPr>
          <w:rFonts w:ascii="David" w:hAnsi="David" w:hint="cs"/>
          <w:b/>
          <w:bCs/>
          <w:color w:val="000000"/>
          <w:u w:val="single"/>
          <w:rtl/>
        </w:rPr>
        <w:t xml:space="preserve"> להשמדה.</w:t>
      </w:r>
    </w:p>
    <w:p w14:paraId="09D95355" w14:textId="77777777" w:rsidR="00164A6F" w:rsidRDefault="00164A6F" w:rsidP="00164A6F">
      <w:pPr>
        <w:jc w:val="both"/>
        <w:rPr>
          <w:rFonts w:ascii="David" w:hAnsi="David"/>
          <w:b/>
          <w:bCs/>
          <w:color w:val="000000"/>
          <w:u w:val="single"/>
          <w:rtl/>
        </w:rPr>
      </w:pPr>
    </w:p>
    <w:p w14:paraId="715E99D3" w14:textId="77777777" w:rsidR="00164A6F" w:rsidRDefault="00EE43CF" w:rsidP="00164A6F">
      <w:pPr>
        <w:jc w:val="both"/>
        <w:rPr>
          <w:rFonts w:ascii="David" w:hAnsi="David"/>
          <w:b/>
          <w:bCs/>
          <w:color w:val="000000"/>
          <w:u w:val="single"/>
          <w:rtl/>
        </w:rPr>
      </w:pPr>
      <w:r w:rsidRPr="00EE43CF">
        <w:rPr>
          <w:rFonts w:ascii="David" w:hAnsi="David"/>
          <w:b/>
          <w:bCs/>
          <w:color w:val="FFFFFF"/>
          <w:sz w:val="2"/>
          <w:szCs w:val="2"/>
          <w:u w:val="single"/>
          <w:rtl/>
        </w:rPr>
        <w:t>5129371</w:t>
      </w:r>
      <w:r w:rsidR="00164A6F">
        <w:rPr>
          <w:rFonts w:ascii="David" w:hAnsi="David" w:hint="cs"/>
          <w:b/>
          <w:bCs/>
          <w:color w:val="000000"/>
          <w:u w:val="single"/>
          <w:rtl/>
        </w:rPr>
        <w:t>המזכירות תשלח את גזר הדין לממונה על עבודות השירות</w:t>
      </w:r>
    </w:p>
    <w:p w14:paraId="55402B76" w14:textId="77777777" w:rsidR="00164A6F" w:rsidRPr="00EE43CF" w:rsidRDefault="00EE43CF" w:rsidP="00164A6F">
      <w:pPr>
        <w:jc w:val="both"/>
        <w:rPr>
          <w:rFonts w:ascii="David" w:hAnsi="David"/>
          <w:b/>
          <w:bCs/>
          <w:color w:val="FFFFFF"/>
          <w:sz w:val="2"/>
          <w:szCs w:val="2"/>
          <w:u w:val="single"/>
          <w:rtl/>
        </w:rPr>
      </w:pPr>
      <w:r w:rsidRPr="00EE43CF">
        <w:rPr>
          <w:rFonts w:ascii="David" w:hAnsi="David"/>
          <w:b/>
          <w:bCs/>
          <w:color w:val="FFFFFF"/>
          <w:sz w:val="2"/>
          <w:szCs w:val="2"/>
          <w:u w:val="single"/>
          <w:rtl/>
        </w:rPr>
        <w:t>54678313</w:t>
      </w:r>
    </w:p>
    <w:p w14:paraId="19D038CB" w14:textId="77777777" w:rsidR="00164A6F" w:rsidRDefault="00164A6F" w:rsidP="00164A6F">
      <w:pPr>
        <w:spacing w:line="360" w:lineRule="auto"/>
        <w:jc w:val="both"/>
        <w:rPr>
          <w:rFonts w:ascii="David" w:hAnsi="David"/>
          <w:rtl/>
        </w:rPr>
      </w:pPr>
      <w:r>
        <w:rPr>
          <w:rFonts w:ascii="David" w:hAnsi="David"/>
          <w:b/>
          <w:bCs/>
          <w:color w:val="000000"/>
          <w:u w:val="single"/>
          <w:rtl/>
        </w:rPr>
        <w:t>הודעה זכות ערעור לבית המשפט המחוזי בתוך 45 ימים</w:t>
      </w:r>
      <w:r>
        <w:rPr>
          <w:rFonts w:ascii="David" w:hAnsi="David"/>
          <w:b/>
          <w:bCs/>
          <w:color w:val="000000"/>
          <w:u w:val="single"/>
        </w:rPr>
        <w:t>.</w:t>
      </w:r>
    </w:p>
    <w:p w14:paraId="641F7EF0" w14:textId="77777777" w:rsidR="00164A6F" w:rsidRPr="00637F08" w:rsidRDefault="00164A6F" w:rsidP="00164A6F">
      <w:pPr>
        <w:pStyle w:val="a9"/>
        <w:ind w:left="0"/>
        <w:jc w:val="both"/>
        <w:rPr>
          <w:rFonts w:ascii="Arial" w:hAnsi="Arial"/>
        </w:rPr>
      </w:pPr>
    </w:p>
    <w:p w14:paraId="2755AA0F" w14:textId="77777777" w:rsidR="00164A6F" w:rsidRPr="00637F08" w:rsidRDefault="00EE43CF" w:rsidP="00EE43CF">
      <w:pPr>
        <w:jc w:val="center"/>
      </w:pPr>
      <w:bookmarkStart w:id="7" w:name="Nitan"/>
      <w:r>
        <w:rPr>
          <w:rFonts w:ascii="David" w:hAnsi="David"/>
          <w:rtl/>
        </w:rPr>
        <w:t xml:space="preserve">ניתן היום,  כ"ח שבט תשפ"ד, 07 פברואר 2024, במעמד הצדדים. </w:t>
      </w:r>
      <w:bookmarkEnd w:id="7"/>
      <w:r w:rsidR="00164A6F" w:rsidRPr="00637F08">
        <w:rPr>
          <w:rFonts w:ascii="David" w:hAnsi="David"/>
          <w:rtl/>
        </w:rPr>
        <w:t xml:space="preserve">   </w:t>
      </w:r>
      <w:r w:rsidR="00164A6F" w:rsidRPr="00637F08">
        <w:rPr>
          <w:rFonts w:ascii="David" w:hAnsi="David"/>
          <w:rtl/>
        </w:rPr>
        <w:tab/>
      </w:r>
      <w:r w:rsidR="00164A6F" w:rsidRPr="00637F08">
        <w:rPr>
          <w:rFonts w:ascii="David" w:hAnsi="David"/>
          <w:rtl/>
        </w:rPr>
        <w:tab/>
      </w:r>
      <w:r w:rsidR="00164A6F" w:rsidRPr="00637F08">
        <w:rPr>
          <w:rFonts w:ascii="David" w:hAnsi="David"/>
          <w:rtl/>
        </w:rPr>
        <w:tab/>
      </w:r>
      <w:r w:rsidR="00164A6F" w:rsidRPr="00637F08">
        <w:rPr>
          <w:rFonts w:ascii="David" w:hAnsi="David"/>
          <w:rtl/>
        </w:rPr>
        <w:tab/>
      </w:r>
      <w:r w:rsidR="00164A6F" w:rsidRPr="00637F08">
        <w:rPr>
          <w:rFonts w:ascii="David" w:hAnsi="David"/>
          <w:rtl/>
        </w:rPr>
        <w:tab/>
      </w:r>
    </w:p>
    <w:p w14:paraId="1C69D85E" w14:textId="77777777" w:rsidR="00164A6F" w:rsidRPr="00637F08" w:rsidRDefault="00164A6F" w:rsidP="00164A6F">
      <w:pPr>
        <w:jc w:val="center"/>
        <w:rPr>
          <w:rFonts w:ascii="David" w:hAnsi="David"/>
          <w:rtl/>
        </w:rPr>
      </w:pPr>
    </w:p>
    <w:p w14:paraId="239E5C9A" w14:textId="77777777" w:rsidR="007B7B05" w:rsidRPr="00EE43CF" w:rsidRDefault="007B7B05" w:rsidP="00EE43CF">
      <w:pPr>
        <w:keepNext/>
        <w:rPr>
          <w:rFonts w:ascii="David" w:hAnsi="David"/>
          <w:color w:val="000000"/>
          <w:sz w:val="22"/>
          <w:szCs w:val="22"/>
          <w:rtl/>
        </w:rPr>
      </w:pPr>
    </w:p>
    <w:p w14:paraId="0D533A3E" w14:textId="77777777" w:rsidR="00EE43CF" w:rsidRPr="00EE43CF" w:rsidRDefault="00EE43CF" w:rsidP="00EE43CF">
      <w:pPr>
        <w:keepNext/>
        <w:rPr>
          <w:rFonts w:ascii="David" w:hAnsi="David"/>
          <w:color w:val="000000"/>
          <w:sz w:val="22"/>
          <w:szCs w:val="22"/>
          <w:rtl/>
        </w:rPr>
      </w:pPr>
      <w:r w:rsidRPr="00EE43CF">
        <w:rPr>
          <w:rFonts w:ascii="David" w:hAnsi="David"/>
          <w:color w:val="000000"/>
          <w:sz w:val="22"/>
          <w:szCs w:val="22"/>
          <w:rtl/>
        </w:rPr>
        <w:t>יוסי טורס 54678313</w:t>
      </w:r>
    </w:p>
    <w:p w14:paraId="4CEE1C23" w14:textId="77777777" w:rsidR="00EE43CF" w:rsidRDefault="00EE43CF" w:rsidP="00EE43CF">
      <w:r w:rsidRPr="00EE43CF">
        <w:rPr>
          <w:color w:val="000000"/>
          <w:rtl/>
        </w:rPr>
        <w:t>נוסח מסמך זה כפוף לשינויי ניסוח ועריכה</w:t>
      </w:r>
    </w:p>
    <w:p w14:paraId="65BA4CB8" w14:textId="77777777" w:rsidR="00EE43CF" w:rsidRDefault="00EE43CF" w:rsidP="00EE43CF">
      <w:pPr>
        <w:rPr>
          <w:rtl/>
        </w:rPr>
      </w:pPr>
    </w:p>
    <w:p w14:paraId="371E1F2A" w14:textId="77777777" w:rsidR="00EE43CF" w:rsidRDefault="00EE43CF" w:rsidP="00EE43C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99E4C73" w14:textId="77777777" w:rsidR="00EE43CF" w:rsidRPr="00EE43CF" w:rsidRDefault="00EE43CF" w:rsidP="00EE43CF">
      <w:pPr>
        <w:jc w:val="center"/>
        <w:rPr>
          <w:color w:val="0000FF"/>
          <w:u w:val="single"/>
        </w:rPr>
      </w:pPr>
    </w:p>
    <w:sectPr w:rsidR="00EE43CF" w:rsidRPr="00EE43CF" w:rsidSect="00EE43CF">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389B0" w14:textId="77777777" w:rsidR="00A64D64" w:rsidRDefault="00A64D64" w:rsidP="00FF2ABD">
      <w:r>
        <w:separator/>
      </w:r>
    </w:p>
  </w:endnote>
  <w:endnote w:type="continuationSeparator" w:id="0">
    <w:p w14:paraId="4C4918D3" w14:textId="77777777" w:rsidR="00A64D64" w:rsidRDefault="00A64D64" w:rsidP="00FF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67098" w14:textId="77777777" w:rsidR="00EE43CF" w:rsidRDefault="00EE43CF" w:rsidP="00EE43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DA4D8A" w14:textId="77777777" w:rsidR="000E593F" w:rsidRPr="00EE43CF" w:rsidRDefault="00EE43CF" w:rsidP="00EE43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D3CB" w14:textId="77777777" w:rsidR="00EE43CF" w:rsidRDefault="00EE43CF" w:rsidP="00EE43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6A7B">
      <w:rPr>
        <w:rFonts w:ascii="FrankRuehl" w:hAnsi="FrankRuehl" w:cs="FrankRuehl"/>
        <w:noProof/>
        <w:rtl/>
      </w:rPr>
      <w:t>1</w:t>
    </w:r>
    <w:r>
      <w:rPr>
        <w:rFonts w:ascii="FrankRuehl" w:hAnsi="FrankRuehl" w:cs="FrankRuehl"/>
        <w:rtl/>
      </w:rPr>
      <w:fldChar w:fldCharType="end"/>
    </w:r>
  </w:p>
  <w:p w14:paraId="011ECF5E" w14:textId="77777777" w:rsidR="000E593F" w:rsidRPr="00EE43CF" w:rsidRDefault="00EE43CF" w:rsidP="00EE43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FCE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71BDA" w14:textId="77777777" w:rsidR="00A64D64" w:rsidRDefault="00A64D64" w:rsidP="00FF2ABD">
      <w:r>
        <w:separator/>
      </w:r>
    </w:p>
  </w:footnote>
  <w:footnote w:type="continuationSeparator" w:id="0">
    <w:p w14:paraId="2052EAF3" w14:textId="77777777" w:rsidR="00A64D64" w:rsidRDefault="00A64D64" w:rsidP="00FF2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D6B7" w14:textId="77777777" w:rsidR="00EE43CF" w:rsidRPr="00EE43CF" w:rsidRDefault="00EE43CF" w:rsidP="00EE43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18228-09-22</w:t>
    </w:r>
    <w:r>
      <w:rPr>
        <w:rFonts w:ascii="David" w:hAnsi="David"/>
        <w:color w:val="000000"/>
        <w:sz w:val="22"/>
        <w:szCs w:val="22"/>
        <w:rtl/>
      </w:rPr>
      <w:tab/>
      <w:t xml:space="preserve"> מדינת ישראל נ' זיד עמריה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1EFDA" w14:textId="77777777" w:rsidR="00EE43CF" w:rsidRPr="00EE43CF" w:rsidRDefault="00EE43CF" w:rsidP="00EE43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18228-09-22</w:t>
    </w:r>
    <w:r>
      <w:rPr>
        <w:rFonts w:ascii="David" w:hAnsi="David"/>
        <w:color w:val="000000"/>
        <w:sz w:val="22"/>
        <w:szCs w:val="22"/>
        <w:rtl/>
      </w:rPr>
      <w:tab/>
      <w:t xml:space="preserve"> מדינת ישראל נ' זיד עמריה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28F6"/>
    <w:multiLevelType w:val="hybridMultilevel"/>
    <w:tmpl w:val="9416992C"/>
    <w:lvl w:ilvl="0" w:tplc="C4C2BA70">
      <w:start w:val="1"/>
      <w:numFmt w:val="decimal"/>
      <w:lvlText w:val="%1."/>
      <w:lvlJc w:val="left"/>
      <w:pPr>
        <w:tabs>
          <w:tab w:val="num" w:pos="567"/>
        </w:tabs>
        <w:ind w:left="0" w:firstLine="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50118"/>
    <w:multiLevelType w:val="hybridMultilevel"/>
    <w:tmpl w:val="46349B8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39427878">
    <w:abstractNumId w:val="0"/>
  </w:num>
  <w:num w:numId="2" w16cid:durableId="810750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4A6F"/>
    <w:rsid w:val="000E593F"/>
    <w:rsid w:val="0014315F"/>
    <w:rsid w:val="00164A6F"/>
    <w:rsid w:val="001B5A3B"/>
    <w:rsid w:val="002F571C"/>
    <w:rsid w:val="00600EC7"/>
    <w:rsid w:val="0064030D"/>
    <w:rsid w:val="00686A7B"/>
    <w:rsid w:val="006C5D6E"/>
    <w:rsid w:val="007418AD"/>
    <w:rsid w:val="007B7B05"/>
    <w:rsid w:val="008549D9"/>
    <w:rsid w:val="00A64D64"/>
    <w:rsid w:val="00BD0CE1"/>
    <w:rsid w:val="00E96ADE"/>
    <w:rsid w:val="00EE43CF"/>
    <w:rsid w:val="00FF2A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F2483"/>
  <w15:chartTrackingRefBased/>
  <w15:docId w15:val="{9B6E0E4E-35EF-4B74-89D7-00EA3489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4A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4A6F"/>
    <w:pPr>
      <w:tabs>
        <w:tab w:val="center" w:pos="4153"/>
        <w:tab w:val="right" w:pos="8306"/>
      </w:tabs>
    </w:pPr>
  </w:style>
  <w:style w:type="character" w:customStyle="1" w:styleId="a4">
    <w:name w:val="כותרת עליונה תו"/>
    <w:link w:val="a3"/>
    <w:rsid w:val="00164A6F"/>
    <w:rPr>
      <w:rFonts w:ascii="Times New Roman" w:eastAsia="Times New Roman" w:hAnsi="Times New Roman" w:cs="David"/>
      <w:sz w:val="24"/>
      <w:szCs w:val="24"/>
    </w:rPr>
  </w:style>
  <w:style w:type="paragraph" w:styleId="a5">
    <w:name w:val="footer"/>
    <w:basedOn w:val="a"/>
    <w:link w:val="a6"/>
    <w:rsid w:val="00164A6F"/>
    <w:pPr>
      <w:tabs>
        <w:tab w:val="center" w:pos="4153"/>
        <w:tab w:val="right" w:pos="8306"/>
      </w:tabs>
    </w:pPr>
  </w:style>
  <w:style w:type="character" w:customStyle="1" w:styleId="a6">
    <w:name w:val="כותרת תחתונה תו"/>
    <w:link w:val="a5"/>
    <w:rsid w:val="00164A6F"/>
    <w:rPr>
      <w:rFonts w:ascii="Times New Roman" w:eastAsia="Times New Roman" w:hAnsi="Times New Roman" w:cs="David"/>
      <w:sz w:val="24"/>
      <w:szCs w:val="24"/>
    </w:rPr>
  </w:style>
  <w:style w:type="table" w:styleId="a7">
    <w:name w:val="Table Grid"/>
    <w:basedOn w:val="a1"/>
    <w:rsid w:val="00164A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4A6F"/>
  </w:style>
  <w:style w:type="paragraph" w:styleId="a9">
    <w:name w:val="List Paragraph"/>
    <w:basedOn w:val="a"/>
    <w:link w:val="aa"/>
    <w:qFormat/>
    <w:rsid w:val="00164A6F"/>
    <w:pPr>
      <w:ind w:left="720"/>
      <w:contextualSpacing/>
    </w:pPr>
  </w:style>
  <w:style w:type="character" w:styleId="Hyperlink">
    <w:name w:val="Hyperlink"/>
    <w:rsid w:val="00164A6F"/>
    <w:rPr>
      <w:color w:val="0000FF"/>
      <w:u w:val="single"/>
    </w:rPr>
  </w:style>
  <w:style w:type="character" w:customStyle="1" w:styleId="aa">
    <w:name w:val="פיסקת רשימה תו"/>
    <w:link w:val="a9"/>
    <w:locked/>
    <w:rsid w:val="00164A6F"/>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24327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211721" TargetMode="External"/><Relationship Id="rId21" Type="http://schemas.openxmlformats.org/officeDocument/2006/relationships/hyperlink" Target="http://www.nevo.co.il/case/2764878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79671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j" TargetMode="External"/><Relationship Id="rId20" Type="http://schemas.openxmlformats.org/officeDocument/2006/relationships/hyperlink" Target="http://www.nevo.co.il/case/27734980" TargetMode="External"/><Relationship Id="rId29" Type="http://schemas.openxmlformats.org/officeDocument/2006/relationships/hyperlink" Target="http://www.nevo.co.il/case/286972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309644"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8131336" TargetMode="External"/><Relationship Id="rId23" Type="http://schemas.openxmlformats.org/officeDocument/2006/relationships/hyperlink" Target="http://www.nevo.co.il/case/29372283" TargetMode="External"/><Relationship Id="rId28" Type="http://schemas.openxmlformats.org/officeDocument/2006/relationships/hyperlink" Target="http://www.nevo.co.il/case/26331984"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751337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case/29372283" TargetMode="External"/><Relationship Id="rId22" Type="http://schemas.openxmlformats.org/officeDocument/2006/relationships/hyperlink" Target="http://www.nevo.co.il/case/28268880" TargetMode="External"/><Relationship Id="rId27" Type="http://schemas.openxmlformats.org/officeDocument/2006/relationships/hyperlink" Target="http://www.nevo.co.il/case/27448697" TargetMode="External"/><Relationship Id="rId30" Type="http://schemas.openxmlformats.org/officeDocument/2006/relationships/hyperlink" Target="http://www.nevo.co.il/law/70301/144" TargetMode="External"/><Relationship Id="rId35" Type="http://schemas.openxmlformats.org/officeDocument/2006/relationships/footer" Target="footer1.xml"/><Relationship Id="rId8" Type="http://schemas.openxmlformats.org/officeDocument/2006/relationships/hyperlink" Target="http://www.nevo.co.il/law/70301/40j"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8801</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3276919</vt:i4>
      </vt:variant>
      <vt:variant>
        <vt:i4>66</vt:i4>
      </vt:variant>
      <vt:variant>
        <vt:i4>0</vt:i4>
      </vt:variant>
      <vt:variant>
        <vt:i4>5</vt:i4>
      </vt:variant>
      <vt:variant>
        <vt:lpwstr>http://www.nevo.co.il/case/28697218</vt:lpwstr>
      </vt:variant>
      <vt:variant>
        <vt:lpwstr/>
      </vt:variant>
      <vt:variant>
        <vt:i4>3670136</vt:i4>
      </vt:variant>
      <vt:variant>
        <vt:i4>63</vt:i4>
      </vt:variant>
      <vt:variant>
        <vt:i4>0</vt:i4>
      </vt:variant>
      <vt:variant>
        <vt:i4>5</vt:i4>
      </vt:variant>
      <vt:variant>
        <vt:lpwstr>http://www.nevo.co.il/case/26331984</vt:lpwstr>
      </vt:variant>
      <vt:variant>
        <vt:lpwstr/>
      </vt:variant>
      <vt:variant>
        <vt:i4>3604593</vt:i4>
      </vt:variant>
      <vt:variant>
        <vt:i4>60</vt:i4>
      </vt:variant>
      <vt:variant>
        <vt:i4>0</vt:i4>
      </vt:variant>
      <vt:variant>
        <vt:i4>5</vt:i4>
      </vt:variant>
      <vt:variant>
        <vt:lpwstr>http://www.nevo.co.il/case/27448697</vt:lpwstr>
      </vt:variant>
      <vt:variant>
        <vt:lpwstr/>
      </vt:variant>
      <vt:variant>
        <vt:i4>3342458</vt:i4>
      </vt:variant>
      <vt:variant>
        <vt:i4>57</vt:i4>
      </vt:variant>
      <vt:variant>
        <vt:i4>0</vt:i4>
      </vt:variant>
      <vt:variant>
        <vt:i4>5</vt:i4>
      </vt:variant>
      <vt:variant>
        <vt:lpwstr>http://www.nevo.co.il/case/28211721</vt:lpwstr>
      </vt:variant>
      <vt:variant>
        <vt:lpwstr/>
      </vt:variant>
      <vt:variant>
        <vt:i4>3276925</vt:i4>
      </vt:variant>
      <vt:variant>
        <vt:i4>54</vt:i4>
      </vt:variant>
      <vt:variant>
        <vt:i4>0</vt:i4>
      </vt:variant>
      <vt:variant>
        <vt:i4>5</vt:i4>
      </vt:variant>
      <vt:variant>
        <vt:lpwstr>http://www.nevo.co.il/case/27796716</vt:lpwstr>
      </vt:variant>
      <vt:variant>
        <vt:lpwstr/>
      </vt:variant>
      <vt:variant>
        <vt:i4>3932276</vt:i4>
      </vt:variant>
      <vt:variant>
        <vt:i4>51</vt:i4>
      </vt:variant>
      <vt:variant>
        <vt:i4>0</vt:i4>
      </vt:variant>
      <vt:variant>
        <vt:i4>5</vt:i4>
      </vt:variant>
      <vt:variant>
        <vt:lpwstr>http://www.nevo.co.il/case/26309644</vt:lpwstr>
      </vt:variant>
      <vt:variant>
        <vt:lpwstr/>
      </vt:variant>
      <vt:variant>
        <vt:i4>3866744</vt:i4>
      </vt:variant>
      <vt:variant>
        <vt:i4>48</vt:i4>
      </vt:variant>
      <vt:variant>
        <vt:i4>0</vt:i4>
      </vt:variant>
      <vt:variant>
        <vt:i4>5</vt:i4>
      </vt:variant>
      <vt:variant>
        <vt:lpwstr>http://www.nevo.co.il/case/29372283</vt:lpwstr>
      </vt:variant>
      <vt:variant>
        <vt:lpwstr/>
      </vt:variant>
      <vt:variant>
        <vt:i4>3145842</vt:i4>
      </vt:variant>
      <vt:variant>
        <vt:i4>45</vt:i4>
      </vt:variant>
      <vt:variant>
        <vt:i4>0</vt:i4>
      </vt:variant>
      <vt:variant>
        <vt:i4>5</vt:i4>
      </vt:variant>
      <vt:variant>
        <vt:lpwstr>http://www.nevo.co.il/case/28268880</vt:lpwstr>
      </vt:variant>
      <vt:variant>
        <vt:lpwstr/>
      </vt:variant>
      <vt:variant>
        <vt:i4>3407984</vt:i4>
      </vt:variant>
      <vt:variant>
        <vt:i4>42</vt:i4>
      </vt:variant>
      <vt:variant>
        <vt:i4>0</vt:i4>
      </vt:variant>
      <vt:variant>
        <vt:i4>5</vt:i4>
      </vt:variant>
      <vt:variant>
        <vt:lpwstr>http://www.nevo.co.il/case/27648787</vt:lpwstr>
      </vt:variant>
      <vt:variant>
        <vt:lpwstr/>
      </vt:variant>
      <vt:variant>
        <vt:i4>3735673</vt:i4>
      </vt:variant>
      <vt:variant>
        <vt:i4>39</vt:i4>
      </vt:variant>
      <vt:variant>
        <vt:i4>0</vt:i4>
      </vt:variant>
      <vt:variant>
        <vt:i4>5</vt:i4>
      </vt:variant>
      <vt:variant>
        <vt:lpwstr>http://www.nevo.co.il/case/27734980</vt:lpwstr>
      </vt:variant>
      <vt:variant>
        <vt:lpwstr/>
      </vt:variant>
      <vt:variant>
        <vt:i4>3342449</vt:i4>
      </vt:variant>
      <vt:variant>
        <vt:i4>36</vt:i4>
      </vt:variant>
      <vt:variant>
        <vt:i4>0</vt:i4>
      </vt:variant>
      <vt:variant>
        <vt:i4>5</vt:i4>
      </vt:variant>
      <vt:variant>
        <vt:lpwstr>http://www.nevo.co.il/case/27513376</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http://www.nevo.co.il/law/70301/40j</vt:lpwstr>
      </vt:variant>
      <vt:variant>
        <vt:lpwstr/>
      </vt:variant>
      <vt:variant>
        <vt:i4>3276924</vt:i4>
      </vt:variant>
      <vt:variant>
        <vt:i4>24</vt:i4>
      </vt:variant>
      <vt:variant>
        <vt:i4>0</vt:i4>
      </vt:variant>
      <vt:variant>
        <vt:i4>5</vt:i4>
      </vt:variant>
      <vt:variant>
        <vt:lpwstr>http://www.nevo.co.il/case/18131336</vt:lpwstr>
      </vt:variant>
      <vt:variant>
        <vt:lpwstr/>
      </vt:variant>
      <vt:variant>
        <vt:i4>3866744</vt:i4>
      </vt:variant>
      <vt:variant>
        <vt:i4>21</vt:i4>
      </vt:variant>
      <vt:variant>
        <vt:i4>0</vt:i4>
      </vt:variant>
      <vt:variant>
        <vt:i4>5</vt:i4>
      </vt:variant>
      <vt:variant>
        <vt:lpwstr>http://www.nevo.co.il/case/29372283</vt:lpwstr>
      </vt:variant>
      <vt:variant>
        <vt:lpwstr/>
      </vt:variant>
      <vt:variant>
        <vt:i4>3407994</vt:i4>
      </vt:variant>
      <vt:variant>
        <vt:i4>18</vt:i4>
      </vt:variant>
      <vt:variant>
        <vt:i4>0</vt:i4>
      </vt:variant>
      <vt:variant>
        <vt:i4>5</vt:i4>
      </vt:variant>
      <vt:variant>
        <vt:lpwstr>http://www.nevo.co.il/case/28243273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18228</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זיד עמריה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20240207</vt:lpwstr>
  </property>
  <property fmtid="{D5CDD505-2E9C-101B-9397-08002B2CF9AE}" pid="13" name="TYPE_N_DATE">
    <vt:lpwstr>38020240207</vt:lpwstr>
  </property>
  <property fmtid="{D5CDD505-2E9C-101B-9397-08002B2CF9AE}" pid="14" name="WORDNUMPAGES">
    <vt:lpwstr>5</vt:lpwstr>
  </property>
  <property fmtid="{D5CDD505-2E9C-101B-9397-08002B2CF9AE}" pid="15" name="TYPE_ABS_DATE">
    <vt:lpwstr>380020240207</vt:lpwstr>
  </property>
  <property fmtid="{D5CDD505-2E9C-101B-9397-08002B2CF9AE}" pid="16" name="ISABSTRACT">
    <vt:lpwstr>Y</vt:lpwstr>
  </property>
  <property fmtid="{D5CDD505-2E9C-101B-9397-08002B2CF9AE}" pid="17" name="CASESLISTTMP1">
    <vt:lpwstr>28243273;29372283:2;18131336;27513376;27734980;27648787;28268880;26309644;27796716;28211721;27448697;26331984;28697218</vt:lpwstr>
  </property>
  <property fmtid="{D5CDD505-2E9C-101B-9397-08002B2CF9AE}" pid="18" name="LAWLISTTMP1">
    <vt:lpwstr>70301/144.a;040j;144</vt:lpwstr>
  </property>
</Properties>
</file>