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652"/>
        <w:gridCol w:w="1484"/>
        <w:gridCol w:w="3662"/>
        <w:gridCol w:w="99"/>
      </w:tblGrid>
      <w:tr w:rsidR="00B630F2" w:rsidRPr="00AF72FB" w14:paraId="634A21EE" w14:textId="77777777" w:rsidTr="00A01227">
        <w:trPr>
          <w:gridAfter w:val="1"/>
          <w:wAfter w:w="99" w:type="dxa"/>
          <w:trHeight w:hRule="exact" w:val="418"/>
          <w:jc w:val="center"/>
        </w:trPr>
        <w:tc>
          <w:tcPr>
            <w:tcW w:w="8721" w:type="dxa"/>
            <w:gridSpan w:val="4"/>
          </w:tcPr>
          <w:p w14:paraId="6A01D4B5" w14:textId="77777777" w:rsidR="00B630F2" w:rsidRPr="00AF72FB" w:rsidRDefault="00B630F2" w:rsidP="0010370B">
            <w:pPr>
              <w:pStyle w:val="a3"/>
              <w:jc w:val="center"/>
              <w:rPr>
                <w:rFonts w:ascii="Tahoma" w:hAnsi="Tahoma" w:cs="Tahoma"/>
                <w:color w:val="000080"/>
                <w:rtl/>
              </w:rPr>
            </w:pPr>
            <w:bookmarkStart w:id="0" w:name="LastJudge"/>
            <w:r w:rsidRPr="00AF72FB">
              <w:rPr>
                <w:rFonts w:ascii="Tahoma" w:hAnsi="Tahoma" w:cs="Tahoma"/>
                <w:b/>
                <w:bCs/>
                <w:color w:val="000080"/>
                <w:rtl/>
              </w:rPr>
              <w:t>בית משפט השלום בחדרה</w:t>
            </w:r>
          </w:p>
        </w:tc>
      </w:tr>
      <w:tr w:rsidR="00B630F2" w:rsidRPr="00AF72FB" w14:paraId="427C85C2" w14:textId="77777777" w:rsidTr="00A01227">
        <w:trPr>
          <w:gridAfter w:val="1"/>
          <w:wAfter w:w="99" w:type="dxa"/>
          <w:trHeight w:val="337"/>
          <w:jc w:val="center"/>
        </w:trPr>
        <w:tc>
          <w:tcPr>
            <w:tcW w:w="5059" w:type="dxa"/>
            <w:gridSpan w:val="3"/>
          </w:tcPr>
          <w:p w14:paraId="2E04A32B" w14:textId="77777777" w:rsidR="00B630F2" w:rsidRPr="00AF72FB" w:rsidRDefault="00B630F2" w:rsidP="0010370B">
            <w:pPr>
              <w:rPr>
                <w:rFonts w:cs="FrankRuehl"/>
                <w:sz w:val="28"/>
                <w:szCs w:val="28"/>
                <w:rtl/>
              </w:rPr>
            </w:pPr>
            <w:r w:rsidRPr="00AF72FB">
              <w:rPr>
                <w:rFonts w:cs="FrankRuehl"/>
                <w:sz w:val="28"/>
                <w:szCs w:val="28"/>
                <w:rtl/>
              </w:rPr>
              <w:t>ת"פ</w:t>
            </w:r>
            <w:r w:rsidRPr="00AF72FB">
              <w:rPr>
                <w:rFonts w:cs="FrankRuehl" w:hint="cs"/>
                <w:sz w:val="28"/>
                <w:szCs w:val="28"/>
                <w:rtl/>
              </w:rPr>
              <w:t xml:space="preserve"> </w:t>
            </w:r>
            <w:r w:rsidRPr="00AF72FB">
              <w:rPr>
                <w:rFonts w:cs="FrankRuehl"/>
                <w:sz w:val="28"/>
                <w:szCs w:val="28"/>
                <w:rtl/>
              </w:rPr>
              <w:t>8152-10-22</w:t>
            </w:r>
            <w:r w:rsidRPr="00AF72FB">
              <w:rPr>
                <w:rFonts w:cs="FrankRuehl" w:hint="cs"/>
                <w:sz w:val="28"/>
                <w:szCs w:val="28"/>
                <w:rtl/>
              </w:rPr>
              <w:t xml:space="preserve"> </w:t>
            </w:r>
            <w:r w:rsidRPr="00AF72FB">
              <w:rPr>
                <w:rFonts w:cs="FrankRuehl"/>
                <w:sz w:val="28"/>
                <w:szCs w:val="28"/>
                <w:rtl/>
              </w:rPr>
              <w:t>מדינת ישראל נ' אבו שחאדה(עציר)</w:t>
            </w:r>
          </w:p>
          <w:p w14:paraId="02F47E31" w14:textId="77777777" w:rsidR="00B630F2" w:rsidRPr="00AF72FB" w:rsidRDefault="00B630F2" w:rsidP="0010370B">
            <w:pPr>
              <w:pStyle w:val="a3"/>
              <w:rPr>
                <w:rFonts w:cs="FrankRuehl"/>
                <w:sz w:val="28"/>
                <w:szCs w:val="28"/>
                <w:rtl/>
              </w:rPr>
            </w:pPr>
          </w:p>
        </w:tc>
        <w:tc>
          <w:tcPr>
            <w:tcW w:w="3662" w:type="dxa"/>
          </w:tcPr>
          <w:p w14:paraId="7899E1E8" w14:textId="77777777" w:rsidR="00B630F2" w:rsidRPr="00AF72FB" w:rsidRDefault="00B630F2" w:rsidP="0010370B">
            <w:pPr>
              <w:pStyle w:val="a3"/>
              <w:jc w:val="right"/>
              <w:rPr>
                <w:rFonts w:cs="FrankRuehl"/>
                <w:sz w:val="28"/>
                <w:szCs w:val="28"/>
                <w:rtl/>
              </w:rPr>
            </w:pPr>
          </w:p>
        </w:tc>
      </w:tr>
      <w:tr w:rsidR="00B630F2" w:rsidRPr="00AF72FB" w14:paraId="7046E81E" w14:textId="77777777" w:rsidTr="00A012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E24336D" w14:textId="77777777" w:rsidR="00B630F2" w:rsidRPr="00AF72FB" w:rsidRDefault="00B630F2" w:rsidP="00B630F2">
            <w:pPr>
              <w:jc w:val="both"/>
              <w:rPr>
                <w:rFonts w:ascii="David" w:hAnsi="David"/>
                <w:sz w:val="26"/>
                <w:szCs w:val="26"/>
              </w:rPr>
            </w:pPr>
            <w:r w:rsidRPr="00AF72FB">
              <w:rPr>
                <w:rFonts w:hint="cs"/>
                <w:rtl/>
              </w:rPr>
              <w:t xml:space="preserve"> </w:t>
            </w:r>
            <w:r w:rsidRPr="00AF72FB">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DD5AF2C" w14:textId="77777777" w:rsidR="00B630F2" w:rsidRPr="00AF72FB" w:rsidRDefault="00B630F2" w:rsidP="0010370B">
            <w:pPr>
              <w:rPr>
                <w:rFonts w:ascii="David" w:hAnsi="David"/>
                <w:b/>
                <w:bCs/>
                <w:sz w:val="26"/>
                <w:szCs w:val="26"/>
                <w:rtl/>
              </w:rPr>
            </w:pPr>
            <w:r w:rsidRPr="00AF72FB">
              <w:rPr>
                <w:rFonts w:ascii="David" w:hAnsi="David"/>
                <w:b/>
                <w:bCs/>
                <w:sz w:val="26"/>
                <w:szCs w:val="26"/>
                <w:rtl/>
              </w:rPr>
              <w:t>כבוד השופט  אלכס אחטר</w:t>
            </w:r>
          </w:p>
          <w:p w14:paraId="59ADE4E7" w14:textId="77777777" w:rsidR="00B630F2" w:rsidRPr="00AF72FB" w:rsidRDefault="00B630F2" w:rsidP="0010370B">
            <w:pPr>
              <w:rPr>
                <w:rFonts w:ascii="David" w:hAnsi="David"/>
                <w:sz w:val="26"/>
                <w:szCs w:val="26"/>
                <w:rtl/>
              </w:rPr>
            </w:pPr>
          </w:p>
          <w:p w14:paraId="7F335B6A" w14:textId="77777777" w:rsidR="00B630F2" w:rsidRPr="00AF72FB" w:rsidRDefault="00B630F2" w:rsidP="00B630F2">
            <w:pPr>
              <w:jc w:val="both"/>
              <w:rPr>
                <w:rFonts w:ascii="David" w:hAnsi="David"/>
                <w:sz w:val="26"/>
                <w:szCs w:val="26"/>
              </w:rPr>
            </w:pPr>
          </w:p>
        </w:tc>
      </w:tr>
      <w:tr w:rsidR="00B630F2" w:rsidRPr="00AF72FB" w14:paraId="142B6364" w14:textId="77777777" w:rsidTr="00A012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B43B56A" w14:textId="77777777" w:rsidR="00B630F2" w:rsidRPr="00AF72FB" w:rsidRDefault="00B630F2" w:rsidP="00B630F2">
            <w:pPr>
              <w:jc w:val="both"/>
              <w:rPr>
                <w:rFonts w:ascii="David" w:hAnsi="David"/>
                <w:sz w:val="26"/>
                <w:szCs w:val="26"/>
              </w:rPr>
            </w:pPr>
            <w:bookmarkStart w:id="1" w:name="FirstAppellant"/>
            <w:bookmarkStart w:id="2" w:name="FirstLawyer"/>
            <w:r w:rsidRPr="00AF72FB">
              <w:rPr>
                <w:rFonts w:ascii="David" w:hAnsi="David"/>
                <w:sz w:val="26"/>
                <w:szCs w:val="26"/>
                <w:rtl/>
              </w:rPr>
              <w:t>בעניין:</w:t>
            </w:r>
          </w:p>
        </w:tc>
        <w:tc>
          <w:tcPr>
            <w:tcW w:w="2652" w:type="dxa"/>
            <w:tcBorders>
              <w:top w:val="nil"/>
              <w:left w:val="nil"/>
              <w:bottom w:val="nil"/>
              <w:right w:val="nil"/>
            </w:tcBorders>
            <w:shd w:val="clear" w:color="auto" w:fill="auto"/>
          </w:tcPr>
          <w:p w14:paraId="1F93A0B7" w14:textId="77777777" w:rsidR="00B630F2" w:rsidRPr="00AF72FB" w:rsidRDefault="00B630F2" w:rsidP="00B630F2">
            <w:pPr>
              <w:suppressLineNumbers/>
            </w:pPr>
            <w:r w:rsidRPr="00AF72FB">
              <w:rPr>
                <w:rFonts w:ascii="Arial" w:hAnsi="Arial" w:hint="cs"/>
                <w:b/>
                <w:bCs/>
                <w:sz w:val="26"/>
                <w:szCs w:val="26"/>
                <w:rtl/>
              </w:rPr>
              <w:t>ה</w:t>
            </w:r>
            <w:r w:rsidRPr="00AF72FB">
              <w:rPr>
                <w:rFonts w:ascii="Arial" w:hAnsi="Arial"/>
                <w:b/>
                <w:bCs/>
                <w:sz w:val="26"/>
                <w:szCs w:val="26"/>
                <w:rtl/>
              </w:rPr>
              <w:t>מאשימה</w:t>
            </w:r>
          </w:p>
          <w:p w14:paraId="7D895409" w14:textId="77777777" w:rsidR="00B630F2" w:rsidRPr="00AF72FB" w:rsidRDefault="00B630F2" w:rsidP="0010370B">
            <w:pPr>
              <w:rPr>
                <w:rFonts w:ascii="David" w:hAnsi="David"/>
                <w:sz w:val="26"/>
                <w:szCs w:val="26"/>
              </w:rPr>
            </w:pPr>
          </w:p>
        </w:tc>
        <w:tc>
          <w:tcPr>
            <w:tcW w:w="5245" w:type="dxa"/>
            <w:gridSpan w:val="3"/>
            <w:tcBorders>
              <w:top w:val="nil"/>
              <w:left w:val="nil"/>
              <w:bottom w:val="nil"/>
              <w:right w:val="nil"/>
            </w:tcBorders>
            <w:shd w:val="clear" w:color="auto" w:fill="auto"/>
            <w:vAlign w:val="center"/>
          </w:tcPr>
          <w:p w14:paraId="1869C905" w14:textId="77777777" w:rsidR="00B630F2" w:rsidRPr="00AF72FB" w:rsidRDefault="00B630F2" w:rsidP="00B630F2">
            <w:pPr>
              <w:suppressLineNumbers/>
              <w:rPr>
                <w:rFonts w:ascii="Arial" w:hAnsi="Arial"/>
                <w:b/>
                <w:bCs/>
                <w:sz w:val="26"/>
                <w:szCs w:val="26"/>
                <w:rtl/>
              </w:rPr>
            </w:pPr>
            <w:r w:rsidRPr="00AF72FB">
              <w:rPr>
                <w:rFonts w:ascii="Arial" w:hAnsi="Arial"/>
                <w:b/>
                <w:bCs/>
                <w:sz w:val="26"/>
                <w:szCs w:val="26"/>
                <w:rtl/>
              </w:rPr>
              <w:t>מדינת ישראל</w:t>
            </w:r>
            <w:r w:rsidRPr="00AF72FB">
              <w:rPr>
                <w:rFonts w:ascii="Arial" w:hAnsi="Arial" w:hint="cs"/>
                <w:b/>
                <w:bCs/>
                <w:sz w:val="26"/>
                <w:szCs w:val="26"/>
                <w:rtl/>
              </w:rPr>
              <w:t xml:space="preserve"> </w:t>
            </w:r>
          </w:p>
          <w:p w14:paraId="2D518016" w14:textId="77777777" w:rsidR="00B630F2" w:rsidRPr="00AF72FB" w:rsidRDefault="00B630F2" w:rsidP="00B630F2">
            <w:pPr>
              <w:suppressLineNumbers/>
              <w:rPr>
                <w:b/>
                <w:bCs/>
              </w:rPr>
            </w:pPr>
            <w:r w:rsidRPr="00AF72FB">
              <w:rPr>
                <w:rFonts w:ascii="Arial" w:hAnsi="Arial"/>
                <w:b/>
                <w:bCs/>
                <w:rtl/>
              </w:rPr>
              <w:t>ע"י ב"כ עוה"ד</w:t>
            </w:r>
            <w:r w:rsidRPr="00AF72FB">
              <w:rPr>
                <w:rFonts w:hint="cs"/>
                <w:b/>
                <w:bCs/>
                <w:rtl/>
              </w:rPr>
              <w:t xml:space="preserve"> מיכאל בן חור</w:t>
            </w:r>
          </w:p>
          <w:p w14:paraId="2AAB9978" w14:textId="77777777" w:rsidR="00B630F2" w:rsidRPr="00AF72FB" w:rsidRDefault="00B630F2" w:rsidP="0010370B">
            <w:pPr>
              <w:rPr>
                <w:rFonts w:ascii="David" w:hAnsi="David"/>
                <w:sz w:val="26"/>
                <w:szCs w:val="26"/>
              </w:rPr>
            </w:pPr>
          </w:p>
        </w:tc>
      </w:tr>
      <w:bookmarkEnd w:id="1"/>
      <w:bookmarkEnd w:id="2"/>
      <w:tr w:rsidR="00B630F2" w:rsidRPr="00AF72FB" w14:paraId="0DE9C7A3" w14:textId="77777777" w:rsidTr="00A012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5"/>
            <w:tcBorders>
              <w:top w:val="nil"/>
              <w:left w:val="nil"/>
              <w:bottom w:val="nil"/>
              <w:right w:val="nil"/>
            </w:tcBorders>
            <w:shd w:val="clear" w:color="auto" w:fill="auto"/>
          </w:tcPr>
          <w:p w14:paraId="5F90C227" w14:textId="77777777" w:rsidR="00B630F2" w:rsidRPr="00AF72FB" w:rsidRDefault="00B630F2" w:rsidP="00B630F2">
            <w:pPr>
              <w:jc w:val="center"/>
              <w:rPr>
                <w:rFonts w:ascii="David" w:hAnsi="David"/>
                <w:b/>
                <w:bCs/>
                <w:sz w:val="26"/>
                <w:szCs w:val="26"/>
                <w:rtl/>
              </w:rPr>
            </w:pPr>
          </w:p>
          <w:p w14:paraId="4F752F4E" w14:textId="77777777" w:rsidR="00B630F2" w:rsidRPr="00AF72FB" w:rsidRDefault="00B630F2" w:rsidP="00B630F2">
            <w:pPr>
              <w:jc w:val="center"/>
              <w:rPr>
                <w:rFonts w:ascii="David" w:hAnsi="David"/>
                <w:b/>
                <w:bCs/>
                <w:sz w:val="26"/>
                <w:szCs w:val="26"/>
                <w:rtl/>
              </w:rPr>
            </w:pPr>
            <w:r w:rsidRPr="00AF72FB">
              <w:rPr>
                <w:rFonts w:ascii="David" w:hAnsi="David"/>
                <w:b/>
                <w:bCs/>
                <w:sz w:val="26"/>
                <w:szCs w:val="26"/>
                <w:rtl/>
              </w:rPr>
              <w:t>נגד</w:t>
            </w:r>
          </w:p>
          <w:p w14:paraId="5DA494B5" w14:textId="77777777" w:rsidR="00B630F2" w:rsidRPr="00AF72FB" w:rsidRDefault="00B630F2" w:rsidP="00B630F2">
            <w:pPr>
              <w:jc w:val="both"/>
              <w:rPr>
                <w:rFonts w:ascii="David" w:hAnsi="David"/>
                <w:sz w:val="26"/>
                <w:szCs w:val="26"/>
              </w:rPr>
            </w:pPr>
          </w:p>
        </w:tc>
      </w:tr>
      <w:tr w:rsidR="00B630F2" w:rsidRPr="00AF72FB" w14:paraId="5B137491" w14:textId="77777777" w:rsidTr="00A012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C9C708F" w14:textId="77777777" w:rsidR="00B630F2" w:rsidRPr="00AF72FB" w:rsidRDefault="00B630F2" w:rsidP="0010370B">
            <w:pPr>
              <w:rPr>
                <w:rFonts w:ascii="David" w:hAnsi="David"/>
                <w:sz w:val="26"/>
                <w:szCs w:val="26"/>
                <w:rtl/>
              </w:rPr>
            </w:pPr>
          </w:p>
        </w:tc>
        <w:tc>
          <w:tcPr>
            <w:tcW w:w="2652" w:type="dxa"/>
            <w:tcBorders>
              <w:top w:val="nil"/>
              <w:left w:val="nil"/>
              <w:bottom w:val="nil"/>
              <w:right w:val="nil"/>
            </w:tcBorders>
            <w:shd w:val="clear" w:color="auto" w:fill="auto"/>
          </w:tcPr>
          <w:p w14:paraId="78970E90" w14:textId="77777777" w:rsidR="00B630F2" w:rsidRPr="00AF72FB" w:rsidRDefault="00B630F2" w:rsidP="0010370B">
            <w:pPr>
              <w:rPr>
                <w:rFonts w:ascii="Arial" w:hAnsi="Arial"/>
                <w:b/>
                <w:bCs/>
                <w:sz w:val="26"/>
                <w:szCs w:val="26"/>
                <w:rtl/>
              </w:rPr>
            </w:pPr>
            <w:r w:rsidRPr="00AF72FB">
              <w:rPr>
                <w:rFonts w:ascii="Arial" w:hAnsi="Arial"/>
                <w:b/>
                <w:bCs/>
                <w:sz w:val="26"/>
                <w:szCs w:val="26"/>
                <w:rtl/>
              </w:rPr>
              <w:t>הנאשם</w:t>
            </w:r>
          </w:p>
        </w:tc>
        <w:tc>
          <w:tcPr>
            <w:tcW w:w="5245" w:type="dxa"/>
            <w:gridSpan w:val="3"/>
            <w:tcBorders>
              <w:top w:val="nil"/>
              <w:left w:val="nil"/>
              <w:bottom w:val="nil"/>
              <w:right w:val="nil"/>
            </w:tcBorders>
            <w:shd w:val="clear" w:color="auto" w:fill="auto"/>
            <w:vAlign w:val="center"/>
          </w:tcPr>
          <w:p w14:paraId="5616AABD" w14:textId="77777777" w:rsidR="00B630F2" w:rsidRPr="00AF72FB" w:rsidRDefault="00B630F2" w:rsidP="00B630F2">
            <w:pPr>
              <w:suppressLineNumbers/>
              <w:rPr>
                <w:rFonts w:ascii="Arial" w:hAnsi="Arial"/>
                <w:b/>
                <w:bCs/>
                <w:sz w:val="26"/>
                <w:szCs w:val="26"/>
                <w:rtl/>
              </w:rPr>
            </w:pPr>
            <w:r w:rsidRPr="00AF72FB">
              <w:rPr>
                <w:rFonts w:ascii="Arial" w:hAnsi="Arial"/>
                <w:b/>
                <w:bCs/>
                <w:sz w:val="26"/>
                <w:szCs w:val="26"/>
                <w:rtl/>
              </w:rPr>
              <w:t>סעיד אבו שחאדה (עציר)</w:t>
            </w:r>
            <w:r w:rsidRPr="00AF72FB">
              <w:rPr>
                <w:rFonts w:ascii="Arial" w:hAnsi="Arial" w:hint="cs"/>
                <w:b/>
                <w:bCs/>
                <w:sz w:val="26"/>
                <w:szCs w:val="26"/>
                <w:rtl/>
              </w:rPr>
              <w:t xml:space="preserve"> </w:t>
            </w:r>
          </w:p>
          <w:p w14:paraId="3EA0FB63" w14:textId="77777777" w:rsidR="00B630F2" w:rsidRPr="00AF72FB" w:rsidRDefault="00B630F2" w:rsidP="00B630F2">
            <w:pPr>
              <w:suppressLineNumbers/>
              <w:rPr>
                <w:b/>
                <w:bCs/>
              </w:rPr>
            </w:pPr>
            <w:r w:rsidRPr="00AF72FB">
              <w:rPr>
                <w:rFonts w:ascii="Arial" w:hAnsi="Arial"/>
                <w:b/>
                <w:bCs/>
                <w:rtl/>
              </w:rPr>
              <w:t>ע"י ב"כ עוה"ד</w:t>
            </w:r>
            <w:r w:rsidRPr="00AF72FB">
              <w:rPr>
                <w:rFonts w:hint="cs"/>
                <w:b/>
                <w:bCs/>
                <w:rtl/>
              </w:rPr>
              <w:t xml:space="preserve"> אחמד יונס</w:t>
            </w:r>
          </w:p>
          <w:p w14:paraId="40D8DFEE" w14:textId="77777777" w:rsidR="00B630F2" w:rsidRPr="00AF72FB" w:rsidRDefault="00B630F2" w:rsidP="0010370B">
            <w:pPr>
              <w:rPr>
                <w:rFonts w:ascii="David" w:hAnsi="David"/>
                <w:sz w:val="26"/>
                <w:szCs w:val="26"/>
              </w:rPr>
            </w:pPr>
          </w:p>
        </w:tc>
      </w:tr>
    </w:tbl>
    <w:p w14:paraId="146BC6FB" w14:textId="77777777" w:rsidR="00AF72FB" w:rsidRPr="00AF72FB" w:rsidRDefault="00AF72FB" w:rsidP="00B630F2">
      <w:pPr>
        <w:rPr>
          <w:sz w:val="26"/>
          <w:szCs w:val="26"/>
          <w:rtl/>
        </w:rPr>
      </w:pPr>
    </w:p>
    <w:p w14:paraId="05BD38AB" w14:textId="77777777" w:rsidR="002342BA" w:rsidRPr="002342BA" w:rsidRDefault="002342BA" w:rsidP="00AF72FB">
      <w:pPr>
        <w:spacing w:after="120" w:line="240" w:lineRule="exact"/>
        <w:ind w:left="283" w:hanging="283"/>
        <w:jc w:val="both"/>
        <w:rPr>
          <w:color w:val="0000FF"/>
          <w:sz w:val="26"/>
          <w:szCs w:val="26"/>
          <w:rtl/>
        </w:rPr>
      </w:pPr>
    </w:p>
    <w:p w14:paraId="4733B56A" w14:textId="77777777" w:rsidR="00273074" w:rsidRPr="00273074" w:rsidRDefault="00273074" w:rsidP="002342BA">
      <w:pPr>
        <w:spacing w:after="120" w:line="240" w:lineRule="exact"/>
        <w:ind w:left="283" w:hanging="283"/>
        <w:jc w:val="both"/>
        <w:rPr>
          <w:sz w:val="26"/>
          <w:szCs w:val="26"/>
          <w:rtl/>
        </w:rPr>
      </w:pPr>
    </w:p>
    <w:p w14:paraId="25C36D50" w14:textId="77777777" w:rsidR="00273074" w:rsidRPr="00273074" w:rsidRDefault="00273074" w:rsidP="00273074">
      <w:pPr>
        <w:spacing w:after="120" w:line="240" w:lineRule="exact"/>
        <w:ind w:left="283" w:hanging="283"/>
        <w:jc w:val="both"/>
        <w:rPr>
          <w:rFonts w:ascii="FrankRuehl" w:hAnsi="FrankRuehl" w:cs="FrankRuehl"/>
        </w:rPr>
      </w:pPr>
      <w:bookmarkStart w:id="3" w:name="Links_Start"/>
      <w:bookmarkEnd w:id="3"/>
      <w:r w:rsidRPr="00273074">
        <w:rPr>
          <w:rFonts w:ascii="FrankRuehl" w:hAnsi="FrankRuehl" w:cs="FrankRuehl"/>
          <w:rtl/>
        </w:rPr>
        <w:t>ספרות:</w:t>
      </w:r>
    </w:p>
    <w:p w14:paraId="55456CAE" w14:textId="77777777" w:rsidR="00273074" w:rsidRPr="00273074" w:rsidRDefault="00273074" w:rsidP="00273074">
      <w:pPr>
        <w:spacing w:after="120" w:line="240" w:lineRule="exact"/>
        <w:ind w:left="283" w:hanging="283"/>
        <w:jc w:val="both"/>
        <w:rPr>
          <w:rStyle w:val="Hyperlink"/>
          <w:rFonts w:ascii="FrankRuehl" w:hAnsi="FrankRuehl" w:cs="FrankRuehl"/>
          <w:u w:val="none"/>
          <w:rtl/>
        </w:rPr>
      </w:pPr>
      <w:r w:rsidRPr="00273074">
        <w:rPr>
          <w:rFonts w:ascii="FrankRuehl" w:hAnsi="FrankRuehl" w:cs="FrankRuehl"/>
          <w:color w:val="0000FF"/>
          <w:rtl/>
        </w:rPr>
        <w:fldChar w:fldCharType="begin"/>
      </w:r>
      <w:r w:rsidRPr="00273074">
        <w:rPr>
          <w:rFonts w:ascii="FrankRuehl" w:hAnsi="FrankRuehl" w:cs="FrankRuehl"/>
          <w:color w:val="0000FF"/>
          <w:rtl/>
        </w:rPr>
        <w:instrText xml:space="preserve"> </w:instrText>
      </w:r>
      <w:r w:rsidRPr="00273074">
        <w:rPr>
          <w:rFonts w:ascii="FrankRuehl" w:hAnsi="FrankRuehl" w:cs="FrankRuehl"/>
          <w:color w:val="0000FF"/>
        </w:rPr>
        <w:instrText xml:space="preserve">HYPERLINK </w:instrText>
      </w:r>
      <w:r w:rsidRPr="00273074">
        <w:rPr>
          <w:rFonts w:ascii="FrankRuehl" w:hAnsi="FrankRuehl" w:cs="FrankRuehl"/>
          <w:color w:val="0000FF"/>
          <w:rtl/>
        </w:rPr>
        <w:instrText>"</w:instrText>
      </w:r>
      <w:r w:rsidRPr="00273074">
        <w:rPr>
          <w:rFonts w:ascii="FrankRuehl" w:hAnsi="FrankRuehl" w:cs="FrankRuehl"/>
          <w:color w:val="0000FF"/>
        </w:rPr>
        <w:instrText>http://www.nevo.co.il/safrut/bookgroup/412"</w:instrText>
      </w:r>
      <w:r w:rsidRPr="00273074">
        <w:rPr>
          <w:rFonts w:ascii="FrankRuehl" w:hAnsi="FrankRuehl" w:cs="FrankRuehl"/>
          <w:color w:val="0000FF"/>
          <w:rtl/>
        </w:rPr>
        <w:instrText xml:space="preserve"> </w:instrText>
      </w:r>
      <w:r w:rsidRPr="00273074">
        <w:rPr>
          <w:rFonts w:ascii="FrankRuehl" w:hAnsi="FrankRuehl" w:cs="FrankRuehl"/>
          <w:color w:val="0000FF"/>
          <w:rtl/>
        </w:rPr>
      </w:r>
      <w:r w:rsidRPr="00273074">
        <w:rPr>
          <w:rFonts w:ascii="FrankRuehl" w:hAnsi="FrankRuehl" w:cs="FrankRuehl"/>
          <w:color w:val="0000FF"/>
          <w:rtl/>
        </w:rPr>
        <w:fldChar w:fldCharType="separate"/>
      </w:r>
      <w:r w:rsidRPr="00273074">
        <w:rPr>
          <w:rStyle w:val="Hyperlink"/>
          <w:rFonts w:ascii="FrankRuehl" w:hAnsi="FrankRuehl" w:cs="FrankRuehl"/>
          <w:u w:val="none"/>
          <w:rtl/>
        </w:rPr>
        <w:t xml:space="preserve">ש"ז פלר  </w:t>
      </w:r>
      <w:r w:rsidRPr="00273074">
        <w:rPr>
          <w:rStyle w:val="Hyperlink"/>
          <w:rFonts w:ascii="FrankRuehl" w:hAnsi="FrankRuehl" w:cs="FrankRuehl"/>
          <w:u w:val="none"/>
        </w:rPr>
        <w:t xml:space="preserve"> </w:t>
      </w:r>
      <w:r w:rsidRPr="00273074">
        <w:rPr>
          <w:rStyle w:val="Hyperlink"/>
          <w:rFonts w:ascii="FrankRuehl" w:hAnsi="FrankRuehl" w:cs="FrankRuehl"/>
          <w:b/>
          <w:bCs/>
          <w:u w:val="none"/>
          <w:rtl/>
        </w:rPr>
        <w:t xml:space="preserve">יסודות בדיני עונשין </w:t>
      </w:r>
    </w:p>
    <w:p w14:paraId="63672826" w14:textId="77777777" w:rsidR="00273074" w:rsidRDefault="00273074" w:rsidP="00273074">
      <w:pPr>
        <w:spacing w:after="120" w:line="240" w:lineRule="exact"/>
        <w:ind w:left="283" w:hanging="283"/>
        <w:jc w:val="both"/>
        <w:rPr>
          <w:color w:val="0000FF"/>
          <w:sz w:val="26"/>
          <w:szCs w:val="26"/>
        </w:rPr>
      </w:pPr>
      <w:r w:rsidRPr="00273074">
        <w:rPr>
          <w:rFonts w:ascii="FrankRuehl" w:hAnsi="FrankRuehl" w:cs="FrankRuehl"/>
          <w:color w:val="0000FF"/>
          <w:rtl/>
        </w:rPr>
        <w:fldChar w:fldCharType="end"/>
      </w:r>
      <w:bookmarkStart w:id="4" w:name="Links_End"/>
      <w:bookmarkStart w:id="5" w:name="LawTable"/>
      <w:bookmarkEnd w:id="4"/>
      <w:bookmarkEnd w:id="5"/>
    </w:p>
    <w:p w14:paraId="077C2AF3" w14:textId="77777777" w:rsidR="00273074" w:rsidRPr="00273074" w:rsidRDefault="00273074" w:rsidP="00273074">
      <w:pPr>
        <w:spacing w:before="120" w:after="120" w:line="240" w:lineRule="exact"/>
        <w:ind w:left="283" w:hanging="283"/>
        <w:jc w:val="both"/>
        <w:rPr>
          <w:rFonts w:ascii="FrankRuehl" w:hAnsi="FrankRuehl" w:cs="FrankRuehl"/>
          <w:color w:val="0000FF"/>
        </w:rPr>
      </w:pPr>
    </w:p>
    <w:p w14:paraId="41886A65" w14:textId="77777777" w:rsidR="00273074" w:rsidRPr="00273074" w:rsidRDefault="00273074" w:rsidP="00273074">
      <w:pPr>
        <w:spacing w:before="120" w:after="120" w:line="240" w:lineRule="exact"/>
        <w:ind w:left="283" w:hanging="283"/>
        <w:jc w:val="both"/>
        <w:rPr>
          <w:rFonts w:ascii="FrankRuehl" w:hAnsi="FrankRuehl" w:cs="FrankRuehl"/>
          <w:color w:val="0000FF"/>
          <w:rtl/>
        </w:rPr>
      </w:pPr>
    </w:p>
    <w:p w14:paraId="29666E6C" w14:textId="77777777" w:rsidR="00273074" w:rsidRPr="00273074" w:rsidRDefault="00273074" w:rsidP="00273074">
      <w:pPr>
        <w:spacing w:before="120" w:after="120" w:line="240" w:lineRule="exact"/>
        <w:ind w:left="283" w:hanging="283"/>
        <w:jc w:val="both"/>
        <w:rPr>
          <w:rFonts w:ascii="FrankRuehl" w:hAnsi="FrankRuehl" w:cs="FrankRuehl"/>
          <w:color w:val="0000FF"/>
        </w:rPr>
      </w:pPr>
      <w:r w:rsidRPr="00273074">
        <w:rPr>
          <w:rFonts w:ascii="FrankRuehl" w:hAnsi="FrankRuehl" w:cs="FrankRuehl"/>
          <w:color w:val="0000FF"/>
          <w:rtl/>
        </w:rPr>
        <w:t xml:space="preserve">חקיקה שאוזכרה: </w:t>
      </w:r>
    </w:p>
    <w:p w14:paraId="59A6F4E2" w14:textId="77777777" w:rsidR="00273074" w:rsidRPr="00273074" w:rsidRDefault="00273074" w:rsidP="00273074">
      <w:pPr>
        <w:spacing w:before="120" w:after="120" w:line="240" w:lineRule="exact"/>
        <w:ind w:left="283" w:hanging="283"/>
        <w:jc w:val="both"/>
        <w:rPr>
          <w:rFonts w:ascii="FrankRuehl" w:hAnsi="FrankRuehl" w:cs="FrankRuehl"/>
        </w:rPr>
      </w:pPr>
      <w:hyperlink r:id="rId7" w:history="1">
        <w:r w:rsidRPr="00273074">
          <w:rPr>
            <w:rFonts w:ascii="FrankRuehl" w:hAnsi="FrankRuehl" w:cs="FrankRuehl"/>
            <w:color w:val="0000FF"/>
            <w:rtl/>
          </w:rPr>
          <w:t>חוק העונשין, תשל"ז-1977</w:t>
        </w:r>
      </w:hyperlink>
      <w:r w:rsidRPr="00273074">
        <w:rPr>
          <w:rFonts w:ascii="FrankRuehl" w:hAnsi="FrankRuehl" w:cs="FrankRuehl"/>
        </w:rPr>
        <w:t xml:space="preserve">: </w:t>
      </w:r>
      <w:r w:rsidRPr="00273074">
        <w:rPr>
          <w:rFonts w:ascii="FrankRuehl" w:hAnsi="FrankRuehl" w:cs="FrankRuehl"/>
          <w:rtl/>
        </w:rPr>
        <w:t>סע</w:t>
      </w:r>
      <w:r w:rsidRPr="00273074">
        <w:rPr>
          <w:rFonts w:ascii="FrankRuehl" w:hAnsi="FrankRuehl" w:cs="FrankRuehl"/>
        </w:rPr>
        <w:t xml:space="preserve">'  </w:t>
      </w:r>
      <w:hyperlink r:id="rId8" w:history="1">
        <w:r w:rsidRPr="00273074">
          <w:rPr>
            <w:rFonts w:ascii="FrankRuehl" w:hAnsi="FrankRuehl" w:cs="FrankRuehl"/>
            <w:color w:val="0000FF"/>
            <w:rtl/>
          </w:rPr>
          <w:t>ו40 ה</w:t>
        </w:r>
        <w:r w:rsidRPr="00273074">
          <w:rPr>
            <w:rFonts w:ascii="FrankRuehl" w:hAnsi="FrankRuehl" w:cs="FrankRuehl"/>
            <w:color w:val="0000FF"/>
          </w:rPr>
          <w:t>'</w:t>
        </w:r>
      </w:hyperlink>
      <w:r w:rsidRPr="00273074">
        <w:rPr>
          <w:rFonts w:ascii="FrankRuehl" w:hAnsi="FrankRuehl" w:cs="FrankRuehl"/>
        </w:rPr>
        <w:t xml:space="preserve">, </w:t>
      </w:r>
      <w:hyperlink r:id="rId9" w:history="1">
        <w:r w:rsidRPr="00273074">
          <w:rPr>
            <w:rFonts w:ascii="FrankRuehl" w:hAnsi="FrankRuehl" w:cs="FrankRuehl"/>
            <w:color w:val="0000FF"/>
          </w:rPr>
          <w:t>40</w:t>
        </w:r>
        <w:r w:rsidRPr="00273074">
          <w:rPr>
            <w:rFonts w:ascii="FrankRuehl" w:hAnsi="FrankRuehl" w:cs="FrankRuehl"/>
            <w:color w:val="0000FF"/>
            <w:rtl/>
          </w:rPr>
          <w:t>ד</w:t>
        </w:r>
        <w:r w:rsidRPr="00273074">
          <w:rPr>
            <w:rFonts w:ascii="FrankRuehl" w:hAnsi="FrankRuehl" w:cs="FrankRuehl"/>
            <w:color w:val="0000FF"/>
          </w:rPr>
          <w:t>'</w:t>
        </w:r>
      </w:hyperlink>
      <w:r w:rsidRPr="00273074">
        <w:rPr>
          <w:rFonts w:ascii="FrankRuehl" w:hAnsi="FrankRuehl" w:cs="FrankRuehl"/>
        </w:rPr>
        <w:t xml:space="preserve">, </w:t>
      </w:r>
      <w:hyperlink r:id="rId10" w:history="1">
        <w:r w:rsidRPr="00273074">
          <w:rPr>
            <w:rFonts w:ascii="FrankRuehl" w:hAnsi="FrankRuehl" w:cs="FrankRuehl"/>
            <w:color w:val="0000FF"/>
          </w:rPr>
          <w:t>40</w:t>
        </w:r>
        <w:r w:rsidRPr="00273074">
          <w:rPr>
            <w:rFonts w:ascii="FrankRuehl" w:hAnsi="FrankRuehl" w:cs="FrankRuehl"/>
            <w:color w:val="0000FF"/>
            <w:rtl/>
          </w:rPr>
          <w:t>ט</w:t>
        </w:r>
        <w:r w:rsidRPr="00273074">
          <w:rPr>
            <w:rFonts w:ascii="FrankRuehl" w:hAnsi="FrankRuehl" w:cs="FrankRuehl"/>
            <w:color w:val="0000FF"/>
          </w:rPr>
          <w:t>'</w:t>
        </w:r>
      </w:hyperlink>
      <w:r w:rsidRPr="00273074">
        <w:rPr>
          <w:rFonts w:ascii="FrankRuehl" w:hAnsi="FrankRuehl" w:cs="FrankRuehl"/>
        </w:rPr>
        <w:t xml:space="preserve">, </w:t>
      </w:r>
      <w:hyperlink r:id="rId11" w:history="1">
        <w:r w:rsidRPr="00273074">
          <w:rPr>
            <w:rFonts w:ascii="FrankRuehl" w:hAnsi="FrankRuehl" w:cs="FrankRuehl"/>
            <w:color w:val="0000FF"/>
          </w:rPr>
          <w:t>144(</w:t>
        </w:r>
        <w:r w:rsidRPr="00273074">
          <w:rPr>
            <w:rFonts w:ascii="FrankRuehl" w:hAnsi="FrankRuehl" w:cs="FrankRuehl"/>
            <w:color w:val="0000FF"/>
            <w:rtl/>
          </w:rPr>
          <w:t>א</w:t>
        </w:r>
        <w:r w:rsidRPr="00273074">
          <w:rPr>
            <w:rFonts w:ascii="FrankRuehl" w:hAnsi="FrankRuehl" w:cs="FrankRuehl"/>
            <w:color w:val="0000FF"/>
          </w:rPr>
          <w:t>)</w:t>
        </w:r>
      </w:hyperlink>
      <w:r w:rsidRPr="00273074">
        <w:rPr>
          <w:rFonts w:ascii="FrankRuehl" w:hAnsi="FrankRuehl" w:cs="FrankRuehl"/>
        </w:rPr>
        <w:t xml:space="preserve">, </w:t>
      </w:r>
      <w:hyperlink r:id="rId12" w:history="1">
        <w:r w:rsidRPr="00273074">
          <w:rPr>
            <w:rFonts w:ascii="FrankRuehl" w:hAnsi="FrankRuehl" w:cs="FrankRuehl"/>
            <w:color w:val="0000FF"/>
          </w:rPr>
          <w:t>40</w:t>
        </w:r>
        <w:r w:rsidRPr="00273074">
          <w:rPr>
            <w:rFonts w:ascii="FrankRuehl" w:hAnsi="FrankRuehl" w:cs="FrankRuehl"/>
            <w:color w:val="0000FF"/>
            <w:rtl/>
          </w:rPr>
          <w:t>יא</w:t>
        </w:r>
        <w:r w:rsidRPr="00273074">
          <w:rPr>
            <w:rFonts w:ascii="FrankRuehl" w:hAnsi="FrankRuehl" w:cs="FrankRuehl"/>
            <w:color w:val="0000FF"/>
          </w:rPr>
          <w:t>'</w:t>
        </w:r>
      </w:hyperlink>
    </w:p>
    <w:p w14:paraId="750D5F29" w14:textId="77777777" w:rsidR="00273074" w:rsidRPr="00273074" w:rsidRDefault="00273074" w:rsidP="00273074">
      <w:pPr>
        <w:spacing w:after="120" w:line="240" w:lineRule="exact"/>
        <w:ind w:left="283" w:hanging="283"/>
        <w:jc w:val="both"/>
        <w:rPr>
          <w:sz w:val="26"/>
          <w:szCs w:val="26"/>
        </w:rPr>
      </w:pPr>
      <w:bookmarkStart w:id="6" w:name="LawTable_End"/>
      <w:bookmarkEnd w:id="6"/>
    </w:p>
    <w:p w14:paraId="1D0898AA" w14:textId="77777777" w:rsidR="00B630F2" w:rsidRPr="00273074" w:rsidRDefault="00B630F2" w:rsidP="00273074">
      <w:pPr>
        <w:spacing w:after="120" w:line="240" w:lineRule="exact"/>
        <w:ind w:left="283" w:hanging="283"/>
        <w:jc w:val="both"/>
        <w:rPr>
          <w:color w:val="0000FF"/>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630F2" w14:paraId="2A24EC36" w14:textId="77777777" w:rsidTr="00B630F2">
        <w:trPr>
          <w:trHeight w:val="355"/>
          <w:jc w:val="center"/>
        </w:trPr>
        <w:tc>
          <w:tcPr>
            <w:tcW w:w="8820" w:type="dxa"/>
            <w:tcBorders>
              <w:top w:val="nil"/>
              <w:left w:val="nil"/>
              <w:bottom w:val="nil"/>
              <w:right w:val="nil"/>
            </w:tcBorders>
            <w:shd w:val="clear" w:color="auto" w:fill="auto"/>
          </w:tcPr>
          <w:p w14:paraId="6DD57378" w14:textId="77777777" w:rsidR="00AF72FB" w:rsidRPr="00AF72FB" w:rsidRDefault="00AF72FB" w:rsidP="00AF72FB">
            <w:pPr>
              <w:jc w:val="center"/>
              <w:rPr>
                <w:rFonts w:ascii="David" w:hAnsi="David"/>
                <w:b/>
                <w:bCs/>
                <w:sz w:val="32"/>
                <w:szCs w:val="32"/>
                <w:u w:val="single"/>
                <w:rtl/>
              </w:rPr>
            </w:pPr>
            <w:bookmarkStart w:id="7" w:name="PsakDin" w:colFirst="0" w:colLast="0"/>
            <w:bookmarkEnd w:id="0"/>
            <w:r w:rsidRPr="00AF72FB">
              <w:rPr>
                <w:rFonts w:ascii="David" w:hAnsi="David"/>
                <w:b/>
                <w:bCs/>
                <w:sz w:val="32"/>
                <w:szCs w:val="32"/>
                <w:u w:val="single"/>
                <w:rtl/>
              </w:rPr>
              <w:t>גזר דין</w:t>
            </w:r>
          </w:p>
          <w:p w14:paraId="30BBA7E6" w14:textId="77777777" w:rsidR="00B630F2" w:rsidRPr="00AF72FB" w:rsidRDefault="00B630F2" w:rsidP="00AF72FB">
            <w:pPr>
              <w:jc w:val="center"/>
              <w:rPr>
                <w:rFonts w:ascii="David" w:hAnsi="David"/>
                <w:bCs/>
                <w:sz w:val="32"/>
                <w:szCs w:val="32"/>
                <w:u w:val="single"/>
                <w:rtl/>
              </w:rPr>
            </w:pPr>
          </w:p>
        </w:tc>
      </w:tr>
      <w:bookmarkEnd w:id="7"/>
    </w:tbl>
    <w:p w14:paraId="65869C4C" w14:textId="77777777" w:rsidR="00B630F2" w:rsidRPr="00145C15" w:rsidRDefault="00B630F2" w:rsidP="00B630F2">
      <w:pPr>
        <w:spacing w:line="360" w:lineRule="auto"/>
        <w:jc w:val="both"/>
        <w:rPr>
          <w:rFonts w:ascii="Arial" w:eastAsia="David" w:hAnsi="Arial"/>
          <w:rtl/>
        </w:rPr>
      </w:pPr>
    </w:p>
    <w:p w14:paraId="7826F0CA" w14:textId="77777777" w:rsidR="00B630F2" w:rsidRPr="00145C15" w:rsidRDefault="00B630F2" w:rsidP="00B630F2">
      <w:pPr>
        <w:spacing w:line="360" w:lineRule="auto"/>
        <w:jc w:val="both"/>
        <w:rPr>
          <w:rFonts w:ascii="David" w:eastAsia="Calibri" w:hAnsi="David"/>
        </w:rPr>
      </w:pPr>
      <w:bookmarkStart w:id="8" w:name="ABSTRACT_START"/>
      <w:bookmarkEnd w:id="8"/>
      <w:r w:rsidRPr="00145C15">
        <w:rPr>
          <w:rFonts w:ascii="David" w:eastAsia="Calibri" w:hAnsi="David"/>
          <w:rtl/>
        </w:rPr>
        <w:t xml:space="preserve">הנאשם הודה בעבירות המיוחסות לו בכתב האישום ממנו עולה כי בתאריך 24.09.22 בשעה 21:00 או בסמוך לכך, בביתו של הנאשם שבערערה, בחיפוש שנערך כדין במקום על ידי שוטרים, נמצא הנאשם כשהוא מחזיק בחדר השינה, מתחת לשמיכה במיטה של אחותו, בנשק מסוג אקדח חצי אוטומטי </w:t>
      </w:r>
      <w:r w:rsidRPr="00145C15">
        <w:rPr>
          <w:rFonts w:ascii="David" w:eastAsia="Calibri" w:hAnsi="David"/>
        </w:rPr>
        <w:t>cz</w:t>
      </w:r>
      <w:r w:rsidRPr="00145C15">
        <w:rPr>
          <w:rFonts w:ascii="David" w:eastAsia="Calibri" w:hAnsi="David"/>
          <w:rtl/>
        </w:rPr>
        <w:t xml:space="preserve"> מספר סידורי </w:t>
      </w:r>
      <w:r w:rsidRPr="00145C15">
        <w:rPr>
          <w:rFonts w:ascii="David" w:eastAsia="Calibri" w:hAnsi="David"/>
        </w:rPr>
        <w:t xml:space="preserve">p5898 </w:t>
      </w:r>
      <w:r w:rsidRPr="00145C15">
        <w:rPr>
          <w:rFonts w:ascii="David" w:eastAsia="Calibri" w:hAnsi="David"/>
          <w:rtl/>
        </w:rPr>
        <w:t xml:space="preserve"> שיש בכוחו לירות כדור ובכוחו להמית אדם (להלן: "הנשק</w:t>
      </w:r>
      <w:r w:rsidRPr="00145C15">
        <w:rPr>
          <w:rFonts w:ascii="David" w:eastAsia="Calibri" w:hAnsi="David"/>
          <w:b/>
          <w:bCs/>
          <w:rtl/>
        </w:rPr>
        <w:t>"</w:t>
      </w:r>
      <w:r w:rsidRPr="00145C15">
        <w:rPr>
          <w:rFonts w:ascii="David" w:eastAsia="Calibri" w:hAnsi="David"/>
          <w:rtl/>
        </w:rPr>
        <w:t>), כשהוא טעון במחסנית תואמת המכילה 14 כדורי תחמושת בקוטר 9 מ"מ (להלן: "אביזר הנשק" ו-"תחמושת"), וזאת בלא רשות על פי דין.</w:t>
      </w:r>
    </w:p>
    <w:p w14:paraId="08F065C7" w14:textId="77777777" w:rsidR="00B630F2" w:rsidRPr="00145C15" w:rsidRDefault="00B630F2" w:rsidP="00B630F2">
      <w:pPr>
        <w:spacing w:line="360" w:lineRule="auto"/>
        <w:jc w:val="both"/>
        <w:rPr>
          <w:rFonts w:ascii="David" w:eastAsia="Calibri" w:hAnsi="David"/>
          <w:rtl/>
        </w:rPr>
      </w:pPr>
      <w:bookmarkStart w:id="9" w:name="ABSTRACT_END"/>
      <w:bookmarkEnd w:id="9"/>
    </w:p>
    <w:p w14:paraId="097D4875" w14:textId="77777777" w:rsidR="00B630F2" w:rsidRPr="00145C15" w:rsidRDefault="00B630F2" w:rsidP="00B630F2">
      <w:pPr>
        <w:spacing w:line="360" w:lineRule="auto"/>
        <w:jc w:val="both"/>
        <w:rPr>
          <w:rFonts w:ascii="David" w:eastAsia="Calibri" w:hAnsi="David"/>
          <w:rtl/>
        </w:rPr>
      </w:pPr>
      <w:r w:rsidRPr="00145C15">
        <w:rPr>
          <w:rFonts w:ascii="David" w:eastAsia="Calibri" w:hAnsi="David"/>
          <w:rtl/>
        </w:rPr>
        <w:lastRenderedPageBreak/>
        <w:t xml:space="preserve">על בסיס הודאתו, הורשע הנאשם בעבירות של </w:t>
      </w:r>
      <w:r w:rsidRPr="00145C15">
        <w:rPr>
          <w:rFonts w:ascii="David" w:eastAsia="Calibri" w:hAnsi="David"/>
          <w:b/>
          <w:bCs/>
          <w:rtl/>
        </w:rPr>
        <w:t>החזקת נשק שלא כדין</w:t>
      </w:r>
      <w:r w:rsidRPr="00145C15">
        <w:rPr>
          <w:rFonts w:ascii="David" w:eastAsia="Calibri" w:hAnsi="David"/>
          <w:rtl/>
        </w:rPr>
        <w:t xml:space="preserve"> – עבירה לפי </w:t>
      </w:r>
      <w:hyperlink r:id="rId13" w:history="1">
        <w:r w:rsidR="00A01227" w:rsidRPr="00A01227">
          <w:rPr>
            <w:rStyle w:val="Hyperlink"/>
            <w:rFonts w:ascii="David" w:eastAsia="Calibri" w:hAnsi="David"/>
            <w:rtl/>
          </w:rPr>
          <w:t>סעיף 144(א)</w:t>
        </w:r>
      </w:hyperlink>
      <w:r w:rsidRPr="00145C15">
        <w:rPr>
          <w:rFonts w:ascii="David" w:eastAsia="Calibri" w:hAnsi="David"/>
          <w:rtl/>
        </w:rPr>
        <w:t xml:space="preserve"> רישא ל</w:t>
      </w:r>
      <w:hyperlink r:id="rId14" w:history="1">
        <w:r w:rsidR="00AF72FB" w:rsidRPr="00AF72FB">
          <w:rPr>
            <w:rFonts w:ascii="David" w:eastAsia="Calibri" w:hAnsi="David"/>
            <w:color w:val="0000FF"/>
            <w:u w:val="single"/>
            <w:rtl/>
          </w:rPr>
          <w:t>חוק העונשין</w:t>
        </w:r>
      </w:hyperlink>
      <w:r w:rsidRPr="00145C15">
        <w:rPr>
          <w:rFonts w:ascii="David" w:eastAsia="Calibri" w:hAnsi="David"/>
          <w:rtl/>
        </w:rPr>
        <w:t xml:space="preserve">, התשל"ז-1977 (להלן: "חוק העונשין") </w:t>
      </w:r>
      <w:r w:rsidRPr="00145C15">
        <w:rPr>
          <w:rFonts w:ascii="David" w:eastAsia="Calibri" w:hAnsi="David"/>
          <w:b/>
          <w:bCs/>
          <w:rtl/>
        </w:rPr>
        <w:t>והחזקת חלק של נשק או תחמושת</w:t>
      </w:r>
      <w:r w:rsidRPr="00145C15">
        <w:rPr>
          <w:rFonts w:ascii="David" w:eastAsia="Calibri" w:hAnsi="David"/>
          <w:rtl/>
        </w:rPr>
        <w:t xml:space="preserve"> – עבירה לפי סעיף </w:t>
      </w:r>
      <w:hyperlink r:id="rId15" w:history="1">
        <w:r w:rsidR="00A01227" w:rsidRPr="00A01227">
          <w:rPr>
            <w:rStyle w:val="Hyperlink"/>
            <w:rFonts w:ascii="David" w:eastAsia="Calibri" w:hAnsi="David"/>
            <w:rtl/>
          </w:rPr>
          <w:t>144 (א)</w:t>
        </w:r>
      </w:hyperlink>
      <w:r w:rsidRPr="00145C15">
        <w:rPr>
          <w:rFonts w:ascii="David" w:eastAsia="Calibri" w:hAnsi="David"/>
          <w:rtl/>
        </w:rPr>
        <w:t xml:space="preserve"> סיפא לחוק העונשין. </w:t>
      </w:r>
    </w:p>
    <w:p w14:paraId="265156B8" w14:textId="77777777" w:rsidR="00B630F2" w:rsidRPr="00145C15" w:rsidRDefault="00B630F2" w:rsidP="00B630F2">
      <w:pPr>
        <w:spacing w:line="360" w:lineRule="auto"/>
        <w:jc w:val="both"/>
        <w:rPr>
          <w:rFonts w:ascii="David" w:eastAsia="Calibri" w:hAnsi="David"/>
        </w:rPr>
      </w:pPr>
    </w:p>
    <w:p w14:paraId="19789CC0" w14:textId="77777777" w:rsidR="00B630F2" w:rsidRPr="00145C15" w:rsidRDefault="00B630F2" w:rsidP="00B630F2">
      <w:pPr>
        <w:spacing w:line="360" w:lineRule="auto"/>
        <w:jc w:val="both"/>
        <w:rPr>
          <w:rFonts w:ascii="David" w:eastAsia="Calibri" w:hAnsi="David"/>
          <w:rtl/>
        </w:rPr>
      </w:pPr>
      <w:r w:rsidRPr="00145C15">
        <w:rPr>
          <w:rFonts w:ascii="David" w:eastAsia="Calibri" w:hAnsi="David"/>
          <w:rtl/>
        </w:rPr>
        <w:t xml:space="preserve">לאחר הרשעתו ולבקשת בא כוחו הופנה הנאשם לשירות המבחן לקבלת תסקיר בעניינו ממנו עולה שהנאשם, כבן 23, רווק המתגורר עם משפחתו, סיים 12 שנות לימוד ללא תעודת בגרות ועוסק בתשתיות כבישים, נעדר עבר פלילי. הנאשם שיתף את שירות המבחן שהרקע לביצוע העבירות נובע כתוצאה מסכסוך בין שתי משפחות שכנות למשפחתו כאשר מתוך חשש לחיי משפחתו ועל מנת לקבל תחושת ביטחון, מחזיק הנאשם בנשק. </w:t>
      </w:r>
    </w:p>
    <w:p w14:paraId="4322254D" w14:textId="77777777" w:rsidR="00B630F2" w:rsidRPr="00145C15" w:rsidRDefault="00B630F2" w:rsidP="00B630F2">
      <w:pPr>
        <w:spacing w:line="360" w:lineRule="auto"/>
        <w:jc w:val="both"/>
        <w:rPr>
          <w:rFonts w:ascii="David" w:eastAsia="Calibri" w:hAnsi="David"/>
          <w:rtl/>
        </w:rPr>
      </w:pPr>
      <w:r w:rsidRPr="00145C15">
        <w:rPr>
          <w:rFonts w:ascii="David" w:eastAsia="Calibri" w:hAnsi="David"/>
          <w:rtl/>
        </w:rPr>
        <w:t>שירות המבחן התרשם כי מדובר באדם צעיר שהתנהל עד כה באופן נורמטיבי אולם ככל הנראה מחזיק בעמדות מקלות כלפי אחזקת נשק בשל היבטים סביבתיים ותרבותיים ועל כן נשקף סיכון להישנות העבירות. בנסיבות אלה לא הגיע שירות המבחן עם המלצה לחלופת ענישה שיש בה כדי להפחית את הסיכון.</w:t>
      </w:r>
    </w:p>
    <w:p w14:paraId="0FFDD39E" w14:textId="77777777" w:rsidR="00B630F2" w:rsidRPr="00145C15" w:rsidRDefault="00B630F2" w:rsidP="00B630F2">
      <w:pPr>
        <w:spacing w:line="360" w:lineRule="auto"/>
        <w:jc w:val="both"/>
        <w:rPr>
          <w:rFonts w:ascii="David" w:eastAsia="Calibri" w:hAnsi="David"/>
          <w:rtl/>
        </w:rPr>
      </w:pPr>
    </w:p>
    <w:p w14:paraId="17AC034E" w14:textId="77777777" w:rsidR="00B630F2" w:rsidRPr="00145C15" w:rsidRDefault="00B630F2" w:rsidP="00B630F2">
      <w:pPr>
        <w:spacing w:line="360" w:lineRule="auto"/>
        <w:jc w:val="both"/>
        <w:rPr>
          <w:rFonts w:ascii="David" w:eastAsia="Calibri" w:hAnsi="David"/>
          <w:b/>
          <w:bCs/>
          <w:u w:val="single"/>
          <w:rtl/>
        </w:rPr>
      </w:pPr>
      <w:r w:rsidRPr="00145C15">
        <w:rPr>
          <w:rFonts w:ascii="David" w:eastAsia="Calibri" w:hAnsi="David"/>
          <w:b/>
          <w:bCs/>
          <w:u w:val="single"/>
          <w:rtl/>
        </w:rPr>
        <w:t>טיעוני הצדדים לעונש</w:t>
      </w:r>
    </w:p>
    <w:p w14:paraId="3D0795F0" w14:textId="77777777" w:rsidR="00B630F2" w:rsidRPr="00145C15" w:rsidRDefault="00B630F2" w:rsidP="00B630F2">
      <w:pPr>
        <w:spacing w:line="360" w:lineRule="auto"/>
        <w:jc w:val="both"/>
        <w:rPr>
          <w:rFonts w:ascii="David" w:eastAsia="Calibri" w:hAnsi="David"/>
          <w:rtl/>
        </w:rPr>
      </w:pPr>
      <w:r w:rsidRPr="00145C15">
        <w:rPr>
          <w:rFonts w:ascii="David" w:eastAsia="Calibri" w:hAnsi="David"/>
          <w:rtl/>
        </w:rPr>
        <w:t>בטיעוניה לעונש הגישה המאשימה את תמונות הנשק ומקום איתורו (ת/1) ועמדה על חומרת מעשיו של הנאשם ועל הערכים החברתיים שנפגעו, שלום הציבור ובטחונו. המאשימה הדגישה כי מידת הפגיעה בערכים אלה איננה מסתכמת רק בנזק שאירע בפועל אלא גם בפוטנציאל של פגיעה בחפים מפשע וערעור בטחון הציבור והסדר החברתי, הנובע מאותן עבירות. המאשימה הדגישה כי מיגור הנגע של החזקת נשק בלתי חוקי והשימוש בו, הפך למטרת על בקרב גורמי אכיפת החוק, ובתי המשפט ראו בעבירות הנשק כעבירות שיש להחמיר עם מבצעיהם על ידי הטלת מאסרים ממושכים.</w:t>
      </w:r>
    </w:p>
    <w:p w14:paraId="670FE06B" w14:textId="77777777" w:rsidR="00B630F2" w:rsidRPr="00145C15" w:rsidRDefault="00B630F2" w:rsidP="00B630F2">
      <w:pPr>
        <w:spacing w:line="360" w:lineRule="auto"/>
        <w:jc w:val="both"/>
        <w:rPr>
          <w:rFonts w:ascii="David" w:eastAsia="Calibri" w:hAnsi="David"/>
          <w:rtl/>
        </w:rPr>
      </w:pPr>
    </w:p>
    <w:p w14:paraId="6721469B" w14:textId="77777777" w:rsidR="00B630F2" w:rsidRPr="00145C15" w:rsidRDefault="00B630F2" w:rsidP="00B630F2">
      <w:pPr>
        <w:spacing w:line="360" w:lineRule="auto"/>
        <w:jc w:val="both"/>
        <w:rPr>
          <w:rFonts w:ascii="David" w:eastAsia="Calibri" w:hAnsi="David"/>
          <w:rtl/>
        </w:rPr>
      </w:pPr>
      <w:r w:rsidRPr="00145C15">
        <w:rPr>
          <w:rFonts w:ascii="David" w:eastAsia="Calibri" w:hAnsi="David"/>
          <w:rtl/>
        </w:rPr>
        <w:t>בקביעת מתחם העונש ההולם את מעשיו של הנאשם, עמדה המאשימה על מדיניות הענישה הנהוגה בעבירות דומות, תוך הגשת הנחיית פרקליט המדינה (ת/2) והפניה לאסופת פסקי דין מטעמה (ת/3). כן עמדה המאשימה על הנסיבות הקשורות בביצוע העבירה ובכלל זה, העובדה כי הנשק הוסלק מתחת למזרון אחותו כשהוא טעון במחסנית מלאה בכדורים.</w:t>
      </w:r>
    </w:p>
    <w:p w14:paraId="029E8B11" w14:textId="77777777" w:rsidR="00B630F2" w:rsidRPr="00145C15" w:rsidRDefault="00B630F2" w:rsidP="00B630F2">
      <w:pPr>
        <w:spacing w:line="360" w:lineRule="auto"/>
        <w:jc w:val="both"/>
        <w:rPr>
          <w:rFonts w:ascii="David" w:eastAsia="Calibri" w:hAnsi="David"/>
          <w:rtl/>
        </w:rPr>
      </w:pPr>
      <w:r w:rsidRPr="00145C15">
        <w:rPr>
          <w:rFonts w:ascii="David" w:eastAsia="Calibri" w:hAnsi="David"/>
          <w:rtl/>
        </w:rPr>
        <w:t>המאשימה סברה כי מתחם העונש ההולם את מעשיו של הנאשם נע בין 18 ל- 36 חודשי מאסר וביקשה בהתחשב בנסיבות שאינן קשורות בביצוע העבירה, בעיקר הצורך להרתיע את הרבים בעבירות נשק ועל אף היעדר עבר פלילי של הנאשם והודאתו בהזדמנות הראשונה, למקם את עונשו של הנאשם באמצע המתחם. לצד זאת, מבקשת המדינה להטיל על הנאשם מאסר על תנאי וקנס שלא יפחת מ-10,000 ש"ח.</w:t>
      </w:r>
    </w:p>
    <w:p w14:paraId="1749CE17" w14:textId="77777777" w:rsidR="00B630F2" w:rsidRPr="00145C15" w:rsidRDefault="00B630F2" w:rsidP="00B630F2">
      <w:pPr>
        <w:spacing w:line="360" w:lineRule="auto"/>
        <w:ind w:firstLine="720"/>
        <w:jc w:val="both"/>
        <w:rPr>
          <w:rFonts w:ascii="David" w:eastAsia="Calibri" w:hAnsi="David"/>
          <w:rtl/>
        </w:rPr>
      </w:pPr>
    </w:p>
    <w:p w14:paraId="057403B4" w14:textId="77777777" w:rsidR="00B630F2" w:rsidRPr="00145C15" w:rsidRDefault="00B630F2" w:rsidP="00B630F2">
      <w:pPr>
        <w:spacing w:line="360" w:lineRule="auto"/>
        <w:jc w:val="both"/>
        <w:rPr>
          <w:rFonts w:ascii="David" w:eastAsia="Calibri" w:hAnsi="David"/>
          <w:rtl/>
        </w:rPr>
      </w:pPr>
      <w:r w:rsidRPr="00145C15">
        <w:rPr>
          <w:rFonts w:ascii="David" w:eastAsia="Calibri" w:hAnsi="David"/>
          <w:rtl/>
        </w:rPr>
        <w:t>מנגד, באשר לנסיבות העבירות, בא כוח הנאשם ציין שהנחיית פרקליט המדינה איננה מחייבת את בית המשפט והרתעת הרבים תושג לא על ידי החמרת ענישה כי אם על ידי מהירות תפיסת העבריינים.</w:t>
      </w:r>
    </w:p>
    <w:p w14:paraId="4EBED579" w14:textId="77777777" w:rsidR="00B630F2" w:rsidRPr="00145C15" w:rsidRDefault="00B630F2" w:rsidP="00B630F2">
      <w:pPr>
        <w:spacing w:line="360" w:lineRule="auto"/>
        <w:jc w:val="both"/>
        <w:rPr>
          <w:rFonts w:ascii="Calibri" w:eastAsia="Calibri" w:hAnsi="Calibri" w:cs="Arial"/>
          <w:sz w:val="22"/>
          <w:szCs w:val="22"/>
          <w:rtl/>
        </w:rPr>
      </w:pPr>
      <w:r w:rsidRPr="00145C15">
        <w:rPr>
          <w:rFonts w:ascii="David" w:eastAsia="Calibri" w:hAnsi="David"/>
          <w:rtl/>
        </w:rPr>
        <w:lastRenderedPageBreak/>
        <w:t xml:space="preserve">הסנגור הפנה לפסקי דין מטעמו תוך שסבר כי מתחם העונש ההולם את מעשיו של הנאשם נע בין 6 חודשי מאסר בפועל, שניתן לרצות בעבודות שירות ועד 18 חודשי מאסר. </w:t>
      </w:r>
    </w:p>
    <w:p w14:paraId="0A106EEF" w14:textId="77777777" w:rsidR="00B630F2" w:rsidRPr="00145C15" w:rsidRDefault="00B630F2" w:rsidP="00B630F2">
      <w:pPr>
        <w:spacing w:line="360" w:lineRule="auto"/>
        <w:jc w:val="both"/>
        <w:rPr>
          <w:rFonts w:ascii="David" w:eastAsia="Calibri" w:hAnsi="David"/>
          <w:rtl/>
        </w:rPr>
      </w:pPr>
      <w:r w:rsidRPr="00145C15">
        <w:rPr>
          <w:rFonts w:ascii="David" w:eastAsia="Calibri" w:hAnsi="David"/>
          <w:rtl/>
        </w:rPr>
        <w:t xml:space="preserve">בקביעת עונשו של הנאשם בתוך המתחם, עמד הסנגור על הנסיבות שאינן קשורות בביצוע העבירה וביקש להתחשב בהודאת הנאשם בהזדמנות הראשונה, בלקיחת האחריות, בחיסכון בזמן השיפוטי ובתסקיר שירות המבחן שלעמדת הסניגור היה חיובי. </w:t>
      </w:r>
    </w:p>
    <w:p w14:paraId="337C707C" w14:textId="77777777" w:rsidR="00B630F2" w:rsidRPr="00145C15" w:rsidRDefault="00B630F2" w:rsidP="00B630F2">
      <w:pPr>
        <w:spacing w:line="360" w:lineRule="auto"/>
        <w:jc w:val="both"/>
        <w:rPr>
          <w:rFonts w:ascii="David" w:eastAsia="Calibri" w:hAnsi="David"/>
        </w:rPr>
      </w:pPr>
      <w:r w:rsidRPr="00145C15">
        <w:rPr>
          <w:rFonts w:ascii="David" w:eastAsia="Calibri" w:hAnsi="David"/>
          <w:rtl/>
        </w:rPr>
        <w:t>לאור האמור, ביקש בא כוח הנאשם למקם את הנאשם בתחתית המתחם אותו ציין.</w:t>
      </w:r>
    </w:p>
    <w:p w14:paraId="47F41E96" w14:textId="77777777" w:rsidR="00B630F2" w:rsidRPr="00145C15" w:rsidRDefault="00B630F2" w:rsidP="00B630F2">
      <w:pPr>
        <w:spacing w:line="360" w:lineRule="auto"/>
        <w:jc w:val="both"/>
        <w:rPr>
          <w:rFonts w:ascii="David" w:eastAsia="Calibri" w:hAnsi="David"/>
          <w:rtl/>
        </w:rPr>
      </w:pPr>
    </w:p>
    <w:p w14:paraId="7B463CA7" w14:textId="77777777" w:rsidR="00B630F2" w:rsidRPr="00145C15" w:rsidRDefault="00B630F2" w:rsidP="00B630F2">
      <w:pPr>
        <w:spacing w:line="360" w:lineRule="auto"/>
        <w:jc w:val="both"/>
        <w:rPr>
          <w:rFonts w:ascii="David" w:eastAsia="Calibri" w:hAnsi="David"/>
          <w:rtl/>
        </w:rPr>
      </w:pPr>
      <w:r w:rsidRPr="00145C15">
        <w:rPr>
          <w:rFonts w:ascii="David" w:eastAsia="Calibri" w:hAnsi="David"/>
          <w:rtl/>
        </w:rPr>
        <w:t>הנאשם הבטיח שזוהי העבירה האחרונה שלו ולא יגיע יותר לבית המשפט.</w:t>
      </w:r>
    </w:p>
    <w:p w14:paraId="5091BC8A" w14:textId="77777777" w:rsidR="00B630F2" w:rsidRPr="00145C15" w:rsidRDefault="00B630F2" w:rsidP="00B630F2">
      <w:pPr>
        <w:spacing w:line="360" w:lineRule="auto"/>
        <w:jc w:val="both"/>
        <w:rPr>
          <w:rFonts w:ascii="David" w:eastAsia="David" w:hAnsi="David" w:cs="Arial"/>
          <w:sz w:val="22"/>
          <w:szCs w:val="22"/>
        </w:rPr>
      </w:pPr>
    </w:p>
    <w:p w14:paraId="01FAED4D" w14:textId="77777777" w:rsidR="00B630F2" w:rsidRPr="00145C15" w:rsidRDefault="00B630F2" w:rsidP="00B630F2">
      <w:pPr>
        <w:spacing w:line="360" w:lineRule="auto"/>
        <w:jc w:val="both"/>
        <w:rPr>
          <w:rFonts w:ascii="David" w:eastAsia="David" w:hAnsi="David"/>
          <w:rtl/>
        </w:rPr>
      </w:pPr>
      <w:r w:rsidRPr="00145C15">
        <w:rPr>
          <w:rFonts w:ascii="David" w:eastAsia="David" w:hAnsi="David" w:hint="cs"/>
          <w:b/>
          <w:bCs/>
          <w:u w:val="single"/>
          <w:rtl/>
        </w:rPr>
        <w:t>דיון והכרעה</w:t>
      </w:r>
      <w:r w:rsidRPr="00145C15">
        <w:rPr>
          <w:rFonts w:ascii="David" w:eastAsia="David" w:hAnsi="David" w:hint="cs"/>
          <w:rtl/>
        </w:rPr>
        <w:t>:</w:t>
      </w:r>
    </w:p>
    <w:p w14:paraId="126E5D6B" w14:textId="77777777" w:rsidR="00B630F2" w:rsidRPr="00145C15" w:rsidRDefault="00B630F2" w:rsidP="00B630F2">
      <w:pPr>
        <w:spacing w:line="360" w:lineRule="auto"/>
        <w:jc w:val="both"/>
        <w:rPr>
          <w:rtl/>
        </w:rPr>
      </w:pPr>
      <w:r w:rsidRPr="00145C15">
        <w:rPr>
          <w:rFonts w:hint="cs"/>
          <w:rtl/>
        </w:rPr>
        <w:t>תיקון 113 ל</w:t>
      </w:r>
      <w:hyperlink r:id="rId16" w:history="1">
        <w:r w:rsidR="00AF72FB" w:rsidRPr="00AF72FB">
          <w:rPr>
            <w:color w:val="0000FF"/>
            <w:u w:val="single"/>
            <w:rtl/>
          </w:rPr>
          <w:t>חוק העונשין</w:t>
        </w:r>
      </w:hyperlink>
      <w:r w:rsidRPr="00145C15">
        <w:rPr>
          <w:rFonts w:hint="cs"/>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למעשי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17" w:history="1">
        <w:r w:rsidR="00A01227" w:rsidRPr="00A01227">
          <w:rPr>
            <w:rStyle w:val="Hyperlink"/>
            <w:rFonts w:hint="eastAsia"/>
            <w:rtl/>
          </w:rPr>
          <w:t>בסעיף</w:t>
        </w:r>
        <w:r w:rsidR="00A01227" w:rsidRPr="00A01227">
          <w:rPr>
            <w:rStyle w:val="Hyperlink"/>
            <w:rtl/>
          </w:rPr>
          <w:t xml:space="preserve"> 40ט'</w:t>
        </w:r>
      </w:hyperlink>
      <w:r w:rsidRPr="00145C15">
        <w:rPr>
          <w:rFonts w:hint="cs"/>
          <w:rtl/>
        </w:rPr>
        <w:t xml:space="preserve"> ל</w:t>
      </w:r>
      <w:hyperlink r:id="rId18" w:history="1">
        <w:r w:rsidR="00AF72FB" w:rsidRPr="00AF72FB">
          <w:rPr>
            <w:color w:val="0000FF"/>
            <w:u w:val="single"/>
            <w:rtl/>
          </w:rPr>
          <w:t>חוק העונשין</w:t>
        </w:r>
      </w:hyperlink>
      <w:r w:rsidRPr="00145C15">
        <w:rPr>
          <w:rFonts w:hint="cs"/>
          <w:rtl/>
        </w:rPr>
        <w:t xml:space="preserve">. </w:t>
      </w:r>
    </w:p>
    <w:p w14:paraId="2F029F6D" w14:textId="77777777" w:rsidR="00B630F2" w:rsidRPr="00145C15" w:rsidRDefault="00B630F2" w:rsidP="00B630F2">
      <w:pPr>
        <w:spacing w:line="360" w:lineRule="auto"/>
        <w:rPr>
          <w:rtl/>
        </w:rPr>
      </w:pPr>
    </w:p>
    <w:p w14:paraId="12AAE301" w14:textId="77777777" w:rsidR="00B630F2" w:rsidRPr="00145C15" w:rsidRDefault="00B630F2" w:rsidP="00B630F2">
      <w:pPr>
        <w:spacing w:line="360" w:lineRule="auto"/>
        <w:jc w:val="both"/>
        <w:rPr>
          <w:rtl/>
        </w:rPr>
      </w:pPr>
      <w:r w:rsidRPr="00145C15">
        <w:rPr>
          <w:rFonts w:hint="cs"/>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19" w:history="1">
        <w:r w:rsidR="00A01227" w:rsidRPr="00A01227">
          <w:rPr>
            <w:rStyle w:val="Hyperlink"/>
            <w:rFonts w:hint="eastAsia"/>
            <w:rtl/>
          </w:rPr>
          <w:t>בסעיף</w:t>
        </w:r>
        <w:r w:rsidR="00A01227" w:rsidRPr="00A01227">
          <w:rPr>
            <w:rStyle w:val="Hyperlink"/>
            <w:rtl/>
          </w:rPr>
          <w:t xml:space="preserve"> 40יא'</w:t>
        </w:r>
      </w:hyperlink>
      <w:r w:rsidRPr="00145C15">
        <w:rPr>
          <w:rFonts w:hint="cs"/>
          <w:rtl/>
        </w:rPr>
        <w:t xml:space="preserve"> לחוק. </w:t>
      </w:r>
    </w:p>
    <w:p w14:paraId="40D35F00" w14:textId="77777777" w:rsidR="00B630F2" w:rsidRPr="00145C15" w:rsidRDefault="00B630F2" w:rsidP="00B630F2">
      <w:pPr>
        <w:spacing w:line="360" w:lineRule="auto"/>
        <w:rPr>
          <w:rtl/>
        </w:rPr>
      </w:pPr>
    </w:p>
    <w:p w14:paraId="07F06157" w14:textId="77777777" w:rsidR="00B630F2" w:rsidRPr="00145C15" w:rsidRDefault="00B630F2" w:rsidP="00B630F2">
      <w:pPr>
        <w:spacing w:line="360" w:lineRule="auto"/>
        <w:jc w:val="both"/>
        <w:rPr>
          <w:rtl/>
        </w:rPr>
      </w:pPr>
      <w:r w:rsidRPr="00145C15">
        <w:rPr>
          <w:rFonts w:hint="cs"/>
          <w:rtl/>
        </w:rPr>
        <w:t xml:space="preserve">בית המשפט רשאי לחרוג ממתחם העונש ההולם בשל שיקולי שיקום או הגנה על שלום הציבור לפי </w:t>
      </w:r>
      <w:hyperlink r:id="rId20" w:history="1">
        <w:r w:rsidR="00A01227" w:rsidRPr="00A01227">
          <w:rPr>
            <w:rStyle w:val="Hyperlink"/>
            <w:rFonts w:hint="eastAsia"/>
            <w:rtl/>
          </w:rPr>
          <w:t>סעיפים</w:t>
        </w:r>
        <w:r w:rsidR="00A01227" w:rsidRPr="00A01227">
          <w:rPr>
            <w:rStyle w:val="Hyperlink"/>
            <w:rtl/>
          </w:rPr>
          <w:t xml:space="preserve"> 40ד'</w:t>
        </w:r>
      </w:hyperlink>
      <w:r w:rsidRPr="00145C15">
        <w:rPr>
          <w:rFonts w:hint="cs"/>
          <w:rtl/>
        </w:rPr>
        <w:t xml:space="preserve"> </w:t>
      </w:r>
      <w:hyperlink r:id="rId21" w:history="1">
        <w:r w:rsidR="00A01227" w:rsidRPr="00A01227">
          <w:rPr>
            <w:rStyle w:val="Hyperlink"/>
            <w:rFonts w:hint="eastAsia"/>
            <w:rtl/>
          </w:rPr>
          <w:t>ו</w:t>
        </w:r>
        <w:r w:rsidR="00A01227" w:rsidRPr="00A01227">
          <w:rPr>
            <w:rStyle w:val="Hyperlink"/>
            <w:rtl/>
          </w:rPr>
          <w:t>40 ה'</w:t>
        </w:r>
      </w:hyperlink>
      <w:r w:rsidRPr="00145C15">
        <w:rPr>
          <w:rFonts w:hint="cs"/>
          <w:rtl/>
        </w:rPr>
        <w:t xml:space="preserve"> לחוק. </w:t>
      </w:r>
    </w:p>
    <w:p w14:paraId="2BD2EE05" w14:textId="77777777" w:rsidR="00B630F2" w:rsidRPr="00145C15" w:rsidRDefault="00B630F2" w:rsidP="00B630F2">
      <w:pPr>
        <w:spacing w:line="360" w:lineRule="auto"/>
        <w:jc w:val="both"/>
        <w:rPr>
          <w:rFonts w:ascii="David" w:eastAsia="David" w:hAnsi="David"/>
          <w:b/>
          <w:bCs/>
          <w:u w:val="single"/>
          <w:rtl/>
        </w:rPr>
      </w:pPr>
    </w:p>
    <w:p w14:paraId="5601FE1F" w14:textId="77777777" w:rsidR="00B630F2" w:rsidRPr="00145C15" w:rsidRDefault="00B630F2" w:rsidP="00B630F2">
      <w:pPr>
        <w:spacing w:line="360" w:lineRule="auto"/>
        <w:jc w:val="both"/>
        <w:rPr>
          <w:rFonts w:ascii="Miriam" w:eastAsia="David" w:hAnsi="Miriam" w:cs="Miriam"/>
          <w:rtl/>
        </w:rPr>
      </w:pPr>
      <w:r w:rsidRPr="00145C15">
        <w:rPr>
          <w:rFonts w:ascii="David" w:eastAsia="David" w:hAnsi="David" w:hint="cs"/>
          <w:b/>
          <w:bCs/>
          <w:u w:val="single"/>
          <w:rtl/>
        </w:rPr>
        <w:t>קביעת מתחם העונש ההולם</w:t>
      </w:r>
      <w:r w:rsidRPr="00145C15">
        <w:rPr>
          <w:rFonts w:ascii="David" w:eastAsia="David" w:hAnsi="David" w:hint="cs"/>
          <w:rtl/>
        </w:rPr>
        <w:t>:</w:t>
      </w:r>
    </w:p>
    <w:p w14:paraId="257ECFF8" w14:textId="77777777" w:rsidR="00B630F2" w:rsidRPr="00145C15" w:rsidRDefault="00B630F2" w:rsidP="00B630F2">
      <w:pPr>
        <w:spacing w:line="360" w:lineRule="auto"/>
        <w:jc w:val="both"/>
        <w:rPr>
          <w:rFonts w:ascii="Arial" w:eastAsia="David" w:hAnsi="Arial"/>
        </w:rPr>
      </w:pPr>
      <w:r w:rsidRPr="00145C15">
        <w:rPr>
          <w:rFonts w:ascii="David" w:eastAsia="David" w:hAnsi="David" w:hint="cs"/>
          <w:rtl/>
        </w:rPr>
        <w:t>אין צורך להכביר מילים בדבר חומרת מעשיו של הנאשם, הערכים החברתיים שנפגעו ומידת הפגיעה בהם. הנאשם במעשיו פגע בערכים חברתיים של שלום הציבור ובטחונו, הגנה על חיי אדם ועל הסדר הציבורי</w:t>
      </w:r>
      <w:r w:rsidRPr="00145C15">
        <w:rPr>
          <w:rFonts w:ascii="Arial" w:eastAsia="David" w:hAnsi="Arial" w:hint="cs"/>
          <w:rtl/>
        </w:rPr>
        <w:t xml:space="preserve"> הואיל ונשק המוחזק שלא כדין עלול להביא לפגיעה בשלטון החוק ובנושאי שלטון החוק המבצעים את תפקידם.</w:t>
      </w:r>
    </w:p>
    <w:p w14:paraId="0CFD155E" w14:textId="77777777" w:rsidR="00B630F2" w:rsidRPr="00145C15" w:rsidRDefault="00B630F2" w:rsidP="00B630F2">
      <w:pPr>
        <w:spacing w:line="360" w:lineRule="auto"/>
        <w:jc w:val="both"/>
        <w:rPr>
          <w:rFonts w:ascii="Arial" w:eastAsia="David" w:hAnsi="Arial"/>
          <w:rtl/>
        </w:rPr>
      </w:pPr>
    </w:p>
    <w:p w14:paraId="64297A6F" w14:textId="77777777" w:rsidR="00B630F2" w:rsidRPr="00145C15" w:rsidRDefault="00B630F2" w:rsidP="00B630F2">
      <w:pPr>
        <w:spacing w:line="360" w:lineRule="auto"/>
        <w:jc w:val="both"/>
        <w:rPr>
          <w:rFonts w:ascii="David" w:hAnsi="David"/>
          <w:rtl/>
        </w:rPr>
      </w:pPr>
      <w:r w:rsidRPr="00145C15">
        <w:rPr>
          <w:rFonts w:ascii="David" w:hAnsi="David" w:hint="cs"/>
          <w:rtl/>
        </w:rPr>
        <w:t>פסיקת בתי המשפט, במיוחד בשנים האחרונות, מחמירה מאוד בעבירה של החזקת נשק שלא כדין נוכח התופעה החמורה והמסוכנת של החזקת נשק בידיים שאינן מורשות לכך. החזקת נשק שלא כדין יש בה כדי להוביל, ואכן מובילה בפועל, למקרים חמורים של שימוש מסוכן בנשק, בין אם משום שהנשק מגיע לידיים עברייניות, בין אם הנשק מגיע לידי מי שמנסים לפגוע בביטחונם ובשלומם של תושבי המדינה ובין אם מחמת שנגרמות תאונות כתוצאה מהשימוש בנשק. ביהמ"ש העליון חזר והזכיר רק לאחרונה:</w:t>
      </w:r>
    </w:p>
    <w:p w14:paraId="264AD283" w14:textId="77777777" w:rsidR="00B630F2" w:rsidRPr="00145C15" w:rsidRDefault="00B630F2" w:rsidP="00B630F2">
      <w:pPr>
        <w:spacing w:line="360" w:lineRule="auto"/>
        <w:ind w:left="567" w:right="567"/>
        <w:contextualSpacing/>
        <w:jc w:val="both"/>
        <w:rPr>
          <w:rFonts w:ascii="David" w:hAnsi="David"/>
          <w:b/>
          <w:bCs/>
        </w:rPr>
      </w:pPr>
      <w:r w:rsidRPr="00145C15">
        <w:rPr>
          <w:rFonts w:ascii="David" w:hAnsi="David" w:hint="cs"/>
          <w:rtl/>
        </w:rPr>
        <w:t>"</w:t>
      </w:r>
      <w:r w:rsidRPr="00145C15">
        <w:rPr>
          <w:rFonts w:ascii="David" w:hAnsi="David" w:hint="cs"/>
          <w:b/>
          <w:bCs/>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..ידע כל מי שמחזיק בנשק בלתי חוקי כי צפוי הוא להיענש בחומרה, בבחינת "אם מחזיקים – למאסר נשלחים.</w:t>
      </w:r>
    </w:p>
    <w:p w14:paraId="1F7AAB6E" w14:textId="77777777" w:rsidR="00B630F2" w:rsidRPr="00145C15" w:rsidRDefault="00B630F2" w:rsidP="00B630F2">
      <w:pPr>
        <w:spacing w:line="360" w:lineRule="auto"/>
        <w:ind w:left="567" w:right="567"/>
        <w:contextualSpacing/>
        <w:jc w:val="both"/>
        <w:rPr>
          <w:rFonts w:ascii="David" w:hAnsi="David"/>
          <w:b/>
          <w:bCs/>
        </w:rPr>
      </w:pPr>
      <w:r w:rsidRPr="00145C15">
        <w:rPr>
          <w:rFonts w:ascii="David" w:hAnsi="David" w:hint="cs"/>
          <w:b/>
          <w:bCs/>
          <w:rtl/>
        </w:rPr>
        <w:t>לא למותר להזכיר כי המחוקק מצא לעגן בהוראת שעה עונשי מינימום לעבירות נשק, כך שהעונש שיושת על מבצעיהן יתחיל מרבע העונש המרבי שנקבע לעבירה, אלא אם החליט בית המשפט מטעמים מיוחדים להקל בעונש (סעיף 144(ז) ל</w:t>
      </w:r>
      <w:hyperlink r:id="rId22" w:history="1">
        <w:r w:rsidR="00AF72FB" w:rsidRPr="00AF72FB">
          <w:rPr>
            <w:rFonts w:ascii="David" w:hAnsi="David"/>
            <w:b/>
            <w:bCs/>
            <w:color w:val="0000FF"/>
            <w:u w:val="single"/>
            <w:rtl/>
          </w:rPr>
          <w:t>חוק העונשין</w:t>
        </w:r>
      </w:hyperlink>
      <w:r w:rsidRPr="00145C15">
        <w:rPr>
          <w:rFonts w:ascii="David" w:hAnsi="David" w:hint="cs"/>
          <w:b/>
          <w:bCs/>
          <w:rtl/>
        </w:rPr>
        <w:t>, וראו חוק העונשין (תיקון מס' 140 - הוראת שעה), התשפ"ב-2021, ס"ח 472;"</w:t>
      </w:r>
      <w:r w:rsidRPr="00145C15">
        <w:rPr>
          <w:rFonts w:ascii="David" w:hAnsi="David" w:hint="cs"/>
          <w:rtl/>
        </w:rPr>
        <w:t xml:space="preserve"> (</w:t>
      </w:r>
      <w:hyperlink r:id="rId23" w:history="1">
        <w:r w:rsidR="00AF72FB" w:rsidRPr="00AF72FB">
          <w:rPr>
            <w:rFonts w:ascii="David" w:hAnsi="David"/>
            <w:color w:val="0000FF"/>
            <w:u w:val="single"/>
            <w:rtl/>
          </w:rPr>
          <w:t>ע"פ 2482/22</w:t>
        </w:r>
      </w:hyperlink>
      <w:r w:rsidRPr="00145C15">
        <w:rPr>
          <w:rFonts w:ascii="David" w:hAnsi="David" w:hint="cs"/>
          <w:rtl/>
        </w:rPr>
        <w:t xml:space="preserve"> </w:t>
      </w:r>
      <w:r w:rsidRPr="00145C15">
        <w:rPr>
          <w:rFonts w:ascii="David" w:hAnsi="David" w:hint="cs"/>
          <w:b/>
          <w:bCs/>
          <w:rtl/>
        </w:rPr>
        <w:t>מדינת ישראל נ' אחמד קדורה</w:t>
      </w:r>
      <w:r w:rsidRPr="00145C15">
        <w:rPr>
          <w:rFonts w:ascii="David" w:hAnsi="David" w:hint="cs"/>
          <w:rtl/>
        </w:rPr>
        <w:t xml:space="preserve"> (14.04.22)).</w:t>
      </w:r>
    </w:p>
    <w:p w14:paraId="400F6B82" w14:textId="77777777" w:rsidR="00B630F2" w:rsidRPr="00145C15" w:rsidRDefault="00B630F2" w:rsidP="00B630F2">
      <w:pPr>
        <w:spacing w:line="360" w:lineRule="auto"/>
        <w:ind w:left="567" w:right="567"/>
        <w:jc w:val="both"/>
        <w:rPr>
          <w:rFonts w:ascii="David" w:hAnsi="David"/>
          <w:rtl/>
        </w:rPr>
      </w:pPr>
    </w:p>
    <w:p w14:paraId="2A9C3E2F" w14:textId="77777777" w:rsidR="00B630F2" w:rsidRPr="00145C15" w:rsidRDefault="00B630F2" w:rsidP="00B630F2">
      <w:pPr>
        <w:spacing w:line="360" w:lineRule="auto"/>
        <w:jc w:val="both"/>
        <w:rPr>
          <w:rFonts w:ascii="David" w:hAnsi="David"/>
        </w:rPr>
      </w:pPr>
      <w:r w:rsidRPr="00145C15">
        <w:rPr>
          <w:rFonts w:ascii="David" w:hAnsi="David" w:hint="cs"/>
          <w:rtl/>
        </w:rPr>
        <w:t>עמדת בית המשפט העליון היא שעל בתי המשפט לתרום את חלקם במיגור תופעה מסוכנת זו על דרך של החמרת הענישה עם מי שמחזיק בנשק שלא כדין. כך גם תיקון 140 ל</w:t>
      </w:r>
      <w:hyperlink r:id="rId24" w:history="1">
        <w:r w:rsidR="00AF72FB" w:rsidRPr="00AF72FB">
          <w:rPr>
            <w:rFonts w:ascii="David" w:hAnsi="David"/>
            <w:color w:val="0000FF"/>
            <w:u w:val="single"/>
            <w:rtl/>
          </w:rPr>
          <w:t>חוק העונשין</w:t>
        </w:r>
      </w:hyperlink>
      <w:r w:rsidRPr="00145C15">
        <w:rPr>
          <w:rFonts w:ascii="David" w:hAnsi="David" w:hint="cs"/>
          <w:rtl/>
        </w:rPr>
        <w:t xml:space="preserve"> קבע עונש מינימום ביחס לעבירה בה הורשע הנאשם בהליך זה שלפני. כפי שנכתב ב</w:t>
      </w:r>
      <w:hyperlink r:id="rId25" w:history="1">
        <w:r w:rsidR="00AF72FB" w:rsidRPr="00AF72FB">
          <w:rPr>
            <w:rFonts w:ascii="David" w:hAnsi="David"/>
            <w:color w:val="0000FF"/>
            <w:u w:val="single"/>
            <w:rtl/>
          </w:rPr>
          <w:t>ע"פ 147/21</w:t>
        </w:r>
      </w:hyperlink>
      <w:r w:rsidRPr="00145C15">
        <w:rPr>
          <w:rFonts w:ascii="David" w:hAnsi="David" w:hint="cs"/>
          <w:rtl/>
        </w:rPr>
        <w:t xml:space="preserve"> </w:t>
      </w:r>
      <w:r w:rsidRPr="00145C15">
        <w:rPr>
          <w:rFonts w:ascii="David" w:hAnsi="David" w:hint="cs"/>
          <w:b/>
          <w:bCs/>
          <w:rtl/>
        </w:rPr>
        <w:t>מדינת ישראל נ' ירין ביטון</w:t>
      </w:r>
      <w:r w:rsidRPr="00145C15">
        <w:rPr>
          <w:rFonts w:ascii="David" w:hAnsi="David" w:hint="cs"/>
          <w:rtl/>
        </w:rPr>
        <w:t xml:space="preserve"> (14.02.21): </w:t>
      </w:r>
    </w:p>
    <w:p w14:paraId="470A5063" w14:textId="77777777" w:rsidR="00B630F2" w:rsidRPr="00145C15" w:rsidRDefault="00B630F2" w:rsidP="00B630F2">
      <w:pPr>
        <w:spacing w:line="360" w:lineRule="auto"/>
        <w:ind w:left="567" w:right="567"/>
        <w:jc w:val="both"/>
        <w:rPr>
          <w:rFonts w:ascii="David" w:hAnsi="David"/>
          <w:rtl/>
        </w:rPr>
      </w:pPr>
      <w:r w:rsidRPr="00145C15">
        <w:rPr>
          <w:rFonts w:ascii="David" w:hAnsi="David" w:hint="cs"/>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26" w:history="1">
        <w:r w:rsidR="00AF72FB" w:rsidRPr="00AF72FB">
          <w:rPr>
            <w:rFonts w:ascii="David" w:hAnsi="David"/>
            <w:b/>
            <w:bCs/>
            <w:color w:val="0000FF"/>
            <w:u w:val="single"/>
            <w:rtl/>
          </w:rPr>
          <w:t>יסודות בדיני עונשין</w:t>
        </w:r>
      </w:hyperlink>
      <w:r w:rsidRPr="00145C15">
        <w:rPr>
          <w:rFonts w:ascii="David" w:hAnsi="David" w:hint="cs"/>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27" w:history="1">
        <w:r w:rsidR="00AF72FB" w:rsidRPr="00AF72FB">
          <w:rPr>
            <w:rFonts w:ascii="David" w:hAnsi="David"/>
            <w:b/>
            <w:bCs/>
            <w:color w:val="0000FF"/>
            <w:u w:val="single"/>
            <w:rtl/>
          </w:rPr>
          <w:t>חוק העונשין</w:t>
        </w:r>
      </w:hyperlink>
      <w:r w:rsidRPr="00145C15">
        <w:rPr>
          <w:rFonts w:ascii="David" w:hAnsi="David" w:hint="cs"/>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28" w:history="1">
        <w:r w:rsidR="00AF72FB" w:rsidRPr="00AF72FB">
          <w:rPr>
            <w:rFonts w:ascii="David" w:hAnsi="David"/>
            <w:b/>
            <w:bCs/>
            <w:color w:val="0000FF"/>
            <w:u w:val="single"/>
            <w:rtl/>
          </w:rPr>
          <w:t>ע"פ 4406/19</w:t>
        </w:r>
      </w:hyperlink>
      <w:r w:rsidRPr="00145C15">
        <w:rPr>
          <w:rFonts w:ascii="David" w:hAnsi="David" w:hint="cs"/>
          <w:b/>
          <w:bCs/>
          <w:rtl/>
        </w:rPr>
        <w:t xml:space="preserve"> מדינת ישראל נ' סובח [פורסם בנבו] (5.11.2019) (להלן: עניין סובח))...הטלת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71BAD275" w14:textId="77777777" w:rsidR="00B630F2" w:rsidRPr="00145C15" w:rsidRDefault="00B630F2" w:rsidP="00B630F2">
      <w:pPr>
        <w:spacing w:line="360" w:lineRule="auto"/>
        <w:ind w:left="567" w:right="567"/>
        <w:jc w:val="both"/>
        <w:rPr>
          <w:rFonts w:ascii="David" w:hAnsi="David"/>
          <w:rtl/>
        </w:rPr>
      </w:pPr>
    </w:p>
    <w:p w14:paraId="2728D34F" w14:textId="77777777" w:rsidR="00B630F2" w:rsidRPr="00145C15" w:rsidRDefault="00B630F2" w:rsidP="00B630F2">
      <w:pPr>
        <w:spacing w:line="360" w:lineRule="auto"/>
        <w:jc w:val="both"/>
        <w:rPr>
          <w:rFonts w:ascii="David" w:hAnsi="David"/>
          <w:b/>
          <w:bCs/>
          <w:rtl/>
        </w:rPr>
      </w:pPr>
      <w:r w:rsidRPr="00145C15">
        <w:rPr>
          <w:rFonts w:ascii="David" w:hAnsi="David" w:hint="cs"/>
          <w:rtl/>
        </w:rPr>
        <w:t>מגמת ההחמרה קיבלה ביטוי בפסיקתו של ביהמ"ש העליון ב</w:t>
      </w:r>
      <w:hyperlink r:id="rId29" w:history="1">
        <w:r w:rsidR="00AF72FB" w:rsidRPr="00AF72FB">
          <w:rPr>
            <w:rFonts w:ascii="David" w:hAnsi="David"/>
            <w:color w:val="0000FF"/>
            <w:u w:val="single"/>
            <w:rtl/>
          </w:rPr>
          <w:t>ע"פ 5602/22</w:t>
        </w:r>
      </w:hyperlink>
      <w:r w:rsidRPr="00145C15">
        <w:rPr>
          <w:rFonts w:ascii="David" w:hAnsi="David" w:hint="cs"/>
          <w:rtl/>
        </w:rPr>
        <w:t xml:space="preserve"> מדינת ישראל נ' פלוני (14.09.22) באשר לכל עבירות הנשק לרבות העבירות בהן עסקינן:</w:t>
      </w:r>
    </w:p>
    <w:p w14:paraId="643F3A77" w14:textId="77777777" w:rsidR="00B630F2" w:rsidRPr="00145C15" w:rsidRDefault="00B630F2" w:rsidP="00B630F2">
      <w:pPr>
        <w:spacing w:line="360" w:lineRule="auto"/>
        <w:ind w:left="567" w:right="567"/>
        <w:contextualSpacing/>
        <w:jc w:val="both"/>
        <w:rPr>
          <w:rFonts w:ascii="David" w:hAnsi="David"/>
          <w:rtl/>
        </w:rPr>
      </w:pPr>
      <w:r w:rsidRPr="00145C15">
        <w:rPr>
          <w:rFonts w:ascii="David" w:hAnsi="David" w:hint="cs"/>
          <w:rtl/>
        </w:rPr>
        <w:t>"</w:t>
      </w:r>
      <w:r w:rsidRPr="00145C15">
        <w:rPr>
          <w:rFonts w:ascii="David" w:hAnsi="David" w:hint="cs"/>
          <w:b/>
          <w:bCs/>
          <w:rtl/>
        </w:rPr>
        <w:t>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 במילים פשוטות יותר, בהן השתמשתי בתוארי את מדיניות הענישה הראויה ביחס לעבירות מין, עסקינן במשחק-סכום-אפס: בית משפט שמרחם על העבריין אינו מרחם על הקורבן הבא</w:t>
      </w:r>
      <w:r w:rsidRPr="00145C15">
        <w:rPr>
          <w:rFonts w:ascii="David" w:hAnsi="David" w:hint="cs"/>
          <w:rtl/>
        </w:rPr>
        <w:t>"(</w:t>
      </w:r>
      <w:hyperlink r:id="rId30" w:history="1">
        <w:r w:rsidR="00AF72FB" w:rsidRPr="00AF72FB">
          <w:rPr>
            <w:rFonts w:ascii="David" w:hAnsi="David"/>
            <w:color w:val="0000FF"/>
            <w:u w:val="single"/>
            <w:rtl/>
          </w:rPr>
          <w:t>ע"פ 5602/22</w:t>
        </w:r>
      </w:hyperlink>
      <w:r w:rsidRPr="00145C15">
        <w:rPr>
          <w:rFonts w:ascii="David" w:hAnsi="David" w:hint="cs"/>
          <w:rtl/>
        </w:rPr>
        <w:t xml:space="preserve"> </w:t>
      </w:r>
      <w:r w:rsidRPr="00145C15">
        <w:rPr>
          <w:rFonts w:ascii="David" w:hAnsi="David" w:hint="cs"/>
          <w:b/>
          <w:bCs/>
          <w:rtl/>
        </w:rPr>
        <w:t>מדינת ישראל נ' פלוני</w:t>
      </w:r>
      <w:r w:rsidRPr="00145C15">
        <w:rPr>
          <w:rFonts w:ascii="David" w:hAnsi="David" w:hint="cs"/>
          <w:rtl/>
        </w:rPr>
        <w:t xml:space="preserve">, פסקה 15 (14.9.22); ראו גם </w:t>
      </w:r>
      <w:hyperlink r:id="rId31" w:history="1">
        <w:r w:rsidR="00AF72FB" w:rsidRPr="00AF72FB">
          <w:rPr>
            <w:rFonts w:ascii="David" w:hAnsi="David"/>
            <w:color w:val="0000FF"/>
            <w:u w:val="single"/>
            <w:rtl/>
          </w:rPr>
          <w:t>ע"פ 4103/22</w:t>
        </w:r>
      </w:hyperlink>
      <w:r w:rsidRPr="00145C15">
        <w:rPr>
          <w:rFonts w:ascii="David" w:hAnsi="David" w:hint="cs"/>
          <w:rtl/>
        </w:rPr>
        <w:t xml:space="preserve"> </w:t>
      </w:r>
      <w:r w:rsidRPr="00145C15">
        <w:rPr>
          <w:rFonts w:ascii="David" w:hAnsi="David" w:hint="cs"/>
          <w:b/>
          <w:bCs/>
          <w:rtl/>
        </w:rPr>
        <w:t>מדינת ישראל נ' מוחמד אמון</w:t>
      </w:r>
      <w:r w:rsidRPr="00145C15">
        <w:rPr>
          <w:rFonts w:ascii="David" w:hAnsi="David" w:hint="cs"/>
          <w:rtl/>
        </w:rPr>
        <w:t>, פסקה 9 (6.11.22).</w:t>
      </w:r>
    </w:p>
    <w:p w14:paraId="68B2CCFB" w14:textId="77777777" w:rsidR="00B630F2" w:rsidRPr="00145C15" w:rsidRDefault="00B630F2" w:rsidP="00B630F2">
      <w:pPr>
        <w:spacing w:line="360" w:lineRule="auto"/>
        <w:jc w:val="both"/>
        <w:rPr>
          <w:rFonts w:cs="Times New Roman"/>
          <w:rtl/>
        </w:rPr>
      </w:pPr>
    </w:p>
    <w:p w14:paraId="2E6EACA6" w14:textId="77777777" w:rsidR="00B630F2" w:rsidRPr="00145C15" w:rsidRDefault="00B630F2" w:rsidP="00B630F2">
      <w:pPr>
        <w:spacing w:line="360" w:lineRule="auto"/>
        <w:jc w:val="both"/>
        <w:rPr>
          <w:rFonts w:ascii="David" w:hAnsi="David"/>
          <w:rtl/>
        </w:rPr>
      </w:pPr>
      <w:r w:rsidRPr="00145C15">
        <w:rPr>
          <w:rFonts w:ascii="David" w:hAnsi="David" w:hint="cs"/>
          <w:rtl/>
        </w:rPr>
        <w:t>כאמור, 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כפי שנכתב ב</w:t>
      </w:r>
      <w:hyperlink r:id="rId32" w:history="1">
        <w:r w:rsidR="00AF72FB" w:rsidRPr="00AF72FB">
          <w:rPr>
            <w:rFonts w:ascii="David" w:hAnsi="David"/>
            <w:color w:val="0000FF"/>
            <w:u w:val="single"/>
            <w:rtl/>
          </w:rPr>
          <w:t>ע"פ 6383/21</w:t>
        </w:r>
      </w:hyperlink>
      <w:r w:rsidRPr="00145C15">
        <w:rPr>
          <w:rFonts w:ascii="David" w:hAnsi="David" w:hint="cs"/>
          <w:rtl/>
        </w:rPr>
        <w:t xml:space="preserve"> </w:t>
      </w:r>
      <w:r w:rsidRPr="00145C15">
        <w:rPr>
          <w:rFonts w:ascii="David" w:hAnsi="David" w:hint="cs"/>
          <w:b/>
          <w:bCs/>
          <w:rtl/>
        </w:rPr>
        <w:t>קריף נ' מדינת ישראל</w:t>
      </w:r>
      <w:r w:rsidRPr="00145C15">
        <w:rPr>
          <w:rFonts w:ascii="David" w:hAnsi="David" w:hint="cs"/>
          <w:rtl/>
        </w:rPr>
        <w:t xml:space="preserve"> [פורסם בנבו] (13.02.22):</w:t>
      </w:r>
    </w:p>
    <w:p w14:paraId="66E2329F" w14:textId="77777777" w:rsidR="00B630F2" w:rsidRPr="00145C15" w:rsidRDefault="00B630F2" w:rsidP="00B630F2">
      <w:pPr>
        <w:autoSpaceDE w:val="0"/>
        <w:autoSpaceDN w:val="0"/>
        <w:spacing w:line="360" w:lineRule="auto"/>
        <w:ind w:left="567" w:right="567"/>
        <w:jc w:val="both"/>
        <w:rPr>
          <w:rFonts w:ascii="David" w:hAnsi="David"/>
          <w:b/>
          <w:bCs/>
        </w:rPr>
      </w:pPr>
      <w:r w:rsidRPr="00145C15">
        <w:rPr>
          <w:rFonts w:ascii="David" w:hAnsi="David" w:hint="cs"/>
          <w:rtl/>
        </w:rPr>
        <w:t>"</w:t>
      </w:r>
      <w:r w:rsidRPr="00145C15">
        <w:rPr>
          <w:rFonts w:ascii="David" w:hAnsi="David" w:hint="cs"/>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w:t>
      </w:r>
    </w:p>
    <w:p w14:paraId="0EBCE132" w14:textId="77777777" w:rsidR="00B630F2" w:rsidRPr="00145C15" w:rsidRDefault="00AF72FB" w:rsidP="00B630F2">
      <w:pPr>
        <w:autoSpaceDE w:val="0"/>
        <w:autoSpaceDN w:val="0"/>
        <w:spacing w:line="360" w:lineRule="auto"/>
        <w:ind w:left="567" w:right="567"/>
        <w:jc w:val="both"/>
        <w:rPr>
          <w:rFonts w:ascii="David" w:hAnsi="David"/>
        </w:rPr>
      </w:pPr>
      <w:r>
        <w:rPr>
          <w:rFonts w:ascii="David" w:hAnsi="David" w:hint="cs"/>
          <w:b/>
          <w:bCs/>
          <w:rtl/>
        </w:rPr>
        <w:t xml:space="preserve">  </w:t>
      </w:r>
      <w:r w:rsidR="00B630F2" w:rsidRPr="00145C15">
        <w:rPr>
          <w:rFonts w:ascii="David" w:hAnsi="David" w:hint="cs"/>
          <w:b/>
          <w:bCs/>
          <w:rtl/>
        </w:rPr>
        <w:t xml:space="preserve"> 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sidR="00B630F2" w:rsidRPr="00145C15">
        <w:rPr>
          <w:rFonts w:ascii="David" w:hAnsi="David" w:hint="cs"/>
          <w:rtl/>
        </w:rPr>
        <w:t xml:space="preserve">" </w:t>
      </w:r>
    </w:p>
    <w:p w14:paraId="7F17F00F" w14:textId="77777777" w:rsidR="00B630F2" w:rsidRPr="00145C15" w:rsidRDefault="00B630F2" w:rsidP="00B630F2">
      <w:pPr>
        <w:autoSpaceDE w:val="0"/>
        <w:autoSpaceDN w:val="0"/>
        <w:spacing w:line="360" w:lineRule="auto"/>
        <w:ind w:left="567" w:right="567"/>
        <w:jc w:val="both"/>
        <w:rPr>
          <w:rFonts w:ascii="David" w:hAnsi="David"/>
          <w:rtl/>
        </w:rPr>
      </w:pPr>
    </w:p>
    <w:p w14:paraId="546178CB" w14:textId="77777777" w:rsidR="00B630F2" w:rsidRPr="00145C15" w:rsidRDefault="00B630F2" w:rsidP="00B630F2">
      <w:pPr>
        <w:spacing w:line="360" w:lineRule="auto"/>
        <w:jc w:val="both"/>
        <w:rPr>
          <w:rFonts w:ascii="David" w:hAnsi="David"/>
          <w:rtl/>
        </w:rPr>
      </w:pPr>
      <w:r w:rsidRPr="00145C15">
        <w:rPr>
          <w:rFonts w:ascii="David" w:hAnsi="David" w:hint="cs"/>
          <w:rtl/>
        </w:rPr>
        <w:t>לראיה באשר לקריאות של בתי המשפט בכל הערכאות, להעלות את רף הענישה בעבירות הנשק לסוגיהן ב</w:t>
      </w:r>
      <w:hyperlink r:id="rId33" w:history="1">
        <w:r w:rsidR="00AF72FB" w:rsidRPr="00AF72FB">
          <w:rPr>
            <w:rFonts w:ascii="David" w:hAnsi="David"/>
            <w:color w:val="0000FF"/>
            <w:u w:val="single"/>
            <w:rtl/>
          </w:rPr>
          <w:t>ע"פ 4406/19</w:t>
        </w:r>
      </w:hyperlink>
      <w:r w:rsidRPr="00145C15">
        <w:rPr>
          <w:rFonts w:ascii="David" w:hAnsi="David" w:hint="cs"/>
          <w:rtl/>
        </w:rPr>
        <w:t xml:space="preserve"> </w:t>
      </w:r>
      <w:r w:rsidRPr="00145C15">
        <w:rPr>
          <w:rFonts w:ascii="David" w:hAnsi="David" w:hint="cs"/>
          <w:b/>
          <w:bCs/>
          <w:rtl/>
        </w:rPr>
        <w:t>מדינת ישראל נ' יונס סובח</w:t>
      </w:r>
      <w:r w:rsidRPr="00145C15">
        <w:rPr>
          <w:rFonts w:ascii="David" w:hAnsi="David" w:hint="cs"/>
          <w:rtl/>
        </w:rPr>
        <w:t xml:space="preserve"> (05.11.19 [פורסם בנבו]) יצאה קריאה ברורה ומפורשת להחמיר בענישה בעבירות נשק:</w:t>
      </w:r>
    </w:p>
    <w:p w14:paraId="3A63DBA3" w14:textId="77777777" w:rsidR="00B630F2" w:rsidRPr="00145C15" w:rsidRDefault="00B630F2" w:rsidP="00B630F2">
      <w:pPr>
        <w:autoSpaceDE w:val="0"/>
        <w:autoSpaceDN w:val="0"/>
        <w:spacing w:line="360" w:lineRule="auto"/>
        <w:ind w:left="567" w:right="567"/>
        <w:jc w:val="both"/>
        <w:rPr>
          <w:rFonts w:ascii="David" w:hAnsi="David"/>
          <w:b/>
          <w:bCs/>
          <w:rtl/>
        </w:rPr>
      </w:pPr>
      <w:r w:rsidRPr="00145C15">
        <w:rPr>
          <w:rFonts w:ascii="David" w:hAnsi="David" w:hint="cs"/>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p>
    <w:p w14:paraId="23EDD887" w14:textId="77777777" w:rsidR="00B630F2" w:rsidRPr="00145C15" w:rsidRDefault="00AF72FB" w:rsidP="00B630F2">
      <w:pPr>
        <w:spacing w:line="360" w:lineRule="auto"/>
        <w:jc w:val="both"/>
        <w:rPr>
          <w:rFonts w:ascii="David" w:hAnsi="David"/>
          <w:rtl/>
        </w:rPr>
      </w:pPr>
      <w:r>
        <w:rPr>
          <w:rFonts w:ascii="David" w:hAnsi="David" w:hint="cs"/>
          <w:rtl/>
        </w:rPr>
        <w:t xml:space="preserve">           </w:t>
      </w:r>
      <w:r w:rsidR="00B630F2" w:rsidRPr="00145C15">
        <w:rPr>
          <w:rFonts w:ascii="David" w:hAnsi="David" w:hint="cs"/>
          <w:rtl/>
        </w:rPr>
        <w:t xml:space="preserve"> </w:t>
      </w:r>
    </w:p>
    <w:p w14:paraId="7698847D" w14:textId="77777777" w:rsidR="00B630F2" w:rsidRPr="00145C15" w:rsidRDefault="00B630F2" w:rsidP="00B630F2">
      <w:pPr>
        <w:spacing w:line="360" w:lineRule="auto"/>
        <w:jc w:val="both"/>
        <w:rPr>
          <w:rFonts w:ascii="David" w:hAnsi="David"/>
          <w:rtl/>
        </w:rPr>
      </w:pPr>
      <w:r w:rsidRPr="00145C15">
        <w:rPr>
          <w:rFonts w:ascii="David" w:hAnsi="David" w:hint="cs"/>
          <w:rtl/>
        </w:rPr>
        <w:t>כפי שנאמר ב</w:t>
      </w:r>
      <w:hyperlink r:id="rId34" w:history="1">
        <w:r w:rsidR="00AF72FB" w:rsidRPr="00AF72FB">
          <w:rPr>
            <w:rFonts w:ascii="David" w:hAnsi="David"/>
            <w:color w:val="0000FF"/>
            <w:u w:val="single"/>
            <w:rtl/>
          </w:rPr>
          <w:t>עפ"ג (חי') 23517-02-20</w:t>
        </w:r>
      </w:hyperlink>
      <w:r w:rsidRPr="00145C15">
        <w:rPr>
          <w:rFonts w:ascii="David" w:hAnsi="David" w:hint="cs"/>
          <w:rtl/>
        </w:rPr>
        <w:t xml:space="preserve"> </w:t>
      </w:r>
      <w:r w:rsidRPr="00145C15">
        <w:rPr>
          <w:rFonts w:ascii="David" w:hAnsi="David" w:hint="cs"/>
          <w:b/>
          <w:bCs/>
          <w:rtl/>
        </w:rPr>
        <w:t>מדינת ישראל נ' אלכילאני</w:t>
      </w:r>
      <w:r w:rsidRPr="00145C15">
        <w:rPr>
          <w:rFonts w:ascii="David" w:hAnsi="David" w:hint="cs"/>
          <w:rtl/>
        </w:rPr>
        <w:t xml:space="preserve"> [פורסם בנבו] (28.07.20): "</w:t>
      </w:r>
      <w:r w:rsidRPr="00145C15">
        <w:rPr>
          <w:rFonts w:ascii="David" w:hAnsi="David" w:hint="cs"/>
          <w:b/>
          <w:bCs/>
          <w:rtl/>
        </w:rPr>
        <w:t>מגמת</w:t>
      </w:r>
      <w:r w:rsidRPr="00145C15">
        <w:rPr>
          <w:rFonts w:ascii="David" w:hAnsi="David" w:hint="cs"/>
          <w:b/>
          <w:bCs/>
        </w:rPr>
        <w:t xml:space="preserve"> </w:t>
      </w:r>
      <w:r w:rsidRPr="00145C15">
        <w:rPr>
          <w:rFonts w:ascii="David" w:hAnsi="David" w:hint="cs"/>
          <w:b/>
          <w:bCs/>
          <w:rtl/>
        </w:rPr>
        <w:t>החמרה</w:t>
      </w:r>
      <w:r w:rsidRPr="00145C15">
        <w:rPr>
          <w:rFonts w:ascii="David" w:hAnsi="David" w:hint="cs"/>
          <w:b/>
          <w:bCs/>
        </w:rPr>
        <w:t xml:space="preserve"> </w:t>
      </w:r>
      <w:r w:rsidRPr="00145C15">
        <w:rPr>
          <w:rFonts w:ascii="David" w:hAnsi="David" w:hint="cs"/>
          <w:b/>
          <w:bCs/>
          <w:rtl/>
        </w:rPr>
        <w:t>זו</w:t>
      </w:r>
      <w:r w:rsidRPr="00145C15">
        <w:rPr>
          <w:rFonts w:ascii="David" w:hAnsi="David" w:hint="cs"/>
          <w:b/>
          <w:bCs/>
        </w:rPr>
        <w:t xml:space="preserve"> </w:t>
      </w:r>
      <w:r w:rsidRPr="00145C15">
        <w:rPr>
          <w:rFonts w:ascii="David" w:hAnsi="David" w:hint="cs"/>
          <w:b/>
          <w:bCs/>
          <w:rtl/>
        </w:rPr>
        <w:t>ניכרת</w:t>
      </w:r>
      <w:r w:rsidRPr="00145C15">
        <w:rPr>
          <w:rFonts w:ascii="David" w:hAnsi="David" w:hint="cs"/>
          <w:b/>
          <w:bCs/>
        </w:rPr>
        <w:t xml:space="preserve"> </w:t>
      </w:r>
      <w:r w:rsidRPr="00145C15">
        <w:rPr>
          <w:rFonts w:ascii="David" w:hAnsi="David" w:hint="cs"/>
          <w:b/>
          <w:bCs/>
          <w:rtl/>
        </w:rPr>
        <w:t>במיוחד</w:t>
      </w:r>
      <w:r w:rsidRPr="00145C15">
        <w:rPr>
          <w:rFonts w:ascii="David" w:hAnsi="David" w:hint="cs"/>
          <w:b/>
          <w:bCs/>
        </w:rPr>
        <w:t xml:space="preserve"> </w:t>
      </w:r>
      <w:r w:rsidRPr="00145C15">
        <w:rPr>
          <w:rFonts w:ascii="David" w:hAnsi="David" w:hint="cs"/>
          <w:b/>
          <w:bCs/>
          <w:rtl/>
        </w:rPr>
        <w:t>בפסיקה</w:t>
      </w:r>
      <w:r w:rsidRPr="00145C15">
        <w:rPr>
          <w:rFonts w:ascii="David" w:hAnsi="David" w:hint="cs"/>
          <w:b/>
          <w:bCs/>
        </w:rPr>
        <w:t xml:space="preserve"> </w:t>
      </w:r>
      <w:r w:rsidRPr="00145C15">
        <w:rPr>
          <w:rFonts w:ascii="David" w:hAnsi="David" w:hint="cs"/>
          <w:b/>
          <w:bCs/>
          <w:rtl/>
        </w:rPr>
        <w:t>מן</w:t>
      </w:r>
      <w:r w:rsidRPr="00145C15">
        <w:rPr>
          <w:rFonts w:ascii="David" w:hAnsi="David" w:hint="cs"/>
          <w:b/>
          <w:bCs/>
        </w:rPr>
        <w:t xml:space="preserve"> </w:t>
      </w:r>
      <w:r w:rsidRPr="00145C15">
        <w:rPr>
          <w:rFonts w:ascii="David" w:hAnsi="David" w:hint="cs"/>
          <w:b/>
          <w:bCs/>
          <w:rtl/>
        </w:rPr>
        <w:t>התקופה</w:t>
      </w:r>
      <w:r w:rsidRPr="00145C15">
        <w:rPr>
          <w:rFonts w:ascii="David" w:hAnsi="David" w:hint="cs"/>
          <w:b/>
          <w:bCs/>
        </w:rPr>
        <w:t xml:space="preserve"> </w:t>
      </w:r>
      <w:r w:rsidRPr="00145C15">
        <w:rPr>
          <w:rFonts w:ascii="David" w:hAnsi="David" w:hint="cs"/>
          <w:b/>
          <w:bCs/>
          <w:u w:val="single"/>
          <w:rtl/>
        </w:rPr>
        <w:t>האחרונה</w:t>
      </w:r>
      <w:r w:rsidRPr="00145C15">
        <w:rPr>
          <w:rFonts w:ascii="David" w:hAnsi="David" w:hint="cs"/>
          <w:b/>
          <w:bCs/>
          <w:rtl/>
        </w:rPr>
        <w:t>, החמרה</w:t>
      </w:r>
      <w:r w:rsidRPr="00145C15">
        <w:rPr>
          <w:rFonts w:ascii="David" w:hAnsi="David" w:hint="cs"/>
          <w:b/>
          <w:bCs/>
        </w:rPr>
        <w:t xml:space="preserve"> </w:t>
      </w:r>
      <w:r w:rsidRPr="00145C15">
        <w:rPr>
          <w:rFonts w:ascii="David" w:hAnsi="David" w:hint="cs"/>
          <w:b/>
          <w:bCs/>
          <w:rtl/>
        </w:rPr>
        <w:t>אשר</w:t>
      </w:r>
      <w:r w:rsidRPr="00145C15">
        <w:rPr>
          <w:rFonts w:ascii="David" w:hAnsi="David" w:hint="cs"/>
          <w:b/>
          <w:bCs/>
        </w:rPr>
        <w:t xml:space="preserve"> </w:t>
      </w:r>
      <w:r w:rsidRPr="00145C15">
        <w:rPr>
          <w:rFonts w:ascii="David" w:hAnsi="David" w:hint="cs"/>
          <w:b/>
          <w:bCs/>
          <w:rtl/>
        </w:rPr>
        <w:t>באה לידי</w:t>
      </w:r>
      <w:r w:rsidRPr="00145C15">
        <w:rPr>
          <w:rFonts w:ascii="David" w:hAnsi="David" w:hint="cs"/>
          <w:b/>
          <w:bCs/>
        </w:rPr>
        <w:t xml:space="preserve"> </w:t>
      </w:r>
      <w:r w:rsidRPr="00145C15">
        <w:rPr>
          <w:rFonts w:ascii="David" w:hAnsi="David" w:hint="cs"/>
          <w:b/>
          <w:bCs/>
          <w:rtl/>
        </w:rPr>
        <w:t>ביטוי, בין</w:t>
      </w:r>
      <w:r w:rsidRPr="00145C15">
        <w:rPr>
          <w:rFonts w:ascii="David" w:hAnsi="David" w:hint="cs"/>
          <w:b/>
          <w:bCs/>
        </w:rPr>
        <w:t xml:space="preserve"> </w:t>
      </w:r>
      <w:r w:rsidRPr="00145C15">
        <w:rPr>
          <w:rFonts w:ascii="David" w:hAnsi="David" w:hint="cs"/>
          <w:b/>
          <w:bCs/>
          <w:rtl/>
        </w:rPr>
        <w:t>היתר, בכך</w:t>
      </w:r>
      <w:r w:rsidRPr="00145C15">
        <w:rPr>
          <w:rFonts w:ascii="David" w:hAnsi="David" w:hint="cs"/>
          <w:b/>
          <w:bCs/>
        </w:rPr>
        <w:t xml:space="preserve"> </w:t>
      </w:r>
      <w:r w:rsidRPr="00145C15">
        <w:rPr>
          <w:rFonts w:ascii="David" w:hAnsi="David" w:hint="cs"/>
          <w:b/>
          <w:bCs/>
          <w:rtl/>
        </w:rPr>
        <w:t>שהסף</w:t>
      </w:r>
      <w:r w:rsidRPr="00145C15">
        <w:rPr>
          <w:rFonts w:ascii="David" w:hAnsi="David" w:hint="cs"/>
          <w:b/>
          <w:bCs/>
        </w:rPr>
        <w:t xml:space="preserve"> </w:t>
      </w:r>
      <w:r w:rsidRPr="00145C15">
        <w:rPr>
          <w:rFonts w:ascii="David" w:hAnsi="David" w:hint="cs"/>
          <w:b/>
          <w:bCs/>
          <w:rtl/>
        </w:rPr>
        <w:t>התחתון</w:t>
      </w:r>
      <w:r w:rsidRPr="00145C15">
        <w:rPr>
          <w:rFonts w:ascii="David" w:hAnsi="David" w:hint="cs"/>
          <w:b/>
          <w:bCs/>
        </w:rPr>
        <w:t xml:space="preserve"> </w:t>
      </w:r>
      <w:r w:rsidRPr="00145C15">
        <w:rPr>
          <w:rFonts w:ascii="David" w:hAnsi="David" w:hint="cs"/>
          <w:b/>
          <w:bCs/>
          <w:rtl/>
        </w:rPr>
        <w:t>של</w:t>
      </w:r>
      <w:r w:rsidRPr="00145C15">
        <w:rPr>
          <w:rFonts w:ascii="David" w:hAnsi="David" w:hint="cs"/>
          <w:b/>
          <w:bCs/>
        </w:rPr>
        <w:t xml:space="preserve"> </w:t>
      </w:r>
      <w:r w:rsidRPr="00145C15">
        <w:rPr>
          <w:rFonts w:ascii="David" w:hAnsi="David" w:hint="cs"/>
          <w:b/>
          <w:bCs/>
          <w:rtl/>
        </w:rPr>
        <w:t>מתחם</w:t>
      </w:r>
      <w:r w:rsidRPr="00145C15">
        <w:rPr>
          <w:rFonts w:ascii="David" w:hAnsi="David" w:hint="cs"/>
          <w:b/>
          <w:bCs/>
        </w:rPr>
        <w:t xml:space="preserve"> </w:t>
      </w:r>
      <w:r w:rsidRPr="00145C15">
        <w:rPr>
          <w:rFonts w:ascii="David" w:hAnsi="David" w:hint="cs"/>
          <w:b/>
          <w:bCs/>
          <w:rtl/>
        </w:rPr>
        <w:t>הענישה</w:t>
      </w:r>
      <w:r w:rsidRPr="00145C15">
        <w:rPr>
          <w:rFonts w:ascii="David" w:hAnsi="David" w:hint="cs"/>
          <w:b/>
          <w:bCs/>
        </w:rPr>
        <w:t xml:space="preserve"> </w:t>
      </w:r>
      <w:r w:rsidRPr="00145C15">
        <w:rPr>
          <w:rFonts w:ascii="David" w:hAnsi="David" w:hint="cs"/>
          <w:b/>
          <w:bCs/>
          <w:rtl/>
        </w:rPr>
        <w:t>בעבירה</w:t>
      </w:r>
      <w:r w:rsidRPr="00145C15">
        <w:rPr>
          <w:rFonts w:ascii="David" w:hAnsi="David" w:hint="cs"/>
          <w:b/>
          <w:bCs/>
        </w:rPr>
        <w:t xml:space="preserve"> </w:t>
      </w:r>
      <w:r w:rsidRPr="00145C15">
        <w:rPr>
          <w:rFonts w:ascii="David" w:hAnsi="David" w:hint="cs"/>
          <w:b/>
          <w:bCs/>
          <w:rtl/>
        </w:rPr>
        <w:t>של</w:t>
      </w:r>
      <w:r w:rsidRPr="00145C15">
        <w:rPr>
          <w:rFonts w:ascii="David" w:hAnsi="David" w:hint="cs"/>
          <w:b/>
          <w:bCs/>
        </w:rPr>
        <w:t xml:space="preserve"> </w:t>
      </w:r>
      <w:r w:rsidRPr="00145C15">
        <w:rPr>
          <w:rFonts w:ascii="David" w:hAnsi="David" w:hint="cs"/>
          <w:b/>
          <w:bCs/>
          <w:rtl/>
        </w:rPr>
        <w:t>החזקת נשק</w:t>
      </w:r>
      <w:r w:rsidRPr="00145C15">
        <w:rPr>
          <w:rFonts w:ascii="David" w:hAnsi="David" w:hint="cs"/>
          <w:b/>
          <w:bCs/>
        </w:rPr>
        <w:t xml:space="preserve"> </w:t>
      </w:r>
      <w:r w:rsidRPr="00145C15">
        <w:rPr>
          <w:rFonts w:ascii="David" w:hAnsi="David" w:hint="cs"/>
          <w:b/>
          <w:bCs/>
          <w:rtl/>
        </w:rPr>
        <w:t>שלא</w:t>
      </w:r>
      <w:r w:rsidRPr="00145C15">
        <w:rPr>
          <w:rFonts w:ascii="David" w:hAnsi="David" w:hint="cs"/>
          <w:b/>
          <w:bCs/>
        </w:rPr>
        <w:t xml:space="preserve"> </w:t>
      </w:r>
      <w:r w:rsidRPr="00145C15">
        <w:rPr>
          <w:rFonts w:ascii="David" w:hAnsi="David" w:hint="cs"/>
          <w:b/>
          <w:bCs/>
          <w:rtl/>
        </w:rPr>
        <w:t>כדין,</w:t>
      </w:r>
      <w:r w:rsidRPr="00145C15">
        <w:rPr>
          <w:rFonts w:ascii="David" w:hAnsi="David" w:hint="cs"/>
          <w:b/>
          <w:bCs/>
        </w:rPr>
        <w:t xml:space="preserve"> </w:t>
      </w:r>
      <w:r w:rsidRPr="00145C15">
        <w:rPr>
          <w:rFonts w:ascii="David" w:hAnsi="David" w:hint="cs"/>
          <w:b/>
          <w:bCs/>
          <w:rtl/>
        </w:rPr>
        <w:t>גם</w:t>
      </w:r>
      <w:r w:rsidRPr="00145C15">
        <w:rPr>
          <w:rFonts w:ascii="David" w:hAnsi="David" w:hint="cs"/>
          <w:b/>
          <w:bCs/>
        </w:rPr>
        <w:t xml:space="preserve"> </w:t>
      </w:r>
      <w:r w:rsidRPr="00145C15">
        <w:rPr>
          <w:rFonts w:ascii="David" w:hAnsi="David" w:hint="cs"/>
          <w:b/>
          <w:bCs/>
          <w:rtl/>
        </w:rPr>
        <w:t>כאשר</w:t>
      </w:r>
      <w:r w:rsidRPr="00145C15">
        <w:rPr>
          <w:rFonts w:ascii="David" w:hAnsi="David" w:hint="cs"/>
          <w:b/>
          <w:bCs/>
        </w:rPr>
        <w:t xml:space="preserve"> </w:t>
      </w:r>
      <w:r w:rsidRPr="00145C15">
        <w:rPr>
          <w:rFonts w:ascii="David" w:hAnsi="David" w:hint="cs"/>
          <w:b/>
          <w:bCs/>
          <w:rtl/>
        </w:rPr>
        <w:t>הנאשם</w:t>
      </w:r>
      <w:r w:rsidRPr="00145C15">
        <w:rPr>
          <w:rFonts w:ascii="David" w:hAnsi="David" w:hint="cs"/>
          <w:b/>
          <w:bCs/>
        </w:rPr>
        <w:t xml:space="preserve"> </w:t>
      </w:r>
      <w:r w:rsidRPr="00145C15">
        <w:rPr>
          <w:rFonts w:ascii="David" w:hAnsi="David" w:hint="cs"/>
          <w:b/>
          <w:bCs/>
          <w:rtl/>
        </w:rPr>
        <w:t>נעדר</w:t>
      </w:r>
      <w:r w:rsidRPr="00145C15">
        <w:rPr>
          <w:rFonts w:ascii="David" w:hAnsi="David" w:hint="cs"/>
          <w:b/>
          <w:bCs/>
        </w:rPr>
        <w:t xml:space="preserve"> </w:t>
      </w:r>
      <w:r w:rsidRPr="00145C15">
        <w:rPr>
          <w:rFonts w:ascii="David" w:hAnsi="David" w:hint="cs"/>
          <w:b/>
          <w:bCs/>
          <w:rtl/>
        </w:rPr>
        <w:t>עבר</w:t>
      </w:r>
      <w:r w:rsidRPr="00145C15">
        <w:rPr>
          <w:rFonts w:ascii="David" w:hAnsi="David" w:hint="cs"/>
          <w:b/>
          <w:bCs/>
        </w:rPr>
        <w:t xml:space="preserve"> </w:t>
      </w:r>
      <w:r w:rsidRPr="00145C15">
        <w:rPr>
          <w:rFonts w:ascii="David" w:hAnsi="David" w:hint="cs"/>
          <w:b/>
          <w:bCs/>
          <w:rtl/>
        </w:rPr>
        <w:t>פלילי, עולה</w:t>
      </w:r>
      <w:r w:rsidRPr="00145C15">
        <w:rPr>
          <w:rFonts w:ascii="David" w:hAnsi="David" w:hint="cs"/>
          <w:b/>
          <w:bCs/>
        </w:rPr>
        <w:t xml:space="preserve"> </w:t>
      </w:r>
      <w:r w:rsidRPr="00145C15">
        <w:rPr>
          <w:rFonts w:ascii="David" w:hAnsi="David" w:hint="cs"/>
          <w:b/>
          <w:bCs/>
          <w:rtl/>
        </w:rPr>
        <w:t>על</w:t>
      </w:r>
      <w:r w:rsidRPr="00145C15">
        <w:rPr>
          <w:rFonts w:ascii="David" w:hAnsi="David" w:hint="cs"/>
          <w:b/>
          <w:bCs/>
        </w:rPr>
        <w:t xml:space="preserve"> </w:t>
      </w:r>
      <w:r w:rsidRPr="00145C15">
        <w:rPr>
          <w:rFonts w:ascii="David" w:hAnsi="David" w:hint="cs"/>
          <w:b/>
          <w:bCs/>
          <w:rtl/>
        </w:rPr>
        <w:t>תשעה</w:t>
      </w:r>
      <w:r w:rsidRPr="00145C15">
        <w:rPr>
          <w:rFonts w:ascii="David" w:hAnsi="David" w:hint="cs"/>
          <w:b/>
          <w:bCs/>
        </w:rPr>
        <w:t xml:space="preserve"> </w:t>
      </w:r>
      <w:r w:rsidRPr="00145C15">
        <w:rPr>
          <w:rFonts w:ascii="David" w:hAnsi="David" w:hint="cs"/>
          <w:b/>
          <w:bCs/>
          <w:rtl/>
        </w:rPr>
        <w:t>חודשי</w:t>
      </w:r>
      <w:r w:rsidRPr="00145C15">
        <w:rPr>
          <w:rFonts w:ascii="David" w:hAnsi="David" w:hint="cs"/>
          <w:b/>
          <w:bCs/>
        </w:rPr>
        <w:t xml:space="preserve"> </w:t>
      </w:r>
      <w:r w:rsidRPr="00145C15">
        <w:rPr>
          <w:rFonts w:ascii="David" w:hAnsi="David" w:hint="cs"/>
          <w:b/>
          <w:bCs/>
          <w:rtl/>
        </w:rPr>
        <w:t>מאסר, דהיינו, פרק</w:t>
      </w:r>
      <w:r w:rsidRPr="00145C15">
        <w:rPr>
          <w:rFonts w:ascii="David" w:hAnsi="David" w:hint="cs"/>
          <w:b/>
          <w:bCs/>
        </w:rPr>
        <w:t xml:space="preserve"> </w:t>
      </w:r>
      <w:r w:rsidRPr="00145C15">
        <w:rPr>
          <w:rFonts w:ascii="David" w:hAnsi="David" w:hint="cs"/>
          <w:b/>
          <w:bCs/>
          <w:rtl/>
        </w:rPr>
        <w:t>זמן</w:t>
      </w:r>
      <w:r w:rsidRPr="00145C15">
        <w:rPr>
          <w:rFonts w:ascii="David" w:hAnsi="David" w:hint="cs"/>
          <w:b/>
          <w:bCs/>
        </w:rPr>
        <w:t xml:space="preserve"> </w:t>
      </w:r>
      <w:r w:rsidRPr="00145C15">
        <w:rPr>
          <w:rFonts w:ascii="David" w:hAnsi="David" w:hint="cs"/>
          <w:b/>
          <w:bCs/>
          <w:rtl/>
        </w:rPr>
        <w:t>אשר</w:t>
      </w:r>
      <w:r w:rsidRPr="00145C15">
        <w:rPr>
          <w:rFonts w:ascii="David" w:hAnsi="David" w:hint="cs"/>
          <w:b/>
          <w:bCs/>
        </w:rPr>
        <w:t xml:space="preserve"> </w:t>
      </w:r>
      <w:r w:rsidRPr="00145C15">
        <w:rPr>
          <w:rFonts w:ascii="David" w:hAnsi="David" w:hint="cs"/>
          <w:b/>
          <w:bCs/>
          <w:rtl/>
        </w:rPr>
        <w:t>אינו</w:t>
      </w:r>
      <w:r w:rsidRPr="00145C15">
        <w:rPr>
          <w:rFonts w:ascii="David" w:hAnsi="David" w:hint="cs"/>
          <w:b/>
          <w:bCs/>
        </w:rPr>
        <w:t xml:space="preserve"> </w:t>
      </w:r>
      <w:r w:rsidRPr="00145C15">
        <w:rPr>
          <w:rFonts w:ascii="David" w:hAnsi="David" w:hint="cs"/>
          <w:b/>
          <w:bCs/>
          <w:rtl/>
        </w:rPr>
        <w:t>מאפשר</w:t>
      </w:r>
      <w:r w:rsidRPr="00145C15">
        <w:rPr>
          <w:rFonts w:ascii="David" w:hAnsi="David" w:hint="cs"/>
          <w:b/>
          <w:bCs/>
        </w:rPr>
        <w:t xml:space="preserve"> </w:t>
      </w:r>
      <w:r w:rsidRPr="00145C15">
        <w:rPr>
          <w:rFonts w:ascii="David" w:hAnsi="David" w:hint="cs"/>
          <w:b/>
          <w:bCs/>
          <w:rtl/>
        </w:rPr>
        <w:t>ריצוי</w:t>
      </w:r>
      <w:r w:rsidRPr="00145C15">
        <w:rPr>
          <w:rFonts w:ascii="David" w:hAnsi="David" w:hint="cs"/>
          <w:b/>
          <w:bCs/>
        </w:rPr>
        <w:t xml:space="preserve"> </w:t>
      </w:r>
      <w:r w:rsidRPr="00145C15">
        <w:rPr>
          <w:rFonts w:ascii="David" w:hAnsi="David" w:hint="cs"/>
          <w:b/>
          <w:bCs/>
          <w:rtl/>
        </w:rPr>
        <w:t>עונש</w:t>
      </w:r>
      <w:r w:rsidRPr="00145C15">
        <w:rPr>
          <w:rFonts w:ascii="David" w:hAnsi="David" w:hint="cs"/>
          <w:b/>
          <w:bCs/>
        </w:rPr>
        <w:t xml:space="preserve"> </w:t>
      </w:r>
      <w:r w:rsidRPr="00145C15">
        <w:rPr>
          <w:rFonts w:ascii="David" w:hAnsi="David" w:hint="cs"/>
          <w:b/>
          <w:bCs/>
          <w:rtl/>
        </w:rPr>
        <w:t>המאסר</w:t>
      </w:r>
      <w:r w:rsidRPr="00145C15">
        <w:rPr>
          <w:rFonts w:ascii="David" w:hAnsi="David" w:hint="cs"/>
          <w:b/>
          <w:bCs/>
        </w:rPr>
        <w:t xml:space="preserve"> </w:t>
      </w:r>
      <w:r w:rsidRPr="00145C15">
        <w:rPr>
          <w:rFonts w:ascii="David" w:hAnsi="David" w:hint="cs"/>
          <w:b/>
          <w:bCs/>
          <w:rtl/>
        </w:rPr>
        <w:t>על</w:t>
      </w:r>
      <w:r w:rsidRPr="00145C15">
        <w:rPr>
          <w:rFonts w:ascii="David" w:hAnsi="David" w:hint="cs"/>
          <w:b/>
          <w:bCs/>
        </w:rPr>
        <w:t xml:space="preserve"> </w:t>
      </w:r>
      <w:r w:rsidRPr="00145C15">
        <w:rPr>
          <w:rFonts w:ascii="David" w:hAnsi="David" w:hint="cs"/>
          <w:b/>
          <w:bCs/>
          <w:rtl/>
        </w:rPr>
        <w:t>דרך</w:t>
      </w:r>
      <w:r w:rsidRPr="00145C15">
        <w:rPr>
          <w:rFonts w:ascii="David" w:hAnsi="David" w:hint="cs"/>
          <w:b/>
          <w:bCs/>
        </w:rPr>
        <w:t xml:space="preserve"> </w:t>
      </w:r>
      <w:r w:rsidRPr="00145C15">
        <w:rPr>
          <w:rFonts w:ascii="David" w:hAnsi="David" w:hint="cs"/>
          <w:b/>
          <w:bCs/>
          <w:rtl/>
        </w:rPr>
        <w:t>של</w:t>
      </w:r>
      <w:r w:rsidRPr="00145C15">
        <w:rPr>
          <w:rFonts w:ascii="David" w:hAnsi="David" w:hint="cs"/>
          <w:b/>
          <w:bCs/>
        </w:rPr>
        <w:t xml:space="preserve"> </w:t>
      </w:r>
      <w:r w:rsidRPr="00145C15">
        <w:rPr>
          <w:rFonts w:ascii="David" w:hAnsi="David" w:hint="cs"/>
          <w:b/>
          <w:bCs/>
          <w:rtl/>
        </w:rPr>
        <w:t>עבודות</w:t>
      </w:r>
      <w:r w:rsidRPr="00145C15">
        <w:rPr>
          <w:rFonts w:ascii="David" w:hAnsi="David" w:hint="cs"/>
          <w:b/>
          <w:bCs/>
        </w:rPr>
        <w:t xml:space="preserve"> </w:t>
      </w:r>
      <w:r w:rsidRPr="00145C15">
        <w:rPr>
          <w:rFonts w:ascii="David" w:hAnsi="David" w:hint="cs"/>
          <w:b/>
          <w:bCs/>
          <w:rtl/>
        </w:rPr>
        <w:t>שירות</w:t>
      </w:r>
      <w:r w:rsidRPr="00145C15">
        <w:rPr>
          <w:rFonts w:ascii="David" w:hAnsi="David" w:hint="cs"/>
          <w:rtl/>
        </w:rPr>
        <w:t>." וכן בהמשך: "</w:t>
      </w:r>
      <w:r w:rsidRPr="00145C15">
        <w:rPr>
          <w:rFonts w:ascii="David" w:hAnsi="David" w:hint="cs"/>
          <w:b/>
          <w:bCs/>
          <w:rtl/>
        </w:rPr>
        <w:t>אם</w:t>
      </w:r>
      <w:r w:rsidRPr="00145C15">
        <w:rPr>
          <w:rFonts w:ascii="David" w:hAnsi="David" w:hint="cs"/>
          <w:b/>
          <w:bCs/>
        </w:rPr>
        <w:t xml:space="preserve"> </w:t>
      </w:r>
      <w:r w:rsidRPr="00145C15">
        <w:rPr>
          <w:rFonts w:ascii="David" w:hAnsi="David" w:hint="cs"/>
          <w:b/>
          <w:bCs/>
          <w:rtl/>
        </w:rPr>
        <w:t>נסכם</w:t>
      </w:r>
      <w:r w:rsidRPr="00145C15">
        <w:rPr>
          <w:rFonts w:ascii="David" w:hAnsi="David" w:hint="cs"/>
          <w:b/>
          <w:bCs/>
        </w:rPr>
        <w:t xml:space="preserve"> </w:t>
      </w:r>
      <w:r w:rsidRPr="00145C15">
        <w:rPr>
          <w:rFonts w:ascii="David" w:hAnsi="David" w:hint="cs"/>
          <w:b/>
          <w:bCs/>
          <w:rtl/>
        </w:rPr>
        <w:t>את</w:t>
      </w:r>
      <w:r w:rsidRPr="00145C15">
        <w:rPr>
          <w:rFonts w:ascii="David" w:hAnsi="David" w:hint="cs"/>
          <w:b/>
          <w:bCs/>
        </w:rPr>
        <w:t xml:space="preserve"> </w:t>
      </w:r>
      <w:r w:rsidRPr="00145C15">
        <w:rPr>
          <w:rFonts w:ascii="David" w:hAnsi="David" w:hint="cs"/>
          <w:b/>
          <w:bCs/>
          <w:rtl/>
        </w:rPr>
        <w:t>הדברים: גזר</w:t>
      </w:r>
      <w:r w:rsidRPr="00145C15">
        <w:rPr>
          <w:rFonts w:ascii="David" w:hAnsi="David"/>
          <w:b/>
          <w:bCs/>
        </w:rPr>
        <w:t>-</w:t>
      </w:r>
      <w:r w:rsidRPr="00145C15">
        <w:rPr>
          <w:rFonts w:ascii="David" w:hAnsi="David" w:hint="cs"/>
          <w:b/>
          <w:bCs/>
          <w:rtl/>
        </w:rPr>
        <w:t>דינו</w:t>
      </w:r>
      <w:r w:rsidRPr="00145C15">
        <w:rPr>
          <w:rFonts w:ascii="David" w:hAnsi="David" w:hint="cs"/>
          <w:b/>
          <w:bCs/>
        </w:rPr>
        <w:t xml:space="preserve"> </w:t>
      </w:r>
      <w:r w:rsidRPr="00145C15">
        <w:rPr>
          <w:rFonts w:ascii="David" w:hAnsi="David" w:hint="cs"/>
          <w:b/>
          <w:bCs/>
          <w:rtl/>
        </w:rPr>
        <w:t>של</w:t>
      </w:r>
      <w:r w:rsidRPr="00145C15">
        <w:rPr>
          <w:rFonts w:ascii="David" w:hAnsi="David" w:hint="cs"/>
          <w:b/>
          <w:bCs/>
        </w:rPr>
        <w:t xml:space="preserve"> </w:t>
      </w:r>
      <w:r w:rsidRPr="00145C15">
        <w:rPr>
          <w:rFonts w:ascii="David" w:hAnsi="David" w:hint="cs"/>
          <w:b/>
          <w:bCs/>
          <w:rtl/>
        </w:rPr>
        <w:t>בית</w:t>
      </w:r>
      <w:r w:rsidRPr="00145C15">
        <w:rPr>
          <w:rFonts w:ascii="David" w:hAnsi="David"/>
          <w:b/>
          <w:bCs/>
        </w:rPr>
        <w:t>-</w:t>
      </w:r>
      <w:r w:rsidRPr="00145C15">
        <w:rPr>
          <w:rFonts w:ascii="David" w:hAnsi="David" w:hint="cs"/>
          <w:b/>
          <w:bCs/>
          <w:rtl/>
        </w:rPr>
        <w:t>משפט</w:t>
      </w:r>
      <w:r w:rsidRPr="00145C15">
        <w:rPr>
          <w:rFonts w:ascii="David" w:hAnsi="David" w:hint="cs"/>
          <w:b/>
          <w:bCs/>
        </w:rPr>
        <w:t xml:space="preserve"> </w:t>
      </w:r>
      <w:r w:rsidRPr="00145C15">
        <w:rPr>
          <w:rFonts w:ascii="David" w:hAnsi="David" w:hint="cs"/>
          <w:b/>
          <w:bCs/>
          <w:rtl/>
        </w:rPr>
        <w:t>השלום, שהסתפק</w:t>
      </w:r>
      <w:r w:rsidRPr="00145C15">
        <w:rPr>
          <w:rFonts w:ascii="David" w:hAnsi="David" w:hint="cs"/>
          <w:b/>
          <w:bCs/>
        </w:rPr>
        <w:t xml:space="preserve"> </w:t>
      </w:r>
      <w:r w:rsidRPr="00145C15">
        <w:rPr>
          <w:rFonts w:ascii="David" w:hAnsi="David" w:hint="cs"/>
          <w:b/>
          <w:bCs/>
          <w:rtl/>
        </w:rPr>
        <w:t>בהטלת</w:t>
      </w:r>
      <w:r w:rsidRPr="00145C15">
        <w:rPr>
          <w:rFonts w:ascii="David" w:hAnsi="David" w:hint="cs"/>
          <w:b/>
          <w:bCs/>
        </w:rPr>
        <w:t xml:space="preserve"> </w:t>
      </w:r>
      <w:r w:rsidRPr="00145C15">
        <w:rPr>
          <w:rFonts w:ascii="David" w:hAnsi="David" w:hint="cs"/>
          <w:b/>
          <w:bCs/>
          <w:rtl/>
        </w:rPr>
        <w:t>ענישה</w:t>
      </w:r>
      <w:r w:rsidRPr="00145C15">
        <w:rPr>
          <w:rFonts w:ascii="David" w:hAnsi="David" w:hint="cs"/>
          <w:b/>
          <w:bCs/>
        </w:rPr>
        <w:t xml:space="preserve"> </w:t>
      </w:r>
      <w:r w:rsidRPr="00145C15">
        <w:rPr>
          <w:rFonts w:ascii="David" w:hAnsi="David" w:hint="cs"/>
          <w:b/>
          <w:bCs/>
          <w:rtl/>
        </w:rPr>
        <w:t>של</w:t>
      </w:r>
      <w:r w:rsidRPr="00145C15">
        <w:rPr>
          <w:rFonts w:ascii="David" w:hAnsi="David" w:hint="cs"/>
          <w:b/>
          <w:bCs/>
        </w:rPr>
        <w:t xml:space="preserve"> </w:t>
      </w:r>
      <w:r w:rsidRPr="00145C15">
        <w:rPr>
          <w:rFonts w:ascii="David" w:hAnsi="David" w:hint="cs"/>
          <w:b/>
          <w:bCs/>
          <w:rtl/>
        </w:rPr>
        <w:t>שמונה</w:t>
      </w:r>
      <w:r w:rsidRPr="00145C15">
        <w:rPr>
          <w:rFonts w:ascii="David" w:hAnsi="David" w:hint="cs"/>
          <w:b/>
          <w:bCs/>
        </w:rPr>
        <w:t xml:space="preserve"> </w:t>
      </w:r>
      <w:r w:rsidRPr="00145C15">
        <w:rPr>
          <w:rFonts w:ascii="David" w:hAnsi="David" w:hint="cs"/>
          <w:b/>
          <w:bCs/>
          <w:rtl/>
        </w:rPr>
        <w:t>חודשי</w:t>
      </w:r>
      <w:r w:rsidRPr="00145C15">
        <w:rPr>
          <w:rFonts w:ascii="David" w:hAnsi="David" w:hint="cs"/>
          <w:b/>
          <w:bCs/>
        </w:rPr>
        <w:t xml:space="preserve"> </w:t>
      </w:r>
      <w:r w:rsidRPr="00145C15">
        <w:rPr>
          <w:rFonts w:ascii="David" w:hAnsi="David" w:hint="cs"/>
          <w:b/>
          <w:bCs/>
          <w:rtl/>
        </w:rPr>
        <w:t>מאסר</w:t>
      </w:r>
      <w:r w:rsidRPr="00145C15">
        <w:rPr>
          <w:rFonts w:ascii="David" w:hAnsi="David" w:hint="cs"/>
          <w:b/>
          <w:bCs/>
        </w:rPr>
        <w:t xml:space="preserve"> </w:t>
      </w:r>
      <w:r w:rsidRPr="00145C15">
        <w:rPr>
          <w:rFonts w:ascii="David" w:hAnsi="David" w:hint="cs"/>
          <w:b/>
          <w:bCs/>
          <w:rtl/>
        </w:rPr>
        <w:t>לריצוי</w:t>
      </w:r>
      <w:r w:rsidRPr="00145C15">
        <w:rPr>
          <w:rFonts w:ascii="David" w:hAnsi="David" w:hint="cs"/>
          <w:b/>
          <w:bCs/>
        </w:rPr>
        <w:t xml:space="preserve"> </w:t>
      </w:r>
      <w:r w:rsidRPr="00145C15">
        <w:rPr>
          <w:rFonts w:ascii="David" w:hAnsi="David" w:hint="cs"/>
          <w:b/>
          <w:bCs/>
          <w:rtl/>
        </w:rPr>
        <w:t>בעבודות</w:t>
      </w:r>
      <w:r w:rsidRPr="00145C15">
        <w:rPr>
          <w:rFonts w:ascii="David" w:hAnsi="David" w:hint="cs"/>
          <w:b/>
          <w:bCs/>
        </w:rPr>
        <w:t xml:space="preserve"> </w:t>
      </w:r>
      <w:r w:rsidRPr="00145C15">
        <w:rPr>
          <w:rFonts w:ascii="David" w:hAnsi="David" w:hint="cs"/>
          <w:b/>
          <w:bCs/>
          <w:rtl/>
        </w:rPr>
        <w:t>שירות, אינו</w:t>
      </w:r>
      <w:r w:rsidRPr="00145C15">
        <w:rPr>
          <w:rFonts w:ascii="David" w:hAnsi="David" w:hint="cs"/>
          <w:b/>
          <w:bCs/>
        </w:rPr>
        <w:t xml:space="preserve"> </w:t>
      </w:r>
      <w:r w:rsidRPr="00145C15">
        <w:rPr>
          <w:rFonts w:ascii="David" w:hAnsi="David" w:hint="cs"/>
          <w:b/>
          <w:bCs/>
          <w:rtl/>
        </w:rPr>
        <w:t>יכול</w:t>
      </w:r>
      <w:r w:rsidRPr="00145C15">
        <w:rPr>
          <w:rFonts w:ascii="David" w:hAnsi="David" w:hint="cs"/>
          <w:b/>
          <w:bCs/>
        </w:rPr>
        <w:t xml:space="preserve"> </w:t>
      </w:r>
      <w:r w:rsidRPr="00145C15">
        <w:rPr>
          <w:rFonts w:ascii="David" w:hAnsi="David" w:hint="cs"/>
          <w:b/>
          <w:bCs/>
          <w:rtl/>
        </w:rPr>
        <w:t>לעמוד, וזאת</w:t>
      </w:r>
      <w:r w:rsidRPr="00145C15">
        <w:rPr>
          <w:rFonts w:ascii="David" w:hAnsi="David" w:hint="cs"/>
          <w:b/>
          <w:bCs/>
        </w:rPr>
        <w:t xml:space="preserve"> </w:t>
      </w:r>
      <w:r w:rsidRPr="00145C15">
        <w:rPr>
          <w:rFonts w:ascii="David" w:hAnsi="David" w:hint="cs"/>
          <w:b/>
          <w:bCs/>
          <w:rtl/>
        </w:rPr>
        <w:t>בשים</w:t>
      </w:r>
      <w:r w:rsidRPr="00145C15">
        <w:rPr>
          <w:rFonts w:ascii="David" w:hAnsi="David" w:hint="cs"/>
          <w:b/>
          <w:bCs/>
        </w:rPr>
        <w:t xml:space="preserve"> </w:t>
      </w:r>
      <w:r w:rsidRPr="00145C15">
        <w:rPr>
          <w:rFonts w:ascii="David" w:hAnsi="David" w:hint="cs"/>
          <w:b/>
          <w:bCs/>
          <w:rtl/>
        </w:rPr>
        <w:t>לב</w:t>
      </w:r>
      <w:r w:rsidRPr="00145C15">
        <w:rPr>
          <w:rFonts w:ascii="David" w:hAnsi="David" w:hint="cs"/>
          <w:b/>
          <w:bCs/>
        </w:rPr>
        <w:t xml:space="preserve"> </w:t>
      </w:r>
      <w:r w:rsidRPr="00145C15">
        <w:rPr>
          <w:rFonts w:ascii="David" w:hAnsi="David" w:hint="cs"/>
          <w:b/>
          <w:bCs/>
          <w:rtl/>
        </w:rPr>
        <w:t>לחומרת</w:t>
      </w:r>
      <w:r w:rsidRPr="00145C15">
        <w:rPr>
          <w:rFonts w:ascii="David" w:hAnsi="David" w:hint="cs"/>
          <w:b/>
          <w:bCs/>
        </w:rPr>
        <w:t xml:space="preserve"> </w:t>
      </w:r>
      <w:r w:rsidRPr="00145C15">
        <w:rPr>
          <w:rFonts w:ascii="David" w:hAnsi="David" w:hint="cs"/>
          <w:b/>
          <w:bCs/>
          <w:rtl/>
        </w:rPr>
        <w:t>העבירה</w:t>
      </w:r>
      <w:r w:rsidRPr="00145C15">
        <w:rPr>
          <w:rFonts w:ascii="David" w:hAnsi="David" w:hint="cs"/>
          <w:b/>
          <w:bCs/>
        </w:rPr>
        <w:t xml:space="preserve"> </w:t>
      </w:r>
      <w:r w:rsidRPr="00145C15">
        <w:rPr>
          <w:rFonts w:ascii="David" w:hAnsi="David" w:hint="cs"/>
          <w:b/>
          <w:bCs/>
          <w:rtl/>
        </w:rPr>
        <w:t>של</w:t>
      </w:r>
      <w:r w:rsidRPr="00145C15">
        <w:rPr>
          <w:rFonts w:ascii="David" w:hAnsi="David" w:hint="cs"/>
          <w:b/>
          <w:bCs/>
        </w:rPr>
        <w:t xml:space="preserve"> </w:t>
      </w:r>
      <w:r w:rsidRPr="00145C15">
        <w:rPr>
          <w:rFonts w:ascii="David" w:hAnsi="David" w:hint="cs"/>
          <w:b/>
          <w:bCs/>
          <w:rtl/>
        </w:rPr>
        <w:t>החזקת</w:t>
      </w:r>
      <w:r w:rsidRPr="00145C15">
        <w:rPr>
          <w:rFonts w:ascii="David" w:hAnsi="David" w:hint="cs"/>
          <w:b/>
          <w:bCs/>
        </w:rPr>
        <w:t xml:space="preserve"> </w:t>
      </w:r>
      <w:r w:rsidRPr="00145C15">
        <w:rPr>
          <w:rFonts w:ascii="David" w:hAnsi="David" w:hint="cs"/>
          <w:b/>
          <w:bCs/>
          <w:rtl/>
        </w:rPr>
        <w:t>נשק</w:t>
      </w:r>
      <w:r w:rsidRPr="00145C15">
        <w:rPr>
          <w:rFonts w:ascii="David" w:hAnsi="David" w:hint="cs"/>
          <w:b/>
          <w:bCs/>
        </w:rPr>
        <w:t xml:space="preserve"> </w:t>
      </w:r>
      <w:r w:rsidRPr="00145C15">
        <w:rPr>
          <w:rFonts w:ascii="David" w:hAnsi="David" w:hint="cs"/>
          <w:b/>
          <w:bCs/>
          <w:rtl/>
        </w:rPr>
        <w:t>שלא</w:t>
      </w:r>
      <w:r w:rsidRPr="00145C15">
        <w:rPr>
          <w:rFonts w:ascii="David" w:hAnsi="David" w:hint="cs"/>
          <w:b/>
          <w:bCs/>
        </w:rPr>
        <w:t xml:space="preserve"> </w:t>
      </w:r>
      <w:r w:rsidRPr="00145C15">
        <w:rPr>
          <w:rFonts w:ascii="David" w:hAnsi="David" w:hint="cs"/>
          <w:b/>
          <w:bCs/>
          <w:rtl/>
        </w:rPr>
        <w:t>כדין, ופוטנציאל</w:t>
      </w:r>
      <w:r w:rsidRPr="00145C15">
        <w:rPr>
          <w:rFonts w:ascii="David" w:hAnsi="David" w:hint="cs"/>
          <w:b/>
          <w:bCs/>
        </w:rPr>
        <w:t xml:space="preserve"> </w:t>
      </w:r>
      <w:r w:rsidRPr="00145C15">
        <w:rPr>
          <w:rFonts w:ascii="David" w:hAnsi="David" w:hint="cs"/>
          <w:b/>
          <w:bCs/>
          <w:rtl/>
        </w:rPr>
        <w:t>הסיכון</w:t>
      </w:r>
      <w:r w:rsidRPr="00145C15">
        <w:rPr>
          <w:rFonts w:ascii="David" w:hAnsi="David" w:hint="cs"/>
          <w:b/>
          <w:bCs/>
        </w:rPr>
        <w:t xml:space="preserve"> </w:t>
      </w:r>
      <w:r w:rsidRPr="00145C15">
        <w:rPr>
          <w:rFonts w:ascii="David" w:hAnsi="David" w:hint="cs"/>
          <w:b/>
          <w:bCs/>
          <w:rtl/>
        </w:rPr>
        <w:t>הטמון</w:t>
      </w:r>
      <w:r w:rsidRPr="00145C15">
        <w:rPr>
          <w:rFonts w:ascii="David" w:hAnsi="David" w:hint="cs"/>
          <w:b/>
          <w:bCs/>
        </w:rPr>
        <w:t xml:space="preserve"> </w:t>
      </w:r>
      <w:r w:rsidRPr="00145C15">
        <w:rPr>
          <w:rFonts w:ascii="David" w:hAnsi="David" w:hint="cs"/>
          <w:b/>
          <w:bCs/>
          <w:rtl/>
        </w:rPr>
        <w:t>בהחזקת</w:t>
      </w:r>
      <w:r w:rsidRPr="00145C15">
        <w:rPr>
          <w:rFonts w:ascii="David" w:hAnsi="David" w:hint="cs"/>
          <w:b/>
          <w:bCs/>
        </w:rPr>
        <w:t xml:space="preserve"> </w:t>
      </w:r>
      <w:r w:rsidRPr="00145C15">
        <w:rPr>
          <w:rFonts w:ascii="David" w:hAnsi="David" w:hint="cs"/>
          <w:b/>
          <w:bCs/>
          <w:rtl/>
        </w:rPr>
        <w:t>הנשק</w:t>
      </w:r>
      <w:r w:rsidRPr="00145C15">
        <w:rPr>
          <w:rFonts w:ascii="David" w:hAnsi="David" w:hint="cs"/>
          <w:b/>
          <w:bCs/>
        </w:rPr>
        <w:t xml:space="preserve"> </w:t>
      </w:r>
      <w:r w:rsidRPr="00145C15">
        <w:rPr>
          <w:rFonts w:ascii="David" w:hAnsi="David" w:hint="cs"/>
          <w:b/>
          <w:bCs/>
          <w:rtl/>
        </w:rPr>
        <w:t>ללא</w:t>
      </w:r>
      <w:r w:rsidRPr="00145C15">
        <w:rPr>
          <w:rFonts w:ascii="David" w:hAnsi="David" w:hint="cs"/>
          <w:b/>
          <w:bCs/>
        </w:rPr>
        <w:t xml:space="preserve"> </w:t>
      </w:r>
      <w:r w:rsidRPr="00145C15">
        <w:rPr>
          <w:rFonts w:ascii="David" w:hAnsi="David" w:hint="cs"/>
          <w:b/>
          <w:bCs/>
          <w:rtl/>
        </w:rPr>
        <w:t>היתר, עבירה</w:t>
      </w:r>
      <w:r w:rsidRPr="00145C15">
        <w:rPr>
          <w:rFonts w:ascii="David" w:hAnsi="David" w:hint="cs"/>
          <w:b/>
          <w:bCs/>
        </w:rPr>
        <w:t xml:space="preserve"> </w:t>
      </w:r>
      <w:r w:rsidRPr="00145C15">
        <w:rPr>
          <w:rFonts w:ascii="David" w:hAnsi="David" w:hint="cs"/>
          <w:b/>
          <w:bCs/>
          <w:rtl/>
        </w:rPr>
        <w:t>שהפכה</w:t>
      </w:r>
      <w:r w:rsidRPr="00145C15">
        <w:rPr>
          <w:rFonts w:ascii="David" w:hAnsi="David" w:hint="cs"/>
          <w:b/>
          <w:bCs/>
        </w:rPr>
        <w:t xml:space="preserve"> </w:t>
      </w:r>
      <w:r w:rsidRPr="00145C15">
        <w:rPr>
          <w:rFonts w:ascii="David" w:hAnsi="David" w:hint="cs"/>
          <w:b/>
          <w:bCs/>
          <w:rtl/>
        </w:rPr>
        <w:t>ל</w:t>
      </w:r>
      <w:r w:rsidRPr="00145C15">
        <w:rPr>
          <w:rFonts w:ascii="David" w:hAnsi="David"/>
          <w:b/>
          <w:bCs/>
        </w:rPr>
        <w:t>"</w:t>
      </w:r>
      <w:r w:rsidRPr="00145C15">
        <w:rPr>
          <w:rFonts w:ascii="David" w:hAnsi="David" w:hint="cs"/>
          <w:b/>
          <w:bCs/>
          <w:rtl/>
        </w:rPr>
        <w:t>מכת</w:t>
      </w:r>
      <w:r w:rsidRPr="00145C15">
        <w:rPr>
          <w:rFonts w:ascii="David" w:hAnsi="David" w:hint="cs"/>
          <w:b/>
          <w:bCs/>
        </w:rPr>
        <w:t xml:space="preserve"> </w:t>
      </w:r>
      <w:r w:rsidRPr="00145C15">
        <w:rPr>
          <w:rFonts w:ascii="David" w:hAnsi="David" w:hint="cs"/>
          <w:b/>
          <w:bCs/>
          <w:rtl/>
        </w:rPr>
        <w:t>מדינה", והביאה</w:t>
      </w:r>
      <w:r w:rsidRPr="00145C15">
        <w:rPr>
          <w:rFonts w:ascii="David" w:hAnsi="David" w:hint="cs"/>
          <w:b/>
          <w:bCs/>
        </w:rPr>
        <w:t xml:space="preserve"> </w:t>
      </w:r>
      <w:r w:rsidRPr="00145C15">
        <w:rPr>
          <w:rFonts w:ascii="David" w:hAnsi="David" w:hint="cs"/>
          <w:b/>
          <w:bCs/>
          <w:rtl/>
        </w:rPr>
        <w:t>למגמת</w:t>
      </w:r>
      <w:r w:rsidRPr="00145C15">
        <w:rPr>
          <w:rFonts w:ascii="David" w:hAnsi="David" w:hint="cs"/>
          <w:b/>
          <w:bCs/>
        </w:rPr>
        <w:t xml:space="preserve"> </w:t>
      </w:r>
      <w:r w:rsidRPr="00145C15">
        <w:rPr>
          <w:rFonts w:ascii="David" w:hAnsi="David" w:hint="cs"/>
          <w:b/>
          <w:bCs/>
          <w:rtl/>
        </w:rPr>
        <w:t>החמרה</w:t>
      </w:r>
      <w:r w:rsidRPr="00145C15">
        <w:rPr>
          <w:rFonts w:ascii="David" w:hAnsi="David" w:hint="cs"/>
          <w:b/>
          <w:bCs/>
        </w:rPr>
        <w:t xml:space="preserve"> </w:t>
      </w:r>
      <w:r w:rsidRPr="00145C15">
        <w:rPr>
          <w:rFonts w:ascii="David" w:hAnsi="David" w:hint="cs"/>
          <w:b/>
          <w:bCs/>
          <w:rtl/>
        </w:rPr>
        <w:t>בפסיקה</w:t>
      </w:r>
      <w:r w:rsidRPr="00145C15">
        <w:rPr>
          <w:rFonts w:ascii="David" w:hAnsi="David" w:hint="cs"/>
          <w:b/>
          <w:bCs/>
        </w:rPr>
        <w:t xml:space="preserve"> </w:t>
      </w:r>
      <w:r w:rsidRPr="00145C15">
        <w:rPr>
          <w:rFonts w:ascii="David" w:hAnsi="David" w:hint="cs"/>
          <w:b/>
          <w:bCs/>
          <w:rtl/>
        </w:rPr>
        <w:t>כשבית</w:t>
      </w:r>
      <w:r w:rsidRPr="00145C15">
        <w:rPr>
          <w:rFonts w:ascii="David" w:hAnsi="David" w:hint="cs"/>
          <w:b/>
          <w:bCs/>
        </w:rPr>
        <w:t xml:space="preserve"> </w:t>
      </w:r>
      <w:r w:rsidRPr="00145C15">
        <w:rPr>
          <w:rFonts w:ascii="David" w:hAnsi="David" w:hint="cs"/>
          <w:b/>
          <w:bCs/>
          <w:rtl/>
        </w:rPr>
        <w:t>המשפט</w:t>
      </w:r>
      <w:r w:rsidRPr="00145C15">
        <w:rPr>
          <w:rFonts w:ascii="David" w:hAnsi="David" w:hint="cs"/>
          <w:b/>
          <w:bCs/>
        </w:rPr>
        <w:t xml:space="preserve"> </w:t>
      </w:r>
      <w:r w:rsidRPr="00145C15">
        <w:rPr>
          <w:rFonts w:ascii="David" w:hAnsi="David" w:hint="cs"/>
          <w:b/>
          <w:bCs/>
          <w:rtl/>
        </w:rPr>
        <w:t>נקרא</w:t>
      </w:r>
      <w:r w:rsidRPr="00145C15">
        <w:rPr>
          <w:rFonts w:ascii="David" w:hAnsi="David" w:hint="cs"/>
          <w:b/>
          <w:bCs/>
        </w:rPr>
        <w:t xml:space="preserve"> </w:t>
      </w:r>
      <w:r w:rsidRPr="00145C15">
        <w:rPr>
          <w:rFonts w:ascii="David" w:hAnsi="David" w:hint="cs"/>
          <w:b/>
          <w:bCs/>
          <w:rtl/>
        </w:rPr>
        <w:t>להירתם</w:t>
      </w:r>
      <w:r w:rsidRPr="00145C15">
        <w:rPr>
          <w:rFonts w:cs="Times New Roman"/>
          <w:b/>
          <w:bCs/>
        </w:rPr>
        <w:t xml:space="preserve"> </w:t>
      </w:r>
      <w:r w:rsidRPr="00145C15">
        <w:rPr>
          <w:rFonts w:ascii="David" w:hAnsi="David" w:hint="cs"/>
          <w:b/>
          <w:bCs/>
          <w:rtl/>
        </w:rPr>
        <w:t>למאבק</w:t>
      </w:r>
      <w:r w:rsidRPr="00145C15">
        <w:rPr>
          <w:rFonts w:cs="Times New Roman"/>
          <w:b/>
          <w:bCs/>
        </w:rPr>
        <w:t xml:space="preserve"> </w:t>
      </w:r>
      <w:r w:rsidRPr="00145C15">
        <w:rPr>
          <w:rFonts w:ascii="David" w:hAnsi="David" w:hint="cs"/>
          <w:b/>
          <w:bCs/>
          <w:rtl/>
        </w:rPr>
        <w:t>בעבירה</w:t>
      </w:r>
      <w:r w:rsidRPr="00145C15">
        <w:rPr>
          <w:rFonts w:cs="Times New Roman"/>
          <w:b/>
          <w:bCs/>
        </w:rPr>
        <w:t xml:space="preserve"> </w:t>
      </w:r>
      <w:r w:rsidRPr="00145C15">
        <w:rPr>
          <w:rFonts w:ascii="David" w:hAnsi="David" w:hint="cs"/>
          <w:b/>
          <w:bCs/>
          <w:rtl/>
        </w:rPr>
        <w:t>זו."</w:t>
      </w:r>
    </w:p>
    <w:p w14:paraId="541F9A42" w14:textId="77777777" w:rsidR="00B630F2" w:rsidRPr="00145C15" w:rsidRDefault="00B630F2" w:rsidP="00B630F2">
      <w:pPr>
        <w:overflowPunct w:val="0"/>
        <w:autoSpaceDE w:val="0"/>
        <w:autoSpaceDN w:val="0"/>
        <w:ind w:left="1642" w:right="1282"/>
        <w:jc w:val="both"/>
        <w:rPr>
          <w:rFonts w:ascii="Arial TUR" w:hAnsi="Arial TUR" w:cs="Arial TUR"/>
          <w:spacing w:val="10"/>
          <w:rtl/>
        </w:rPr>
      </w:pPr>
    </w:p>
    <w:p w14:paraId="5B6DB0B7" w14:textId="77777777" w:rsidR="00B630F2" w:rsidRPr="00145C15" w:rsidRDefault="00B630F2" w:rsidP="00B630F2">
      <w:pPr>
        <w:overflowPunct w:val="0"/>
        <w:autoSpaceDE w:val="0"/>
        <w:autoSpaceDN w:val="0"/>
        <w:spacing w:line="360" w:lineRule="auto"/>
        <w:jc w:val="both"/>
        <w:rPr>
          <w:rFonts w:ascii="David" w:hAnsi="David"/>
          <w:rtl/>
        </w:rPr>
      </w:pPr>
      <w:r w:rsidRPr="00145C15">
        <w:rPr>
          <w:rFonts w:ascii="David" w:hAnsi="David" w:hint="cs"/>
          <w:rtl/>
        </w:rPr>
        <w:t xml:space="preserve">סקירת מדיניות הענישה הנהוגה בעבירת החזקת נשק מלמדת על טווח ענישה רחב התלוי לרוב בנסיבותיו של כל מקרה ומקרה. </w:t>
      </w:r>
    </w:p>
    <w:p w14:paraId="1A21350C" w14:textId="77777777" w:rsidR="00B630F2" w:rsidRPr="00145C15" w:rsidRDefault="00B630F2" w:rsidP="00B630F2">
      <w:pPr>
        <w:overflowPunct w:val="0"/>
        <w:autoSpaceDE w:val="0"/>
        <w:autoSpaceDN w:val="0"/>
        <w:spacing w:line="360" w:lineRule="auto"/>
        <w:jc w:val="both"/>
        <w:rPr>
          <w:rFonts w:ascii="David" w:hAnsi="David"/>
          <w:rtl/>
        </w:rPr>
      </w:pPr>
      <w:r w:rsidRPr="00145C15">
        <w:rPr>
          <w:rFonts w:ascii="David" w:hAnsi="David" w:hint="cs"/>
          <w:rtl/>
        </w:rPr>
        <w:t>ב</w:t>
      </w:r>
      <w:hyperlink r:id="rId35" w:history="1">
        <w:r w:rsidR="00AF72FB" w:rsidRPr="00AF72FB">
          <w:rPr>
            <w:rFonts w:ascii="David" w:hAnsi="David"/>
            <w:color w:val="0000FF"/>
            <w:u w:val="single"/>
            <w:rtl/>
          </w:rPr>
          <w:t>ע"פ 545/20</w:t>
        </w:r>
      </w:hyperlink>
      <w:r w:rsidRPr="00145C15">
        <w:rPr>
          <w:rFonts w:ascii="David" w:hAnsi="David" w:hint="cs"/>
          <w:rtl/>
        </w:rPr>
        <w:t xml:space="preserve"> </w:t>
      </w:r>
      <w:r w:rsidRPr="00145C15">
        <w:rPr>
          <w:rFonts w:ascii="David" w:hAnsi="David" w:hint="cs"/>
          <w:b/>
          <w:bCs/>
          <w:rtl/>
        </w:rPr>
        <w:t>פלוני נ' מדינת ישראל</w:t>
      </w:r>
      <w:r w:rsidRPr="00145C15">
        <w:rPr>
          <w:rFonts w:ascii="David" w:hAnsi="David" w:hint="cs"/>
          <w:rtl/>
        </w:rPr>
        <w:t xml:space="preserve"> (3.5.21) נדחה ערעור על חומרת העונש שנגזר – 12 חודשי מאסר בפועל לאחר שהמערער, בעל עבר נקי, הורשע באחזקת ונשיאת אקדח, מחסנית תואמת ו-50 כדורים.</w:t>
      </w:r>
    </w:p>
    <w:p w14:paraId="06FCDBAA" w14:textId="77777777" w:rsidR="00B630F2" w:rsidRPr="00145C15" w:rsidRDefault="00B630F2" w:rsidP="00B630F2">
      <w:pPr>
        <w:overflowPunct w:val="0"/>
        <w:autoSpaceDE w:val="0"/>
        <w:autoSpaceDN w:val="0"/>
        <w:spacing w:line="360" w:lineRule="auto"/>
        <w:jc w:val="both"/>
        <w:rPr>
          <w:rFonts w:ascii="David" w:hAnsi="David"/>
          <w:rtl/>
        </w:rPr>
      </w:pPr>
    </w:p>
    <w:p w14:paraId="2D83B51E" w14:textId="77777777" w:rsidR="00B630F2" w:rsidRPr="00145C15" w:rsidRDefault="00B630F2" w:rsidP="00B630F2">
      <w:pPr>
        <w:overflowPunct w:val="0"/>
        <w:autoSpaceDE w:val="0"/>
        <w:autoSpaceDN w:val="0"/>
        <w:spacing w:line="360" w:lineRule="auto"/>
        <w:jc w:val="both"/>
        <w:rPr>
          <w:rFonts w:ascii="David" w:hAnsi="David"/>
          <w:b/>
          <w:bCs/>
          <w:rtl/>
        </w:rPr>
      </w:pPr>
      <w:r w:rsidRPr="00145C15">
        <w:rPr>
          <w:rFonts w:ascii="David" w:hAnsi="David" w:hint="cs"/>
          <w:rtl/>
        </w:rPr>
        <w:t>ב</w:t>
      </w:r>
      <w:hyperlink r:id="rId36" w:history="1">
        <w:r w:rsidR="00AF72FB" w:rsidRPr="00AF72FB">
          <w:rPr>
            <w:rFonts w:ascii="David" w:hAnsi="David"/>
            <w:color w:val="0000FF"/>
            <w:u w:val="single"/>
            <w:rtl/>
          </w:rPr>
          <w:t>ע"פ 5765/20</w:t>
        </w:r>
      </w:hyperlink>
      <w:r w:rsidRPr="00145C15">
        <w:rPr>
          <w:rFonts w:ascii="David" w:hAnsi="David" w:hint="cs"/>
          <w:rtl/>
        </w:rPr>
        <w:t xml:space="preserve"> </w:t>
      </w:r>
      <w:r w:rsidRPr="00145C15">
        <w:rPr>
          <w:rFonts w:ascii="David" w:hAnsi="David" w:hint="cs"/>
          <w:b/>
          <w:bCs/>
          <w:rtl/>
        </w:rPr>
        <w:t>אבו בכר נ' מדינת ישראל</w:t>
      </w:r>
      <w:r w:rsidRPr="00145C15">
        <w:rPr>
          <w:rFonts w:ascii="David" w:hAnsi="David" w:hint="cs"/>
          <w:rtl/>
        </w:rPr>
        <w:t xml:space="preserve"> (22.3.21) נדחה ערעור על חומרת העונש שנגזר – 18 חודשי מאסר בפועל לאחר שהמערערים, בעל עבר נקי, הורשעו בהובלת ונשיאת 2 אקדחים, טעונים כל אחד במחסנית מלאה ונאמר:</w:t>
      </w:r>
      <w:r w:rsidRPr="00145C15">
        <w:rPr>
          <w:rFonts w:ascii="David" w:hAnsi="David" w:hint="cs"/>
          <w:b/>
          <w:bCs/>
          <w:rtl/>
        </w:rPr>
        <w:t xml:space="preserve"> "יש להצר על כך שהמערערים, שאין להם עבר פלילי ולא הסתבכו בעבירות נוספות מאז האירוע נשוא כתב האישום, הסתבכו בעבירות כגון דא. ברם, מדיניות הענישה בעבירות נשק ידועה. המדובר ב"מכת מדינה", שאת פירות הבאושים שלה אנו חווים, לצערנו, כמעט מידי יום, ומכאן מדיניות ההחמרה בעבירות כגון דא."</w:t>
      </w:r>
    </w:p>
    <w:p w14:paraId="30C807C2" w14:textId="77777777" w:rsidR="00B630F2" w:rsidRPr="00145C15" w:rsidRDefault="00B630F2" w:rsidP="00B630F2">
      <w:pPr>
        <w:overflowPunct w:val="0"/>
        <w:autoSpaceDE w:val="0"/>
        <w:autoSpaceDN w:val="0"/>
        <w:spacing w:line="360" w:lineRule="auto"/>
        <w:jc w:val="both"/>
        <w:rPr>
          <w:rFonts w:ascii="David" w:hAnsi="David"/>
          <w:spacing w:val="10"/>
          <w:rtl/>
        </w:rPr>
      </w:pPr>
    </w:p>
    <w:p w14:paraId="04DE5860" w14:textId="77777777" w:rsidR="00B630F2" w:rsidRPr="00145C15" w:rsidRDefault="00B630F2" w:rsidP="00B630F2">
      <w:pPr>
        <w:overflowPunct w:val="0"/>
        <w:autoSpaceDE w:val="0"/>
        <w:autoSpaceDN w:val="0"/>
        <w:spacing w:line="360" w:lineRule="auto"/>
        <w:jc w:val="both"/>
        <w:rPr>
          <w:rFonts w:ascii="David" w:hAnsi="David"/>
          <w:rtl/>
        </w:rPr>
      </w:pPr>
      <w:r w:rsidRPr="00145C15">
        <w:rPr>
          <w:rFonts w:ascii="David" w:hAnsi="David" w:hint="cs"/>
          <w:rtl/>
        </w:rPr>
        <w:t>ב</w:t>
      </w:r>
      <w:hyperlink r:id="rId37" w:history="1">
        <w:r w:rsidR="00AF72FB" w:rsidRPr="00AF72FB">
          <w:rPr>
            <w:rFonts w:ascii="David" w:hAnsi="David"/>
            <w:color w:val="0000FF"/>
            <w:u w:val="single"/>
            <w:rtl/>
          </w:rPr>
          <w:t>רע"פ 4079/21</w:t>
        </w:r>
      </w:hyperlink>
      <w:r w:rsidRPr="00145C15">
        <w:rPr>
          <w:rFonts w:ascii="David" w:hAnsi="David" w:hint="cs"/>
          <w:rtl/>
        </w:rPr>
        <w:t xml:space="preserve"> </w:t>
      </w:r>
      <w:r w:rsidRPr="00145C15">
        <w:rPr>
          <w:rFonts w:ascii="David" w:hAnsi="David" w:hint="cs"/>
          <w:b/>
          <w:bCs/>
          <w:rtl/>
        </w:rPr>
        <w:t>פלוני נ' מדינת ישראל</w:t>
      </w:r>
      <w:r w:rsidRPr="00145C15">
        <w:rPr>
          <w:rFonts w:ascii="David" w:hAnsi="David" w:hint="cs"/>
          <w:rtl/>
        </w:rPr>
        <w:t xml:space="preserve"> (20.6.21) נדחה ערעור על חומרת העונש שנגזר – 6 חודשי מאסר בפועל שהוטל תוך חריגה ממתחם הענישה בשל שיקולי שיקום ונקבע: </w:t>
      </w:r>
      <w:r w:rsidRPr="00145C15">
        <w:rPr>
          <w:rFonts w:ascii="David" w:hAnsi="David" w:hint="cs"/>
          <w:b/>
          <w:bCs/>
          <w:rtl/>
        </w:rPr>
        <w:t>"כפי שהדגשתי פעם אחר פעם, הסיכון הכרוך בעבירות של החזקת נשק שלא כדין נובע מהנזק הפוטנציאלי אשר עלול להיגרם ממנו – אף אם הנשק נתפס בטרם נזק זה התממש. בפרט, קיים סיכון, כפי שאנחנו נוכחים לדעת לא אחת, כי הנשק עלול להגיע לידיים עברייניות וייעשה בו שימוש אשר יוביל בסופו של יום לגביית מחירים כבדים בנפש."</w:t>
      </w:r>
    </w:p>
    <w:p w14:paraId="60F10582" w14:textId="77777777" w:rsidR="00B630F2" w:rsidRPr="00145C15" w:rsidRDefault="00B630F2" w:rsidP="00B630F2">
      <w:pPr>
        <w:overflowPunct w:val="0"/>
        <w:autoSpaceDE w:val="0"/>
        <w:autoSpaceDN w:val="0"/>
        <w:ind w:right="1282"/>
        <w:jc w:val="both"/>
        <w:rPr>
          <w:rFonts w:ascii="David" w:hAnsi="David"/>
          <w:rtl/>
        </w:rPr>
      </w:pPr>
    </w:p>
    <w:p w14:paraId="196D33A1" w14:textId="77777777" w:rsidR="00B630F2" w:rsidRPr="00145C15" w:rsidRDefault="00B630F2" w:rsidP="00B630F2">
      <w:pPr>
        <w:overflowPunct w:val="0"/>
        <w:autoSpaceDE w:val="0"/>
        <w:autoSpaceDN w:val="0"/>
        <w:spacing w:line="360" w:lineRule="auto"/>
        <w:jc w:val="both"/>
        <w:rPr>
          <w:rFonts w:ascii="David" w:hAnsi="David"/>
          <w:b/>
          <w:bCs/>
          <w:rtl/>
        </w:rPr>
      </w:pPr>
      <w:r w:rsidRPr="00145C15">
        <w:rPr>
          <w:rFonts w:ascii="David" w:hAnsi="David" w:hint="cs"/>
          <w:rtl/>
        </w:rPr>
        <w:t>ב</w:t>
      </w:r>
      <w:hyperlink r:id="rId38" w:history="1">
        <w:r w:rsidR="00AF72FB" w:rsidRPr="00AF72FB">
          <w:rPr>
            <w:rFonts w:ascii="David" w:hAnsi="David"/>
            <w:color w:val="0000FF"/>
            <w:u w:val="single"/>
            <w:rtl/>
          </w:rPr>
          <w:t>רע"פ 3619/21</w:t>
        </w:r>
      </w:hyperlink>
      <w:r w:rsidRPr="00145C15">
        <w:rPr>
          <w:rFonts w:ascii="David" w:hAnsi="David" w:hint="cs"/>
          <w:rtl/>
        </w:rPr>
        <w:t xml:space="preserve"> </w:t>
      </w:r>
      <w:r w:rsidRPr="00145C15">
        <w:rPr>
          <w:rFonts w:ascii="David" w:hAnsi="David" w:hint="cs"/>
          <w:b/>
          <w:bCs/>
          <w:rtl/>
        </w:rPr>
        <w:t>אבו הלאל נ' מדינת ישראל</w:t>
      </w:r>
      <w:r w:rsidRPr="00145C15">
        <w:rPr>
          <w:rFonts w:ascii="David" w:hAnsi="David" w:hint="cs"/>
          <w:rtl/>
        </w:rPr>
        <w:t xml:space="preserve"> (26.5.21) נדחה ערעור על חומרת העונש שנגזר – 10 חודשי מאסר בפועל ונאמר: </w:t>
      </w:r>
      <w:r w:rsidRPr="00145C15">
        <w:rPr>
          <w:rFonts w:ascii="David" w:hAnsi="David" w:hint="cs"/>
          <w:b/>
          <w:bCs/>
          <w:rtl/>
        </w:rPr>
        <w:t>"אנו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39" w:history="1">
        <w:r w:rsidR="00AF72FB" w:rsidRPr="00AF72FB">
          <w:rPr>
            <w:rFonts w:ascii="David" w:hAnsi="David"/>
            <w:b/>
            <w:bCs/>
            <w:color w:val="0000FF"/>
            <w:u w:val="single"/>
            <w:rtl/>
          </w:rPr>
          <w:t>רע"פ 5613/20</w:t>
        </w:r>
      </w:hyperlink>
      <w:r w:rsidRPr="00145C15">
        <w:rPr>
          <w:rFonts w:ascii="David" w:hAnsi="David" w:hint="cs"/>
          <w:b/>
          <w:bCs/>
          <w:rtl/>
        </w:rPr>
        <w:t xml:space="preserve"> אלהוזייל נ' מדינת ישראל [פורסם בנבו] (25.8.2020); </w:t>
      </w:r>
      <w:hyperlink r:id="rId40" w:history="1">
        <w:r w:rsidR="00AF72FB" w:rsidRPr="00AF72FB">
          <w:rPr>
            <w:rFonts w:ascii="David" w:hAnsi="David"/>
            <w:b/>
            <w:bCs/>
            <w:color w:val="0000FF"/>
            <w:u w:val="single"/>
            <w:rtl/>
          </w:rPr>
          <w:t>רע"פ 4065/18</w:t>
        </w:r>
      </w:hyperlink>
      <w:r w:rsidRPr="00145C15">
        <w:rPr>
          <w:rFonts w:ascii="David" w:hAnsi="David" w:hint="cs"/>
          <w:b/>
          <w:bCs/>
          <w:rtl/>
        </w:rPr>
        <w:t xml:space="preserve"> איאסו נ' מדינת ישראל [פורסם בנבו] (30.8.2018)). </w:t>
      </w:r>
    </w:p>
    <w:p w14:paraId="0D627471" w14:textId="77777777" w:rsidR="00B630F2" w:rsidRPr="00145C15" w:rsidRDefault="00B630F2" w:rsidP="00B630F2">
      <w:pPr>
        <w:overflowPunct w:val="0"/>
        <w:autoSpaceDE w:val="0"/>
        <w:autoSpaceDN w:val="0"/>
        <w:spacing w:line="360" w:lineRule="auto"/>
        <w:jc w:val="both"/>
        <w:rPr>
          <w:rFonts w:ascii="David" w:hAnsi="David"/>
          <w:b/>
          <w:bCs/>
          <w:rtl/>
        </w:rPr>
      </w:pPr>
      <w:r w:rsidRPr="00145C15">
        <w:rPr>
          <w:rFonts w:ascii="David" w:hAnsi="David" w:hint="cs"/>
          <w:b/>
          <w:bCs/>
          <w:rtl/>
        </w:rPr>
        <w:t>במכלול הנסיבות, אני סבור כי העונש שהושת על המבקשים אף מקל עמם ואין בו כדי לבטא את החומרה שיש בהחזקת כלי הנשק המאולתרים."</w:t>
      </w:r>
    </w:p>
    <w:p w14:paraId="1519DB6F" w14:textId="77777777" w:rsidR="00B630F2" w:rsidRPr="00145C15" w:rsidRDefault="00B630F2" w:rsidP="00B630F2">
      <w:pPr>
        <w:spacing w:line="360" w:lineRule="auto"/>
        <w:jc w:val="both"/>
        <w:rPr>
          <w:rFonts w:ascii="David" w:hAnsi="David"/>
          <w:rtl/>
        </w:rPr>
      </w:pPr>
    </w:p>
    <w:p w14:paraId="1C03F6A3" w14:textId="77777777" w:rsidR="00B630F2" w:rsidRPr="00145C15" w:rsidRDefault="00B630F2" w:rsidP="00B630F2">
      <w:pPr>
        <w:spacing w:line="360" w:lineRule="auto"/>
        <w:jc w:val="both"/>
        <w:rPr>
          <w:rFonts w:ascii="David" w:hAnsi="David"/>
          <w:rtl/>
        </w:rPr>
      </w:pPr>
      <w:r w:rsidRPr="00145C15">
        <w:rPr>
          <w:rFonts w:ascii="David" w:hAnsi="David" w:hint="cs"/>
          <w:rtl/>
        </w:rPr>
        <w:t>ב</w:t>
      </w:r>
      <w:hyperlink r:id="rId41" w:history="1">
        <w:r w:rsidR="00AF72FB" w:rsidRPr="00AF72FB">
          <w:rPr>
            <w:rFonts w:ascii="David" w:hAnsi="David"/>
            <w:color w:val="0000FF"/>
            <w:u w:val="single"/>
            <w:rtl/>
          </w:rPr>
          <w:t>עפ"ג 12888-03-22</w:t>
        </w:r>
      </w:hyperlink>
      <w:r w:rsidRPr="00145C15">
        <w:rPr>
          <w:rFonts w:ascii="David" w:hAnsi="David" w:hint="cs"/>
          <w:rtl/>
        </w:rPr>
        <w:t xml:space="preserve"> </w:t>
      </w:r>
      <w:r w:rsidRPr="00145C15">
        <w:rPr>
          <w:rFonts w:ascii="David" w:hAnsi="David" w:hint="cs"/>
          <w:b/>
          <w:bCs/>
          <w:rtl/>
        </w:rPr>
        <w:t>מדינת ישראל נ' אגבריה</w:t>
      </w:r>
      <w:r w:rsidRPr="00145C15">
        <w:rPr>
          <w:rFonts w:ascii="David" w:hAnsi="David" w:hint="cs"/>
          <w:rtl/>
        </w:rPr>
        <w:t xml:space="preserve"> (07.11.22) קיבל בית המשפט המחוזי בחיפה את ערעור המדינה על קולת העונש שהוטל על הנאשם שהורשע בהחזקת אקדח, מחסנית ותחמושת והחמיר עונשו מ-7 חודשי עבודות שירות ל-12 חודשי מאסר בפועל. הנאשם שם היה מבוגר בעל משפחה במצב כלכלי ירוד, נעדר עבר פלילי הסובל ממגבלות בריאותיות.</w:t>
      </w:r>
    </w:p>
    <w:p w14:paraId="5F197F5D" w14:textId="77777777" w:rsidR="00B630F2" w:rsidRPr="00145C15" w:rsidRDefault="00B630F2" w:rsidP="00B630F2">
      <w:pPr>
        <w:spacing w:line="360" w:lineRule="auto"/>
        <w:jc w:val="both"/>
        <w:rPr>
          <w:rFonts w:ascii="Arial" w:eastAsia="David" w:hAnsi="Arial"/>
          <w:rtl/>
        </w:rPr>
      </w:pPr>
    </w:p>
    <w:p w14:paraId="7037FCCE" w14:textId="77777777" w:rsidR="00B630F2" w:rsidRPr="00145C15" w:rsidRDefault="00B630F2" w:rsidP="00B630F2">
      <w:pPr>
        <w:autoSpaceDE w:val="0"/>
        <w:autoSpaceDN w:val="0"/>
        <w:adjustRightInd w:val="0"/>
        <w:spacing w:line="360" w:lineRule="auto"/>
        <w:jc w:val="both"/>
        <w:rPr>
          <w:rFonts w:ascii="David" w:eastAsia="David" w:hAnsi="David"/>
          <w:rtl/>
        </w:rPr>
      </w:pPr>
      <w:r w:rsidRPr="00145C15">
        <w:rPr>
          <w:rFonts w:ascii="David" w:eastAsia="David" w:hAnsi="David" w:hint="cs"/>
          <w:rtl/>
        </w:rPr>
        <w:t>באשר לבקשת הסנגור לקביעת מתחמי ענישה חמורים פחות מאלו שאליהם הפנתה המאשימה מצאתי לנכון להפנות לדברים נוספים שנכתבו בעניין סובח, שלדאבון הלב, רלוונטיים מתמיד בימים טרופים אלה כאשר אנו מתבשרים חדשות לבקרים על שימוש לא חוקי בנשק בסביבה אזרחית:</w:t>
      </w:r>
    </w:p>
    <w:p w14:paraId="2EEA6BDD" w14:textId="77777777" w:rsidR="00B630F2" w:rsidRPr="00145C15" w:rsidRDefault="00B630F2" w:rsidP="00B630F2">
      <w:pPr>
        <w:autoSpaceDE w:val="0"/>
        <w:autoSpaceDN w:val="0"/>
        <w:adjustRightInd w:val="0"/>
        <w:spacing w:line="360" w:lineRule="auto"/>
        <w:ind w:left="567" w:right="567"/>
        <w:jc w:val="both"/>
        <w:rPr>
          <w:rFonts w:ascii="David" w:eastAsia="David" w:hAnsi="David"/>
          <w:b/>
          <w:bCs/>
          <w:rtl/>
        </w:rPr>
      </w:pPr>
      <w:r w:rsidRPr="00145C15">
        <w:rPr>
          <w:rFonts w:ascii="David" w:eastAsia="David" w:hAnsi="David" w:hint="cs"/>
          <w:b/>
          <w:bCs/>
          <w:rtl/>
        </w:rPr>
        <w:t>"..לעיתים</w:t>
      </w:r>
      <w:r w:rsidRPr="00145C15">
        <w:rPr>
          <w:rFonts w:ascii="David" w:eastAsia="David" w:hAnsi="David" w:hint="cs"/>
          <w:b/>
          <w:bCs/>
        </w:rPr>
        <w:t xml:space="preserve"> </w:t>
      </w:r>
      <w:r w:rsidRPr="00145C15">
        <w:rPr>
          <w:rFonts w:ascii="David" w:eastAsia="David" w:hAnsi="David" w:hint="cs"/>
          <w:b/>
          <w:bCs/>
          <w:rtl/>
        </w:rPr>
        <w:t>מדיניות</w:t>
      </w:r>
      <w:r w:rsidRPr="00145C15">
        <w:rPr>
          <w:rFonts w:ascii="David" w:eastAsia="David" w:hAnsi="David" w:hint="cs"/>
          <w:b/>
          <w:bCs/>
        </w:rPr>
        <w:t xml:space="preserve"> </w:t>
      </w:r>
      <w:r w:rsidRPr="00145C15">
        <w:rPr>
          <w:rFonts w:ascii="David" w:eastAsia="David" w:hAnsi="David" w:hint="cs"/>
          <w:b/>
          <w:bCs/>
          <w:rtl/>
        </w:rPr>
        <w:t>הענישה</w:t>
      </w:r>
      <w:r w:rsidRPr="00145C15">
        <w:rPr>
          <w:rFonts w:ascii="David" w:eastAsia="David" w:hAnsi="David" w:hint="cs"/>
          <w:b/>
          <w:bCs/>
        </w:rPr>
        <w:t xml:space="preserve"> </w:t>
      </w:r>
      <w:r w:rsidRPr="00145C15">
        <w:rPr>
          <w:rFonts w:ascii="David" w:eastAsia="David" w:hAnsi="David" w:hint="cs"/>
          <w:b/>
          <w:bCs/>
          <w:rtl/>
        </w:rPr>
        <w:t>הנוהגת</w:t>
      </w:r>
      <w:r w:rsidRPr="00145C15">
        <w:rPr>
          <w:rFonts w:ascii="David" w:eastAsia="David" w:hAnsi="David" w:hint="cs"/>
          <w:b/>
          <w:bCs/>
        </w:rPr>
        <w:t xml:space="preserve"> </w:t>
      </w:r>
      <w:r w:rsidRPr="00145C15">
        <w:rPr>
          <w:rFonts w:ascii="David" w:eastAsia="David" w:hAnsi="David" w:hint="cs"/>
          <w:b/>
          <w:bCs/>
          <w:rtl/>
        </w:rPr>
        <w:t>ביחס</w:t>
      </w:r>
      <w:r w:rsidRPr="00145C15">
        <w:rPr>
          <w:rFonts w:ascii="David" w:eastAsia="David" w:hAnsi="David" w:hint="cs"/>
          <w:b/>
          <w:bCs/>
        </w:rPr>
        <w:t xml:space="preserve"> </w:t>
      </w:r>
      <w:r w:rsidRPr="00145C15">
        <w:rPr>
          <w:rFonts w:ascii="David" w:eastAsia="David" w:hAnsi="David" w:hint="cs"/>
          <w:b/>
          <w:bCs/>
          <w:rtl/>
        </w:rPr>
        <w:t>לעבירה</w:t>
      </w:r>
      <w:r w:rsidRPr="00145C15">
        <w:rPr>
          <w:rFonts w:ascii="David" w:eastAsia="David" w:hAnsi="David" w:hint="cs"/>
          <w:b/>
          <w:bCs/>
        </w:rPr>
        <w:t xml:space="preserve"> </w:t>
      </w:r>
      <w:r w:rsidRPr="00145C15">
        <w:rPr>
          <w:rFonts w:ascii="David" w:eastAsia="David" w:hAnsi="David" w:hint="cs"/>
          <w:b/>
          <w:bCs/>
          <w:rtl/>
        </w:rPr>
        <w:t>מסוימת</w:t>
      </w:r>
      <w:r w:rsidRPr="00145C15">
        <w:rPr>
          <w:rFonts w:ascii="David" w:eastAsia="David" w:hAnsi="David" w:hint="cs"/>
          <w:b/>
          <w:bCs/>
        </w:rPr>
        <w:t xml:space="preserve"> </w:t>
      </w:r>
      <w:r w:rsidRPr="00145C15">
        <w:rPr>
          <w:rFonts w:ascii="David" w:eastAsia="David" w:hAnsi="David" w:hint="cs"/>
          <w:b/>
          <w:bCs/>
          <w:rtl/>
        </w:rPr>
        <w:t>אינה</w:t>
      </w:r>
      <w:r w:rsidRPr="00145C15">
        <w:rPr>
          <w:rFonts w:ascii="David" w:eastAsia="David" w:hAnsi="David" w:hint="cs"/>
          <w:b/>
          <w:bCs/>
        </w:rPr>
        <w:t xml:space="preserve"> </w:t>
      </w:r>
      <w:r w:rsidRPr="00145C15">
        <w:rPr>
          <w:rFonts w:ascii="David" w:eastAsia="David" w:hAnsi="David" w:hint="cs"/>
          <w:b/>
          <w:bCs/>
          <w:rtl/>
        </w:rPr>
        <w:t>מספקת, ועל</w:t>
      </w:r>
      <w:r w:rsidRPr="00145C15">
        <w:rPr>
          <w:rFonts w:ascii="David" w:eastAsia="David" w:hAnsi="David" w:hint="cs"/>
          <w:b/>
          <w:bCs/>
        </w:rPr>
        <w:t xml:space="preserve"> </w:t>
      </w:r>
      <w:r w:rsidRPr="00145C15">
        <w:rPr>
          <w:rFonts w:ascii="David" w:eastAsia="David" w:hAnsi="David" w:hint="cs"/>
          <w:b/>
          <w:bCs/>
          <w:rtl/>
        </w:rPr>
        <w:t>בית</w:t>
      </w:r>
      <w:r w:rsidRPr="00145C15">
        <w:rPr>
          <w:rFonts w:ascii="David" w:eastAsia="David" w:hAnsi="David" w:hint="cs"/>
          <w:b/>
          <w:bCs/>
        </w:rPr>
        <w:t xml:space="preserve"> </w:t>
      </w:r>
      <w:r w:rsidRPr="00145C15">
        <w:rPr>
          <w:rFonts w:ascii="David" w:eastAsia="David" w:hAnsi="David" w:hint="cs"/>
          <w:b/>
          <w:bCs/>
          <w:rtl/>
        </w:rPr>
        <w:t>המשפט</w:t>
      </w:r>
      <w:r w:rsidRPr="00145C15">
        <w:rPr>
          <w:rFonts w:ascii="David" w:eastAsia="David" w:hAnsi="David" w:hint="cs"/>
          <w:b/>
          <w:bCs/>
        </w:rPr>
        <w:t xml:space="preserve"> </w:t>
      </w:r>
      <w:r w:rsidRPr="00145C15">
        <w:rPr>
          <w:rFonts w:ascii="David" w:eastAsia="David" w:hAnsi="David" w:hint="cs"/>
          <w:b/>
          <w:bCs/>
          <w:rtl/>
        </w:rPr>
        <w:t>להורות</w:t>
      </w:r>
      <w:r w:rsidRPr="00145C15">
        <w:rPr>
          <w:rFonts w:ascii="David" w:eastAsia="David" w:hAnsi="David" w:hint="cs"/>
          <w:b/>
          <w:bCs/>
        </w:rPr>
        <w:t xml:space="preserve"> </w:t>
      </w:r>
      <w:r w:rsidRPr="00145C15">
        <w:rPr>
          <w:rFonts w:ascii="David" w:eastAsia="David" w:hAnsi="David" w:hint="cs"/>
          <w:b/>
          <w:bCs/>
          <w:rtl/>
        </w:rPr>
        <w:t>על</w:t>
      </w:r>
      <w:r w:rsidRPr="00145C15">
        <w:rPr>
          <w:rFonts w:ascii="David" w:eastAsia="David" w:hAnsi="David" w:hint="cs"/>
          <w:b/>
          <w:bCs/>
        </w:rPr>
        <w:t xml:space="preserve"> </w:t>
      </w:r>
      <w:r w:rsidRPr="00145C15">
        <w:rPr>
          <w:rFonts w:ascii="David" w:eastAsia="David" w:hAnsi="David" w:hint="cs"/>
          <w:b/>
          <w:bCs/>
          <w:rtl/>
        </w:rPr>
        <w:t>החמרה</w:t>
      </w:r>
      <w:r w:rsidRPr="00145C15">
        <w:rPr>
          <w:rFonts w:ascii="David" w:eastAsia="David" w:hAnsi="David" w:hint="cs"/>
          <w:b/>
          <w:bCs/>
        </w:rPr>
        <w:t xml:space="preserve"> </w:t>
      </w:r>
      <w:r w:rsidRPr="00145C15">
        <w:rPr>
          <w:rFonts w:ascii="David" w:eastAsia="David" w:hAnsi="David" w:hint="cs"/>
          <w:b/>
          <w:bCs/>
          <w:rtl/>
        </w:rPr>
        <w:t>בענישה</w:t>
      </w:r>
      <w:r w:rsidRPr="00145C15">
        <w:rPr>
          <w:rFonts w:ascii="David" w:eastAsia="David" w:hAnsi="David" w:hint="cs"/>
          <w:b/>
          <w:bCs/>
        </w:rPr>
        <w:t xml:space="preserve"> </w:t>
      </w:r>
      <w:r w:rsidRPr="00145C15">
        <w:rPr>
          <w:rFonts w:ascii="David" w:eastAsia="David" w:hAnsi="David" w:hint="cs"/>
          <w:b/>
          <w:bCs/>
          <w:rtl/>
        </w:rPr>
        <w:t>על</w:t>
      </w:r>
      <w:r w:rsidRPr="00145C15">
        <w:rPr>
          <w:rFonts w:ascii="David" w:eastAsia="David" w:hAnsi="David" w:hint="cs"/>
          <w:b/>
          <w:bCs/>
        </w:rPr>
        <w:t xml:space="preserve"> </w:t>
      </w:r>
      <w:r w:rsidRPr="00145C15">
        <w:rPr>
          <w:rFonts w:ascii="David" w:eastAsia="David" w:hAnsi="David" w:hint="cs"/>
          <w:b/>
          <w:bCs/>
          <w:rtl/>
        </w:rPr>
        <w:t>מנת</w:t>
      </w:r>
      <w:r w:rsidRPr="00145C15">
        <w:rPr>
          <w:rFonts w:ascii="David" w:eastAsia="David" w:hAnsi="David" w:hint="cs"/>
          <w:b/>
          <w:bCs/>
        </w:rPr>
        <w:t xml:space="preserve"> </w:t>
      </w:r>
      <w:r w:rsidRPr="00145C15">
        <w:rPr>
          <w:rFonts w:ascii="David" w:eastAsia="David" w:hAnsi="David" w:hint="cs"/>
          <w:b/>
          <w:bCs/>
          <w:rtl/>
        </w:rPr>
        <w:t>לקדם</w:t>
      </w:r>
      <w:r w:rsidRPr="00145C15">
        <w:rPr>
          <w:rFonts w:ascii="David" w:eastAsia="David" w:hAnsi="David" w:hint="cs"/>
          <w:b/>
          <w:bCs/>
        </w:rPr>
        <w:t xml:space="preserve"> </w:t>
      </w:r>
      <w:r w:rsidRPr="00145C15">
        <w:rPr>
          <w:rFonts w:ascii="David" w:eastAsia="David" w:hAnsi="David" w:hint="cs"/>
          <w:b/>
          <w:bCs/>
          <w:rtl/>
        </w:rPr>
        <w:t>ולהגן</w:t>
      </w:r>
      <w:r w:rsidRPr="00145C15">
        <w:rPr>
          <w:rFonts w:ascii="David" w:eastAsia="David" w:hAnsi="David" w:hint="cs"/>
          <w:b/>
          <w:bCs/>
        </w:rPr>
        <w:t xml:space="preserve"> </w:t>
      </w:r>
      <w:r w:rsidRPr="00145C15">
        <w:rPr>
          <w:rFonts w:ascii="David" w:eastAsia="David" w:hAnsi="David" w:hint="cs"/>
          <w:b/>
          <w:bCs/>
          <w:rtl/>
        </w:rPr>
        <w:t>על</w:t>
      </w:r>
      <w:r w:rsidRPr="00145C15">
        <w:rPr>
          <w:rFonts w:ascii="David" w:eastAsia="David" w:hAnsi="David" w:hint="cs"/>
          <w:b/>
          <w:bCs/>
        </w:rPr>
        <w:t xml:space="preserve"> </w:t>
      </w:r>
      <w:r w:rsidRPr="00145C15">
        <w:rPr>
          <w:rFonts w:ascii="David" w:eastAsia="David" w:hAnsi="David" w:hint="cs"/>
          <w:b/>
          <w:bCs/>
          <w:rtl/>
        </w:rPr>
        <w:t>הערכים</w:t>
      </w:r>
      <w:r w:rsidRPr="00145C15">
        <w:rPr>
          <w:rFonts w:ascii="David" w:eastAsia="David" w:hAnsi="David" w:hint="cs"/>
          <w:b/>
          <w:bCs/>
        </w:rPr>
        <w:t xml:space="preserve"> </w:t>
      </w:r>
      <w:r w:rsidRPr="00145C15">
        <w:rPr>
          <w:rFonts w:ascii="David" w:eastAsia="David" w:hAnsi="David" w:hint="cs"/>
          <w:b/>
          <w:bCs/>
          <w:rtl/>
        </w:rPr>
        <w:t>אשר</w:t>
      </w:r>
      <w:r w:rsidRPr="00145C15">
        <w:rPr>
          <w:rFonts w:ascii="David" w:eastAsia="David" w:hAnsi="David" w:hint="cs"/>
          <w:b/>
          <w:bCs/>
        </w:rPr>
        <w:t xml:space="preserve"> </w:t>
      </w:r>
      <w:r w:rsidRPr="00145C15">
        <w:rPr>
          <w:rFonts w:ascii="David" w:eastAsia="David" w:hAnsi="David" w:hint="cs"/>
          <w:b/>
          <w:bCs/>
          <w:rtl/>
        </w:rPr>
        <w:t>ביסודה, ובכך</w:t>
      </w:r>
      <w:r w:rsidRPr="00145C15">
        <w:rPr>
          <w:rFonts w:ascii="David" w:eastAsia="David" w:hAnsi="David" w:hint="cs"/>
          <w:b/>
          <w:bCs/>
        </w:rPr>
        <w:t xml:space="preserve"> </w:t>
      </w:r>
      <w:r w:rsidRPr="00145C15">
        <w:rPr>
          <w:rFonts w:ascii="David" w:eastAsia="David" w:hAnsi="David" w:hint="cs"/>
          <w:b/>
          <w:bCs/>
          <w:rtl/>
        </w:rPr>
        <w:t>לבלום</w:t>
      </w:r>
      <w:r w:rsidRPr="00145C15">
        <w:rPr>
          <w:rFonts w:ascii="David" w:eastAsia="David" w:hAnsi="David" w:hint="cs"/>
          <w:b/>
          <w:bCs/>
        </w:rPr>
        <w:t xml:space="preserve"> </w:t>
      </w:r>
      <w:r w:rsidRPr="00145C15">
        <w:rPr>
          <w:rFonts w:ascii="David" w:eastAsia="David" w:hAnsi="David" w:hint="cs"/>
          <w:b/>
          <w:bCs/>
          <w:rtl/>
        </w:rPr>
        <w:t>את</w:t>
      </w:r>
      <w:r w:rsidRPr="00145C15">
        <w:rPr>
          <w:rFonts w:ascii="David" w:eastAsia="David" w:hAnsi="David" w:hint="cs"/>
          <w:b/>
          <w:bCs/>
        </w:rPr>
        <w:t xml:space="preserve"> </w:t>
      </w:r>
      <w:r w:rsidRPr="00145C15">
        <w:rPr>
          <w:rFonts w:ascii="David" w:eastAsia="David" w:hAnsi="David" w:hint="cs"/>
          <w:b/>
          <w:bCs/>
          <w:rtl/>
        </w:rPr>
        <w:t>נפיצותן</w:t>
      </w:r>
      <w:r w:rsidRPr="00145C15">
        <w:rPr>
          <w:rFonts w:ascii="David" w:eastAsia="David" w:hAnsi="David" w:hint="cs"/>
          <w:b/>
          <w:bCs/>
        </w:rPr>
        <w:t xml:space="preserve"> </w:t>
      </w:r>
      <w:r w:rsidRPr="00145C15">
        <w:rPr>
          <w:rFonts w:ascii="David" w:eastAsia="David" w:hAnsi="David" w:hint="cs"/>
          <w:b/>
          <w:bCs/>
          <w:rtl/>
        </w:rPr>
        <w:t>של</w:t>
      </w:r>
      <w:r w:rsidRPr="00145C15">
        <w:rPr>
          <w:rFonts w:ascii="David" w:eastAsia="David" w:hAnsi="David" w:hint="cs"/>
          <w:b/>
          <w:bCs/>
        </w:rPr>
        <w:t xml:space="preserve"> </w:t>
      </w:r>
      <w:r w:rsidRPr="00145C15">
        <w:rPr>
          <w:rFonts w:ascii="David" w:eastAsia="David" w:hAnsi="David" w:hint="cs"/>
          <w:b/>
          <w:bCs/>
          <w:rtl/>
        </w:rPr>
        <w:t>עבירות</w:t>
      </w:r>
      <w:r w:rsidRPr="00145C15">
        <w:rPr>
          <w:rFonts w:ascii="David" w:eastAsia="David" w:hAnsi="David" w:hint="cs"/>
          <w:b/>
          <w:bCs/>
        </w:rPr>
        <w:t xml:space="preserve"> </w:t>
      </w:r>
      <w:r w:rsidRPr="00145C15">
        <w:rPr>
          <w:rFonts w:ascii="David" w:eastAsia="David" w:hAnsi="David" w:hint="cs"/>
          <w:b/>
          <w:bCs/>
          <w:rtl/>
        </w:rPr>
        <w:t>מסוימות</w:t>
      </w:r>
      <w:r w:rsidRPr="00145C15">
        <w:rPr>
          <w:rFonts w:ascii="David" w:eastAsia="David" w:hAnsi="David" w:hint="cs"/>
          <w:b/>
          <w:bCs/>
        </w:rPr>
        <w:t xml:space="preserve"> </w:t>
      </w:r>
      <w:r w:rsidRPr="00145C15">
        <w:rPr>
          <w:rFonts w:ascii="David" w:eastAsia="David" w:hAnsi="David" w:hint="cs"/>
          <w:b/>
          <w:bCs/>
          <w:rtl/>
        </w:rPr>
        <w:t>ההופכות</w:t>
      </w:r>
      <w:r w:rsidRPr="00145C15">
        <w:rPr>
          <w:rFonts w:ascii="David" w:eastAsia="David" w:hAnsi="David" w:hint="cs"/>
          <w:b/>
          <w:bCs/>
        </w:rPr>
        <w:t xml:space="preserve"> </w:t>
      </w:r>
      <w:r w:rsidRPr="00145C15">
        <w:rPr>
          <w:rFonts w:ascii="David" w:eastAsia="David" w:hAnsi="David" w:hint="cs"/>
          <w:b/>
          <w:bCs/>
          <w:rtl/>
        </w:rPr>
        <w:t>ל'מכת</w:t>
      </w:r>
      <w:r w:rsidRPr="00145C15">
        <w:rPr>
          <w:rFonts w:ascii="David" w:eastAsia="David" w:hAnsi="David" w:hint="cs"/>
          <w:b/>
          <w:bCs/>
        </w:rPr>
        <w:t xml:space="preserve"> </w:t>
      </w:r>
      <w:r w:rsidRPr="00145C15">
        <w:rPr>
          <w:rFonts w:ascii="David" w:eastAsia="David" w:hAnsi="David" w:hint="cs"/>
          <w:b/>
          <w:bCs/>
          <w:rtl/>
        </w:rPr>
        <w:t>מדינה', ולתת</w:t>
      </w:r>
      <w:r w:rsidRPr="00145C15">
        <w:rPr>
          <w:rFonts w:ascii="David" w:eastAsia="David" w:hAnsi="David" w:hint="cs"/>
          <w:b/>
          <w:bCs/>
        </w:rPr>
        <w:t xml:space="preserve"> </w:t>
      </w:r>
      <w:r w:rsidRPr="00145C15">
        <w:rPr>
          <w:rFonts w:ascii="David" w:eastAsia="David" w:hAnsi="David" w:hint="cs"/>
          <w:b/>
          <w:bCs/>
          <w:rtl/>
        </w:rPr>
        <w:t>ביטוי</w:t>
      </w:r>
      <w:r w:rsidRPr="00145C15">
        <w:rPr>
          <w:rFonts w:ascii="David" w:eastAsia="David" w:hAnsi="David" w:hint="cs"/>
          <w:b/>
          <w:bCs/>
        </w:rPr>
        <w:t xml:space="preserve"> </w:t>
      </w:r>
      <w:r w:rsidRPr="00145C15">
        <w:rPr>
          <w:rFonts w:ascii="David" w:eastAsia="David" w:hAnsi="David" w:hint="cs"/>
          <w:b/>
          <w:bCs/>
          <w:rtl/>
        </w:rPr>
        <w:t>לחומרה</w:t>
      </w:r>
      <w:r w:rsidRPr="00145C15">
        <w:rPr>
          <w:rFonts w:ascii="David" w:eastAsia="David" w:hAnsi="David" w:hint="cs"/>
          <w:b/>
          <w:bCs/>
        </w:rPr>
        <w:t xml:space="preserve"> </w:t>
      </w:r>
      <w:r w:rsidRPr="00145C15">
        <w:rPr>
          <w:rFonts w:ascii="David" w:eastAsia="David" w:hAnsi="David" w:hint="cs"/>
          <w:b/>
          <w:bCs/>
          <w:rtl/>
        </w:rPr>
        <w:t>שיש</w:t>
      </w:r>
      <w:r w:rsidRPr="00145C15">
        <w:rPr>
          <w:rFonts w:ascii="David" w:eastAsia="David" w:hAnsi="David" w:hint="cs"/>
          <w:b/>
          <w:bCs/>
        </w:rPr>
        <w:t xml:space="preserve"> </w:t>
      </w:r>
      <w:r w:rsidRPr="00145C15">
        <w:rPr>
          <w:rFonts w:ascii="David" w:eastAsia="David" w:hAnsi="David" w:hint="cs"/>
          <w:b/>
          <w:bCs/>
          <w:rtl/>
        </w:rPr>
        <w:t>לייחס</w:t>
      </w:r>
      <w:r w:rsidRPr="00145C15">
        <w:rPr>
          <w:rFonts w:ascii="David" w:eastAsia="David" w:hAnsi="David" w:hint="cs"/>
          <w:b/>
          <w:bCs/>
        </w:rPr>
        <w:t xml:space="preserve"> </w:t>
      </w:r>
      <w:r w:rsidRPr="00145C15">
        <w:rPr>
          <w:rFonts w:ascii="David" w:eastAsia="David" w:hAnsi="David" w:hint="cs"/>
          <w:b/>
          <w:bCs/>
          <w:rtl/>
        </w:rPr>
        <w:t>להן...השימוש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w:t>
      </w:r>
    </w:p>
    <w:p w14:paraId="7238CF07" w14:textId="77777777" w:rsidR="00B630F2" w:rsidRPr="00145C15" w:rsidRDefault="00B630F2" w:rsidP="00B630F2">
      <w:pPr>
        <w:autoSpaceDE w:val="0"/>
        <w:autoSpaceDN w:val="0"/>
        <w:adjustRightInd w:val="0"/>
        <w:spacing w:line="360" w:lineRule="auto"/>
        <w:ind w:left="567" w:right="567"/>
        <w:jc w:val="both"/>
        <w:rPr>
          <w:rFonts w:ascii="David" w:eastAsia="David" w:hAnsi="David"/>
          <w:b/>
          <w:bCs/>
          <w:rtl/>
        </w:rPr>
      </w:pPr>
      <w:r w:rsidRPr="00145C15">
        <w:rPr>
          <w:rFonts w:ascii="David" w:eastAsia="David" w:hAnsi="David" w:hint="cs"/>
          <w:b/>
          <w:bCs/>
          <w:rtl/>
        </w:rPr>
        <w:t xml:space="preserve">על רקע המציאות אותה אנו חווים למרבה הצער מדי יום, אנו עדים לקריאה ציבורית נרגשת להגברת האכיפה כלפי עבירות נשק – ולהחמרה במדיניות הענישה הנוהגת" </w:t>
      </w:r>
    </w:p>
    <w:p w14:paraId="086B4645" w14:textId="77777777" w:rsidR="00B630F2" w:rsidRPr="00145C15" w:rsidRDefault="00B630F2" w:rsidP="00B630F2">
      <w:pPr>
        <w:spacing w:line="360" w:lineRule="auto"/>
        <w:jc w:val="both"/>
        <w:rPr>
          <w:rFonts w:ascii="David" w:eastAsia="David" w:hAnsi="David"/>
          <w:rtl/>
        </w:rPr>
      </w:pPr>
      <w:r w:rsidRPr="00145C15">
        <w:rPr>
          <w:rFonts w:ascii="David" w:eastAsia="David" w:hAnsi="David" w:hint="cs"/>
          <w:rtl/>
        </w:rPr>
        <w:tab/>
      </w:r>
    </w:p>
    <w:p w14:paraId="167368F6" w14:textId="77777777" w:rsidR="00B630F2" w:rsidRPr="00145C15" w:rsidRDefault="00B630F2" w:rsidP="00B630F2">
      <w:pPr>
        <w:spacing w:line="360" w:lineRule="auto"/>
        <w:jc w:val="both"/>
        <w:rPr>
          <w:rFonts w:ascii="David" w:eastAsia="David" w:hAnsi="David"/>
          <w:rtl/>
        </w:rPr>
      </w:pPr>
      <w:r w:rsidRPr="00145C15">
        <w:rPr>
          <w:rFonts w:ascii="David" w:eastAsia="David" w:hAnsi="David" w:hint="cs"/>
          <w:rtl/>
        </w:rPr>
        <w:t>הנאשם כאמור, הסליק אקדח טעון כשהוא מוכן ומזומן ופוטנציאל הנזק הטמון בו רב לאין ערוך.</w:t>
      </w:r>
    </w:p>
    <w:p w14:paraId="648E5911" w14:textId="77777777" w:rsidR="00B630F2" w:rsidRPr="00145C15" w:rsidRDefault="00B630F2" w:rsidP="00B630F2">
      <w:pPr>
        <w:spacing w:line="360" w:lineRule="auto"/>
        <w:jc w:val="both"/>
        <w:rPr>
          <w:rFonts w:ascii="David" w:hAnsi="David"/>
          <w:noProof/>
          <w:rtl/>
        </w:rPr>
      </w:pPr>
      <w:r w:rsidRPr="00145C15">
        <w:rPr>
          <w:rFonts w:ascii="David" w:eastAsia="David" w:hAnsi="David" w:hint="cs"/>
          <w:rtl/>
        </w:rPr>
        <w:t xml:space="preserve">אמנם, בסופו של יום לא נעשה שימוש בנשק, עם זאת אין בכך כדי להפחית מחומרת הנסיבות הקשורות בביצוע המעשים ולהתעלם מהנזק ומהפגיעות הפוטנציאליות שהיו עלולים להתרחש. </w:t>
      </w:r>
    </w:p>
    <w:p w14:paraId="43FBC7C1" w14:textId="77777777" w:rsidR="00B630F2" w:rsidRPr="00145C15" w:rsidRDefault="00B630F2" w:rsidP="00B630F2">
      <w:pPr>
        <w:spacing w:line="360" w:lineRule="auto"/>
        <w:jc w:val="both"/>
        <w:rPr>
          <w:rFonts w:ascii="David" w:hAnsi="David"/>
          <w:noProof/>
          <w:rtl/>
        </w:rPr>
      </w:pPr>
    </w:p>
    <w:p w14:paraId="2D2B0424" w14:textId="77777777" w:rsidR="00B630F2" w:rsidRPr="00145C15" w:rsidRDefault="00B630F2" w:rsidP="00B630F2">
      <w:pPr>
        <w:spacing w:line="360" w:lineRule="auto"/>
        <w:jc w:val="both"/>
        <w:rPr>
          <w:rFonts w:ascii="David" w:eastAsia="David" w:hAnsi="David"/>
          <w:b/>
          <w:bCs/>
          <w:rtl/>
        </w:rPr>
      </w:pPr>
      <w:r w:rsidRPr="00145C15">
        <w:rPr>
          <w:rFonts w:ascii="David" w:eastAsia="David" w:hAnsi="David" w:hint="cs"/>
          <w:rtl/>
        </w:rPr>
        <w:t>בהתחשב בעובדות ונסיבות חמורות אלה ובמגמת ההחמרה ההדרגתית של בית המשפט העליון בעבירות נשק, מצאתי כי מתחם העונש ההולם בעניינו של הנאשם</w:t>
      </w:r>
      <w:r w:rsidRPr="00145C15">
        <w:rPr>
          <w:rFonts w:ascii="David" w:eastAsia="David" w:hAnsi="David" w:hint="cs"/>
          <w:b/>
          <w:bCs/>
          <w:rtl/>
        </w:rPr>
        <w:t xml:space="preserve"> נע בין 12  ל- 36 חודשי מאסר בפועל. </w:t>
      </w:r>
    </w:p>
    <w:p w14:paraId="664AA86D" w14:textId="77777777" w:rsidR="00B630F2" w:rsidRPr="00145C15" w:rsidRDefault="00B630F2" w:rsidP="00B630F2">
      <w:pPr>
        <w:spacing w:line="360" w:lineRule="auto"/>
        <w:jc w:val="both"/>
        <w:rPr>
          <w:rFonts w:ascii="Miriam" w:eastAsia="David" w:hAnsi="Miriam" w:cs="Miriam"/>
          <w:sz w:val="22"/>
          <w:szCs w:val="22"/>
          <w:rtl/>
        </w:rPr>
      </w:pPr>
    </w:p>
    <w:p w14:paraId="592C4526" w14:textId="77777777" w:rsidR="00B630F2" w:rsidRPr="00145C15" w:rsidRDefault="00B630F2" w:rsidP="00B630F2">
      <w:pPr>
        <w:spacing w:line="360" w:lineRule="auto"/>
        <w:jc w:val="both"/>
        <w:rPr>
          <w:rFonts w:ascii="David" w:eastAsia="David" w:hAnsi="David"/>
          <w:b/>
          <w:bCs/>
          <w:u w:val="single"/>
          <w:rtl/>
        </w:rPr>
      </w:pPr>
      <w:r w:rsidRPr="00145C15">
        <w:rPr>
          <w:rFonts w:ascii="David" w:eastAsia="David" w:hAnsi="David" w:hint="cs"/>
          <w:b/>
          <w:bCs/>
          <w:u w:val="single"/>
          <w:rtl/>
        </w:rPr>
        <w:t>קביעת העונש ההולם</w:t>
      </w:r>
      <w:r>
        <w:rPr>
          <w:rFonts w:ascii="David" w:eastAsia="David" w:hAnsi="David" w:hint="cs"/>
          <w:b/>
          <w:bCs/>
          <w:u w:val="single"/>
          <w:rtl/>
        </w:rPr>
        <w:t xml:space="preserve"> בתוך המתחם</w:t>
      </w:r>
    </w:p>
    <w:p w14:paraId="12659DB2" w14:textId="77777777" w:rsidR="00B630F2" w:rsidRPr="00145C15" w:rsidRDefault="00B630F2" w:rsidP="00B630F2">
      <w:pPr>
        <w:spacing w:line="360" w:lineRule="auto"/>
        <w:jc w:val="both"/>
        <w:rPr>
          <w:rFonts w:ascii="David" w:eastAsia="David" w:hAnsi="David"/>
          <w:rtl/>
        </w:rPr>
      </w:pPr>
      <w:r w:rsidRPr="00145C15">
        <w:rPr>
          <w:rFonts w:ascii="David" w:eastAsia="David" w:hAnsi="David" w:hint="cs"/>
          <w:rtl/>
        </w:rPr>
        <w:t>אין כל חולק כי עונש מאסר בפועל יפגע בנאשם, שזוהי הסתבכותו הראשונה ומעולם לא נשא בעונש מאסר. עם זאת, אין בידי לקבל את טענת הסנגור שבעניינו של הנאשם הגיש שירות המבחן תסקיר חיובי. בתסקיר נכתב במפורש שהנאשם מטשטש את התנהלותו ומחזיק בעמדות מקלות בעבירות מסוג זה בשל תכתיבים סביבתיים וחברתיים ולכן, כל עוד קיים סכסוך כפי שהנאשם טוען, הרי שקיים סיכון להישנות העבירות בגינו לא המליץ שירות המבחן על ענישה חלופית.</w:t>
      </w:r>
    </w:p>
    <w:p w14:paraId="5F5F75CD" w14:textId="77777777" w:rsidR="00B630F2" w:rsidRPr="00145C15" w:rsidRDefault="00B630F2" w:rsidP="00B630F2">
      <w:pPr>
        <w:spacing w:line="360" w:lineRule="auto"/>
        <w:jc w:val="both"/>
        <w:rPr>
          <w:rFonts w:ascii="David" w:eastAsia="David" w:hAnsi="David"/>
          <w:rtl/>
        </w:rPr>
      </w:pPr>
    </w:p>
    <w:p w14:paraId="6C3725E4" w14:textId="77777777" w:rsidR="00B630F2" w:rsidRPr="00145C15" w:rsidRDefault="00B630F2" w:rsidP="00B630F2">
      <w:pPr>
        <w:spacing w:line="360" w:lineRule="auto"/>
        <w:jc w:val="both"/>
        <w:rPr>
          <w:rFonts w:ascii="David" w:eastAsia="David" w:hAnsi="David"/>
          <w:rtl/>
        </w:rPr>
      </w:pPr>
      <w:r w:rsidRPr="00145C15">
        <w:rPr>
          <w:rFonts w:ascii="David" w:eastAsia="David" w:hAnsi="David" w:hint="cs"/>
          <w:rtl/>
        </w:rPr>
        <w:t>לאור עובדות אלה, לא מצאתי לחרוג מהמתחם שקבעתי בשל שיקולי שיקום.</w:t>
      </w:r>
    </w:p>
    <w:p w14:paraId="1AB595AA" w14:textId="77777777" w:rsidR="00B630F2" w:rsidRPr="00145C15" w:rsidRDefault="00B630F2" w:rsidP="00B630F2">
      <w:pPr>
        <w:spacing w:line="360" w:lineRule="auto"/>
        <w:jc w:val="both"/>
        <w:rPr>
          <w:rFonts w:ascii="David" w:eastAsia="David" w:hAnsi="David"/>
          <w:rtl/>
        </w:rPr>
      </w:pPr>
    </w:p>
    <w:p w14:paraId="433B5BB9" w14:textId="77777777" w:rsidR="00B630F2" w:rsidRPr="00145C15" w:rsidRDefault="00B630F2" w:rsidP="00B630F2">
      <w:pPr>
        <w:spacing w:line="360" w:lineRule="auto"/>
        <w:jc w:val="both"/>
        <w:rPr>
          <w:rFonts w:ascii="David" w:eastAsia="David" w:hAnsi="David"/>
          <w:rtl/>
        </w:rPr>
      </w:pPr>
      <w:r w:rsidRPr="00145C15">
        <w:rPr>
          <w:rFonts w:ascii="David" w:eastAsia="David" w:hAnsi="David" w:hint="cs"/>
          <w:rtl/>
        </w:rPr>
        <w:t>מנגד, הנאשם נעדר עבר פלילי, זוהי אכן הסתבכותו הראשונה, הנאשם לקח אחריות על מעשיו, הודה בהזדמנות הראשונה וחסך זמן שיפוטי יקר.</w:t>
      </w:r>
    </w:p>
    <w:p w14:paraId="573A8E30" w14:textId="77777777" w:rsidR="00B630F2" w:rsidRPr="00145C15" w:rsidRDefault="00B630F2" w:rsidP="00B630F2">
      <w:pPr>
        <w:spacing w:line="360" w:lineRule="auto"/>
        <w:jc w:val="both"/>
        <w:rPr>
          <w:rFonts w:ascii="David" w:eastAsia="David" w:hAnsi="David"/>
          <w:rtl/>
        </w:rPr>
      </w:pPr>
    </w:p>
    <w:p w14:paraId="7C6DBA4D" w14:textId="77777777" w:rsidR="00B630F2" w:rsidRPr="00145C15" w:rsidRDefault="00B630F2" w:rsidP="00B630F2">
      <w:pPr>
        <w:spacing w:line="360" w:lineRule="auto"/>
        <w:jc w:val="both"/>
        <w:rPr>
          <w:rFonts w:ascii="David" w:eastAsia="David" w:hAnsi="David"/>
          <w:rtl/>
        </w:rPr>
      </w:pPr>
      <w:r w:rsidRPr="00145C15">
        <w:rPr>
          <w:rFonts w:ascii="David" w:eastAsia="David" w:hAnsi="David" w:hint="cs"/>
          <w:rtl/>
        </w:rPr>
        <w:t xml:space="preserve">הסנגור המלומד טען שאין לתת ביטוי למגמת ההחמרה מאחר שלעמדתו פעולה זו לא תשיג את אפקט ההרתעה. דומני, כי אין מקום לתת משקל לטיעונים אלה. אומנם בצד סוג, טיב וחומרת העבירות המיוחסות לנאשם, ישנם שיקולי ענישה רבים ומגוונים אך בסופו של יום בגזירת הדין אמון בית המשפט על איזון האינטרסים השונים. </w:t>
      </w:r>
    </w:p>
    <w:p w14:paraId="18910746" w14:textId="77777777" w:rsidR="00B630F2" w:rsidRPr="00145C15" w:rsidRDefault="00B630F2" w:rsidP="00B630F2">
      <w:pPr>
        <w:spacing w:line="360" w:lineRule="auto"/>
        <w:jc w:val="both"/>
        <w:rPr>
          <w:rFonts w:ascii="David" w:eastAsia="David" w:hAnsi="David"/>
          <w:rtl/>
        </w:rPr>
      </w:pPr>
    </w:p>
    <w:p w14:paraId="0ED0C01B" w14:textId="77777777" w:rsidR="00B630F2" w:rsidRPr="00145C15" w:rsidRDefault="00B630F2" w:rsidP="00B630F2">
      <w:pPr>
        <w:spacing w:line="360" w:lineRule="auto"/>
        <w:jc w:val="both"/>
        <w:rPr>
          <w:rFonts w:ascii="David" w:eastAsia="David" w:hAnsi="David"/>
          <w:rtl/>
        </w:rPr>
      </w:pPr>
      <w:r w:rsidRPr="00145C15">
        <w:rPr>
          <w:rFonts w:ascii="David" w:eastAsia="David" w:hAnsi="David" w:hint="cs"/>
          <w:rtl/>
        </w:rPr>
        <w:t xml:space="preserve">מחד עומד בפני בית המשפט הצורך בהרתעת הרבים דוגמת הנאשם ובשמירה על אינטרס הציבור, מאידך עומדות נסיבותיו האישיות של הנאשם הספציפי. איזון שיקולים מתחייב זה, אל לו להתפרש כצעד המחייב את בית המשפט להעדיף את נסיבותיו האישיות של הנאשם, על פני האינטרס הציבורי הדורש הרחקתו של העבריין מהחברה </w:t>
      </w:r>
      <w:r w:rsidRPr="00145C15">
        <w:rPr>
          <w:rFonts w:ascii="Arial" w:eastAsia="David" w:hAnsi="Arial" w:hint="cs"/>
          <w:rtl/>
        </w:rPr>
        <w:t>(</w:t>
      </w:r>
      <w:hyperlink r:id="rId42" w:history="1">
        <w:r w:rsidR="00AF72FB" w:rsidRPr="00AF72FB">
          <w:rPr>
            <w:rFonts w:ascii="David" w:eastAsia="David" w:hAnsi="David"/>
            <w:color w:val="0000FF"/>
            <w:u w:val="single"/>
            <w:rtl/>
          </w:rPr>
          <w:t>ע"פ 5330/20</w:t>
        </w:r>
      </w:hyperlink>
      <w:r w:rsidRPr="00145C15">
        <w:rPr>
          <w:rFonts w:ascii="David" w:eastAsia="David" w:hAnsi="David" w:hint="cs"/>
          <w:rtl/>
        </w:rPr>
        <w:t xml:space="preserve"> </w:t>
      </w:r>
      <w:r w:rsidRPr="00145C15">
        <w:rPr>
          <w:rFonts w:ascii="David" w:eastAsia="David" w:hAnsi="David" w:hint="cs"/>
          <w:b/>
          <w:bCs/>
          <w:rtl/>
        </w:rPr>
        <w:t>ענבתאוי נ' מדינת ישראל</w:t>
      </w:r>
      <w:r w:rsidRPr="00145C15">
        <w:rPr>
          <w:rFonts w:ascii="David" w:eastAsia="David" w:hAnsi="David" w:hint="cs"/>
          <w:rtl/>
        </w:rPr>
        <w:t>, (22.11.20)) וכאמור המחוקק כבר הביע דעתו בעניין זה בעת תיקון 140 ל</w:t>
      </w:r>
      <w:hyperlink r:id="rId43" w:history="1">
        <w:r w:rsidR="00AF72FB" w:rsidRPr="00AF72FB">
          <w:rPr>
            <w:rFonts w:ascii="David" w:eastAsia="David" w:hAnsi="David"/>
            <w:color w:val="0000FF"/>
            <w:u w:val="single"/>
            <w:rtl/>
          </w:rPr>
          <w:t>חוק העונשין</w:t>
        </w:r>
      </w:hyperlink>
      <w:r w:rsidRPr="00145C15">
        <w:rPr>
          <w:rFonts w:ascii="David" w:eastAsia="David" w:hAnsi="David" w:hint="cs"/>
          <w:rtl/>
        </w:rPr>
        <w:t>.</w:t>
      </w:r>
    </w:p>
    <w:p w14:paraId="79667DB5" w14:textId="77777777" w:rsidR="00B630F2" w:rsidRPr="00145C15" w:rsidRDefault="00B630F2" w:rsidP="00B630F2">
      <w:pPr>
        <w:spacing w:line="360" w:lineRule="auto"/>
        <w:jc w:val="both"/>
        <w:rPr>
          <w:rFonts w:ascii="David" w:eastAsia="David" w:hAnsi="David"/>
          <w:rtl/>
        </w:rPr>
      </w:pPr>
    </w:p>
    <w:p w14:paraId="6BF187E8" w14:textId="77777777" w:rsidR="00B630F2" w:rsidRPr="00145C15" w:rsidRDefault="00B630F2" w:rsidP="00B630F2">
      <w:pPr>
        <w:spacing w:line="360" w:lineRule="auto"/>
        <w:jc w:val="both"/>
        <w:rPr>
          <w:noProof/>
          <w:rtl/>
        </w:rPr>
      </w:pPr>
      <w:r w:rsidRPr="00145C15">
        <w:rPr>
          <w:rFonts w:ascii="Arial" w:hAnsi="Arial" w:hint="cs"/>
          <w:rtl/>
        </w:rPr>
        <w:t xml:space="preserve">משנאמר כל זאת, בהתחשב בחומרת המעשים, בנסיבותיהם, במידת הפגיעה בערך החברתי ובמדיניות הענישה הנוהגת, בהודאתו של הנאשם ובנסיבות חייו, תוך עריכת איזון בין רכיבי הענישה השונים, אני מטיל על הנאשם את העונשים הבאים: </w:t>
      </w:r>
    </w:p>
    <w:p w14:paraId="2BF7B290" w14:textId="77777777" w:rsidR="00B630F2" w:rsidRPr="00145C15" w:rsidRDefault="00B630F2" w:rsidP="00B630F2">
      <w:pPr>
        <w:spacing w:line="360" w:lineRule="auto"/>
        <w:jc w:val="both"/>
        <w:rPr>
          <w:noProof/>
          <w:rtl/>
        </w:rPr>
      </w:pPr>
      <w:r w:rsidRPr="00145C15">
        <w:rPr>
          <w:rFonts w:ascii="Arial" w:hAnsi="Arial" w:hint="cs"/>
          <w:rtl/>
        </w:rPr>
        <w:t xml:space="preserve"> </w:t>
      </w:r>
    </w:p>
    <w:p w14:paraId="588A0BB6" w14:textId="77777777" w:rsidR="00B630F2" w:rsidRPr="00145C15" w:rsidRDefault="00B630F2" w:rsidP="00B630F2">
      <w:pPr>
        <w:numPr>
          <w:ilvl w:val="0"/>
          <w:numId w:val="1"/>
        </w:numPr>
        <w:spacing w:line="360" w:lineRule="auto"/>
        <w:contextualSpacing/>
        <w:jc w:val="both"/>
        <w:rPr>
          <w:noProof/>
          <w:rtl/>
        </w:rPr>
      </w:pPr>
      <w:r w:rsidRPr="00145C15">
        <w:rPr>
          <w:rFonts w:ascii="David" w:hAnsi="David" w:hint="cs"/>
          <w:rtl/>
        </w:rPr>
        <w:t xml:space="preserve">מאסר בפועל למשך 12 חודשים </w:t>
      </w:r>
      <w:r w:rsidRPr="00145C15">
        <w:rPr>
          <w:rFonts w:ascii="David" w:eastAsia="David" w:hAnsi="David" w:hint="cs"/>
          <w:rtl/>
        </w:rPr>
        <w:t>בניכוי ימי מעצרו</w:t>
      </w:r>
      <w:r w:rsidRPr="00145C15">
        <w:rPr>
          <w:rFonts w:ascii="David" w:eastAsia="David" w:hAnsi="David" w:hint="cs"/>
          <w:b/>
          <w:bCs/>
          <w:rtl/>
        </w:rPr>
        <w:t xml:space="preserve"> </w:t>
      </w:r>
      <w:r w:rsidRPr="00145C15">
        <w:rPr>
          <w:rFonts w:ascii="David" w:eastAsia="David" w:hAnsi="David" w:hint="cs"/>
          <w:rtl/>
        </w:rPr>
        <w:t>מתאריך 24.09.22.</w:t>
      </w:r>
    </w:p>
    <w:p w14:paraId="42F0374F" w14:textId="77777777" w:rsidR="00B630F2" w:rsidRPr="00145C15" w:rsidRDefault="00B630F2" w:rsidP="00B630F2">
      <w:pPr>
        <w:spacing w:line="360" w:lineRule="auto"/>
        <w:jc w:val="both"/>
        <w:rPr>
          <w:noProof/>
        </w:rPr>
      </w:pPr>
    </w:p>
    <w:p w14:paraId="1486A4A6" w14:textId="77777777" w:rsidR="00B630F2" w:rsidRPr="00145C15" w:rsidRDefault="00B630F2" w:rsidP="00B630F2">
      <w:pPr>
        <w:numPr>
          <w:ilvl w:val="0"/>
          <w:numId w:val="1"/>
        </w:numPr>
        <w:spacing w:line="360" w:lineRule="auto"/>
        <w:contextualSpacing/>
        <w:jc w:val="both"/>
        <w:rPr>
          <w:noProof/>
          <w:rtl/>
        </w:rPr>
      </w:pPr>
      <w:r w:rsidRPr="00145C15">
        <w:rPr>
          <w:rFonts w:ascii="David" w:hAnsi="David" w:hint="cs"/>
          <w:rtl/>
        </w:rPr>
        <w:t xml:space="preserve">מאסר על תנאי לתקופה </w:t>
      </w:r>
      <w:r w:rsidRPr="00145C15">
        <w:rPr>
          <w:rFonts w:ascii="David" w:eastAsia="David" w:hAnsi="David" w:hint="cs"/>
          <w:rtl/>
        </w:rPr>
        <w:t xml:space="preserve">של </w:t>
      </w:r>
      <w:r>
        <w:rPr>
          <w:rFonts w:ascii="David" w:eastAsia="David" w:hAnsi="David" w:hint="cs"/>
          <w:rtl/>
        </w:rPr>
        <w:t>10</w:t>
      </w:r>
      <w:r w:rsidRPr="00145C15">
        <w:rPr>
          <w:rFonts w:ascii="David" w:eastAsia="David" w:hAnsi="David" w:hint="cs"/>
          <w:rtl/>
        </w:rPr>
        <w:t xml:space="preserve"> חודשים למשך 3 שנים שלא יעבור</w:t>
      </w:r>
      <w:r>
        <w:rPr>
          <w:rFonts w:ascii="David" w:eastAsia="David" w:hAnsi="David" w:hint="cs"/>
          <w:rtl/>
        </w:rPr>
        <w:t xml:space="preserve"> בפרק זמן זה, לאחר שחרורו מריצוי תום מאסרו בגין תיק זה, </w:t>
      </w:r>
      <w:r w:rsidRPr="00145C15">
        <w:rPr>
          <w:rFonts w:ascii="David" w:eastAsia="David" w:hAnsi="David" w:hint="cs"/>
          <w:rtl/>
        </w:rPr>
        <w:t xml:space="preserve"> על אחת העבירות בהן הורשע או כל עבירת נשק מסוג פשע</w:t>
      </w:r>
      <w:r w:rsidRPr="00145C15">
        <w:rPr>
          <w:rFonts w:ascii="David" w:hAnsi="David" w:hint="cs"/>
          <w:rtl/>
        </w:rPr>
        <w:t xml:space="preserve">. </w:t>
      </w:r>
    </w:p>
    <w:p w14:paraId="0C672AB5" w14:textId="77777777" w:rsidR="00B630F2" w:rsidRPr="00145C15" w:rsidRDefault="00B630F2" w:rsidP="00B630F2">
      <w:pPr>
        <w:spacing w:line="360" w:lineRule="auto"/>
        <w:jc w:val="both"/>
        <w:rPr>
          <w:noProof/>
        </w:rPr>
      </w:pPr>
    </w:p>
    <w:p w14:paraId="6CDE1048" w14:textId="77777777" w:rsidR="00B630F2" w:rsidRPr="00145C15" w:rsidRDefault="00B630F2" w:rsidP="00B630F2">
      <w:pPr>
        <w:numPr>
          <w:ilvl w:val="0"/>
          <w:numId w:val="1"/>
        </w:numPr>
        <w:spacing w:line="360" w:lineRule="auto"/>
        <w:contextualSpacing/>
        <w:jc w:val="both"/>
        <w:rPr>
          <w:rFonts w:ascii="David" w:hAnsi="David"/>
          <w:rtl/>
        </w:rPr>
      </w:pPr>
      <w:r w:rsidRPr="00145C15">
        <w:rPr>
          <w:rFonts w:ascii="David" w:hAnsi="David" w:hint="cs"/>
          <w:rtl/>
        </w:rPr>
        <w:t xml:space="preserve">קנס בסך של </w:t>
      </w:r>
      <w:r>
        <w:rPr>
          <w:rFonts w:ascii="David" w:hAnsi="David" w:hint="cs"/>
          <w:rtl/>
        </w:rPr>
        <w:t>3</w:t>
      </w:r>
      <w:r w:rsidRPr="00145C15">
        <w:rPr>
          <w:rFonts w:ascii="David" w:hAnsi="David" w:hint="cs"/>
          <w:rtl/>
        </w:rPr>
        <w:t>,</w:t>
      </w:r>
      <w:r>
        <w:rPr>
          <w:rFonts w:ascii="David" w:hAnsi="David" w:hint="cs"/>
          <w:rtl/>
        </w:rPr>
        <w:t>000</w:t>
      </w:r>
      <w:r w:rsidRPr="00145C15">
        <w:rPr>
          <w:rFonts w:ascii="David" w:hAnsi="David" w:hint="cs"/>
          <w:rtl/>
        </w:rPr>
        <w:t xml:space="preserve"> ₪. </w:t>
      </w:r>
    </w:p>
    <w:p w14:paraId="1E2392A5" w14:textId="77777777" w:rsidR="00B630F2" w:rsidRDefault="00B630F2" w:rsidP="00B630F2">
      <w:pPr>
        <w:pStyle w:val="a9"/>
        <w:spacing w:line="360" w:lineRule="auto"/>
        <w:rPr>
          <w:rFonts w:ascii="David" w:hAnsi="David" w:cs="David"/>
        </w:rPr>
      </w:pPr>
      <w:r>
        <w:rPr>
          <w:rFonts w:ascii="David" w:hAnsi="David" w:cs="David"/>
          <w:rtl/>
        </w:rPr>
        <w:t xml:space="preserve">יש לשלם את הקנס לחשבון המרכז לגביית קנסות, אגרות והוצאות ברשות האכיפה והגבייה, החל מחלוף 3 ימים מרגע מתן גזר הדין ועד ליום </w:t>
      </w:r>
      <w:r>
        <w:rPr>
          <w:rFonts w:ascii="David" w:hAnsi="David" w:cs="David" w:hint="cs"/>
          <w:rtl/>
        </w:rPr>
        <w:t>1/8/23</w:t>
      </w:r>
      <w:r>
        <w:rPr>
          <w:rFonts w:ascii="David" w:hAnsi="David" w:cs="David"/>
          <w:rtl/>
        </w:rPr>
        <w:t xml:space="preserve"> וזאת באחת מהדרכים הבאות:</w:t>
      </w:r>
    </w:p>
    <w:p w14:paraId="55BD7A6A" w14:textId="77777777" w:rsidR="00B630F2" w:rsidRDefault="00B630F2" w:rsidP="00B630F2">
      <w:pPr>
        <w:pStyle w:val="a9"/>
        <w:numPr>
          <w:ilvl w:val="0"/>
          <w:numId w:val="2"/>
        </w:numPr>
        <w:spacing w:line="360" w:lineRule="auto"/>
        <w:contextualSpacing w:val="0"/>
        <w:rPr>
          <w:rFonts w:ascii="David" w:hAnsi="David" w:cs="David"/>
        </w:rPr>
      </w:pPr>
      <w:r>
        <w:rPr>
          <w:rFonts w:ascii="David" w:hAnsi="David" w:cs="David"/>
          <w:b/>
          <w:bCs/>
          <w:rtl/>
        </w:rPr>
        <w:t>בכרטיס אשראי</w:t>
      </w:r>
      <w:r>
        <w:rPr>
          <w:rFonts w:ascii="David" w:hAnsi="David" w:cs="David"/>
          <w:rtl/>
        </w:rPr>
        <w:t xml:space="preserve"> – באתר המקוון של רשות האכיפה והגבייה, </w:t>
      </w:r>
      <w:hyperlink r:id="rId44" w:history="1">
        <w:r>
          <w:rPr>
            <w:rStyle w:val="Hyperlink"/>
            <w:rFonts w:ascii="Arial" w:hAnsi="Arial" w:cs="Arial"/>
          </w:rPr>
          <w:t>www.eca.gov.il</w:t>
        </w:r>
      </w:hyperlink>
      <w:r>
        <w:rPr>
          <w:rFonts w:ascii="Arial" w:hAnsi="Arial" w:cs="Arial"/>
        </w:rPr>
        <w:t xml:space="preserve"> </w:t>
      </w:r>
      <w:r w:rsidR="00AF72FB">
        <w:rPr>
          <w:rFonts w:ascii="David" w:hAnsi="David" w:cs="David"/>
          <w:rtl/>
        </w:rPr>
        <w:t xml:space="preserve"> </w:t>
      </w:r>
      <w:r>
        <w:rPr>
          <w:rFonts w:ascii="David" w:hAnsi="David" w:cs="David"/>
          <w:rtl/>
        </w:rPr>
        <w:t>(ניתן לשלם בפריסה של עד 18 תשלומים בהסדר קרדיט) או חפש בגוגל " תשלום גביית קנסות".</w:t>
      </w:r>
    </w:p>
    <w:p w14:paraId="610E105E" w14:textId="77777777" w:rsidR="00B630F2" w:rsidRDefault="00B630F2" w:rsidP="00B630F2">
      <w:pPr>
        <w:pStyle w:val="a9"/>
        <w:numPr>
          <w:ilvl w:val="0"/>
          <w:numId w:val="2"/>
        </w:numPr>
        <w:spacing w:line="360" w:lineRule="auto"/>
        <w:contextualSpacing w:val="0"/>
        <w:rPr>
          <w:rFonts w:ascii="Arial" w:hAnsi="Arial" w:cs="Arial"/>
          <w:b/>
          <w:bCs/>
          <w:rtl/>
        </w:rPr>
      </w:pPr>
      <w:r>
        <w:rPr>
          <w:rFonts w:ascii="David" w:hAnsi="David" w:cs="David"/>
          <w:b/>
          <w:bCs/>
          <w:rtl/>
        </w:rPr>
        <w:t>מוקד שירות טלפוני בשרות עצמי (מרכז גבייה)</w:t>
      </w:r>
      <w:r w:rsidR="00AF72FB">
        <w:rPr>
          <w:rFonts w:ascii="David" w:hAnsi="David" w:cs="David"/>
          <w:b/>
          <w:bCs/>
          <w:rtl/>
        </w:rPr>
        <w:t xml:space="preserve"> </w:t>
      </w:r>
      <w:r>
        <w:rPr>
          <w:rFonts w:ascii="David" w:hAnsi="David" w:cs="David"/>
          <w:b/>
          <w:bCs/>
          <w:rtl/>
        </w:rPr>
        <w:t xml:space="preserve"> – בטלפון 35592* או בטלפון 073-2055000 (ניתן לפנות לנציגים לקבלת מידע במספרים הללו).</w:t>
      </w:r>
    </w:p>
    <w:p w14:paraId="7396DA82" w14:textId="77777777" w:rsidR="00B630F2" w:rsidRDefault="00B630F2" w:rsidP="00B630F2">
      <w:pPr>
        <w:pStyle w:val="a9"/>
        <w:numPr>
          <w:ilvl w:val="0"/>
          <w:numId w:val="2"/>
        </w:numPr>
        <w:spacing w:line="360" w:lineRule="auto"/>
        <w:contextualSpacing w:val="0"/>
        <w:rPr>
          <w:rFonts w:ascii="David" w:hAnsi="David" w:cs="David"/>
          <w:b/>
          <w:bCs/>
          <w:rtl/>
        </w:rPr>
      </w:pPr>
      <w:r>
        <w:rPr>
          <w:rFonts w:ascii="David" w:hAnsi="David" w:cs="David"/>
          <w:b/>
          <w:bCs/>
          <w:rtl/>
        </w:rPr>
        <w:t>במזומן בכל סניף של בנק הדואר</w:t>
      </w:r>
      <w:r>
        <w:rPr>
          <w:rFonts w:ascii="David" w:hAnsi="David" w:cs="David"/>
          <w:rtl/>
        </w:rPr>
        <w:t xml:space="preserve"> – בהצגת תעודת זהות בלבד (אין צורך בשוברי תשלום).</w:t>
      </w:r>
    </w:p>
    <w:p w14:paraId="7D49B0CC" w14:textId="77777777" w:rsidR="00B630F2" w:rsidRDefault="00B630F2" w:rsidP="00B630F2">
      <w:pPr>
        <w:spacing w:line="360" w:lineRule="auto"/>
        <w:rPr>
          <w:rFonts w:ascii="David" w:hAnsi="David"/>
          <w:b/>
          <w:bCs/>
        </w:rPr>
      </w:pPr>
    </w:p>
    <w:p w14:paraId="0F1080D1" w14:textId="77777777" w:rsidR="00B630F2" w:rsidRPr="007D30C6" w:rsidRDefault="00B630F2" w:rsidP="00B630F2"/>
    <w:p w14:paraId="072A8B66" w14:textId="77777777" w:rsidR="00B630F2" w:rsidRDefault="00B630F2" w:rsidP="00B630F2">
      <w:pPr>
        <w:spacing w:line="360" w:lineRule="auto"/>
        <w:jc w:val="both"/>
        <w:rPr>
          <w:rtl/>
        </w:rPr>
      </w:pPr>
    </w:p>
    <w:p w14:paraId="063287BF" w14:textId="77777777" w:rsidR="00B630F2" w:rsidRDefault="00B630F2" w:rsidP="00B630F2">
      <w:pPr>
        <w:spacing w:line="360" w:lineRule="auto"/>
        <w:jc w:val="both"/>
        <w:rPr>
          <w:rtl/>
        </w:rPr>
      </w:pPr>
    </w:p>
    <w:p w14:paraId="5B8E6CFF" w14:textId="77777777" w:rsidR="00B630F2" w:rsidRDefault="00B630F2" w:rsidP="00B630F2">
      <w:pPr>
        <w:spacing w:line="360" w:lineRule="auto"/>
        <w:jc w:val="both"/>
        <w:rPr>
          <w:rtl/>
        </w:rPr>
      </w:pPr>
    </w:p>
    <w:p w14:paraId="01F85ED6" w14:textId="77777777" w:rsidR="00B630F2" w:rsidRDefault="00B630F2" w:rsidP="00B630F2">
      <w:pPr>
        <w:spacing w:line="360" w:lineRule="auto"/>
        <w:jc w:val="both"/>
        <w:rPr>
          <w:rtl/>
        </w:rPr>
      </w:pPr>
    </w:p>
    <w:p w14:paraId="305AF64F" w14:textId="77777777" w:rsidR="00B630F2" w:rsidRDefault="00B630F2" w:rsidP="00B630F2">
      <w:pPr>
        <w:spacing w:line="360" w:lineRule="auto"/>
        <w:jc w:val="both"/>
        <w:rPr>
          <w:rtl/>
        </w:rPr>
      </w:pPr>
    </w:p>
    <w:p w14:paraId="2CA801E1" w14:textId="77777777" w:rsidR="00B630F2" w:rsidRPr="00145C15" w:rsidRDefault="00B630F2" w:rsidP="00B630F2">
      <w:pPr>
        <w:spacing w:line="360" w:lineRule="auto"/>
        <w:jc w:val="both"/>
        <w:rPr>
          <w:rtl/>
        </w:rPr>
      </w:pPr>
    </w:p>
    <w:p w14:paraId="445CE2AA" w14:textId="77777777" w:rsidR="00B630F2" w:rsidRPr="00145C15" w:rsidRDefault="00B630F2" w:rsidP="00B630F2">
      <w:pPr>
        <w:rPr>
          <w:b/>
          <w:bCs/>
          <w:rtl/>
        </w:rPr>
      </w:pPr>
      <w:r w:rsidRPr="00145C15">
        <w:rPr>
          <w:rFonts w:hint="cs"/>
          <w:b/>
          <w:bCs/>
          <w:rtl/>
        </w:rPr>
        <w:t>ניתן בזאת צו להשמדת המוצגים בתיק (נשק ותחמושת).</w:t>
      </w:r>
    </w:p>
    <w:p w14:paraId="3A706A00" w14:textId="77777777" w:rsidR="00B630F2" w:rsidRDefault="00B630F2" w:rsidP="00B630F2">
      <w:pPr>
        <w:rPr>
          <w:b/>
          <w:bCs/>
          <w:rtl/>
        </w:rPr>
      </w:pPr>
    </w:p>
    <w:p w14:paraId="059F5E77" w14:textId="77777777" w:rsidR="00B630F2" w:rsidRDefault="00B630F2" w:rsidP="00B630F2">
      <w:pPr>
        <w:rPr>
          <w:b/>
          <w:bCs/>
          <w:rtl/>
        </w:rPr>
      </w:pPr>
    </w:p>
    <w:p w14:paraId="4DF7B440" w14:textId="77777777" w:rsidR="00B630F2" w:rsidRDefault="00B630F2" w:rsidP="00B630F2">
      <w:pPr>
        <w:rPr>
          <w:b/>
          <w:bCs/>
          <w:rtl/>
        </w:rPr>
      </w:pPr>
      <w:r>
        <w:rPr>
          <w:rFonts w:hint="cs"/>
          <w:b/>
          <w:bCs/>
          <w:rtl/>
        </w:rPr>
        <w:t xml:space="preserve">גזר דין  זה מהווה פקודת מאסר. </w:t>
      </w:r>
    </w:p>
    <w:p w14:paraId="32CADDDB" w14:textId="77777777" w:rsidR="00B630F2" w:rsidRDefault="00B630F2" w:rsidP="00B630F2">
      <w:pPr>
        <w:rPr>
          <w:b/>
          <w:bCs/>
          <w:rtl/>
        </w:rPr>
      </w:pPr>
    </w:p>
    <w:p w14:paraId="2BADF5E6" w14:textId="77777777" w:rsidR="00B630F2" w:rsidRPr="00145C15" w:rsidRDefault="00B630F2" w:rsidP="00B630F2">
      <w:pPr>
        <w:rPr>
          <w:rFonts w:ascii="Calibri" w:hAnsi="Calibri" w:cs="Arial"/>
          <w:rtl/>
        </w:rPr>
      </w:pPr>
      <w:r w:rsidRPr="00145C15">
        <w:rPr>
          <w:rFonts w:hint="cs"/>
          <w:b/>
          <w:bCs/>
          <w:rtl/>
        </w:rPr>
        <w:t>זכות ערעור לבית המשפט המחוזי בחיפה תוך 45 ימים מהיום.</w:t>
      </w:r>
      <w:r w:rsidRPr="00145C15">
        <w:rPr>
          <w:rFonts w:hint="cs"/>
          <w:rtl/>
        </w:rPr>
        <w:t xml:space="preserve">  </w:t>
      </w:r>
    </w:p>
    <w:p w14:paraId="4BBF3C24" w14:textId="77777777" w:rsidR="00B630F2" w:rsidRPr="00AF72FB" w:rsidRDefault="00AF72FB" w:rsidP="00B630F2">
      <w:pPr>
        <w:rPr>
          <w:rFonts w:ascii="Arial" w:hAnsi="Arial"/>
          <w:b/>
          <w:bCs/>
          <w:color w:val="FFFFFF"/>
          <w:sz w:val="2"/>
          <w:szCs w:val="2"/>
          <w:rtl/>
        </w:rPr>
      </w:pPr>
      <w:r w:rsidRPr="00AF72FB">
        <w:rPr>
          <w:rFonts w:ascii="Arial" w:hAnsi="Arial"/>
          <w:b/>
          <w:bCs/>
          <w:color w:val="FFFFFF"/>
          <w:sz w:val="2"/>
          <w:szCs w:val="2"/>
          <w:rtl/>
        </w:rPr>
        <w:t>5129371</w:t>
      </w:r>
    </w:p>
    <w:p w14:paraId="027304C7" w14:textId="77777777" w:rsidR="00B630F2" w:rsidRPr="00AF72FB" w:rsidRDefault="00AF72FB" w:rsidP="00B630F2">
      <w:pPr>
        <w:rPr>
          <w:rFonts w:ascii="Arial" w:hAnsi="Arial"/>
          <w:b/>
          <w:bCs/>
          <w:color w:val="FFFFFF"/>
          <w:sz w:val="2"/>
          <w:szCs w:val="2"/>
          <w:rtl/>
        </w:rPr>
      </w:pPr>
      <w:r w:rsidRPr="00AF72FB">
        <w:rPr>
          <w:rFonts w:ascii="Arial" w:hAnsi="Arial"/>
          <w:b/>
          <w:bCs/>
          <w:color w:val="FFFFFF"/>
          <w:sz w:val="2"/>
          <w:szCs w:val="2"/>
          <w:rtl/>
        </w:rPr>
        <w:t>54678313</w:t>
      </w:r>
    </w:p>
    <w:p w14:paraId="118AF5A7" w14:textId="77777777" w:rsidR="00B630F2" w:rsidRPr="000F2247" w:rsidRDefault="00B630F2" w:rsidP="00B630F2">
      <w:pPr>
        <w:rPr>
          <w:rFonts w:ascii="Arial" w:hAnsi="Arial"/>
          <w:b/>
          <w:bCs/>
          <w:sz w:val="26"/>
          <w:szCs w:val="26"/>
          <w:rtl/>
        </w:rPr>
      </w:pPr>
    </w:p>
    <w:p w14:paraId="1AFEB35B" w14:textId="77777777" w:rsidR="00B630F2" w:rsidRPr="000F2247" w:rsidRDefault="00AF72FB" w:rsidP="00B630F2">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ט' אדר תשפ"ג, 02 מרץ 2023, במעמד הצדדים. </w:t>
      </w:r>
      <w:bookmarkEnd w:id="10"/>
      <w:r w:rsidR="00B630F2">
        <w:rPr>
          <w:rFonts w:ascii="Arial" w:hAnsi="Arial"/>
          <w:b/>
          <w:bCs/>
          <w:sz w:val="26"/>
          <w:szCs w:val="26"/>
          <w:rtl/>
        </w:rPr>
        <w:tab/>
      </w:r>
      <w:r w:rsidR="00B630F2">
        <w:rPr>
          <w:rFonts w:ascii="Arial" w:hAnsi="Arial"/>
          <w:b/>
          <w:bCs/>
          <w:sz w:val="26"/>
          <w:szCs w:val="26"/>
          <w:rtl/>
        </w:rPr>
        <w:tab/>
      </w:r>
      <w:r w:rsidR="00B630F2">
        <w:rPr>
          <w:rFonts w:ascii="Arial" w:hAnsi="Arial"/>
          <w:b/>
          <w:bCs/>
          <w:sz w:val="26"/>
          <w:szCs w:val="26"/>
          <w:rtl/>
        </w:rPr>
        <w:tab/>
      </w:r>
      <w:r w:rsidR="00B630F2">
        <w:rPr>
          <w:rFonts w:ascii="Arial" w:hAnsi="Arial"/>
          <w:b/>
          <w:bCs/>
          <w:sz w:val="26"/>
          <w:szCs w:val="26"/>
          <w:rtl/>
        </w:rPr>
        <w:tab/>
      </w:r>
      <w:r w:rsidR="00B630F2">
        <w:rPr>
          <w:rFonts w:ascii="Arial" w:hAnsi="Arial"/>
          <w:b/>
          <w:bCs/>
          <w:sz w:val="26"/>
          <w:szCs w:val="26"/>
          <w:rtl/>
        </w:rPr>
        <w:tab/>
      </w:r>
      <w:r w:rsidR="00B630F2">
        <w:rPr>
          <w:rFonts w:ascii="Arial" w:hAnsi="Arial"/>
          <w:b/>
          <w:bCs/>
          <w:sz w:val="26"/>
          <w:szCs w:val="26"/>
          <w:rtl/>
        </w:rPr>
        <w:tab/>
      </w:r>
      <w:r w:rsidR="00B630F2">
        <w:rPr>
          <w:rFonts w:ascii="Arial" w:hAnsi="Arial"/>
          <w:b/>
          <w:bCs/>
          <w:sz w:val="26"/>
          <w:szCs w:val="26"/>
          <w:rtl/>
        </w:rPr>
        <w:tab/>
      </w:r>
      <w:r w:rsidR="00B630F2">
        <w:rPr>
          <w:rFonts w:ascii="Arial" w:hAnsi="Arial" w:hint="cs"/>
          <w:b/>
          <w:bCs/>
          <w:sz w:val="26"/>
          <w:szCs w:val="26"/>
          <w:rtl/>
        </w:rPr>
        <w:t xml:space="preserve">         </w:t>
      </w:r>
    </w:p>
    <w:p w14:paraId="38337091" w14:textId="77777777" w:rsidR="00B630F2" w:rsidRPr="000F2247" w:rsidRDefault="00B630F2" w:rsidP="00AF72F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8724198" w14:textId="77777777" w:rsidR="00B630F2" w:rsidRPr="000F2247" w:rsidRDefault="00B630F2" w:rsidP="00B630F2">
      <w:pPr>
        <w:jc w:val="center"/>
        <w:rPr>
          <w:rFonts w:ascii="Arial" w:hAnsi="Arial"/>
          <w:b/>
          <w:bCs/>
          <w:sz w:val="26"/>
          <w:szCs w:val="26"/>
          <w:rtl/>
        </w:rPr>
      </w:pPr>
    </w:p>
    <w:p w14:paraId="424B32AB" w14:textId="77777777" w:rsidR="00F56657" w:rsidRPr="00AF72FB" w:rsidRDefault="00F56657" w:rsidP="00AF72FB">
      <w:pPr>
        <w:keepNext/>
        <w:rPr>
          <w:rFonts w:ascii="David" w:hAnsi="David"/>
          <w:color w:val="000000"/>
          <w:sz w:val="22"/>
          <w:szCs w:val="22"/>
          <w:rtl/>
        </w:rPr>
      </w:pPr>
    </w:p>
    <w:p w14:paraId="59E3AAC7" w14:textId="77777777" w:rsidR="00AF72FB" w:rsidRPr="00AF72FB" w:rsidRDefault="00AF72FB" w:rsidP="00AF72FB">
      <w:pPr>
        <w:keepNext/>
        <w:rPr>
          <w:rFonts w:ascii="David" w:hAnsi="David"/>
          <w:color w:val="000000"/>
          <w:sz w:val="22"/>
          <w:szCs w:val="22"/>
          <w:rtl/>
        </w:rPr>
      </w:pPr>
      <w:r w:rsidRPr="00AF72FB">
        <w:rPr>
          <w:rFonts w:ascii="David" w:hAnsi="David"/>
          <w:color w:val="000000"/>
          <w:sz w:val="22"/>
          <w:szCs w:val="22"/>
          <w:rtl/>
        </w:rPr>
        <w:t>אלכס אחטר 54678313</w:t>
      </w:r>
    </w:p>
    <w:p w14:paraId="0E1B7A46" w14:textId="77777777" w:rsidR="00AF72FB" w:rsidRDefault="00AF72FB" w:rsidP="00AF72FB">
      <w:r w:rsidRPr="00AF72FB">
        <w:rPr>
          <w:color w:val="000000"/>
          <w:rtl/>
        </w:rPr>
        <w:t>נוסח מסמך זה כפוף לשינויי ניסוח ועריכה</w:t>
      </w:r>
    </w:p>
    <w:p w14:paraId="4F2E8B12" w14:textId="77777777" w:rsidR="00AF72FB" w:rsidRDefault="00AF72FB" w:rsidP="00AF72FB">
      <w:pPr>
        <w:rPr>
          <w:rtl/>
        </w:rPr>
      </w:pPr>
    </w:p>
    <w:p w14:paraId="479A21DB" w14:textId="77777777" w:rsidR="00AF72FB" w:rsidRDefault="00AF72FB" w:rsidP="00AF72FB">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7F11B31C" w14:textId="77777777" w:rsidR="00AF72FB" w:rsidRPr="00AF72FB" w:rsidRDefault="00AF72FB" w:rsidP="00AF72FB">
      <w:pPr>
        <w:jc w:val="center"/>
        <w:rPr>
          <w:color w:val="0000FF"/>
          <w:u w:val="single"/>
        </w:rPr>
      </w:pPr>
    </w:p>
    <w:sectPr w:rsidR="00AF72FB" w:rsidRPr="00AF72FB" w:rsidSect="00AF72FB">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587A9" w14:textId="77777777" w:rsidR="000A4EF3" w:rsidRDefault="000A4EF3" w:rsidP="00013180">
      <w:r>
        <w:separator/>
      </w:r>
    </w:p>
  </w:endnote>
  <w:endnote w:type="continuationSeparator" w:id="0">
    <w:p w14:paraId="3AAAD9D1" w14:textId="77777777" w:rsidR="000A4EF3" w:rsidRDefault="000A4EF3" w:rsidP="0001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D0316" w14:textId="77777777" w:rsidR="00AF72FB" w:rsidRDefault="00AF72FB" w:rsidP="00AF72F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6C60F1" w14:textId="77777777" w:rsidR="0010370B" w:rsidRPr="00AF72FB" w:rsidRDefault="00AF72FB" w:rsidP="00AF72F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AD05B" w14:textId="77777777" w:rsidR="00AF72FB" w:rsidRDefault="00AF72FB" w:rsidP="00AF72F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A72A9">
      <w:rPr>
        <w:rFonts w:ascii="FrankRuehl" w:hAnsi="FrankRuehl" w:cs="FrankRuehl"/>
        <w:noProof/>
        <w:rtl/>
      </w:rPr>
      <w:t>1</w:t>
    </w:r>
    <w:r>
      <w:rPr>
        <w:rFonts w:ascii="FrankRuehl" w:hAnsi="FrankRuehl" w:cs="FrankRuehl"/>
        <w:rtl/>
      </w:rPr>
      <w:fldChar w:fldCharType="end"/>
    </w:r>
  </w:p>
  <w:p w14:paraId="12581F42" w14:textId="77777777" w:rsidR="0010370B" w:rsidRPr="00AF72FB" w:rsidRDefault="00AF72FB" w:rsidP="00AF72F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D93E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43966" w14:textId="77777777" w:rsidR="000A4EF3" w:rsidRDefault="000A4EF3" w:rsidP="00013180">
      <w:r>
        <w:separator/>
      </w:r>
    </w:p>
  </w:footnote>
  <w:footnote w:type="continuationSeparator" w:id="0">
    <w:p w14:paraId="6A5E8BA0" w14:textId="77777777" w:rsidR="000A4EF3" w:rsidRDefault="000A4EF3" w:rsidP="00013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8AC39" w14:textId="77777777" w:rsidR="00AF72FB" w:rsidRPr="00AF72FB" w:rsidRDefault="00AF72FB" w:rsidP="00AF72F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8152-10-22</w:t>
    </w:r>
    <w:r>
      <w:rPr>
        <w:rFonts w:ascii="David" w:hAnsi="David"/>
        <w:color w:val="000000"/>
        <w:sz w:val="22"/>
        <w:szCs w:val="22"/>
        <w:rtl/>
      </w:rPr>
      <w:tab/>
      <w:t xml:space="preserve"> מדינת ישראל נ' סעיד אבו שחאדה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CA6BA" w14:textId="77777777" w:rsidR="00AF72FB" w:rsidRPr="00AF72FB" w:rsidRDefault="00AF72FB" w:rsidP="00AF72F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8152-10-22</w:t>
    </w:r>
    <w:r>
      <w:rPr>
        <w:rFonts w:ascii="David" w:hAnsi="David"/>
        <w:color w:val="000000"/>
        <w:sz w:val="22"/>
        <w:szCs w:val="22"/>
        <w:rtl/>
      </w:rPr>
      <w:tab/>
      <w:t xml:space="preserve"> מדינת ישראל נ' סעיד אבו שחאדה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25F142EC"/>
    <w:multiLevelType w:val="hybridMultilevel"/>
    <w:tmpl w:val="1F7E8BAE"/>
    <w:lvl w:ilvl="0" w:tplc="AF140C6C">
      <w:start w:val="1"/>
      <w:numFmt w:val="decimal"/>
      <w:lvlText w:val="%1."/>
      <w:lvlJc w:val="left"/>
      <w:pPr>
        <w:ind w:left="1080" w:hanging="720"/>
      </w:pPr>
      <w:rPr>
        <w:rFonts w:cs="Times New Roman"/>
      </w:rPr>
    </w:lvl>
    <w:lvl w:ilvl="1" w:tplc="FD7666A2">
      <w:start w:val="1"/>
      <w:numFmt w:val="lowerLetter"/>
      <w:lvlText w:val="%2."/>
      <w:lvlJc w:val="left"/>
      <w:pPr>
        <w:ind w:left="1440" w:hanging="360"/>
      </w:pPr>
      <w:rPr>
        <w:rFonts w:cs="Times New Roman"/>
      </w:rPr>
    </w:lvl>
    <w:lvl w:ilvl="2" w:tplc="D16C9D6A">
      <w:start w:val="1"/>
      <w:numFmt w:val="lowerRoman"/>
      <w:lvlText w:val="%3."/>
      <w:lvlJc w:val="right"/>
      <w:pPr>
        <w:ind w:left="2160" w:hanging="180"/>
      </w:pPr>
      <w:rPr>
        <w:rFonts w:cs="Times New Roman"/>
      </w:rPr>
    </w:lvl>
    <w:lvl w:ilvl="3" w:tplc="6A304C82">
      <w:start w:val="1"/>
      <w:numFmt w:val="decimal"/>
      <w:lvlText w:val="%4."/>
      <w:lvlJc w:val="left"/>
      <w:pPr>
        <w:ind w:left="2880" w:hanging="360"/>
      </w:pPr>
      <w:rPr>
        <w:rFonts w:cs="Times New Roman"/>
      </w:rPr>
    </w:lvl>
    <w:lvl w:ilvl="4" w:tplc="A4C6F1B0">
      <w:start w:val="1"/>
      <w:numFmt w:val="lowerLetter"/>
      <w:lvlText w:val="%5."/>
      <w:lvlJc w:val="left"/>
      <w:pPr>
        <w:ind w:left="3600" w:hanging="360"/>
      </w:pPr>
      <w:rPr>
        <w:rFonts w:cs="Times New Roman"/>
      </w:rPr>
    </w:lvl>
    <w:lvl w:ilvl="5" w:tplc="AA7A97A8">
      <w:start w:val="1"/>
      <w:numFmt w:val="lowerRoman"/>
      <w:lvlText w:val="%6."/>
      <w:lvlJc w:val="right"/>
      <w:pPr>
        <w:ind w:left="4320" w:hanging="180"/>
      </w:pPr>
      <w:rPr>
        <w:rFonts w:cs="Times New Roman"/>
      </w:rPr>
    </w:lvl>
    <w:lvl w:ilvl="6" w:tplc="B4BAB1C4">
      <w:start w:val="1"/>
      <w:numFmt w:val="decimal"/>
      <w:lvlText w:val="%7."/>
      <w:lvlJc w:val="left"/>
      <w:pPr>
        <w:ind w:left="5040" w:hanging="360"/>
      </w:pPr>
      <w:rPr>
        <w:rFonts w:cs="Times New Roman"/>
      </w:rPr>
    </w:lvl>
    <w:lvl w:ilvl="7" w:tplc="5E5A3302">
      <w:start w:val="1"/>
      <w:numFmt w:val="lowerLetter"/>
      <w:lvlText w:val="%8."/>
      <w:lvlJc w:val="left"/>
      <w:pPr>
        <w:ind w:left="5760" w:hanging="360"/>
      </w:pPr>
      <w:rPr>
        <w:rFonts w:cs="Times New Roman"/>
      </w:rPr>
    </w:lvl>
    <w:lvl w:ilvl="8" w:tplc="4B6849C4">
      <w:start w:val="1"/>
      <w:numFmt w:val="lowerRoman"/>
      <w:lvlText w:val="%9."/>
      <w:lvlJc w:val="right"/>
      <w:pPr>
        <w:ind w:left="6480" w:hanging="180"/>
      </w:pPr>
      <w:rPr>
        <w:rFonts w:cs="Times New Roman"/>
      </w:rPr>
    </w:lvl>
  </w:abstractNum>
  <w:num w:numId="1" w16cid:durableId="17731667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7911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30F2"/>
    <w:rsid w:val="00013180"/>
    <w:rsid w:val="000A4EF3"/>
    <w:rsid w:val="0010370B"/>
    <w:rsid w:val="001A72A9"/>
    <w:rsid w:val="001B5A3B"/>
    <w:rsid w:val="002342BA"/>
    <w:rsid w:val="00273074"/>
    <w:rsid w:val="003A08B1"/>
    <w:rsid w:val="007F7247"/>
    <w:rsid w:val="00A01227"/>
    <w:rsid w:val="00AB517E"/>
    <w:rsid w:val="00AF72FB"/>
    <w:rsid w:val="00B630F2"/>
    <w:rsid w:val="00F27BF8"/>
    <w:rsid w:val="00F56657"/>
    <w:rsid w:val="00FC12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8AD602"/>
  <w15:chartTrackingRefBased/>
  <w15:docId w15:val="{98D8CD02-DEB9-4EE8-A1AE-2A7CA218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30F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630F2"/>
    <w:pPr>
      <w:tabs>
        <w:tab w:val="center" w:pos="4153"/>
        <w:tab w:val="right" w:pos="8306"/>
      </w:tabs>
    </w:pPr>
  </w:style>
  <w:style w:type="character" w:customStyle="1" w:styleId="a4">
    <w:name w:val="כותרת עליונה תו"/>
    <w:link w:val="a3"/>
    <w:rsid w:val="00B630F2"/>
    <w:rPr>
      <w:rFonts w:ascii="Times New Roman" w:eastAsia="Times New Roman" w:hAnsi="Times New Roman" w:cs="David"/>
      <w:sz w:val="24"/>
      <w:szCs w:val="24"/>
    </w:rPr>
  </w:style>
  <w:style w:type="paragraph" w:styleId="a5">
    <w:name w:val="footer"/>
    <w:basedOn w:val="a"/>
    <w:link w:val="a6"/>
    <w:rsid w:val="00B630F2"/>
    <w:pPr>
      <w:tabs>
        <w:tab w:val="center" w:pos="4153"/>
        <w:tab w:val="right" w:pos="8306"/>
      </w:tabs>
    </w:pPr>
  </w:style>
  <w:style w:type="character" w:customStyle="1" w:styleId="a6">
    <w:name w:val="כותרת תחתונה תו"/>
    <w:link w:val="a5"/>
    <w:rsid w:val="00B630F2"/>
    <w:rPr>
      <w:rFonts w:ascii="Times New Roman" w:eastAsia="Times New Roman" w:hAnsi="Times New Roman" w:cs="David"/>
      <w:sz w:val="24"/>
      <w:szCs w:val="24"/>
    </w:rPr>
  </w:style>
  <w:style w:type="table" w:styleId="a7">
    <w:name w:val="Table Grid"/>
    <w:basedOn w:val="a1"/>
    <w:rsid w:val="00B630F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630F2"/>
  </w:style>
  <w:style w:type="paragraph" w:styleId="a9">
    <w:name w:val="List Paragraph"/>
    <w:basedOn w:val="a"/>
    <w:qFormat/>
    <w:rsid w:val="00B630F2"/>
    <w:pPr>
      <w:ind w:left="720"/>
      <w:contextualSpacing/>
    </w:pPr>
    <w:rPr>
      <w:rFonts w:cs="Times New Roman"/>
    </w:rPr>
  </w:style>
  <w:style w:type="character" w:styleId="Hyperlink">
    <w:name w:val="Hyperlink"/>
    <w:rsid w:val="00B630F2"/>
    <w:rPr>
      <w:color w:val="0000FF"/>
      <w:u w:val="single"/>
    </w:rPr>
  </w:style>
  <w:style w:type="character" w:styleId="aa">
    <w:name w:val="line number"/>
    <w:rsid w:val="00B63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 TargetMode="External"/><Relationship Id="rId26" Type="http://schemas.openxmlformats.org/officeDocument/2006/relationships/hyperlink" Target="http://www.nevo.co.il/safrut/bookgroup/412" TargetMode="External"/><Relationship Id="rId39" Type="http://schemas.openxmlformats.org/officeDocument/2006/relationships/hyperlink" Target="http://www.nevo.co.il/case/26913995" TargetMode="External"/><Relationship Id="rId21" Type="http://schemas.openxmlformats.org/officeDocument/2006/relationships/hyperlink" Target="http://www.nevo.co.il/law/70301/40.e" TargetMode="External"/><Relationship Id="rId34" Type="http://schemas.openxmlformats.org/officeDocument/2006/relationships/hyperlink" Target="http://www.nevo.co.il/case/26442335" TargetMode="External"/><Relationship Id="rId42" Type="http://schemas.openxmlformats.org/officeDocument/2006/relationships/hyperlink" Target="http://www.nevo.co.il/case/26888657"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8883087"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7925239" TargetMode="External"/><Relationship Id="rId37" Type="http://schemas.openxmlformats.org/officeDocument/2006/relationships/hyperlink" Target="http://www.nevo.co.il/case/27693610" TargetMode="External"/><Relationship Id="rId40" Type="http://schemas.openxmlformats.org/officeDocument/2006/relationships/hyperlink" Target="http://www.nevo.co.il/case/24263426"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28513828" TargetMode="External"/><Relationship Id="rId28" Type="http://schemas.openxmlformats.org/officeDocument/2006/relationships/hyperlink" Target="http://www.nevo.co.il/case/25824863" TargetMode="External"/><Relationship Id="rId36" Type="http://schemas.openxmlformats.org/officeDocument/2006/relationships/hyperlink" Target="http://www.nevo.co.il/case/26931111" TargetMode="External"/><Relationship Id="rId49" Type="http://schemas.openxmlformats.org/officeDocument/2006/relationships/footer" Target="footer2.xml"/><Relationship Id="rId10" Type="http://schemas.openxmlformats.org/officeDocument/2006/relationships/hyperlink" Target="http://www.nevo.co.il/law/70301/40i" TargetMode="External"/><Relationship Id="rId19" Type="http://schemas.openxmlformats.org/officeDocument/2006/relationships/hyperlink" Target="http://www.nevo.co.il/law/70301/40ja" TargetMode="External"/><Relationship Id="rId31" Type="http://schemas.openxmlformats.org/officeDocument/2006/relationships/hyperlink" Target="http://www.nevo.co.il/case/28697218" TargetMode="External"/><Relationship Id="rId44"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70301/40d"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8883087" TargetMode="External"/><Relationship Id="rId35" Type="http://schemas.openxmlformats.org/officeDocument/2006/relationships/hyperlink" Target="http://www.nevo.co.il/case/26383419" TargetMode="External"/><Relationship Id="rId43" Type="http://schemas.openxmlformats.org/officeDocument/2006/relationships/hyperlink" Target="http://www.nevo.co.il/law/70301" TargetMode="External"/><Relationship Id="rId48" Type="http://schemas.openxmlformats.org/officeDocument/2006/relationships/footer" Target="footer1.xml"/><Relationship Id="rId8" Type="http://schemas.openxmlformats.org/officeDocument/2006/relationships/hyperlink" Target="http://www.nevo.co.il/law/70301/40.e"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40i" TargetMode="External"/><Relationship Id="rId25" Type="http://schemas.openxmlformats.org/officeDocument/2006/relationships/hyperlink" Target="http://www.nevo.co.il/case/27309272" TargetMode="External"/><Relationship Id="rId33" Type="http://schemas.openxmlformats.org/officeDocument/2006/relationships/hyperlink" Target="http://www.nevo.co.il/case/25824863" TargetMode="External"/><Relationship Id="rId38" Type="http://schemas.openxmlformats.org/officeDocument/2006/relationships/hyperlink" Target="http://www.nevo.co.il/case/27648787" TargetMode="External"/><Relationship Id="rId46" Type="http://schemas.openxmlformats.org/officeDocument/2006/relationships/header" Target="header1.xml"/><Relationship Id="rId20" Type="http://schemas.openxmlformats.org/officeDocument/2006/relationships/hyperlink" Target="http://www.nevo.co.il/law/70301/40d" TargetMode="External"/><Relationship Id="rId41" Type="http://schemas.openxmlformats.org/officeDocument/2006/relationships/hyperlink" Target="http://www.nevo.co.il/case/28378067"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3403</Words>
  <Characters>17018</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20381</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7864368</vt:i4>
      </vt:variant>
      <vt:variant>
        <vt:i4>114</vt:i4>
      </vt:variant>
      <vt:variant>
        <vt:i4>0</vt:i4>
      </vt:variant>
      <vt:variant>
        <vt:i4>5</vt:i4>
      </vt:variant>
      <vt:variant>
        <vt:lpwstr>http://www.eca.gov.il/</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3604604</vt:i4>
      </vt:variant>
      <vt:variant>
        <vt:i4>108</vt:i4>
      </vt:variant>
      <vt:variant>
        <vt:i4>0</vt:i4>
      </vt:variant>
      <vt:variant>
        <vt:i4>5</vt:i4>
      </vt:variant>
      <vt:variant>
        <vt:lpwstr>http://www.nevo.co.il/case/26888657</vt:lpwstr>
      </vt:variant>
      <vt:variant>
        <vt:lpwstr/>
      </vt:variant>
      <vt:variant>
        <vt:i4>4128891</vt:i4>
      </vt:variant>
      <vt:variant>
        <vt:i4>105</vt:i4>
      </vt:variant>
      <vt:variant>
        <vt:i4>0</vt:i4>
      </vt:variant>
      <vt:variant>
        <vt:i4>5</vt:i4>
      </vt:variant>
      <vt:variant>
        <vt:lpwstr>http://www.nevo.co.il/case/28378067</vt:lpwstr>
      </vt:variant>
      <vt:variant>
        <vt:lpwstr/>
      </vt:variant>
      <vt:variant>
        <vt:i4>3211378</vt:i4>
      </vt:variant>
      <vt:variant>
        <vt:i4>102</vt:i4>
      </vt:variant>
      <vt:variant>
        <vt:i4>0</vt:i4>
      </vt:variant>
      <vt:variant>
        <vt:i4>5</vt:i4>
      </vt:variant>
      <vt:variant>
        <vt:lpwstr>http://www.nevo.co.il/case/24263426</vt:lpwstr>
      </vt:variant>
      <vt:variant>
        <vt:lpwstr/>
      </vt:variant>
      <vt:variant>
        <vt:i4>3211386</vt:i4>
      </vt:variant>
      <vt:variant>
        <vt:i4>99</vt:i4>
      </vt:variant>
      <vt:variant>
        <vt:i4>0</vt:i4>
      </vt:variant>
      <vt:variant>
        <vt:i4>5</vt:i4>
      </vt:variant>
      <vt:variant>
        <vt:lpwstr>http://www.nevo.co.il/case/26913995</vt:lpwstr>
      </vt:variant>
      <vt:variant>
        <vt:lpwstr/>
      </vt:variant>
      <vt:variant>
        <vt:i4>3407984</vt:i4>
      </vt:variant>
      <vt:variant>
        <vt:i4>96</vt:i4>
      </vt:variant>
      <vt:variant>
        <vt:i4>0</vt:i4>
      </vt:variant>
      <vt:variant>
        <vt:i4>5</vt:i4>
      </vt:variant>
      <vt:variant>
        <vt:lpwstr>http://www.nevo.co.il/case/27648787</vt:lpwstr>
      </vt:variant>
      <vt:variant>
        <vt:lpwstr/>
      </vt:variant>
      <vt:variant>
        <vt:i4>3539068</vt:i4>
      </vt:variant>
      <vt:variant>
        <vt:i4>93</vt:i4>
      </vt:variant>
      <vt:variant>
        <vt:i4>0</vt:i4>
      </vt:variant>
      <vt:variant>
        <vt:i4>5</vt:i4>
      </vt:variant>
      <vt:variant>
        <vt:lpwstr>http://www.nevo.co.il/case/27693610</vt:lpwstr>
      </vt:variant>
      <vt:variant>
        <vt:lpwstr/>
      </vt:variant>
      <vt:variant>
        <vt:i4>3866736</vt:i4>
      </vt:variant>
      <vt:variant>
        <vt:i4>90</vt:i4>
      </vt:variant>
      <vt:variant>
        <vt:i4>0</vt:i4>
      </vt:variant>
      <vt:variant>
        <vt:i4>5</vt:i4>
      </vt:variant>
      <vt:variant>
        <vt:lpwstr>http://www.nevo.co.il/case/26931111</vt:lpwstr>
      </vt:variant>
      <vt:variant>
        <vt:lpwstr/>
      </vt:variant>
      <vt:variant>
        <vt:i4>3342462</vt:i4>
      </vt:variant>
      <vt:variant>
        <vt:i4>87</vt:i4>
      </vt:variant>
      <vt:variant>
        <vt:i4>0</vt:i4>
      </vt:variant>
      <vt:variant>
        <vt:i4>5</vt:i4>
      </vt:variant>
      <vt:variant>
        <vt:lpwstr>http://www.nevo.co.il/case/26383419</vt:lpwstr>
      </vt:variant>
      <vt:variant>
        <vt:lpwstr/>
      </vt:variant>
      <vt:variant>
        <vt:i4>3604597</vt:i4>
      </vt:variant>
      <vt:variant>
        <vt:i4>84</vt:i4>
      </vt:variant>
      <vt:variant>
        <vt:i4>0</vt:i4>
      </vt:variant>
      <vt:variant>
        <vt:i4>5</vt:i4>
      </vt:variant>
      <vt:variant>
        <vt:lpwstr>http://www.nevo.co.il/case/26442335</vt:lpwstr>
      </vt:variant>
      <vt:variant>
        <vt:lpwstr/>
      </vt:variant>
      <vt:variant>
        <vt:i4>3670139</vt:i4>
      </vt:variant>
      <vt:variant>
        <vt:i4>81</vt:i4>
      </vt:variant>
      <vt:variant>
        <vt:i4>0</vt:i4>
      </vt:variant>
      <vt:variant>
        <vt:i4>5</vt:i4>
      </vt:variant>
      <vt:variant>
        <vt:lpwstr>http://www.nevo.co.il/case/25824863</vt:lpwstr>
      </vt:variant>
      <vt:variant>
        <vt:lpwstr/>
      </vt:variant>
      <vt:variant>
        <vt:i4>3997811</vt:i4>
      </vt:variant>
      <vt:variant>
        <vt:i4>78</vt:i4>
      </vt:variant>
      <vt:variant>
        <vt:i4>0</vt:i4>
      </vt:variant>
      <vt:variant>
        <vt:i4>5</vt:i4>
      </vt:variant>
      <vt:variant>
        <vt:lpwstr>http://www.nevo.co.il/case/27925239</vt:lpwstr>
      </vt:variant>
      <vt:variant>
        <vt:lpwstr/>
      </vt:variant>
      <vt:variant>
        <vt:i4>3276919</vt:i4>
      </vt:variant>
      <vt:variant>
        <vt:i4>75</vt:i4>
      </vt:variant>
      <vt:variant>
        <vt:i4>0</vt:i4>
      </vt:variant>
      <vt:variant>
        <vt:i4>5</vt:i4>
      </vt:variant>
      <vt:variant>
        <vt:lpwstr>http://www.nevo.co.il/case/28697218</vt:lpwstr>
      </vt:variant>
      <vt:variant>
        <vt:lpwstr/>
      </vt:variant>
      <vt:variant>
        <vt:i4>3211380</vt:i4>
      </vt:variant>
      <vt:variant>
        <vt:i4>72</vt:i4>
      </vt:variant>
      <vt:variant>
        <vt:i4>0</vt:i4>
      </vt:variant>
      <vt:variant>
        <vt:i4>5</vt:i4>
      </vt:variant>
      <vt:variant>
        <vt:lpwstr>http://www.nevo.co.il/case/28883087</vt:lpwstr>
      </vt:variant>
      <vt:variant>
        <vt:lpwstr/>
      </vt:variant>
      <vt:variant>
        <vt:i4>3211380</vt:i4>
      </vt:variant>
      <vt:variant>
        <vt:i4>69</vt:i4>
      </vt:variant>
      <vt:variant>
        <vt:i4>0</vt:i4>
      </vt:variant>
      <vt:variant>
        <vt:i4>5</vt:i4>
      </vt:variant>
      <vt:variant>
        <vt:lpwstr>http://www.nevo.co.il/case/28883087</vt:lpwstr>
      </vt:variant>
      <vt:variant>
        <vt:lpwstr/>
      </vt:variant>
      <vt:variant>
        <vt:i4>3670139</vt:i4>
      </vt:variant>
      <vt:variant>
        <vt:i4>66</vt:i4>
      </vt:variant>
      <vt:variant>
        <vt:i4>0</vt:i4>
      </vt:variant>
      <vt:variant>
        <vt:i4>5</vt:i4>
      </vt:variant>
      <vt:variant>
        <vt:lpwstr>http://www.nevo.co.il/case/25824863</vt:lpwstr>
      </vt:variant>
      <vt:variant>
        <vt:lpwstr/>
      </vt:variant>
      <vt:variant>
        <vt:i4>7995492</vt:i4>
      </vt:variant>
      <vt:variant>
        <vt:i4>63</vt:i4>
      </vt:variant>
      <vt:variant>
        <vt:i4>0</vt:i4>
      </vt:variant>
      <vt:variant>
        <vt:i4>5</vt:i4>
      </vt:variant>
      <vt:variant>
        <vt:lpwstr>http://www.nevo.co.il/law/70301</vt:lpwstr>
      </vt:variant>
      <vt:variant>
        <vt:lpwstr/>
      </vt:variant>
      <vt:variant>
        <vt:i4>2097193</vt:i4>
      </vt:variant>
      <vt:variant>
        <vt:i4>60</vt:i4>
      </vt:variant>
      <vt:variant>
        <vt:i4>0</vt:i4>
      </vt:variant>
      <vt:variant>
        <vt:i4>5</vt:i4>
      </vt:variant>
      <vt:variant>
        <vt:lpwstr>http://www.nevo.co.il/safrut/bookgroup/412</vt:lpwstr>
      </vt:variant>
      <vt:variant>
        <vt:lpwstr/>
      </vt:variant>
      <vt:variant>
        <vt:i4>4128881</vt:i4>
      </vt:variant>
      <vt:variant>
        <vt:i4>57</vt:i4>
      </vt:variant>
      <vt:variant>
        <vt:i4>0</vt:i4>
      </vt:variant>
      <vt:variant>
        <vt:i4>5</vt:i4>
      </vt:variant>
      <vt:variant>
        <vt:lpwstr>http://www.nevo.co.il/case/27309272</vt:lpwstr>
      </vt:variant>
      <vt:variant>
        <vt:lpwstr/>
      </vt:variant>
      <vt:variant>
        <vt:i4>7995492</vt:i4>
      </vt:variant>
      <vt:variant>
        <vt:i4>54</vt:i4>
      </vt:variant>
      <vt:variant>
        <vt:i4>0</vt:i4>
      </vt:variant>
      <vt:variant>
        <vt:i4>5</vt:i4>
      </vt:variant>
      <vt:variant>
        <vt:lpwstr>http://www.nevo.co.il/law/70301</vt:lpwstr>
      </vt:variant>
      <vt:variant>
        <vt:lpwstr/>
      </vt:variant>
      <vt:variant>
        <vt:i4>3539061</vt:i4>
      </vt:variant>
      <vt:variant>
        <vt:i4>51</vt:i4>
      </vt:variant>
      <vt:variant>
        <vt:i4>0</vt:i4>
      </vt:variant>
      <vt:variant>
        <vt:i4>5</vt:i4>
      </vt:variant>
      <vt:variant>
        <vt:lpwstr>http://www.nevo.co.il/case/28513828</vt:lpwstr>
      </vt:variant>
      <vt:variant>
        <vt:lpwstr/>
      </vt:variant>
      <vt:variant>
        <vt:i4>7995492</vt:i4>
      </vt:variant>
      <vt:variant>
        <vt:i4>48</vt:i4>
      </vt:variant>
      <vt:variant>
        <vt:i4>0</vt:i4>
      </vt:variant>
      <vt:variant>
        <vt:i4>5</vt:i4>
      </vt:variant>
      <vt:variant>
        <vt:lpwstr>http://www.nevo.co.il/law/70301</vt:lpwstr>
      </vt:variant>
      <vt:variant>
        <vt:lpwstr/>
      </vt:variant>
      <vt:variant>
        <vt:i4>79</vt:i4>
      </vt:variant>
      <vt:variant>
        <vt:i4>45</vt:i4>
      </vt:variant>
      <vt:variant>
        <vt:i4>0</vt:i4>
      </vt:variant>
      <vt:variant>
        <vt:i4>5</vt:i4>
      </vt:variant>
      <vt:variant>
        <vt:lpwstr>http://www.nevo.co.il/law/70301/40.e</vt:lpwstr>
      </vt:variant>
      <vt:variant>
        <vt:lpwstr/>
      </vt:variant>
      <vt:variant>
        <vt:i4>6619233</vt:i4>
      </vt:variant>
      <vt:variant>
        <vt:i4>42</vt:i4>
      </vt:variant>
      <vt:variant>
        <vt:i4>0</vt:i4>
      </vt:variant>
      <vt:variant>
        <vt:i4>5</vt:i4>
      </vt:variant>
      <vt:variant>
        <vt:lpwstr>http://www.nevo.co.il/law/70301/40d</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vt:i4>
      </vt:variant>
      <vt:variant>
        <vt:i4>6</vt:i4>
      </vt:variant>
      <vt:variant>
        <vt:i4>0</vt:i4>
      </vt:variant>
      <vt:variant>
        <vt:i4>5</vt:i4>
      </vt:variant>
      <vt:variant>
        <vt:lpwstr>http://www.nevo.co.il/law/70301/40.e</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2025-01-19T17:52:00Z</dcterms:created>
  <dcterms:modified xsi:type="dcterms:W3CDTF">2025-01-19T17:52:00Z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8152</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סעיד אבו שחאדה</vt:lpwstr>
  </property>
  <property fmtid="{D5CDD505-2E9C-101B-9397-08002B2CF9AE}" pid="10" name="LAWYER">
    <vt:lpwstr>מיכאל בן חור;אחמד יונס</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20230302</vt:lpwstr>
  </property>
  <property fmtid="{D5CDD505-2E9C-101B-9397-08002B2CF9AE}" pid="14" name="TYPE_N_DATE">
    <vt:lpwstr>38020230302</vt:lpwstr>
  </property>
  <property fmtid="{D5CDD505-2E9C-101B-9397-08002B2CF9AE}" pid="15" name="WORDNUMPAGES">
    <vt:lpwstr>10</vt:lpwstr>
  </property>
  <property fmtid="{D5CDD505-2E9C-101B-9397-08002B2CF9AE}" pid="16" name="TYPE_ABS_DATE">
    <vt:lpwstr>380020230302</vt:lpwstr>
  </property>
  <property fmtid="{D5CDD505-2E9C-101B-9397-08002B2CF9AE}" pid="17" name="ISABSTRACT">
    <vt:lpwstr>Y</vt:lpwstr>
  </property>
  <property fmtid="{D5CDD505-2E9C-101B-9397-08002B2CF9AE}" pid="18" name="CASESLISTTMP1">
    <vt:lpwstr>28513828;27309272;25824863:2;28883087:2;28697218;27925239;26442335;26383419;26931111;27693610;27648787;26913995;24263426;28378067;26888657</vt:lpwstr>
  </property>
  <property fmtid="{D5CDD505-2E9C-101B-9397-08002B2CF9AE}" pid="19" name="BOOKGROUPTMP1">
    <vt:lpwstr>412</vt:lpwstr>
  </property>
  <property fmtid="{D5CDD505-2E9C-101B-9397-08002B2CF9AE}" pid="20" name="LAWLISTTMP1">
    <vt:lpwstr>70301/144.a:2;040i;40ja;040d;040.e</vt:lpwstr>
  </property>
</Properties>
</file>