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5B7B23" w:rsidRPr="0097015B" w14:paraId="2DDFF3C9" w14:textId="77777777" w:rsidTr="00C0076D">
        <w:trPr>
          <w:gridAfter w:val="1"/>
          <w:wAfter w:w="99" w:type="dxa"/>
          <w:trHeight w:hRule="exact" w:val="418"/>
          <w:jc w:val="center"/>
        </w:trPr>
        <w:tc>
          <w:tcPr>
            <w:tcW w:w="8721" w:type="dxa"/>
            <w:gridSpan w:val="4"/>
          </w:tcPr>
          <w:p w14:paraId="02811A70" w14:textId="77777777" w:rsidR="005B7B23" w:rsidRPr="0097015B" w:rsidRDefault="005B7B23" w:rsidP="00F83330">
            <w:pPr>
              <w:pStyle w:val="a3"/>
              <w:jc w:val="center"/>
              <w:rPr>
                <w:rFonts w:ascii="Tahoma" w:hAnsi="Tahoma" w:cs="Tahoma"/>
                <w:color w:val="000080"/>
                <w:rtl/>
              </w:rPr>
            </w:pPr>
            <w:bookmarkStart w:id="0" w:name="LastJudge"/>
            <w:r w:rsidRPr="0097015B">
              <w:rPr>
                <w:rFonts w:ascii="Tahoma" w:hAnsi="Tahoma" w:cs="Tahoma"/>
                <w:b/>
                <w:bCs/>
                <w:color w:val="000080"/>
                <w:rtl/>
              </w:rPr>
              <w:t>בית משפט השלום בחדרה</w:t>
            </w:r>
          </w:p>
        </w:tc>
      </w:tr>
      <w:tr w:rsidR="005B7B23" w:rsidRPr="0097015B" w14:paraId="26C8BA3F" w14:textId="77777777" w:rsidTr="00C0076D">
        <w:trPr>
          <w:gridAfter w:val="1"/>
          <w:wAfter w:w="99" w:type="dxa"/>
          <w:trHeight w:val="337"/>
          <w:jc w:val="center"/>
        </w:trPr>
        <w:tc>
          <w:tcPr>
            <w:tcW w:w="5054" w:type="dxa"/>
            <w:gridSpan w:val="3"/>
          </w:tcPr>
          <w:p w14:paraId="0398293D" w14:textId="77777777" w:rsidR="005B7B23" w:rsidRPr="0097015B" w:rsidRDefault="005B7B23" w:rsidP="00F83330">
            <w:pPr>
              <w:rPr>
                <w:rFonts w:cs="FrankRuehl"/>
                <w:sz w:val="28"/>
                <w:szCs w:val="28"/>
                <w:rtl/>
              </w:rPr>
            </w:pPr>
            <w:r w:rsidRPr="0097015B">
              <w:rPr>
                <w:rFonts w:cs="FrankRuehl"/>
                <w:sz w:val="28"/>
                <w:szCs w:val="28"/>
                <w:rtl/>
              </w:rPr>
              <w:t>ת"פ</w:t>
            </w:r>
            <w:r w:rsidRPr="0097015B">
              <w:rPr>
                <w:rFonts w:cs="FrankRuehl" w:hint="cs"/>
                <w:sz w:val="28"/>
                <w:szCs w:val="28"/>
                <w:rtl/>
              </w:rPr>
              <w:t xml:space="preserve"> </w:t>
            </w:r>
            <w:r w:rsidRPr="0097015B">
              <w:rPr>
                <w:rFonts w:cs="FrankRuehl"/>
                <w:sz w:val="28"/>
                <w:szCs w:val="28"/>
                <w:rtl/>
              </w:rPr>
              <w:t>20743-11-22</w:t>
            </w:r>
            <w:r w:rsidRPr="0097015B">
              <w:rPr>
                <w:rFonts w:cs="FrankRuehl" w:hint="cs"/>
                <w:sz w:val="28"/>
                <w:szCs w:val="28"/>
                <w:rtl/>
              </w:rPr>
              <w:t xml:space="preserve"> </w:t>
            </w:r>
            <w:r w:rsidRPr="0097015B">
              <w:rPr>
                <w:rFonts w:cs="FrankRuehl"/>
                <w:sz w:val="28"/>
                <w:szCs w:val="28"/>
                <w:rtl/>
              </w:rPr>
              <w:t>מדינת ישראל נ' ג'בארין</w:t>
            </w:r>
          </w:p>
          <w:p w14:paraId="7F72AAA6" w14:textId="77777777" w:rsidR="005B7B23" w:rsidRPr="0097015B" w:rsidRDefault="005B7B23" w:rsidP="00F83330">
            <w:pPr>
              <w:pStyle w:val="a3"/>
              <w:rPr>
                <w:rFonts w:cs="FrankRuehl"/>
                <w:sz w:val="28"/>
                <w:szCs w:val="28"/>
                <w:rtl/>
              </w:rPr>
            </w:pPr>
          </w:p>
        </w:tc>
        <w:tc>
          <w:tcPr>
            <w:tcW w:w="3667" w:type="dxa"/>
          </w:tcPr>
          <w:p w14:paraId="6D09A9EC" w14:textId="77777777" w:rsidR="005B7B23" w:rsidRPr="0097015B" w:rsidRDefault="005B7B23" w:rsidP="00F83330">
            <w:pPr>
              <w:pStyle w:val="a3"/>
              <w:jc w:val="right"/>
              <w:rPr>
                <w:rFonts w:cs="FrankRuehl"/>
                <w:sz w:val="28"/>
                <w:szCs w:val="28"/>
                <w:rtl/>
              </w:rPr>
            </w:pPr>
          </w:p>
        </w:tc>
      </w:tr>
      <w:tr w:rsidR="005B7B23" w:rsidRPr="0097015B" w14:paraId="38580732" w14:textId="77777777" w:rsidTr="00C0076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D9DD1EF" w14:textId="77777777" w:rsidR="005B7B23" w:rsidRPr="0097015B" w:rsidRDefault="005B7B23" w:rsidP="005B7B23">
            <w:pPr>
              <w:jc w:val="both"/>
              <w:rPr>
                <w:rFonts w:ascii="David" w:hAnsi="David"/>
                <w:sz w:val="26"/>
                <w:szCs w:val="26"/>
              </w:rPr>
            </w:pPr>
            <w:r w:rsidRPr="0097015B">
              <w:rPr>
                <w:rFonts w:hint="cs"/>
                <w:rtl/>
              </w:rPr>
              <w:t xml:space="preserve"> </w:t>
            </w:r>
            <w:r w:rsidRPr="0097015B">
              <w:rPr>
                <w:rFonts w:ascii="David" w:hAnsi="David" w:hint="cs"/>
                <w:sz w:val="26"/>
                <w:szCs w:val="26"/>
                <w:rtl/>
              </w:rPr>
              <w:t>ל</w:t>
            </w:r>
            <w:r w:rsidRPr="0097015B">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2A8BAFDE" w14:textId="77777777" w:rsidR="005B7B23" w:rsidRPr="0097015B" w:rsidRDefault="005B7B23" w:rsidP="00F83330">
            <w:pPr>
              <w:rPr>
                <w:rFonts w:ascii="David" w:hAnsi="David"/>
                <w:b/>
                <w:bCs/>
                <w:sz w:val="26"/>
                <w:szCs w:val="26"/>
                <w:rtl/>
              </w:rPr>
            </w:pPr>
            <w:r w:rsidRPr="0097015B">
              <w:rPr>
                <w:rFonts w:ascii="David" w:hAnsi="David"/>
                <w:b/>
                <w:bCs/>
                <w:sz w:val="26"/>
                <w:szCs w:val="26"/>
                <w:rtl/>
              </w:rPr>
              <w:t>כבוד השופט  אלכס אחטר</w:t>
            </w:r>
          </w:p>
          <w:p w14:paraId="4BE69CCF" w14:textId="77777777" w:rsidR="005B7B23" w:rsidRPr="0097015B" w:rsidRDefault="005B7B23" w:rsidP="00F83330">
            <w:pPr>
              <w:rPr>
                <w:rFonts w:ascii="David" w:hAnsi="David"/>
                <w:sz w:val="26"/>
                <w:szCs w:val="26"/>
                <w:rtl/>
              </w:rPr>
            </w:pPr>
          </w:p>
          <w:p w14:paraId="691A7DC6" w14:textId="77777777" w:rsidR="005B7B23" w:rsidRPr="0097015B" w:rsidRDefault="005B7B23" w:rsidP="005B7B23">
            <w:pPr>
              <w:jc w:val="both"/>
              <w:rPr>
                <w:rFonts w:ascii="David" w:hAnsi="David"/>
                <w:sz w:val="26"/>
                <w:szCs w:val="26"/>
              </w:rPr>
            </w:pPr>
          </w:p>
        </w:tc>
      </w:tr>
      <w:tr w:rsidR="005B7B23" w:rsidRPr="0097015B" w14:paraId="214BC380" w14:textId="77777777" w:rsidTr="00C0076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418E314" w14:textId="77777777" w:rsidR="005B7B23" w:rsidRPr="0097015B" w:rsidRDefault="005B7B23" w:rsidP="005B7B23">
            <w:pPr>
              <w:jc w:val="both"/>
              <w:rPr>
                <w:rFonts w:ascii="David" w:hAnsi="David"/>
                <w:sz w:val="26"/>
                <w:szCs w:val="26"/>
              </w:rPr>
            </w:pPr>
            <w:bookmarkStart w:id="1" w:name="FirstAppellant"/>
            <w:bookmarkStart w:id="2" w:name="FirstLawyer"/>
            <w:r w:rsidRPr="0097015B">
              <w:rPr>
                <w:rFonts w:ascii="David" w:hAnsi="David"/>
                <w:sz w:val="26"/>
                <w:szCs w:val="26"/>
                <w:rtl/>
              </w:rPr>
              <w:t>בעניין:</w:t>
            </w:r>
          </w:p>
        </w:tc>
        <w:tc>
          <w:tcPr>
            <w:tcW w:w="3219" w:type="dxa"/>
            <w:tcBorders>
              <w:top w:val="nil"/>
              <w:left w:val="nil"/>
              <w:bottom w:val="nil"/>
              <w:right w:val="nil"/>
            </w:tcBorders>
            <w:shd w:val="clear" w:color="auto" w:fill="auto"/>
          </w:tcPr>
          <w:p w14:paraId="69CC4EE7" w14:textId="77777777" w:rsidR="005B7B23" w:rsidRPr="0097015B" w:rsidRDefault="005B7B23" w:rsidP="005B7B23">
            <w:pPr>
              <w:suppressLineNumbers/>
            </w:pPr>
            <w:r w:rsidRPr="0097015B">
              <w:rPr>
                <w:rFonts w:ascii="Arial" w:hAnsi="Arial" w:hint="cs"/>
                <w:b/>
                <w:bCs/>
                <w:sz w:val="26"/>
                <w:szCs w:val="26"/>
                <w:rtl/>
              </w:rPr>
              <w:t>ה</w:t>
            </w:r>
            <w:r w:rsidRPr="0097015B">
              <w:rPr>
                <w:rFonts w:ascii="Arial" w:hAnsi="Arial"/>
                <w:b/>
                <w:bCs/>
                <w:sz w:val="26"/>
                <w:szCs w:val="26"/>
                <w:rtl/>
              </w:rPr>
              <w:t>מאשימה</w:t>
            </w:r>
          </w:p>
          <w:p w14:paraId="5DFBEF8C" w14:textId="77777777" w:rsidR="005B7B23" w:rsidRPr="0097015B" w:rsidRDefault="005B7B23" w:rsidP="00F83330">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2521C2D3" w14:textId="77777777" w:rsidR="005B7B23" w:rsidRPr="0097015B" w:rsidRDefault="005B7B23" w:rsidP="005B7B23">
            <w:pPr>
              <w:suppressLineNumbers/>
              <w:rPr>
                <w:rFonts w:ascii="Arial" w:hAnsi="Arial"/>
                <w:b/>
                <w:bCs/>
                <w:sz w:val="26"/>
                <w:szCs w:val="26"/>
                <w:rtl/>
              </w:rPr>
            </w:pPr>
            <w:r w:rsidRPr="0097015B">
              <w:rPr>
                <w:rFonts w:ascii="Arial" w:hAnsi="Arial"/>
                <w:b/>
                <w:bCs/>
                <w:sz w:val="26"/>
                <w:szCs w:val="26"/>
                <w:rtl/>
              </w:rPr>
              <w:t>מדינת ישראל</w:t>
            </w:r>
            <w:r w:rsidRPr="0097015B">
              <w:rPr>
                <w:rFonts w:ascii="Arial" w:hAnsi="Arial" w:hint="cs"/>
                <w:b/>
                <w:bCs/>
                <w:sz w:val="26"/>
                <w:szCs w:val="26"/>
                <w:rtl/>
              </w:rPr>
              <w:t xml:space="preserve"> </w:t>
            </w:r>
          </w:p>
          <w:p w14:paraId="1B3BE0E3" w14:textId="77777777" w:rsidR="005B7B23" w:rsidRPr="0097015B" w:rsidRDefault="005B7B23" w:rsidP="005B7B23">
            <w:pPr>
              <w:suppressLineNumbers/>
              <w:rPr>
                <w:b/>
                <w:bCs/>
              </w:rPr>
            </w:pPr>
            <w:r w:rsidRPr="0097015B">
              <w:rPr>
                <w:rFonts w:ascii="Arial" w:hAnsi="Arial"/>
                <w:b/>
                <w:bCs/>
                <w:sz w:val="26"/>
                <w:szCs w:val="26"/>
                <w:rtl/>
              </w:rPr>
              <w:t>ע"י ב"כ עוה"ד</w:t>
            </w:r>
            <w:r w:rsidRPr="0097015B">
              <w:rPr>
                <w:rFonts w:hint="cs"/>
                <w:rtl/>
              </w:rPr>
              <w:t xml:space="preserve"> </w:t>
            </w:r>
            <w:r w:rsidRPr="0097015B">
              <w:rPr>
                <w:rFonts w:hint="cs"/>
                <w:b/>
                <w:bCs/>
                <w:rtl/>
              </w:rPr>
              <w:t>מידד אזרזר</w:t>
            </w:r>
          </w:p>
          <w:p w14:paraId="632F1BD6" w14:textId="77777777" w:rsidR="005B7B23" w:rsidRPr="0097015B" w:rsidRDefault="005B7B23" w:rsidP="00F83330">
            <w:pPr>
              <w:rPr>
                <w:rFonts w:ascii="David" w:hAnsi="David"/>
                <w:sz w:val="26"/>
                <w:szCs w:val="26"/>
              </w:rPr>
            </w:pPr>
          </w:p>
        </w:tc>
      </w:tr>
      <w:bookmarkEnd w:id="1"/>
      <w:bookmarkEnd w:id="2"/>
      <w:tr w:rsidR="005B7B23" w:rsidRPr="0097015B" w14:paraId="1B4C36F7" w14:textId="77777777" w:rsidTr="00C0076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297C869" w14:textId="77777777" w:rsidR="005B7B23" w:rsidRPr="0097015B" w:rsidRDefault="005B7B23" w:rsidP="005B7B23">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43F045DA" w14:textId="77777777" w:rsidR="005B7B23" w:rsidRPr="0097015B" w:rsidRDefault="005B7B23" w:rsidP="005B7B23">
            <w:pPr>
              <w:jc w:val="center"/>
              <w:rPr>
                <w:rFonts w:ascii="David" w:hAnsi="David"/>
                <w:b/>
                <w:bCs/>
                <w:sz w:val="26"/>
                <w:szCs w:val="26"/>
                <w:rtl/>
              </w:rPr>
            </w:pPr>
          </w:p>
          <w:p w14:paraId="73B490A3" w14:textId="77777777" w:rsidR="005B7B23" w:rsidRPr="0097015B" w:rsidRDefault="005B7B23" w:rsidP="005B7B23">
            <w:pPr>
              <w:jc w:val="center"/>
              <w:rPr>
                <w:rFonts w:ascii="David" w:hAnsi="David"/>
                <w:b/>
                <w:bCs/>
                <w:sz w:val="26"/>
                <w:szCs w:val="26"/>
                <w:rtl/>
              </w:rPr>
            </w:pPr>
            <w:r w:rsidRPr="0097015B">
              <w:rPr>
                <w:rFonts w:ascii="David" w:hAnsi="David"/>
                <w:b/>
                <w:bCs/>
                <w:sz w:val="26"/>
                <w:szCs w:val="26"/>
                <w:rtl/>
              </w:rPr>
              <w:t>נגד</w:t>
            </w:r>
          </w:p>
          <w:p w14:paraId="711DB240" w14:textId="77777777" w:rsidR="005B7B23" w:rsidRPr="0097015B" w:rsidRDefault="005B7B23" w:rsidP="005B7B23">
            <w:pPr>
              <w:jc w:val="both"/>
              <w:rPr>
                <w:rFonts w:ascii="David" w:hAnsi="David"/>
                <w:sz w:val="26"/>
                <w:szCs w:val="26"/>
              </w:rPr>
            </w:pPr>
          </w:p>
        </w:tc>
      </w:tr>
      <w:tr w:rsidR="005B7B23" w:rsidRPr="0097015B" w14:paraId="35C4D9DB" w14:textId="77777777" w:rsidTr="00C0076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5E562FE" w14:textId="77777777" w:rsidR="005B7B23" w:rsidRPr="0097015B" w:rsidRDefault="005B7B23" w:rsidP="00F83330">
            <w:pPr>
              <w:rPr>
                <w:rFonts w:ascii="David" w:hAnsi="David"/>
                <w:sz w:val="26"/>
                <w:szCs w:val="26"/>
                <w:rtl/>
              </w:rPr>
            </w:pPr>
          </w:p>
        </w:tc>
        <w:tc>
          <w:tcPr>
            <w:tcW w:w="3219" w:type="dxa"/>
            <w:tcBorders>
              <w:top w:val="nil"/>
              <w:left w:val="nil"/>
              <w:bottom w:val="nil"/>
              <w:right w:val="nil"/>
            </w:tcBorders>
            <w:shd w:val="clear" w:color="auto" w:fill="auto"/>
          </w:tcPr>
          <w:p w14:paraId="5C138C21" w14:textId="77777777" w:rsidR="005B7B23" w:rsidRPr="0097015B" w:rsidRDefault="005B7B23" w:rsidP="00F83330">
            <w:pPr>
              <w:rPr>
                <w:rFonts w:ascii="Arial" w:hAnsi="Arial"/>
                <w:b/>
                <w:bCs/>
                <w:sz w:val="26"/>
                <w:szCs w:val="26"/>
                <w:rtl/>
              </w:rPr>
            </w:pPr>
            <w:r w:rsidRPr="0097015B">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74F3B05E" w14:textId="77777777" w:rsidR="005B7B23" w:rsidRPr="0097015B" w:rsidRDefault="005B7B23" w:rsidP="005B7B23">
            <w:pPr>
              <w:suppressLineNumbers/>
              <w:rPr>
                <w:rFonts w:ascii="Arial" w:hAnsi="Arial"/>
                <w:b/>
                <w:bCs/>
                <w:sz w:val="26"/>
                <w:szCs w:val="26"/>
                <w:rtl/>
              </w:rPr>
            </w:pPr>
            <w:r w:rsidRPr="0097015B">
              <w:rPr>
                <w:rFonts w:ascii="Arial" w:hAnsi="Arial"/>
                <w:b/>
                <w:bCs/>
                <w:sz w:val="26"/>
                <w:szCs w:val="26"/>
                <w:rtl/>
              </w:rPr>
              <w:t>סמיר ג'בארין</w:t>
            </w:r>
            <w:r w:rsidRPr="0097015B">
              <w:rPr>
                <w:rFonts w:ascii="Arial" w:hAnsi="Arial" w:hint="cs"/>
                <w:b/>
                <w:bCs/>
                <w:sz w:val="26"/>
                <w:szCs w:val="26"/>
                <w:rtl/>
              </w:rPr>
              <w:t xml:space="preserve"> </w:t>
            </w:r>
          </w:p>
          <w:p w14:paraId="43C1F2F2" w14:textId="77777777" w:rsidR="005B7B23" w:rsidRPr="0097015B" w:rsidRDefault="005B7B23" w:rsidP="005B7B23">
            <w:pPr>
              <w:suppressLineNumbers/>
            </w:pPr>
            <w:r w:rsidRPr="0097015B">
              <w:rPr>
                <w:rFonts w:ascii="Arial" w:hAnsi="Arial"/>
                <w:b/>
                <w:bCs/>
                <w:sz w:val="26"/>
                <w:szCs w:val="26"/>
                <w:rtl/>
              </w:rPr>
              <w:t>ע"י ב"כ עוה"ד</w:t>
            </w:r>
            <w:r w:rsidRPr="0097015B">
              <w:rPr>
                <w:rFonts w:hint="cs"/>
                <w:rtl/>
              </w:rPr>
              <w:t xml:space="preserve"> </w:t>
            </w:r>
            <w:r w:rsidRPr="0097015B">
              <w:rPr>
                <w:rFonts w:hint="cs"/>
                <w:b/>
                <w:bCs/>
                <w:rtl/>
              </w:rPr>
              <w:t>עאדל בויראת</w:t>
            </w:r>
          </w:p>
          <w:p w14:paraId="0291FDDE" w14:textId="77777777" w:rsidR="005B7B23" w:rsidRPr="0097015B" w:rsidRDefault="005B7B23" w:rsidP="00F83330">
            <w:pPr>
              <w:rPr>
                <w:rFonts w:ascii="David" w:hAnsi="David"/>
                <w:sz w:val="26"/>
                <w:szCs w:val="26"/>
              </w:rPr>
            </w:pPr>
          </w:p>
        </w:tc>
      </w:tr>
    </w:tbl>
    <w:p w14:paraId="5BE686D8" w14:textId="77777777" w:rsidR="0097015B" w:rsidRPr="0097015B" w:rsidRDefault="0097015B" w:rsidP="005B7B23">
      <w:pPr>
        <w:rPr>
          <w:sz w:val="26"/>
          <w:szCs w:val="26"/>
          <w:rtl/>
        </w:rPr>
      </w:pPr>
    </w:p>
    <w:p w14:paraId="35CFE69C" w14:textId="77777777" w:rsidR="00625923" w:rsidRPr="00625923" w:rsidRDefault="00625923" w:rsidP="006703F6">
      <w:pPr>
        <w:spacing w:after="120" w:line="240" w:lineRule="exact"/>
        <w:ind w:left="283" w:hanging="283"/>
        <w:jc w:val="both"/>
        <w:rPr>
          <w:sz w:val="26"/>
          <w:szCs w:val="26"/>
          <w:rtl/>
        </w:rPr>
      </w:pPr>
    </w:p>
    <w:p w14:paraId="03CEB5DC" w14:textId="77777777" w:rsidR="00444FF5" w:rsidRPr="00444FF5" w:rsidRDefault="00444FF5" w:rsidP="00625923">
      <w:pPr>
        <w:spacing w:after="120" w:line="240" w:lineRule="exact"/>
        <w:ind w:left="283" w:hanging="283"/>
        <w:jc w:val="both"/>
        <w:rPr>
          <w:sz w:val="26"/>
          <w:szCs w:val="26"/>
          <w:rtl/>
        </w:rPr>
      </w:pPr>
    </w:p>
    <w:p w14:paraId="2C235B77" w14:textId="77777777" w:rsidR="00444FF5" w:rsidRPr="00444FF5" w:rsidRDefault="00444FF5" w:rsidP="00444FF5">
      <w:pPr>
        <w:spacing w:after="120" w:line="240" w:lineRule="exact"/>
        <w:ind w:left="283" w:hanging="283"/>
        <w:jc w:val="both"/>
        <w:rPr>
          <w:rFonts w:ascii="FrankRuehl" w:hAnsi="FrankRuehl" w:cs="FrankRuehl"/>
        </w:rPr>
      </w:pPr>
      <w:bookmarkStart w:id="3" w:name="Links_Start"/>
      <w:bookmarkEnd w:id="3"/>
      <w:r w:rsidRPr="00444FF5">
        <w:rPr>
          <w:rFonts w:ascii="FrankRuehl" w:hAnsi="FrankRuehl" w:cs="FrankRuehl"/>
          <w:rtl/>
        </w:rPr>
        <w:t>ספרות:</w:t>
      </w:r>
    </w:p>
    <w:p w14:paraId="6378B3F4" w14:textId="77777777" w:rsidR="00444FF5" w:rsidRPr="00444FF5" w:rsidRDefault="00444FF5" w:rsidP="00444FF5">
      <w:pPr>
        <w:spacing w:after="120" w:line="240" w:lineRule="exact"/>
        <w:ind w:left="283" w:hanging="283"/>
        <w:jc w:val="both"/>
        <w:rPr>
          <w:rStyle w:val="Hyperlink"/>
          <w:rFonts w:ascii="FrankRuehl" w:hAnsi="FrankRuehl" w:cs="FrankRuehl"/>
          <w:u w:val="none"/>
          <w:rtl/>
        </w:rPr>
      </w:pPr>
      <w:r w:rsidRPr="00444FF5">
        <w:rPr>
          <w:rFonts w:ascii="FrankRuehl" w:hAnsi="FrankRuehl" w:cs="FrankRuehl"/>
          <w:color w:val="0000FF"/>
          <w:rtl/>
        </w:rPr>
        <w:fldChar w:fldCharType="begin"/>
      </w:r>
      <w:r w:rsidRPr="00444FF5">
        <w:rPr>
          <w:rFonts w:ascii="FrankRuehl" w:hAnsi="FrankRuehl" w:cs="FrankRuehl"/>
          <w:color w:val="0000FF"/>
          <w:rtl/>
        </w:rPr>
        <w:instrText xml:space="preserve"> </w:instrText>
      </w:r>
      <w:r w:rsidRPr="00444FF5">
        <w:rPr>
          <w:rFonts w:ascii="FrankRuehl" w:hAnsi="FrankRuehl" w:cs="FrankRuehl"/>
          <w:color w:val="0000FF"/>
        </w:rPr>
        <w:instrText xml:space="preserve">HYPERLINK </w:instrText>
      </w:r>
      <w:r w:rsidRPr="00444FF5">
        <w:rPr>
          <w:rFonts w:ascii="FrankRuehl" w:hAnsi="FrankRuehl" w:cs="FrankRuehl"/>
          <w:color w:val="0000FF"/>
          <w:rtl/>
        </w:rPr>
        <w:instrText>"</w:instrText>
      </w:r>
      <w:r w:rsidRPr="00444FF5">
        <w:rPr>
          <w:rFonts w:ascii="FrankRuehl" w:hAnsi="FrankRuehl" w:cs="FrankRuehl"/>
          <w:color w:val="0000FF"/>
        </w:rPr>
        <w:instrText>http://www.nevo.co.il/safrut/bookgroup/412"</w:instrText>
      </w:r>
      <w:r w:rsidRPr="00444FF5">
        <w:rPr>
          <w:rFonts w:ascii="FrankRuehl" w:hAnsi="FrankRuehl" w:cs="FrankRuehl"/>
          <w:color w:val="0000FF"/>
          <w:rtl/>
        </w:rPr>
        <w:instrText xml:space="preserve"> </w:instrText>
      </w:r>
      <w:r w:rsidRPr="00444FF5">
        <w:rPr>
          <w:rFonts w:ascii="FrankRuehl" w:hAnsi="FrankRuehl" w:cs="FrankRuehl"/>
          <w:color w:val="0000FF"/>
          <w:rtl/>
        </w:rPr>
      </w:r>
      <w:r w:rsidRPr="00444FF5">
        <w:rPr>
          <w:rFonts w:ascii="FrankRuehl" w:hAnsi="FrankRuehl" w:cs="FrankRuehl"/>
          <w:color w:val="0000FF"/>
          <w:rtl/>
        </w:rPr>
        <w:fldChar w:fldCharType="separate"/>
      </w:r>
      <w:r w:rsidRPr="00444FF5">
        <w:rPr>
          <w:rStyle w:val="Hyperlink"/>
          <w:rFonts w:ascii="FrankRuehl" w:hAnsi="FrankRuehl" w:cs="FrankRuehl"/>
          <w:u w:val="none"/>
          <w:rtl/>
        </w:rPr>
        <w:t xml:space="preserve">ש"ז פלר  </w:t>
      </w:r>
      <w:r w:rsidRPr="00444FF5">
        <w:rPr>
          <w:rStyle w:val="Hyperlink"/>
          <w:rFonts w:ascii="FrankRuehl" w:hAnsi="FrankRuehl" w:cs="FrankRuehl"/>
          <w:u w:val="none"/>
        </w:rPr>
        <w:t xml:space="preserve"> </w:t>
      </w:r>
      <w:r w:rsidRPr="00444FF5">
        <w:rPr>
          <w:rStyle w:val="Hyperlink"/>
          <w:rFonts w:ascii="FrankRuehl" w:hAnsi="FrankRuehl" w:cs="FrankRuehl"/>
          <w:b/>
          <w:bCs/>
          <w:u w:val="none"/>
          <w:rtl/>
        </w:rPr>
        <w:t xml:space="preserve">יסודות בדיני עונשין </w:t>
      </w:r>
    </w:p>
    <w:p w14:paraId="289C7BAC" w14:textId="77777777" w:rsidR="00444FF5" w:rsidRDefault="00444FF5" w:rsidP="00444FF5">
      <w:pPr>
        <w:spacing w:after="120" w:line="240" w:lineRule="exact"/>
        <w:ind w:left="283" w:hanging="283"/>
        <w:jc w:val="both"/>
        <w:rPr>
          <w:color w:val="0000FF"/>
          <w:sz w:val="26"/>
          <w:szCs w:val="26"/>
        </w:rPr>
      </w:pPr>
      <w:r w:rsidRPr="00444FF5">
        <w:rPr>
          <w:rFonts w:ascii="FrankRuehl" w:hAnsi="FrankRuehl" w:cs="FrankRuehl"/>
          <w:color w:val="0000FF"/>
          <w:rtl/>
        </w:rPr>
        <w:fldChar w:fldCharType="end"/>
      </w:r>
      <w:bookmarkStart w:id="4" w:name="Links_End"/>
      <w:bookmarkStart w:id="5" w:name="LawTable"/>
      <w:bookmarkEnd w:id="4"/>
      <w:bookmarkEnd w:id="5"/>
    </w:p>
    <w:p w14:paraId="16413BC5" w14:textId="77777777" w:rsidR="00444FF5" w:rsidRPr="00444FF5" w:rsidRDefault="00444FF5" w:rsidP="00444FF5">
      <w:pPr>
        <w:spacing w:before="120" w:after="120" w:line="240" w:lineRule="exact"/>
        <w:ind w:left="283" w:hanging="283"/>
        <w:jc w:val="both"/>
        <w:rPr>
          <w:rFonts w:ascii="FrankRuehl" w:hAnsi="FrankRuehl" w:cs="FrankRuehl"/>
          <w:color w:val="0000FF"/>
        </w:rPr>
      </w:pPr>
    </w:p>
    <w:p w14:paraId="5F9EB694" w14:textId="77777777" w:rsidR="00444FF5" w:rsidRPr="00444FF5" w:rsidRDefault="00444FF5" w:rsidP="00444FF5">
      <w:pPr>
        <w:spacing w:before="120" w:after="120" w:line="240" w:lineRule="exact"/>
        <w:ind w:left="283" w:hanging="283"/>
        <w:jc w:val="both"/>
        <w:rPr>
          <w:rFonts w:ascii="FrankRuehl" w:hAnsi="FrankRuehl" w:cs="FrankRuehl"/>
          <w:color w:val="0000FF"/>
          <w:rtl/>
        </w:rPr>
      </w:pPr>
    </w:p>
    <w:p w14:paraId="66CF2694" w14:textId="77777777" w:rsidR="00444FF5" w:rsidRPr="00444FF5" w:rsidRDefault="00444FF5" w:rsidP="00444FF5">
      <w:pPr>
        <w:spacing w:before="120" w:after="120" w:line="240" w:lineRule="exact"/>
        <w:ind w:left="283" w:hanging="283"/>
        <w:jc w:val="both"/>
        <w:rPr>
          <w:rFonts w:ascii="FrankRuehl" w:hAnsi="FrankRuehl" w:cs="FrankRuehl"/>
          <w:color w:val="0000FF"/>
        </w:rPr>
      </w:pPr>
      <w:r w:rsidRPr="00444FF5">
        <w:rPr>
          <w:rFonts w:ascii="FrankRuehl" w:hAnsi="FrankRuehl" w:cs="FrankRuehl"/>
          <w:color w:val="0000FF"/>
          <w:rtl/>
        </w:rPr>
        <w:t xml:space="preserve">חקיקה שאוזכרה: </w:t>
      </w:r>
    </w:p>
    <w:p w14:paraId="3407DB4D" w14:textId="77777777" w:rsidR="00444FF5" w:rsidRPr="00444FF5" w:rsidRDefault="00444FF5" w:rsidP="00444FF5">
      <w:pPr>
        <w:spacing w:before="120" w:after="120" w:line="240" w:lineRule="exact"/>
        <w:ind w:left="283" w:hanging="283"/>
        <w:jc w:val="both"/>
        <w:rPr>
          <w:rFonts w:ascii="FrankRuehl" w:hAnsi="FrankRuehl" w:cs="FrankRuehl"/>
        </w:rPr>
      </w:pPr>
      <w:hyperlink r:id="rId7" w:history="1">
        <w:r w:rsidRPr="00444FF5">
          <w:rPr>
            <w:rFonts w:ascii="FrankRuehl" w:hAnsi="FrankRuehl" w:cs="FrankRuehl"/>
            <w:color w:val="0000FF"/>
            <w:rtl/>
          </w:rPr>
          <w:t>חוק העונשין, תשל"ז-1977</w:t>
        </w:r>
      </w:hyperlink>
      <w:r w:rsidRPr="00444FF5">
        <w:rPr>
          <w:rFonts w:ascii="FrankRuehl" w:hAnsi="FrankRuehl" w:cs="FrankRuehl"/>
        </w:rPr>
        <w:t xml:space="preserve">: </w:t>
      </w:r>
      <w:r w:rsidRPr="00444FF5">
        <w:rPr>
          <w:rFonts w:ascii="FrankRuehl" w:hAnsi="FrankRuehl" w:cs="FrankRuehl"/>
          <w:rtl/>
        </w:rPr>
        <w:t>סע</w:t>
      </w:r>
      <w:r w:rsidRPr="00444FF5">
        <w:rPr>
          <w:rFonts w:ascii="FrankRuehl" w:hAnsi="FrankRuehl" w:cs="FrankRuehl"/>
        </w:rPr>
        <w:t xml:space="preserve">'  </w:t>
      </w:r>
      <w:hyperlink r:id="rId8" w:history="1">
        <w:r w:rsidRPr="00444FF5">
          <w:rPr>
            <w:rFonts w:ascii="FrankRuehl" w:hAnsi="FrankRuehl" w:cs="FrankRuehl"/>
            <w:color w:val="0000FF"/>
          </w:rPr>
          <w:t>40</w:t>
        </w:r>
        <w:r w:rsidRPr="00444FF5">
          <w:rPr>
            <w:rFonts w:ascii="FrankRuehl" w:hAnsi="FrankRuehl" w:cs="FrankRuehl"/>
            <w:color w:val="0000FF"/>
            <w:rtl/>
          </w:rPr>
          <w:t>ד</w:t>
        </w:r>
        <w:r w:rsidRPr="00444FF5">
          <w:rPr>
            <w:rFonts w:ascii="FrankRuehl" w:hAnsi="FrankRuehl" w:cs="FrankRuehl"/>
            <w:color w:val="0000FF"/>
          </w:rPr>
          <w:t>'</w:t>
        </w:r>
      </w:hyperlink>
      <w:r w:rsidRPr="00444FF5">
        <w:rPr>
          <w:rFonts w:ascii="FrankRuehl" w:hAnsi="FrankRuehl" w:cs="FrankRuehl"/>
        </w:rPr>
        <w:t xml:space="preserve">, </w:t>
      </w:r>
      <w:hyperlink r:id="rId9" w:history="1">
        <w:r w:rsidRPr="00444FF5">
          <w:rPr>
            <w:rFonts w:ascii="FrankRuehl" w:hAnsi="FrankRuehl" w:cs="FrankRuehl"/>
            <w:color w:val="0000FF"/>
          </w:rPr>
          <w:t xml:space="preserve">40 </w:t>
        </w:r>
        <w:r w:rsidRPr="00444FF5">
          <w:rPr>
            <w:rFonts w:ascii="FrankRuehl" w:hAnsi="FrankRuehl" w:cs="FrankRuehl"/>
            <w:color w:val="0000FF"/>
            <w:rtl/>
          </w:rPr>
          <w:t>ה</w:t>
        </w:r>
        <w:r w:rsidRPr="00444FF5">
          <w:rPr>
            <w:rFonts w:ascii="FrankRuehl" w:hAnsi="FrankRuehl" w:cs="FrankRuehl"/>
            <w:color w:val="0000FF"/>
          </w:rPr>
          <w:t>'</w:t>
        </w:r>
      </w:hyperlink>
      <w:r w:rsidRPr="00444FF5">
        <w:rPr>
          <w:rFonts w:ascii="FrankRuehl" w:hAnsi="FrankRuehl" w:cs="FrankRuehl"/>
        </w:rPr>
        <w:t xml:space="preserve">, </w:t>
      </w:r>
      <w:hyperlink r:id="rId10" w:history="1">
        <w:r w:rsidRPr="00444FF5">
          <w:rPr>
            <w:rFonts w:ascii="FrankRuehl" w:hAnsi="FrankRuehl" w:cs="FrankRuehl"/>
            <w:color w:val="0000FF"/>
          </w:rPr>
          <w:t>40</w:t>
        </w:r>
        <w:r w:rsidRPr="00444FF5">
          <w:rPr>
            <w:rFonts w:ascii="FrankRuehl" w:hAnsi="FrankRuehl" w:cs="FrankRuehl"/>
            <w:color w:val="0000FF"/>
            <w:rtl/>
          </w:rPr>
          <w:t>ט</w:t>
        </w:r>
        <w:r w:rsidRPr="00444FF5">
          <w:rPr>
            <w:rFonts w:ascii="FrankRuehl" w:hAnsi="FrankRuehl" w:cs="FrankRuehl"/>
            <w:color w:val="0000FF"/>
          </w:rPr>
          <w:t>'</w:t>
        </w:r>
      </w:hyperlink>
      <w:r w:rsidRPr="00444FF5">
        <w:rPr>
          <w:rFonts w:ascii="FrankRuehl" w:hAnsi="FrankRuehl" w:cs="FrankRuehl"/>
        </w:rPr>
        <w:t xml:space="preserve">, </w:t>
      </w:r>
      <w:hyperlink r:id="rId11" w:history="1">
        <w:r w:rsidRPr="00444FF5">
          <w:rPr>
            <w:rFonts w:ascii="FrankRuehl" w:hAnsi="FrankRuehl" w:cs="FrankRuehl"/>
            <w:color w:val="0000FF"/>
          </w:rPr>
          <w:t>144(</w:t>
        </w:r>
        <w:r w:rsidRPr="00444FF5">
          <w:rPr>
            <w:rFonts w:ascii="FrankRuehl" w:hAnsi="FrankRuehl" w:cs="FrankRuehl"/>
            <w:color w:val="0000FF"/>
            <w:rtl/>
          </w:rPr>
          <w:t>א</w:t>
        </w:r>
        <w:r w:rsidRPr="00444FF5">
          <w:rPr>
            <w:rFonts w:ascii="FrankRuehl" w:hAnsi="FrankRuehl" w:cs="FrankRuehl"/>
            <w:color w:val="0000FF"/>
          </w:rPr>
          <w:t>)</w:t>
        </w:r>
      </w:hyperlink>
      <w:r w:rsidRPr="00444FF5">
        <w:rPr>
          <w:rFonts w:ascii="FrankRuehl" w:hAnsi="FrankRuehl" w:cs="FrankRuehl"/>
        </w:rPr>
        <w:t xml:space="preserve">, </w:t>
      </w:r>
      <w:hyperlink r:id="rId12" w:history="1">
        <w:r w:rsidRPr="00444FF5">
          <w:rPr>
            <w:rFonts w:ascii="FrankRuehl" w:hAnsi="FrankRuehl" w:cs="FrankRuehl"/>
            <w:color w:val="0000FF"/>
          </w:rPr>
          <w:t>144(</w:t>
        </w:r>
        <w:r w:rsidRPr="00444FF5">
          <w:rPr>
            <w:rFonts w:ascii="FrankRuehl" w:hAnsi="FrankRuehl" w:cs="FrankRuehl"/>
            <w:color w:val="0000FF"/>
            <w:rtl/>
          </w:rPr>
          <w:t>ז</w:t>
        </w:r>
        <w:r w:rsidRPr="00444FF5">
          <w:rPr>
            <w:rFonts w:ascii="FrankRuehl" w:hAnsi="FrankRuehl" w:cs="FrankRuehl"/>
            <w:color w:val="0000FF"/>
          </w:rPr>
          <w:t>)</w:t>
        </w:r>
      </w:hyperlink>
      <w:r w:rsidRPr="00444FF5">
        <w:rPr>
          <w:rFonts w:ascii="FrankRuehl" w:hAnsi="FrankRuehl" w:cs="FrankRuehl"/>
        </w:rPr>
        <w:t xml:space="preserve">, </w:t>
      </w:r>
      <w:hyperlink r:id="rId13" w:history="1">
        <w:r w:rsidRPr="00444FF5">
          <w:rPr>
            <w:rFonts w:ascii="FrankRuehl" w:hAnsi="FrankRuehl" w:cs="FrankRuehl"/>
            <w:color w:val="0000FF"/>
          </w:rPr>
          <w:t>40</w:t>
        </w:r>
        <w:r w:rsidRPr="00444FF5">
          <w:rPr>
            <w:rFonts w:ascii="FrankRuehl" w:hAnsi="FrankRuehl" w:cs="FrankRuehl"/>
            <w:color w:val="0000FF"/>
            <w:rtl/>
          </w:rPr>
          <w:t>יא</w:t>
        </w:r>
        <w:r w:rsidRPr="00444FF5">
          <w:rPr>
            <w:rFonts w:ascii="FrankRuehl" w:hAnsi="FrankRuehl" w:cs="FrankRuehl"/>
            <w:color w:val="0000FF"/>
          </w:rPr>
          <w:t>'</w:t>
        </w:r>
      </w:hyperlink>
    </w:p>
    <w:p w14:paraId="2C74E327" w14:textId="77777777" w:rsidR="00444FF5" w:rsidRPr="00444FF5" w:rsidRDefault="00444FF5" w:rsidP="00444FF5">
      <w:pPr>
        <w:spacing w:after="120" w:line="240" w:lineRule="exact"/>
        <w:ind w:left="283" w:hanging="283"/>
        <w:jc w:val="both"/>
        <w:rPr>
          <w:sz w:val="26"/>
          <w:szCs w:val="26"/>
        </w:rPr>
      </w:pPr>
      <w:bookmarkStart w:id="6" w:name="LawTable_End"/>
      <w:bookmarkEnd w:id="6"/>
    </w:p>
    <w:p w14:paraId="1B3B2244" w14:textId="77777777" w:rsidR="005B7B23" w:rsidRPr="00444FF5" w:rsidRDefault="005B7B23" w:rsidP="00444FF5">
      <w:pPr>
        <w:spacing w:after="120" w:line="240" w:lineRule="exact"/>
        <w:ind w:left="283" w:hanging="283"/>
        <w:jc w:val="both"/>
        <w:rPr>
          <w:color w:val="0000FF"/>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B7B23" w14:paraId="52306664" w14:textId="77777777" w:rsidTr="005B7B23">
        <w:trPr>
          <w:trHeight w:val="355"/>
          <w:jc w:val="center"/>
        </w:trPr>
        <w:tc>
          <w:tcPr>
            <w:tcW w:w="8820" w:type="dxa"/>
            <w:tcBorders>
              <w:top w:val="nil"/>
              <w:left w:val="nil"/>
              <w:bottom w:val="nil"/>
              <w:right w:val="nil"/>
            </w:tcBorders>
            <w:shd w:val="clear" w:color="auto" w:fill="auto"/>
          </w:tcPr>
          <w:p w14:paraId="469E4F0A" w14:textId="77777777" w:rsidR="0097015B" w:rsidRPr="0097015B" w:rsidRDefault="0097015B" w:rsidP="0097015B">
            <w:pPr>
              <w:jc w:val="center"/>
              <w:rPr>
                <w:rFonts w:ascii="David" w:hAnsi="David"/>
                <w:b/>
                <w:bCs/>
                <w:sz w:val="32"/>
                <w:szCs w:val="32"/>
                <w:u w:val="single"/>
                <w:rtl/>
              </w:rPr>
            </w:pPr>
            <w:bookmarkStart w:id="7" w:name="PsakDin" w:colFirst="0" w:colLast="0"/>
            <w:bookmarkEnd w:id="0"/>
            <w:r w:rsidRPr="0097015B">
              <w:rPr>
                <w:rFonts w:ascii="David" w:hAnsi="David"/>
                <w:b/>
                <w:bCs/>
                <w:sz w:val="32"/>
                <w:szCs w:val="32"/>
                <w:u w:val="single"/>
                <w:rtl/>
              </w:rPr>
              <w:t>גזר דין</w:t>
            </w:r>
          </w:p>
          <w:p w14:paraId="424AFF49" w14:textId="77777777" w:rsidR="005B7B23" w:rsidRPr="0097015B" w:rsidRDefault="005B7B23" w:rsidP="0097015B">
            <w:pPr>
              <w:jc w:val="center"/>
              <w:rPr>
                <w:rFonts w:ascii="David" w:hAnsi="David"/>
                <w:bCs/>
                <w:sz w:val="32"/>
                <w:szCs w:val="32"/>
                <w:u w:val="single"/>
                <w:rtl/>
              </w:rPr>
            </w:pPr>
          </w:p>
        </w:tc>
      </w:tr>
    </w:tbl>
    <w:p w14:paraId="25D4E01F" w14:textId="77777777" w:rsidR="005B7B23" w:rsidRPr="00831ED3" w:rsidRDefault="005B7B23" w:rsidP="005B7B23">
      <w:pPr>
        <w:spacing w:after="160" w:line="256" w:lineRule="auto"/>
        <w:rPr>
          <w:rFonts w:ascii="Calibri" w:eastAsia="Calibri" w:hAnsi="Calibri" w:cs="Arial"/>
          <w:sz w:val="22"/>
          <w:szCs w:val="22"/>
          <w:rtl/>
        </w:rPr>
      </w:pPr>
      <w:bookmarkStart w:id="8" w:name="ABSTRACT_START"/>
      <w:bookmarkEnd w:id="7"/>
      <w:bookmarkEnd w:id="8"/>
    </w:p>
    <w:p w14:paraId="72A6DE46" w14:textId="77777777" w:rsidR="005B7B23" w:rsidRPr="00831ED3" w:rsidRDefault="005B7B23" w:rsidP="005B7B23">
      <w:pPr>
        <w:spacing w:line="360" w:lineRule="auto"/>
        <w:jc w:val="both"/>
        <w:rPr>
          <w:rFonts w:ascii="David" w:eastAsia="Calibri" w:hAnsi="David"/>
          <w:rtl/>
        </w:rPr>
      </w:pPr>
      <w:r w:rsidRPr="00831ED3">
        <w:rPr>
          <w:rFonts w:ascii="David" w:eastAsia="Calibri" w:hAnsi="David"/>
          <w:rtl/>
        </w:rPr>
        <w:t xml:space="preserve">הנאשם הורשע על פי הודאתו בכתב אישום המייחס לו החזקת נשק שלא כדין – </w:t>
      </w:r>
      <w:hyperlink r:id="rId14" w:history="1">
        <w:r w:rsidR="00C0076D" w:rsidRPr="00C0076D">
          <w:rPr>
            <w:rStyle w:val="Hyperlink"/>
            <w:rFonts w:ascii="David" w:eastAsia="Calibri" w:hAnsi="David"/>
            <w:rtl/>
          </w:rPr>
          <w:t>סעיף 144(א)</w:t>
        </w:r>
      </w:hyperlink>
      <w:r w:rsidRPr="00831ED3">
        <w:rPr>
          <w:rFonts w:ascii="David" w:eastAsia="Calibri" w:hAnsi="David"/>
          <w:rtl/>
        </w:rPr>
        <w:t xml:space="preserve"> רישא ל</w:t>
      </w:r>
      <w:hyperlink r:id="rId15" w:history="1">
        <w:r w:rsidR="0097015B" w:rsidRPr="0097015B">
          <w:rPr>
            <w:rFonts w:ascii="David" w:eastAsia="Calibri" w:hAnsi="David"/>
            <w:color w:val="0000FF"/>
            <w:u w:val="single"/>
            <w:rtl/>
          </w:rPr>
          <w:t>חוק העונשין</w:t>
        </w:r>
      </w:hyperlink>
      <w:r w:rsidRPr="00831ED3">
        <w:rPr>
          <w:rFonts w:ascii="David" w:eastAsia="Calibri" w:hAnsi="David"/>
          <w:rtl/>
        </w:rPr>
        <w:t xml:space="preserve">, התשל"ז-1977 והחזקת חלק של נשק ותחמושת – </w:t>
      </w:r>
      <w:hyperlink r:id="rId16" w:history="1">
        <w:r w:rsidR="00C0076D" w:rsidRPr="00C0076D">
          <w:rPr>
            <w:rStyle w:val="Hyperlink"/>
            <w:rFonts w:ascii="David" w:eastAsia="Calibri" w:hAnsi="David"/>
            <w:rtl/>
          </w:rPr>
          <w:t>סעיף 144(א)</w:t>
        </w:r>
      </w:hyperlink>
      <w:r w:rsidRPr="00831ED3">
        <w:rPr>
          <w:rFonts w:ascii="David" w:eastAsia="Calibri" w:hAnsi="David"/>
          <w:rtl/>
        </w:rPr>
        <w:t xml:space="preserve"> סיפא לחוק העונשין.</w:t>
      </w:r>
    </w:p>
    <w:p w14:paraId="06AA1B8B" w14:textId="77777777" w:rsidR="005B7B23" w:rsidRPr="00831ED3" w:rsidRDefault="005B7B23" w:rsidP="005B7B23">
      <w:pPr>
        <w:spacing w:line="360" w:lineRule="auto"/>
        <w:jc w:val="both"/>
        <w:rPr>
          <w:rFonts w:ascii="David" w:eastAsia="Calibri" w:hAnsi="David"/>
          <w:rtl/>
        </w:rPr>
      </w:pPr>
    </w:p>
    <w:p w14:paraId="46EF5D91" w14:textId="77777777" w:rsidR="005B7B23" w:rsidRPr="00831ED3" w:rsidRDefault="005B7B23" w:rsidP="005B7B23">
      <w:pPr>
        <w:spacing w:line="360" w:lineRule="auto"/>
        <w:jc w:val="both"/>
        <w:rPr>
          <w:rFonts w:ascii="David" w:eastAsia="Calibri" w:hAnsi="David"/>
          <w:rtl/>
        </w:rPr>
      </w:pPr>
      <w:r w:rsidRPr="00831ED3">
        <w:rPr>
          <w:rFonts w:ascii="David" w:eastAsia="Calibri" w:hAnsi="David"/>
          <w:rtl/>
        </w:rPr>
        <w:t>בתמצית, בתאריך 05.11.22 נמצא הנאשם מחזיק בסל מתחת לשולחן בסלון, בנשק מסוג זיגזאוור, שיש בכוחו לירות כדור ולהמית אדם. הנשק היה טעון במחסנית ובה 14 כדורי תחמושת מסוג 9 מ"מ.</w:t>
      </w:r>
    </w:p>
    <w:p w14:paraId="67E554BF" w14:textId="77777777" w:rsidR="005B7B23" w:rsidRPr="00831ED3" w:rsidRDefault="005B7B23" w:rsidP="005B7B23">
      <w:pPr>
        <w:spacing w:line="360" w:lineRule="auto"/>
        <w:jc w:val="both"/>
        <w:rPr>
          <w:rFonts w:ascii="David" w:eastAsia="Calibri" w:hAnsi="David"/>
          <w:rtl/>
        </w:rPr>
      </w:pPr>
      <w:bookmarkStart w:id="9" w:name="ABSTRACT_END"/>
      <w:bookmarkEnd w:id="9"/>
    </w:p>
    <w:p w14:paraId="63F111C1" w14:textId="77777777" w:rsidR="005B7B23" w:rsidRPr="00831ED3" w:rsidRDefault="005B7B23" w:rsidP="005B7B23">
      <w:pPr>
        <w:spacing w:line="360" w:lineRule="auto"/>
        <w:jc w:val="both"/>
        <w:rPr>
          <w:rFonts w:ascii="David" w:eastAsia="Calibri" w:hAnsi="David"/>
          <w:rtl/>
        </w:rPr>
      </w:pPr>
      <w:r w:rsidRPr="00831ED3">
        <w:rPr>
          <w:rFonts w:ascii="David" w:eastAsia="Calibri" w:hAnsi="David"/>
          <w:rtl/>
        </w:rPr>
        <w:t>הנאשם נעצר מתאריך 05.11.22 ועד לתאריך 01.02.23 מאחורי סורג ובריח.</w:t>
      </w:r>
    </w:p>
    <w:p w14:paraId="3243084F" w14:textId="77777777" w:rsidR="005B7B23" w:rsidRPr="00831ED3" w:rsidRDefault="005B7B23" w:rsidP="005B7B23">
      <w:pPr>
        <w:spacing w:line="360" w:lineRule="auto"/>
        <w:jc w:val="both"/>
        <w:rPr>
          <w:rFonts w:ascii="David" w:eastAsia="Calibri" w:hAnsi="David"/>
          <w:rtl/>
        </w:rPr>
      </w:pPr>
    </w:p>
    <w:p w14:paraId="50A28774" w14:textId="77777777" w:rsidR="005B7B23" w:rsidRPr="00831ED3" w:rsidRDefault="005B7B23" w:rsidP="005B7B23">
      <w:pPr>
        <w:spacing w:line="360" w:lineRule="auto"/>
        <w:jc w:val="both"/>
        <w:rPr>
          <w:rFonts w:ascii="David" w:eastAsia="Calibri" w:hAnsi="David"/>
          <w:rtl/>
        </w:rPr>
      </w:pPr>
      <w:r w:rsidRPr="00831ED3">
        <w:rPr>
          <w:rFonts w:ascii="David" w:eastAsia="Calibri" w:hAnsi="David"/>
          <w:rtl/>
        </w:rPr>
        <w:lastRenderedPageBreak/>
        <w:t xml:space="preserve">כתב האישום כנגד הנאשם הוגש בחודש נובמבר 2022 והנאשם ביקש לדחות את המענה מפעם לפעם לשם הדברות עם המאשימה. </w:t>
      </w:r>
    </w:p>
    <w:p w14:paraId="0633554B" w14:textId="77777777" w:rsidR="005B7B23" w:rsidRPr="00831ED3" w:rsidRDefault="005B7B23" w:rsidP="005B7B23">
      <w:pPr>
        <w:spacing w:line="360" w:lineRule="auto"/>
        <w:jc w:val="both"/>
        <w:rPr>
          <w:rFonts w:ascii="David" w:eastAsia="Calibri" w:hAnsi="David"/>
          <w:rtl/>
        </w:rPr>
      </w:pPr>
      <w:r w:rsidRPr="00831ED3">
        <w:rPr>
          <w:rFonts w:ascii="David" w:eastAsia="Calibri" w:hAnsi="David"/>
          <w:rtl/>
        </w:rPr>
        <w:t>בחודש מאי 2023 טען ב"כ הנאשם, על סמך חומר החקירה, שהנאשם הוא זה אשר הודיע למשטרה על הנשק שנמצא ברשותו ולכן מבוקש ביטול כתב האישום מחמת טענות של הגנה מן הצדק ואכיפה בררנית. לאחר שהצדדים הגישו טענותיהם בעניין זה, בתאריך 10.09.23 דחיתי את הבקשה לביטול כתב האישום אך בשל הטענה שהנאשם הוא זה שיידע את המשטרה אודות הנשק המוחזק אצלו, תוך שקבעתי ש"טענות אלה יוכלו להיטען ולהישקל בשלב גזירת עונשו של הנאשם אם וכאשר יורשע".</w:t>
      </w:r>
    </w:p>
    <w:p w14:paraId="7A5BE427" w14:textId="77777777" w:rsidR="005B7B23" w:rsidRPr="00831ED3" w:rsidRDefault="005B7B23" w:rsidP="005B7B23">
      <w:pPr>
        <w:spacing w:line="360" w:lineRule="auto"/>
        <w:jc w:val="both"/>
        <w:rPr>
          <w:rFonts w:ascii="David" w:eastAsia="Calibri" w:hAnsi="David"/>
          <w:rtl/>
        </w:rPr>
      </w:pPr>
    </w:p>
    <w:p w14:paraId="324C9811" w14:textId="77777777" w:rsidR="005B7B23" w:rsidRPr="00831ED3" w:rsidRDefault="005B7B23" w:rsidP="005B7B23">
      <w:pPr>
        <w:spacing w:line="360" w:lineRule="auto"/>
        <w:jc w:val="both"/>
        <w:rPr>
          <w:rFonts w:ascii="David" w:eastAsia="Calibri" w:hAnsi="David"/>
          <w:rtl/>
        </w:rPr>
      </w:pPr>
      <w:r w:rsidRPr="00831ED3">
        <w:rPr>
          <w:rFonts w:ascii="David" w:eastAsia="Calibri" w:hAnsi="David"/>
          <w:rtl/>
        </w:rPr>
        <w:t>בתאריך 11.12.23 בדיון הקראה שנערך, הסכימו הצדדים שהנאשם הוא זה שקרא לרכז המודיעין והסגיר את הנשק ובעקבות כך, הנאשם הודה בעובדות כתב האישום והורשע.</w:t>
      </w:r>
    </w:p>
    <w:p w14:paraId="3F728D3B" w14:textId="77777777" w:rsidR="005B7B23" w:rsidRPr="00831ED3" w:rsidRDefault="005B7B23" w:rsidP="005B7B23">
      <w:pPr>
        <w:spacing w:line="360" w:lineRule="auto"/>
        <w:jc w:val="both"/>
        <w:rPr>
          <w:rFonts w:ascii="David" w:eastAsia="Calibri" w:hAnsi="David"/>
          <w:rtl/>
        </w:rPr>
      </w:pPr>
    </w:p>
    <w:p w14:paraId="28A0EE19" w14:textId="77777777" w:rsidR="005B7B23" w:rsidRPr="00831ED3" w:rsidRDefault="005B7B23" w:rsidP="005B7B23">
      <w:pPr>
        <w:spacing w:line="360" w:lineRule="auto"/>
        <w:jc w:val="both"/>
        <w:rPr>
          <w:rFonts w:ascii="David" w:eastAsia="Calibri" w:hAnsi="David"/>
          <w:rtl/>
        </w:rPr>
      </w:pPr>
      <w:r w:rsidRPr="00831ED3">
        <w:rPr>
          <w:rFonts w:ascii="David" w:eastAsia="Calibri" w:hAnsi="David"/>
          <w:rtl/>
        </w:rPr>
        <w:t>בתאריך 22.01.24 נשמעו טיעוני הצדדים לעונש.</w:t>
      </w:r>
    </w:p>
    <w:p w14:paraId="40DAEA82" w14:textId="77777777" w:rsidR="005B7B23" w:rsidRPr="00831ED3" w:rsidRDefault="005B7B23" w:rsidP="005B7B23">
      <w:pPr>
        <w:spacing w:line="360" w:lineRule="auto"/>
        <w:jc w:val="both"/>
        <w:rPr>
          <w:rFonts w:ascii="David" w:eastAsia="Calibri" w:hAnsi="David"/>
          <w:rtl/>
        </w:rPr>
      </w:pPr>
      <w:r w:rsidRPr="00831ED3">
        <w:rPr>
          <w:rFonts w:ascii="David" w:eastAsia="Calibri" w:hAnsi="David"/>
          <w:rtl/>
        </w:rPr>
        <w:t>המאשימה הגישה את טיעוניה בכתב (ת/1) וכן את תמונות האקדח והתחמושת (ת/2). בטיעוניה, הפנתה לפגיעה בערכים המוגנים של הגנה על חיי אדם והגנה על בטחון הציבור. המאשימה טענה שעבירות הנשק הפכו למכת מדינה ואף שאין להן קורבן מוגדר הרי שפוטנציאל הנזק הטמון בהם גבוה בשל החשש לשימוש בנשק לשם ביצוע עבירות פליליות או ביטחוניות.</w:t>
      </w:r>
    </w:p>
    <w:p w14:paraId="29634443" w14:textId="77777777" w:rsidR="005B7B23" w:rsidRPr="00831ED3" w:rsidRDefault="005B7B23" w:rsidP="005B7B23">
      <w:pPr>
        <w:spacing w:line="360" w:lineRule="auto"/>
        <w:jc w:val="both"/>
        <w:rPr>
          <w:rFonts w:ascii="David" w:eastAsia="Calibri" w:hAnsi="David"/>
          <w:rtl/>
        </w:rPr>
      </w:pPr>
      <w:r w:rsidRPr="00831ED3">
        <w:rPr>
          <w:rFonts w:ascii="David" w:eastAsia="Calibri" w:hAnsi="David"/>
          <w:rtl/>
        </w:rPr>
        <w:t>המאשימה הפנתה לעובדות כתב האישום לפיהן הנשק, שהיה טעון ב-14 כדורים, הוחזק במקום נגיש בסלסלה בסלון הבית וכן לפסיקה בעבירות נשק. לאור האמור, ביקשה לקבוע מתחם ענישה בין 20 לבין 36 חודשי מאסר בפועל.</w:t>
      </w:r>
    </w:p>
    <w:p w14:paraId="603E794F" w14:textId="77777777" w:rsidR="005B7B23" w:rsidRPr="00831ED3" w:rsidRDefault="005B7B23" w:rsidP="005B7B23">
      <w:pPr>
        <w:spacing w:line="360" w:lineRule="auto"/>
        <w:jc w:val="both"/>
        <w:rPr>
          <w:rFonts w:ascii="David" w:eastAsia="Calibri" w:hAnsi="David"/>
          <w:rtl/>
        </w:rPr>
      </w:pPr>
      <w:r w:rsidRPr="00831ED3">
        <w:rPr>
          <w:rFonts w:ascii="David" w:eastAsia="Calibri" w:hAnsi="David"/>
          <w:rtl/>
        </w:rPr>
        <w:t>לעניין קביעת העונש, המאשימה טענה שהנאשם נעדר הרשעות קודמות, הודה בהזדמנות הראשונה, לקח אחריות על מעשיו וחסך זמן שיפוטי יקר. בהתאם לכך, ביקשה להשית על הנאשם עונש ברף התחתון של המתחם דהיינו, 20 חודשי מאסר בפועל, מאסר על תנאי וקנס.</w:t>
      </w:r>
    </w:p>
    <w:p w14:paraId="57C0A3AA" w14:textId="77777777" w:rsidR="005B7B23" w:rsidRPr="00831ED3" w:rsidRDefault="005B7B23" w:rsidP="005B7B23">
      <w:pPr>
        <w:spacing w:line="360" w:lineRule="auto"/>
        <w:jc w:val="both"/>
        <w:rPr>
          <w:rFonts w:ascii="David" w:eastAsia="Calibri" w:hAnsi="David"/>
          <w:rtl/>
        </w:rPr>
      </w:pPr>
    </w:p>
    <w:p w14:paraId="1453940A" w14:textId="77777777" w:rsidR="005B7B23" w:rsidRPr="00831ED3" w:rsidRDefault="005B7B23" w:rsidP="005B7B23">
      <w:pPr>
        <w:spacing w:line="360" w:lineRule="auto"/>
        <w:jc w:val="both"/>
        <w:rPr>
          <w:rFonts w:ascii="David" w:eastAsia="Calibri" w:hAnsi="David"/>
          <w:rtl/>
        </w:rPr>
      </w:pPr>
      <w:r w:rsidRPr="00831ED3">
        <w:rPr>
          <w:rFonts w:ascii="David" w:eastAsia="Calibri" w:hAnsi="David"/>
          <w:rtl/>
        </w:rPr>
        <w:t>בא כוח הנאשם הדגיש שמדובר בנסיבות חריגות בהן הנאשם הוא זה שהתקשר לרכז המודיעין בתחנת המשטרה ואמר לו לבוא ולקחת את הנשק. לנסיבות אלה יש לתת משקל רב שהרי זהו אינטרס המדינה לעודד את החזרות הנשק ועל רקע זה נערכים מבצעי איסוף במסגרתם המחזירים נשקים אינם נענשים. ככל שבמקרה זה יוטל עונש חמור על הנאשם אשר החזיר מרצונו את הנשק, יעבור מסר שלא כדאי להסגיר את הנשקים עד שלא יערך מבצע ועדיף להמשיך להחזיק בהם או לחלופין להעביר את הנשק למישהו אחר. בא כוח הנאשם הפנה למקרה אחר, דומה בנסיבותיו, בו המאשימה לא הגישה כתב אישום וכן למקרה אחר בו נגזר על הנאשם מאסר מותנה (נ/1). לאור האמור, ביקש להטיל על הנאשם מאסר מותנה בלבד.</w:t>
      </w:r>
    </w:p>
    <w:p w14:paraId="656310F5" w14:textId="77777777" w:rsidR="005B7B23" w:rsidRPr="00831ED3" w:rsidRDefault="005B7B23" w:rsidP="005B7B23">
      <w:pPr>
        <w:spacing w:line="360" w:lineRule="auto"/>
        <w:jc w:val="both"/>
        <w:rPr>
          <w:rFonts w:ascii="David" w:eastAsia="Calibri" w:hAnsi="David"/>
          <w:rtl/>
        </w:rPr>
      </w:pPr>
    </w:p>
    <w:p w14:paraId="248E723A" w14:textId="77777777" w:rsidR="005B7B23" w:rsidRPr="00831ED3" w:rsidRDefault="005B7B23" w:rsidP="005B7B23">
      <w:pPr>
        <w:spacing w:line="360" w:lineRule="auto"/>
        <w:jc w:val="both"/>
        <w:rPr>
          <w:rFonts w:ascii="David" w:eastAsia="Calibri" w:hAnsi="David"/>
          <w:rtl/>
        </w:rPr>
      </w:pPr>
      <w:r w:rsidRPr="00831ED3">
        <w:rPr>
          <w:rFonts w:ascii="David" w:eastAsia="Calibri" w:hAnsi="David"/>
          <w:rtl/>
        </w:rPr>
        <w:t>לאחר שמיעת הטיעונים, מצאתי לנכון להפנות את הנאשם אל הממונה על עבודות השירות שיבחן את שאלת כשירות הנאשם לבצע עבודות שירות ככל שכך יוחלט.</w:t>
      </w:r>
    </w:p>
    <w:p w14:paraId="07C0F224" w14:textId="77777777" w:rsidR="005B7B23" w:rsidRPr="00831ED3" w:rsidRDefault="005B7B23" w:rsidP="005B7B23">
      <w:pPr>
        <w:spacing w:line="360" w:lineRule="auto"/>
        <w:jc w:val="both"/>
        <w:rPr>
          <w:rFonts w:ascii="David" w:eastAsia="Calibri" w:hAnsi="David"/>
          <w:rtl/>
        </w:rPr>
      </w:pPr>
    </w:p>
    <w:p w14:paraId="1016051B" w14:textId="77777777" w:rsidR="005B7B23" w:rsidRPr="00831ED3" w:rsidRDefault="005B7B23" w:rsidP="005B7B23">
      <w:pPr>
        <w:spacing w:line="360" w:lineRule="auto"/>
        <w:jc w:val="both"/>
        <w:rPr>
          <w:rFonts w:ascii="David" w:eastAsia="Calibri" w:hAnsi="David"/>
          <w:rtl/>
        </w:rPr>
      </w:pPr>
      <w:r w:rsidRPr="00831ED3">
        <w:rPr>
          <w:rFonts w:ascii="David" w:eastAsia="Calibri" w:hAnsi="David"/>
          <w:rtl/>
        </w:rPr>
        <w:t>חוות דעת הממונה על עבודות השירות נתקבלה בתאריך 20.02.24 ובמסגרתה נמצא הנאשם כשיר לבצע עבודות שירות במועצה מקומית זמר.</w:t>
      </w:r>
    </w:p>
    <w:p w14:paraId="37CE8EDD" w14:textId="77777777" w:rsidR="005B7B23" w:rsidRPr="00831ED3" w:rsidRDefault="005B7B23" w:rsidP="005B7B23">
      <w:pPr>
        <w:spacing w:after="160" w:line="256" w:lineRule="auto"/>
        <w:rPr>
          <w:rFonts w:ascii="Calibri" w:eastAsia="Calibri" w:hAnsi="Calibri" w:cs="Arial"/>
          <w:sz w:val="22"/>
          <w:szCs w:val="22"/>
          <w:rtl/>
        </w:rPr>
      </w:pPr>
    </w:p>
    <w:p w14:paraId="0A4B74A7" w14:textId="77777777" w:rsidR="005B7B23" w:rsidRPr="00831ED3" w:rsidRDefault="005B7B23" w:rsidP="005B7B23">
      <w:pPr>
        <w:spacing w:line="360" w:lineRule="auto"/>
        <w:jc w:val="both"/>
        <w:rPr>
          <w:b/>
          <w:bCs/>
          <w:u w:val="single"/>
          <w:rtl/>
        </w:rPr>
      </w:pPr>
      <w:r w:rsidRPr="00831ED3">
        <w:rPr>
          <w:b/>
          <w:bCs/>
          <w:u w:val="single"/>
          <w:rtl/>
        </w:rPr>
        <w:t>דיון והכרעה</w:t>
      </w:r>
    </w:p>
    <w:p w14:paraId="0BC6DF45" w14:textId="77777777" w:rsidR="005B7B23" w:rsidRPr="00831ED3" w:rsidRDefault="005B7B23" w:rsidP="005B7B23">
      <w:pPr>
        <w:spacing w:line="360" w:lineRule="auto"/>
        <w:jc w:val="both"/>
        <w:rPr>
          <w:rFonts w:ascii="Arial" w:hAnsi="Arial"/>
          <w:rtl/>
        </w:rPr>
      </w:pPr>
      <w:r w:rsidRPr="00831ED3">
        <w:rPr>
          <w:rFonts w:ascii="Arial" w:hAnsi="Arial"/>
          <w:rtl/>
        </w:rPr>
        <w:t>תיקון 113 ל</w:t>
      </w:r>
      <w:hyperlink r:id="rId17" w:history="1">
        <w:r w:rsidR="0097015B" w:rsidRPr="0097015B">
          <w:rPr>
            <w:rFonts w:ascii="Arial" w:hAnsi="Arial"/>
            <w:color w:val="0000FF"/>
            <w:u w:val="single"/>
            <w:rtl/>
          </w:rPr>
          <w:t>חוק העונשין</w:t>
        </w:r>
      </w:hyperlink>
      <w:r w:rsidRPr="00831ED3">
        <w:rPr>
          <w:rFonts w:ascii="Arial" w:hAnsi="Arial"/>
          <w:rtl/>
        </w:rPr>
        <w:t xml:space="preserve">, עיגן את הבניית שיקול הדעת השיפוטי והעניק מעמד בכורה לעיקרון ההלימה, היינו קיומו של יחס הולם בין חומרת מעשי העבירה, בנסיבותיו ומידת אשמו של הנאשם ובין סוג ומידת העונש המוטל עליו. בהתאם לתיקון לחוק, על בית המשפט לקבוע את מתחם העונש ההולם למעשי העבירות שביצע הנאשם. לשם כך יתחשב בית המשפט בערך החברתי שנפגע מביצוע העבירה, במידת הפגיעה בו, במדיניות הענישה הנהוגה ובנסיבות הקשורות בביצוע העבירה המפורטות </w:t>
      </w:r>
      <w:hyperlink r:id="rId18" w:history="1">
        <w:r w:rsidR="00C0076D" w:rsidRPr="00C0076D">
          <w:rPr>
            <w:rStyle w:val="Hyperlink"/>
            <w:rFonts w:ascii="Arial" w:hAnsi="Arial"/>
            <w:rtl/>
          </w:rPr>
          <w:t>בסעיף 40ט'</w:t>
        </w:r>
      </w:hyperlink>
      <w:r w:rsidRPr="00831ED3">
        <w:rPr>
          <w:rFonts w:ascii="Arial" w:hAnsi="Arial"/>
          <w:rtl/>
        </w:rPr>
        <w:t xml:space="preserve"> ל</w:t>
      </w:r>
      <w:hyperlink r:id="rId19" w:history="1">
        <w:r w:rsidR="0097015B" w:rsidRPr="0097015B">
          <w:rPr>
            <w:rFonts w:ascii="Arial" w:hAnsi="Arial"/>
            <w:color w:val="0000FF"/>
            <w:u w:val="single"/>
            <w:rtl/>
          </w:rPr>
          <w:t>חוק העונשין</w:t>
        </w:r>
      </w:hyperlink>
      <w:r w:rsidRPr="00831ED3">
        <w:rPr>
          <w:rFonts w:ascii="Arial" w:hAnsi="Arial"/>
          <w:rtl/>
        </w:rPr>
        <w:t xml:space="preserve">. </w:t>
      </w:r>
    </w:p>
    <w:p w14:paraId="6770212C" w14:textId="77777777" w:rsidR="005B7B23" w:rsidRPr="00831ED3" w:rsidRDefault="005B7B23" w:rsidP="005B7B23">
      <w:pPr>
        <w:spacing w:line="360" w:lineRule="auto"/>
        <w:jc w:val="both"/>
        <w:rPr>
          <w:rFonts w:ascii="Arial" w:hAnsi="Arial"/>
          <w:rtl/>
        </w:rPr>
      </w:pPr>
    </w:p>
    <w:p w14:paraId="53B57D49" w14:textId="77777777" w:rsidR="005B7B23" w:rsidRPr="00831ED3" w:rsidRDefault="005B7B23" w:rsidP="005B7B23">
      <w:pPr>
        <w:spacing w:line="360" w:lineRule="auto"/>
        <w:jc w:val="both"/>
        <w:rPr>
          <w:rFonts w:ascii="Arial" w:hAnsi="Arial"/>
          <w:rtl/>
        </w:rPr>
      </w:pPr>
      <w:r w:rsidRPr="00831ED3">
        <w:rPr>
          <w:rFonts w:ascii="Arial" w:hAnsi="Arial"/>
          <w:rtl/>
        </w:rPr>
        <w:t xml:space="preserve">לכשייקבע מתחם הענישה, יקבע בית המשפט את העונש המתאים, בתוך המתחם, אשר יוטל על הנאשם וזאת בהתחשב בנסיבות שאינן קשורות בביצוע העבירה המפורטות </w:t>
      </w:r>
      <w:hyperlink r:id="rId20" w:history="1">
        <w:r w:rsidR="00C0076D" w:rsidRPr="00C0076D">
          <w:rPr>
            <w:rStyle w:val="Hyperlink"/>
            <w:rFonts w:ascii="Arial" w:hAnsi="Arial"/>
            <w:rtl/>
          </w:rPr>
          <w:t>בסעיף 40יא'</w:t>
        </w:r>
      </w:hyperlink>
      <w:r w:rsidRPr="00831ED3">
        <w:rPr>
          <w:rFonts w:ascii="Arial" w:hAnsi="Arial"/>
          <w:rtl/>
        </w:rPr>
        <w:t xml:space="preserve"> לחוק. </w:t>
      </w:r>
    </w:p>
    <w:p w14:paraId="74942D5D" w14:textId="77777777" w:rsidR="005B7B23" w:rsidRPr="00831ED3" w:rsidRDefault="005B7B23" w:rsidP="005B7B23">
      <w:pPr>
        <w:spacing w:line="360" w:lineRule="auto"/>
        <w:jc w:val="both"/>
        <w:rPr>
          <w:rFonts w:ascii="Arial" w:hAnsi="Arial"/>
          <w:rtl/>
        </w:rPr>
      </w:pPr>
    </w:p>
    <w:p w14:paraId="739D2C70" w14:textId="77777777" w:rsidR="005B7B23" w:rsidRPr="00831ED3" w:rsidRDefault="005B7B23" w:rsidP="005B7B23">
      <w:pPr>
        <w:spacing w:line="360" w:lineRule="auto"/>
        <w:jc w:val="both"/>
        <w:rPr>
          <w:rFonts w:ascii="Arial" w:hAnsi="Arial"/>
          <w:rtl/>
        </w:rPr>
      </w:pPr>
      <w:r w:rsidRPr="00831ED3">
        <w:rPr>
          <w:rFonts w:ascii="Arial" w:hAnsi="Arial"/>
          <w:rtl/>
        </w:rPr>
        <w:t xml:space="preserve">בית המשפט רשאי לחרוג ממתחם העונש ההולם בשל שיקולי שיקום או הגנה על שלום הציבור לפי </w:t>
      </w:r>
      <w:hyperlink r:id="rId21" w:history="1">
        <w:r w:rsidR="00C0076D" w:rsidRPr="00C0076D">
          <w:rPr>
            <w:rStyle w:val="Hyperlink"/>
            <w:rFonts w:ascii="Arial" w:hAnsi="Arial"/>
            <w:rtl/>
          </w:rPr>
          <w:t>סעיפים 40ד'</w:t>
        </w:r>
      </w:hyperlink>
      <w:r w:rsidRPr="00831ED3">
        <w:rPr>
          <w:rFonts w:ascii="Arial" w:hAnsi="Arial"/>
          <w:rtl/>
        </w:rPr>
        <w:t xml:space="preserve"> ו</w:t>
      </w:r>
      <w:hyperlink r:id="rId22" w:history="1">
        <w:r w:rsidR="00C0076D" w:rsidRPr="00C0076D">
          <w:rPr>
            <w:rStyle w:val="Hyperlink"/>
            <w:rFonts w:ascii="Arial" w:hAnsi="Arial"/>
            <w:rtl/>
          </w:rPr>
          <w:t>40 ה'</w:t>
        </w:r>
      </w:hyperlink>
      <w:r w:rsidRPr="00831ED3">
        <w:rPr>
          <w:rFonts w:ascii="Arial" w:hAnsi="Arial"/>
          <w:rtl/>
        </w:rPr>
        <w:t xml:space="preserve"> לחוק. </w:t>
      </w:r>
    </w:p>
    <w:p w14:paraId="6FBEB501" w14:textId="77777777" w:rsidR="005B7B23" w:rsidRPr="00831ED3" w:rsidRDefault="005B7B23" w:rsidP="005B7B23">
      <w:pPr>
        <w:spacing w:line="360" w:lineRule="auto"/>
        <w:jc w:val="both"/>
        <w:rPr>
          <w:rFonts w:ascii="Arial" w:hAnsi="Arial"/>
          <w:rtl/>
        </w:rPr>
      </w:pPr>
    </w:p>
    <w:p w14:paraId="0232CBFF" w14:textId="77777777" w:rsidR="005B7B23" w:rsidRPr="00831ED3" w:rsidRDefault="005B7B23" w:rsidP="005B7B23">
      <w:pPr>
        <w:spacing w:line="360" w:lineRule="auto"/>
        <w:jc w:val="both"/>
        <w:rPr>
          <w:rFonts w:ascii="Miriam" w:eastAsia="David" w:hAnsi="Miriam" w:cs="Miriam"/>
          <w:rtl/>
        </w:rPr>
      </w:pPr>
      <w:r w:rsidRPr="00831ED3">
        <w:rPr>
          <w:rFonts w:ascii="David" w:eastAsia="David" w:hAnsi="David"/>
          <w:u w:val="single"/>
          <w:rtl/>
        </w:rPr>
        <w:t>קביעת מתחם העונש ההולם</w:t>
      </w:r>
    </w:p>
    <w:p w14:paraId="71C8A703" w14:textId="77777777" w:rsidR="005B7B23" w:rsidRPr="00831ED3" w:rsidRDefault="005B7B23" w:rsidP="005B7B23">
      <w:pPr>
        <w:spacing w:line="360" w:lineRule="auto"/>
        <w:jc w:val="both"/>
        <w:rPr>
          <w:rFonts w:ascii="Arial" w:eastAsia="David" w:hAnsi="Arial"/>
        </w:rPr>
      </w:pPr>
      <w:r w:rsidRPr="00831ED3">
        <w:rPr>
          <w:rFonts w:ascii="David" w:eastAsia="David" w:hAnsi="David"/>
          <w:rtl/>
        </w:rPr>
        <w:t>אין צורך להכביר מילים בדבר חומרת מעשיו של הנאשם, הערכים החברתיים שנפגעו ומידת הפגיעה בהם. הנאשם במעשיו פגע בערכים חברתיים של שלום הציבור ובטחונו, הגנה על חיי אדם ועל הסדר הציבורי</w:t>
      </w:r>
      <w:r w:rsidRPr="00831ED3">
        <w:rPr>
          <w:rFonts w:ascii="Arial" w:eastAsia="David" w:hAnsi="Arial"/>
          <w:rtl/>
        </w:rPr>
        <w:t xml:space="preserve"> הואיל ונשק המוחזק שלא כדין עלול להביא לפגיעה בשלטון החוק ובנושאי שלטון החוק המבצעים את תפקידם.</w:t>
      </w:r>
    </w:p>
    <w:p w14:paraId="39BC12D5" w14:textId="77777777" w:rsidR="005B7B23" w:rsidRPr="00831ED3" w:rsidRDefault="005B7B23" w:rsidP="005B7B23">
      <w:pPr>
        <w:spacing w:line="360" w:lineRule="auto"/>
        <w:jc w:val="both"/>
        <w:rPr>
          <w:rFonts w:ascii="Arial" w:eastAsia="David" w:hAnsi="Arial"/>
          <w:rtl/>
        </w:rPr>
      </w:pPr>
    </w:p>
    <w:p w14:paraId="7F2B3FC7" w14:textId="77777777" w:rsidR="005B7B23" w:rsidRPr="00831ED3" w:rsidRDefault="005B7B23" w:rsidP="005B7B23">
      <w:pPr>
        <w:spacing w:line="360" w:lineRule="auto"/>
        <w:jc w:val="both"/>
        <w:rPr>
          <w:rFonts w:ascii="David" w:hAnsi="David"/>
          <w:rtl/>
        </w:rPr>
      </w:pPr>
      <w:r w:rsidRPr="00831ED3">
        <w:rPr>
          <w:rFonts w:ascii="David" w:hAnsi="David"/>
          <w:rtl/>
        </w:rPr>
        <w:t>פסיקת בתי המשפט, במיוחד בשנים האחרונות, מחמירה מאוד בעבירה של החזקת נשק שלא כדין נוכח התופעה החמורה והמסוכנת של החזקת נשק בידיים שאינן מורשות לכך. החזקת נשק שלא כדין יש בה כדי להוביל, ואכן מובילה בפועל, למקרים חמורים של שימוש מסוכן בנשק משום שהנשק מגיע לידיים עברייניות, או משום שהנשק מגיע לידי מי שמנסים לפגוע בביטחונם ובשלומם של תושבי המדינה או משום תאונות שנגרמות כתוצאה מהשימוש בנשק. ביהמ"ש העליון חזר והזכיר רק לאחרונה:</w:t>
      </w:r>
    </w:p>
    <w:p w14:paraId="393AC3A8" w14:textId="77777777" w:rsidR="005B7B23" w:rsidRPr="00831ED3" w:rsidRDefault="005B7B23" w:rsidP="005B7B23">
      <w:pPr>
        <w:spacing w:line="360" w:lineRule="auto"/>
        <w:ind w:left="567" w:right="567"/>
        <w:contextualSpacing/>
        <w:jc w:val="both"/>
        <w:rPr>
          <w:rFonts w:ascii="David" w:hAnsi="David"/>
          <w:b/>
          <w:bCs/>
        </w:rPr>
      </w:pPr>
      <w:r w:rsidRPr="00831ED3">
        <w:rPr>
          <w:rFonts w:ascii="David" w:hAnsi="David"/>
          <w:rtl/>
        </w:rPr>
        <w:t>"</w:t>
      </w:r>
      <w:r w:rsidRPr="00831ED3">
        <w:rPr>
          <w:rFonts w:ascii="David" w:hAnsi="David"/>
          <w:b/>
          <w:bCs/>
          <w:rtl/>
        </w:rPr>
        <w:t>החזקת נשק שלא כדין מאיימת על שלום הציבור ובטחונו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 ענייננו ב"מכת מדינה" שהצורך להילחם בה על מנת להגן על הציבור, מצריך מענה הולם והטלת עונשי מאסר משמעותיים ..ידע כל מי שמחזיק בנשק בלתי חוקי כי צפוי הוא להיענש בחומרה, בבחינת "אם מחזיקים – למאסר נשלחים.</w:t>
      </w:r>
    </w:p>
    <w:p w14:paraId="1E70E25E" w14:textId="77777777" w:rsidR="005B7B23" w:rsidRPr="00831ED3" w:rsidRDefault="005B7B23" w:rsidP="005B7B23">
      <w:pPr>
        <w:spacing w:line="360" w:lineRule="auto"/>
        <w:ind w:left="567" w:right="567"/>
        <w:contextualSpacing/>
        <w:jc w:val="both"/>
        <w:rPr>
          <w:rFonts w:ascii="David" w:hAnsi="David"/>
          <w:b/>
          <w:bCs/>
        </w:rPr>
      </w:pPr>
      <w:r w:rsidRPr="00831ED3">
        <w:rPr>
          <w:rFonts w:ascii="David" w:hAnsi="David"/>
          <w:b/>
          <w:bCs/>
          <w:rtl/>
        </w:rPr>
        <w:t>לא למותר להזכיר כי המחוקק מצא לעגן בהוראת שעה עונשי מינימום לעבירות נשק, כך שהעונש שיושת על מבצעיהן יתחיל מרבע העונש המרבי שנקבע לעבירה, אלא אם החליט בית המשפט מטעמים מיוחדים להקל בעונש (סעיף 144(ז) ל</w:t>
      </w:r>
      <w:r w:rsidR="0097015B" w:rsidRPr="006703F6">
        <w:rPr>
          <w:rFonts w:ascii="David" w:hAnsi="David"/>
          <w:b/>
          <w:bCs/>
          <w:rtl/>
        </w:rPr>
        <w:t>חוק העונשין</w:t>
      </w:r>
      <w:r w:rsidRPr="00831ED3">
        <w:rPr>
          <w:rFonts w:ascii="David" w:hAnsi="David"/>
          <w:b/>
          <w:bCs/>
          <w:rtl/>
        </w:rPr>
        <w:t>, וראו חוק העונשין (תיקון מס' 140 - הוראת שעה), התשפ"ב-2021, ס"ח 472;"</w:t>
      </w:r>
      <w:r w:rsidRPr="00831ED3">
        <w:rPr>
          <w:rFonts w:ascii="David" w:hAnsi="David"/>
          <w:rtl/>
        </w:rPr>
        <w:t xml:space="preserve"> (</w:t>
      </w:r>
      <w:hyperlink r:id="rId23" w:history="1">
        <w:r w:rsidR="0097015B" w:rsidRPr="0097015B">
          <w:rPr>
            <w:rFonts w:ascii="David" w:hAnsi="David"/>
            <w:color w:val="0000FF"/>
            <w:u w:val="single"/>
            <w:rtl/>
          </w:rPr>
          <w:t>ע"פ 2482/22</w:t>
        </w:r>
      </w:hyperlink>
      <w:r w:rsidRPr="00831ED3">
        <w:rPr>
          <w:rFonts w:ascii="David" w:hAnsi="David"/>
          <w:rtl/>
        </w:rPr>
        <w:t xml:space="preserve"> </w:t>
      </w:r>
      <w:r w:rsidRPr="00831ED3">
        <w:rPr>
          <w:rFonts w:ascii="David" w:hAnsi="David"/>
          <w:b/>
          <w:bCs/>
          <w:rtl/>
        </w:rPr>
        <w:t>מדינת ישראל נ' אחמד קדורה</w:t>
      </w:r>
      <w:r w:rsidRPr="00831ED3">
        <w:rPr>
          <w:rFonts w:ascii="David" w:hAnsi="David"/>
          <w:rtl/>
        </w:rPr>
        <w:t xml:space="preserve"> (14.04.22)).</w:t>
      </w:r>
    </w:p>
    <w:p w14:paraId="6BA8FDEC" w14:textId="77777777" w:rsidR="005B7B23" w:rsidRPr="00831ED3" w:rsidRDefault="005B7B23" w:rsidP="005B7B23">
      <w:pPr>
        <w:spacing w:line="360" w:lineRule="auto"/>
        <w:ind w:left="567" w:right="567"/>
        <w:jc w:val="both"/>
        <w:rPr>
          <w:rFonts w:ascii="David" w:hAnsi="David"/>
          <w:rtl/>
        </w:rPr>
      </w:pPr>
    </w:p>
    <w:p w14:paraId="4D223567" w14:textId="77777777" w:rsidR="005B7B23" w:rsidRPr="00831ED3" w:rsidRDefault="005B7B23" w:rsidP="005B7B23">
      <w:pPr>
        <w:spacing w:line="360" w:lineRule="auto"/>
        <w:jc w:val="both"/>
        <w:rPr>
          <w:rFonts w:ascii="David" w:hAnsi="David"/>
        </w:rPr>
      </w:pPr>
      <w:r w:rsidRPr="00831ED3">
        <w:rPr>
          <w:rFonts w:ascii="David" w:hAnsi="David"/>
          <w:rtl/>
        </w:rPr>
        <w:t>עמדת בית המשפט העליון היא שעל בתי המשפט לתרום את חלקם במיגור תופעה מסוכנת זו על דרך של החמרת הענישה עם מי שמחזיק בנשק שלא כדין. כך גם תיקון 140 ל</w:t>
      </w:r>
      <w:hyperlink r:id="rId24" w:history="1">
        <w:r w:rsidR="0097015B" w:rsidRPr="0097015B">
          <w:rPr>
            <w:rFonts w:ascii="David" w:hAnsi="David"/>
            <w:color w:val="0000FF"/>
            <w:u w:val="single"/>
            <w:rtl/>
          </w:rPr>
          <w:t>חוק העונשין</w:t>
        </w:r>
      </w:hyperlink>
      <w:r w:rsidRPr="00831ED3">
        <w:rPr>
          <w:rFonts w:ascii="David" w:hAnsi="David"/>
          <w:rtl/>
        </w:rPr>
        <w:t xml:space="preserve"> קבע עונש מינימום ביחס לעבירה בה הורשע הנאשם בהליך זה שלפני. כפי שנכתב ב</w:t>
      </w:r>
      <w:hyperlink r:id="rId25" w:history="1">
        <w:r w:rsidR="0097015B" w:rsidRPr="0097015B">
          <w:rPr>
            <w:rFonts w:ascii="David" w:hAnsi="David"/>
            <w:color w:val="0000FF"/>
            <w:u w:val="single"/>
            <w:rtl/>
          </w:rPr>
          <w:t>ע"פ 147/21</w:t>
        </w:r>
      </w:hyperlink>
      <w:r w:rsidRPr="00831ED3">
        <w:rPr>
          <w:rFonts w:ascii="David" w:hAnsi="David"/>
          <w:rtl/>
        </w:rPr>
        <w:t xml:space="preserve"> </w:t>
      </w:r>
      <w:r w:rsidRPr="00831ED3">
        <w:rPr>
          <w:rFonts w:ascii="David" w:hAnsi="David"/>
          <w:b/>
          <w:bCs/>
          <w:rtl/>
        </w:rPr>
        <w:t>מדינת ישראל נ' ירין ביטון</w:t>
      </w:r>
      <w:r w:rsidRPr="00831ED3">
        <w:rPr>
          <w:rFonts w:ascii="David" w:hAnsi="David"/>
          <w:rtl/>
        </w:rPr>
        <w:t xml:space="preserve"> (14.02.21): </w:t>
      </w:r>
    </w:p>
    <w:p w14:paraId="34679533" w14:textId="77777777" w:rsidR="005B7B23" w:rsidRPr="00831ED3" w:rsidRDefault="005B7B23" w:rsidP="005B7B23">
      <w:pPr>
        <w:spacing w:line="360" w:lineRule="auto"/>
        <w:ind w:left="567" w:right="567"/>
        <w:jc w:val="both"/>
        <w:rPr>
          <w:rFonts w:ascii="David" w:hAnsi="David"/>
          <w:rtl/>
        </w:rPr>
      </w:pPr>
      <w:r w:rsidRPr="00831ED3">
        <w:rPr>
          <w:rFonts w:ascii="David" w:hAnsi="David"/>
          <w:b/>
          <w:bCs/>
          <w:rtl/>
        </w:rPr>
        <w:t xml:space="preserve">"עבירות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 עסקינן באיסורים על מעשי הכנה לקראת ביצועם של מעשים פליליים חמורים ומסוכנים עד-מאד, אשר נעשים באמצעות כלי ירייה ואשר כוללים איומים, תקיפה, ירי במקום מגורים, גרימת חבלה והמתה. בדרך כלל, מעשי הכנה שאינם מגיעים כדי ניסיון לעבור עבירה פלילית אינם בני עונשין; ואולם, לא כך הוא כאשר מדובר במעשי הכנה שחומרתם מגיעה כדי סיכון ממשי וחמור לפרט ולחברה כאחד (ראו: ש"ז פלר </w:t>
      </w:r>
      <w:hyperlink r:id="rId26" w:history="1">
        <w:r w:rsidR="0097015B" w:rsidRPr="0097015B">
          <w:rPr>
            <w:rFonts w:ascii="David" w:hAnsi="David"/>
            <w:b/>
            <w:bCs/>
            <w:color w:val="0000FF"/>
            <w:u w:val="single"/>
            <w:rtl/>
          </w:rPr>
          <w:t>יסודות בדיני עונשין</w:t>
        </w:r>
      </w:hyperlink>
      <w:r w:rsidRPr="00831ED3">
        <w:rPr>
          <w:rFonts w:ascii="David" w:hAnsi="David"/>
          <w:b/>
          <w:bCs/>
          <w:rtl/>
        </w:rPr>
        <w:t xml:space="preserve"> 52-48 (כרך ב', תשמ"ז)). על מעשי הכנה כאלה נענשים בחומרה, ואין זה מקרי שעצם הרכישה או ההחזקה של כלי נשק בלא רשות על פי דין להחזקתו גוררת אחריה עונש מרבי של שבע שנות מאסר, כאמור בסעיף 144(א) ל</w:t>
      </w:r>
      <w:hyperlink r:id="rId27" w:history="1">
        <w:r w:rsidR="0097015B" w:rsidRPr="0097015B">
          <w:rPr>
            <w:rFonts w:ascii="David" w:hAnsi="David"/>
            <w:b/>
            <w:bCs/>
            <w:color w:val="0000FF"/>
            <w:u w:val="single"/>
            <w:rtl/>
          </w:rPr>
          <w:t>חוק העונשין</w:t>
        </w:r>
      </w:hyperlink>
      <w:r w:rsidRPr="00831ED3">
        <w:rPr>
          <w:rFonts w:ascii="David" w:hAnsi="David"/>
          <w:b/>
          <w:bCs/>
          <w:rtl/>
        </w:rPr>
        <w:t>.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(ראו דברי השופט י' אלרון ב</w:t>
      </w:r>
      <w:hyperlink r:id="rId28" w:history="1">
        <w:r w:rsidR="0097015B" w:rsidRPr="0097015B">
          <w:rPr>
            <w:rFonts w:ascii="David" w:hAnsi="David"/>
            <w:b/>
            <w:bCs/>
            <w:color w:val="0000FF"/>
            <w:u w:val="single"/>
            <w:rtl/>
          </w:rPr>
          <w:t>ע"פ 4406/19</w:t>
        </w:r>
      </w:hyperlink>
      <w:r w:rsidRPr="00831ED3">
        <w:rPr>
          <w:rFonts w:ascii="David" w:hAnsi="David"/>
          <w:b/>
          <w:bCs/>
          <w:rtl/>
        </w:rPr>
        <w:t xml:space="preserve"> מדינת ישראל נ' סובח [פורסם בנבו] (5.11.2019) (להלן: עניין סובח))...הטלת עונשים חמורים ומרתיעים על עברייני נשק היא עיקר תרומתם של בתי המשפט למיגור התופעה ולהרחקת העבריין עם האקדח משגרת חייהם של אזרחי מדינה שומרי חוק...". </w:t>
      </w:r>
    </w:p>
    <w:p w14:paraId="04D384C5" w14:textId="77777777" w:rsidR="005B7B23" w:rsidRPr="00831ED3" w:rsidRDefault="005B7B23" w:rsidP="005B7B23">
      <w:pPr>
        <w:spacing w:line="360" w:lineRule="auto"/>
        <w:ind w:left="567" w:right="567"/>
        <w:jc w:val="both"/>
        <w:rPr>
          <w:rFonts w:ascii="David" w:hAnsi="David"/>
          <w:rtl/>
        </w:rPr>
      </w:pPr>
    </w:p>
    <w:p w14:paraId="419938BB" w14:textId="77777777" w:rsidR="005B7B23" w:rsidRPr="00831ED3" w:rsidRDefault="005B7B23" w:rsidP="005B7B23">
      <w:pPr>
        <w:spacing w:line="360" w:lineRule="auto"/>
        <w:jc w:val="both"/>
        <w:rPr>
          <w:rFonts w:ascii="David" w:hAnsi="David"/>
          <w:b/>
          <w:bCs/>
          <w:rtl/>
        </w:rPr>
      </w:pPr>
      <w:r w:rsidRPr="00831ED3">
        <w:rPr>
          <w:rFonts w:ascii="David" w:hAnsi="David"/>
          <w:rtl/>
        </w:rPr>
        <w:t>מגמת ההחמרה קיבלה ביטוי בפסיקתו של ביהמ"ש העליון ב</w:t>
      </w:r>
      <w:hyperlink r:id="rId29" w:history="1">
        <w:r w:rsidR="0097015B" w:rsidRPr="0097015B">
          <w:rPr>
            <w:rFonts w:ascii="David" w:hAnsi="David"/>
            <w:color w:val="0000FF"/>
            <w:u w:val="single"/>
            <w:rtl/>
          </w:rPr>
          <w:t>ע"פ 5602/22</w:t>
        </w:r>
      </w:hyperlink>
      <w:r w:rsidRPr="00831ED3">
        <w:rPr>
          <w:rFonts w:ascii="David" w:hAnsi="David"/>
          <w:rtl/>
        </w:rPr>
        <w:t xml:space="preserve"> מדינת ישראל נ' פלוני (14.09.22) באשר לכל עבירות הנשק לרבות העבירות בהן עסקינן:</w:t>
      </w:r>
    </w:p>
    <w:p w14:paraId="2E223C7F" w14:textId="77777777" w:rsidR="005B7B23" w:rsidRPr="00831ED3" w:rsidRDefault="005B7B23" w:rsidP="005B7B23">
      <w:pPr>
        <w:spacing w:line="360" w:lineRule="auto"/>
        <w:ind w:left="567" w:right="567"/>
        <w:contextualSpacing/>
        <w:jc w:val="both"/>
        <w:rPr>
          <w:rFonts w:ascii="David" w:hAnsi="David"/>
          <w:rtl/>
        </w:rPr>
      </w:pPr>
      <w:r w:rsidRPr="00831ED3">
        <w:rPr>
          <w:rFonts w:ascii="David" w:hAnsi="David"/>
          <w:rtl/>
        </w:rPr>
        <w:t>"</w:t>
      </w:r>
      <w:r w:rsidRPr="00831ED3">
        <w:rPr>
          <w:rFonts w:ascii="David" w:hAnsi="David"/>
          <w:b/>
          <w:bCs/>
          <w:rtl/>
        </w:rPr>
        <w:t>כי הענישה המחמירה והבלתי מתפשרת כאמור צריכה לחול ללא סייגים על כל נאשם בגיר באשר הוא, שכן "בטיפולנו בעבירות [נשק] מסוג זה ובמבצעיהן, להרתעת היחיד והרבים ולהרחקת עברייני הנשק מהחברה על ידי השמתם בין כותלי הכלא לתקופות ממושכות יש מעמד בכורה", ועל כן "ככלל, יעדים עונשיים אלו מוחקים מניה וביה את בקשת העבריין לשיקום [...] גם כאשר מדובר בעבריין צעיר שהסתבך לראשונה בפלילים ובקשתו לשיקום כנה ואף זוכה לתמיכתו של שירות המבחן"... זאת, מסיבה פשוטה: "בימים קשים אלה, השיקום שבראש מעייננו הוא שיקום המרחב הציבורי המדמם כתוצאה מעבירות נשק בלתי פוסקות והשימוש העברייני בנשק חם." (שם). בהקשר זה אוסיף ואציין את המובן מאליו: בית משפט שמקל בעונשו של עבריין נשק מכביד על החברה שנאלצת להגן על עצמה –על כל בניה ובנותיה – מעברייני נשק. במילים פשוטות יותר, בהן השתמשתי בתוארי את מדיניות הענישה הראויה ביחס לעבירות מין, עסקינן במשחק-סכום-אפס: בית משפט שמרחם על העבריין אינו מרחם על הקורבן הבא</w:t>
      </w:r>
      <w:r w:rsidRPr="00831ED3">
        <w:rPr>
          <w:rFonts w:ascii="David" w:hAnsi="David"/>
          <w:rtl/>
        </w:rPr>
        <w:t>"(</w:t>
      </w:r>
      <w:hyperlink r:id="rId30" w:history="1">
        <w:r w:rsidR="0097015B" w:rsidRPr="0097015B">
          <w:rPr>
            <w:rFonts w:ascii="David" w:hAnsi="David"/>
            <w:color w:val="0000FF"/>
            <w:u w:val="single"/>
            <w:rtl/>
          </w:rPr>
          <w:t>ע"פ 5602/22</w:t>
        </w:r>
      </w:hyperlink>
      <w:r w:rsidRPr="00831ED3">
        <w:rPr>
          <w:rFonts w:ascii="David" w:hAnsi="David"/>
          <w:rtl/>
        </w:rPr>
        <w:t xml:space="preserve"> </w:t>
      </w:r>
      <w:r w:rsidRPr="00831ED3">
        <w:rPr>
          <w:rFonts w:ascii="David" w:hAnsi="David"/>
          <w:b/>
          <w:bCs/>
          <w:rtl/>
        </w:rPr>
        <w:t>מדינת ישראל נ' פלוני</w:t>
      </w:r>
      <w:r w:rsidRPr="00831ED3">
        <w:rPr>
          <w:rFonts w:ascii="David" w:hAnsi="David"/>
          <w:rtl/>
        </w:rPr>
        <w:t xml:space="preserve">, פסקה 15 (14.9.22); ראו גם </w:t>
      </w:r>
      <w:hyperlink r:id="rId31" w:history="1">
        <w:r w:rsidR="0097015B" w:rsidRPr="0097015B">
          <w:rPr>
            <w:rFonts w:ascii="David" w:hAnsi="David"/>
            <w:color w:val="0000FF"/>
            <w:u w:val="single"/>
            <w:rtl/>
          </w:rPr>
          <w:t>ע"פ 4103/22</w:t>
        </w:r>
      </w:hyperlink>
      <w:r w:rsidRPr="00831ED3">
        <w:rPr>
          <w:rFonts w:ascii="David" w:hAnsi="David"/>
          <w:rtl/>
        </w:rPr>
        <w:t xml:space="preserve"> </w:t>
      </w:r>
      <w:r w:rsidRPr="00831ED3">
        <w:rPr>
          <w:rFonts w:ascii="David" w:hAnsi="David"/>
          <w:b/>
          <w:bCs/>
          <w:rtl/>
        </w:rPr>
        <w:t>מדינת ישראל נ' מוחמד אמון</w:t>
      </w:r>
      <w:r w:rsidRPr="00831ED3">
        <w:rPr>
          <w:rFonts w:ascii="David" w:hAnsi="David"/>
          <w:rtl/>
        </w:rPr>
        <w:t>, פסקה 9 (6.11.22).</w:t>
      </w:r>
    </w:p>
    <w:p w14:paraId="72779074" w14:textId="77777777" w:rsidR="005B7B23" w:rsidRPr="00831ED3" w:rsidRDefault="005B7B23" w:rsidP="005B7B23">
      <w:pPr>
        <w:spacing w:line="360" w:lineRule="auto"/>
        <w:jc w:val="both"/>
        <w:rPr>
          <w:rFonts w:cs="Times New Roman"/>
          <w:rtl/>
        </w:rPr>
      </w:pPr>
    </w:p>
    <w:p w14:paraId="6FED9472" w14:textId="77777777" w:rsidR="005B7B23" w:rsidRPr="00831ED3" w:rsidRDefault="005B7B23" w:rsidP="005B7B23">
      <w:pPr>
        <w:spacing w:line="360" w:lineRule="auto"/>
        <w:jc w:val="both"/>
        <w:rPr>
          <w:rFonts w:ascii="Arial" w:hAnsi="Arial"/>
          <w:rtl/>
        </w:rPr>
      </w:pPr>
      <w:r w:rsidRPr="00831ED3">
        <w:rPr>
          <w:rFonts w:ascii="David" w:hAnsi="David"/>
          <w:rtl/>
        </w:rPr>
        <w:t>כאמור, בתי המשפט בכלל ובית המשפט העליון בראשם, קבעו מדיניות ענישה מחמירה ביחס לכל מי שעובר עבירות בנשק. מדיניות מחמירה זו הינה פועל יוצא של ריבוי המקרים שבהם נעשה שימוש בנשק המוחזק שלא כחוק המסכן חיי אדם.</w:t>
      </w:r>
    </w:p>
    <w:p w14:paraId="0864BF3F" w14:textId="77777777" w:rsidR="005B7B23" w:rsidRPr="00831ED3" w:rsidRDefault="005B7B23" w:rsidP="005B7B23">
      <w:pPr>
        <w:spacing w:line="360" w:lineRule="auto"/>
        <w:jc w:val="both"/>
        <w:rPr>
          <w:rFonts w:ascii="Arial" w:hAnsi="Arial"/>
          <w:rtl/>
        </w:rPr>
      </w:pPr>
    </w:p>
    <w:p w14:paraId="1C0981AC" w14:textId="77777777" w:rsidR="005B7B23" w:rsidRPr="00831ED3" w:rsidRDefault="005B7B23" w:rsidP="005B7B23">
      <w:pPr>
        <w:spacing w:line="360" w:lineRule="auto"/>
        <w:jc w:val="both"/>
        <w:rPr>
          <w:rFonts w:ascii="Arial" w:hAnsi="Arial"/>
          <w:rtl/>
        </w:rPr>
      </w:pPr>
      <w:r w:rsidRPr="00831ED3">
        <w:rPr>
          <w:rFonts w:ascii="Arial" w:hAnsi="Arial"/>
          <w:rtl/>
        </w:rPr>
        <w:t>בענייננו אין חולק על כך שהנאשם החזיק באקדח, טעון במחסנית ובתחמושת כמפורט בכתב האישום בסלון ביתו כאשר נסיבות אלו לבדן מצביעות על חומרת הפגיעה בערכים והנזק הפוטנציאלי. עם זאת, בנסיבות בהן הנאשם, משיקוליו שלו, הוא זה אשר הסגיר את הנשק למשטרה ללא שלמשטרה היה מידע מודיעיני, סבורני שבמקרה זה, הפגיעה בערכים המוגנים נמוכה.</w:t>
      </w:r>
    </w:p>
    <w:p w14:paraId="33C05649" w14:textId="77777777" w:rsidR="005B7B23" w:rsidRPr="00831ED3" w:rsidRDefault="005B7B23" w:rsidP="005B7B23">
      <w:pPr>
        <w:spacing w:line="360" w:lineRule="auto"/>
        <w:jc w:val="both"/>
        <w:rPr>
          <w:rFonts w:ascii="Arial" w:hAnsi="Arial"/>
          <w:rtl/>
        </w:rPr>
      </w:pPr>
    </w:p>
    <w:p w14:paraId="74BB0E33" w14:textId="77777777" w:rsidR="005B7B23" w:rsidRPr="00831ED3" w:rsidRDefault="005B7B23" w:rsidP="005B7B23">
      <w:pPr>
        <w:spacing w:line="360" w:lineRule="auto"/>
        <w:jc w:val="both"/>
        <w:rPr>
          <w:rFonts w:ascii="Arial" w:hAnsi="Arial"/>
          <w:rtl/>
        </w:rPr>
      </w:pPr>
      <w:r w:rsidRPr="00831ED3">
        <w:rPr>
          <w:rFonts w:ascii="Arial" w:hAnsi="Arial"/>
          <w:rtl/>
        </w:rPr>
        <w:t>המאשימה ביקשה לקבוע מתחם ענישה 20-36 חודשי מאסר בפועל בדומה למי שלא היה מסגיר את הנשק מרצונו שלו. בעשותה כך, התעלמה למעשה מנסיבות המקרה, על אף שהצהירה שהנשק נתפס רק בשל הודעתו של הנאשם וללא כל מידע מודיעיני קודם. מנגד, גם בקשת בא כוח הנאשם להימנע מעונש כליל איננה יכולה לעמוד שהרי הנאשם החזיק בנשק למשך זמן מה וכאמור, הנשק היה טעון ומוחזק במקום נגיש ורק בנס, לא בוצעה בנשק כל עבירה במתכוון או ברשלנות.</w:t>
      </w:r>
    </w:p>
    <w:p w14:paraId="471CB902" w14:textId="77777777" w:rsidR="005B7B23" w:rsidRPr="00831ED3" w:rsidRDefault="005B7B23" w:rsidP="005B7B23">
      <w:pPr>
        <w:spacing w:line="360" w:lineRule="auto"/>
        <w:jc w:val="both"/>
        <w:rPr>
          <w:rtl/>
        </w:rPr>
      </w:pPr>
      <w:r w:rsidRPr="00831ED3">
        <w:rPr>
          <w:rFonts w:ascii="Arial" w:hAnsi="Arial"/>
          <w:rtl/>
        </w:rPr>
        <w:t>בנסיבות אלה, מקובל עליי דווקא מתחם הענישה אותו ביקשה המאשימה ב</w:t>
      </w:r>
      <w:hyperlink r:id="rId32" w:history="1">
        <w:r w:rsidR="0097015B" w:rsidRPr="0097015B">
          <w:rPr>
            <w:rFonts w:ascii="Arial" w:hAnsi="Arial"/>
            <w:color w:val="0000FF"/>
            <w:u w:val="single"/>
            <w:rtl/>
          </w:rPr>
          <w:t>ת"פ 30216-05-19</w:t>
        </w:r>
      </w:hyperlink>
      <w:r w:rsidRPr="00831ED3">
        <w:rPr>
          <w:rFonts w:ascii="Arial" w:hAnsi="Arial"/>
          <w:rtl/>
        </w:rPr>
        <w:t xml:space="preserve"> אליו הפנה בא כוח הנאשם שנע בין 6 לבין 18 חודשי מאסר בפועל</w:t>
      </w:r>
      <w:r w:rsidRPr="00831ED3">
        <w:rPr>
          <w:rtl/>
        </w:rPr>
        <w:t xml:space="preserve"> לצד ענישה צופה פני עתיד וקנס כספי. </w:t>
      </w:r>
    </w:p>
    <w:p w14:paraId="33F24C95" w14:textId="77777777" w:rsidR="005B7B23" w:rsidRPr="00831ED3" w:rsidRDefault="005B7B23" w:rsidP="005B7B23">
      <w:pPr>
        <w:spacing w:line="360" w:lineRule="auto"/>
        <w:rPr>
          <w:b/>
          <w:bCs/>
          <w:rtl/>
        </w:rPr>
      </w:pPr>
    </w:p>
    <w:p w14:paraId="7170B536" w14:textId="77777777" w:rsidR="005B7B23" w:rsidRPr="00831ED3" w:rsidRDefault="005B7B23" w:rsidP="005B7B23">
      <w:pPr>
        <w:spacing w:line="360" w:lineRule="auto"/>
        <w:jc w:val="both"/>
        <w:rPr>
          <w:rFonts w:ascii="David" w:eastAsia="David" w:hAnsi="David"/>
          <w:u w:val="single"/>
          <w:rtl/>
        </w:rPr>
      </w:pPr>
      <w:r w:rsidRPr="00831ED3">
        <w:rPr>
          <w:rFonts w:ascii="David" w:eastAsia="David" w:hAnsi="David"/>
          <w:u w:val="single"/>
          <w:rtl/>
        </w:rPr>
        <w:t>קביעת העונש ההולם</w:t>
      </w:r>
    </w:p>
    <w:p w14:paraId="0BE4C498" w14:textId="77777777" w:rsidR="005B7B23" w:rsidRPr="00831ED3" w:rsidRDefault="005B7B23" w:rsidP="005B7B23">
      <w:pPr>
        <w:spacing w:line="360" w:lineRule="auto"/>
        <w:jc w:val="both"/>
        <w:rPr>
          <w:rtl/>
        </w:rPr>
      </w:pPr>
      <w:r w:rsidRPr="00831ED3">
        <w:rPr>
          <w:rtl/>
        </w:rPr>
        <w:t>באשר לנסיבות שאינן קשורות לביצוע העבירות, מדובר בנאשם נטול הרשעות קודמות, הודה בעבירות המיוחסות לו בכתב האישום בהזדמנות הראשונה וחסך זמן שיפוטי יקר.</w:t>
      </w:r>
    </w:p>
    <w:p w14:paraId="6256A4F4" w14:textId="77777777" w:rsidR="005B7B23" w:rsidRPr="00831ED3" w:rsidRDefault="005B7B23" w:rsidP="005B7B23">
      <w:pPr>
        <w:spacing w:line="360" w:lineRule="auto"/>
        <w:jc w:val="both"/>
        <w:rPr>
          <w:rtl/>
        </w:rPr>
      </w:pPr>
      <w:r w:rsidRPr="00831ED3">
        <w:rPr>
          <w:rtl/>
        </w:rPr>
        <w:t xml:space="preserve">הנאשם מעולם לא נשא בעונש מאסר וחשיפתו לגורמים עבריינים, אפילו אם מדובר בתקופה קצרה, איננה אינטרס הציבור. </w:t>
      </w:r>
    </w:p>
    <w:p w14:paraId="31030526" w14:textId="77777777" w:rsidR="005B7B23" w:rsidRPr="00831ED3" w:rsidRDefault="005B7B23" w:rsidP="005B7B23">
      <w:pPr>
        <w:spacing w:line="360" w:lineRule="auto"/>
        <w:jc w:val="both"/>
        <w:rPr>
          <w:rtl/>
        </w:rPr>
      </w:pPr>
    </w:p>
    <w:p w14:paraId="5BE95AD8" w14:textId="77777777" w:rsidR="005B7B23" w:rsidRPr="00831ED3" w:rsidRDefault="005B7B23" w:rsidP="005B7B23">
      <w:pPr>
        <w:spacing w:line="360" w:lineRule="auto"/>
        <w:jc w:val="both"/>
        <w:rPr>
          <w:rtl/>
        </w:rPr>
      </w:pPr>
      <w:r w:rsidRPr="00831ED3">
        <w:rPr>
          <w:rtl/>
        </w:rPr>
        <w:t>הנאשם היה עצור מאחורי סורג ובריח למשך כשלושה חודשים כאשר ידוע שתנאי המעצר קשים הם מתנאי מאסר.</w:t>
      </w:r>
    </w:p>
    <w:p w14:paraId="224EFAB8" w14:textId="77777777" w:rsidR="005B7B23" w:rsidRPr="00831ED3" w:rsidRDefault="005B7B23" w:rsidP="005B7B23">
      <w:pPr>
        <w:spacing w:line="360" w:lineRule="auto"/>
        <w:jc w:val="both"/>
        <w:rPr>
          <w:rtl/>
        </w:rPr>
      </w:pPr>
    </w:p>
    <w:p w14:paraId="4AF52E0C" w14:textId="77777777" w:rsidR="005B7B23" w:rsidRPr="00831ED3" w:rsidRDefault="005B7B23" w:rsidP="005B7B23">
      <w:pPr>
        <w:spacing w:line="360" w:lineRule="auto"/>
        <w:jc w:val="both"/>
        <w:rPr>
          <w:rtl/>
        </w:rPr>
      </w:pPr>
      <w:r w:rsidRPr="00831ED3">
        <w:rPr>
          <w:rtl/>
        </w:rPr>
        <w:t>שיקול נוסף הוא שיקום המרחב הציבורי המדמם כתוצאה מעבירות נשק בלתי פוסקות והשימוש העברייני בנשק באמצעות הטלת ענישה מכבידה מאחור סורג ובריח, וודאי בעת האחרונה שעה שהאלימות בחברתנו גואה ולא פוסחת על אף מגזר. עם זאת חשוב לבחון את מטרת המחוקק אשר מצא לנכון להחמיר בענישה, כך שאם נפנה לדברי ההסבר של התזכיר לתיקון ל</w:t>
      </w:r>
      <w:hyperlink r:id="rId33" w:history="1">
        <w:r w:rsidR="0097015B" w:rsidRPr="0097015B">
          <w:rPr>
            <w:color w:val="0000FF"/>
            <w:u w:val="single"/>
            <w:rtl/>
          </w:rPr>
          <w:t>חוק העונשין</w:t>
        </w:r>
      </w:hyperlink>
      <w:r w:rsidRPr="00831ED3">
        <w:rPr>
          <w:rtl/>
        </w:rPr>
        <w:t xml:space="preserve">, אשר לימים הוכר כתיקון 140 לחוק העונשין, נבחין בדברים הבאים: </w:t>
      </w:r>
    </w:p>
    <w:p w14:paraId="3AF46DF5" w14:textId="77777777" w:rsidR="005B7B23" w:rsidRPr="00831ED3" w:rsidRDefault="005B7B23" w:rsidP="005B7B23">
      <w:pPr>
        <w:spacing w:line="360" w:lineRule="auto"/>
        <w:jc w:val="both"/>
        <w:rPr>
          <w:b/>
          <w:bCs/>
          <w:rtl/>
        </w:rPr>
      </w:pPr>
    </w:p>
    <w:p w14:paraId="4E2B238C" w14:textId="77777777" w:rsidR="005B7B23" w:rsidRPr="00831ED3" w:rsidRDefault="005B7B23" w:rsidP="005B7B23">
      <w:pPr>
        <w:spacing w:line="276" w:lineRule="auto"/>
        <w:ind w:left="567" w:right="567"/>
        <w:jc w:val="both"/>
        <w:rPr>
          <w:b/>
          <w:bCs/>
          <w:rtl/>
        </w:rPr>
      </w:pPr>
      <w:r w:rsidRPr="00831ED3">
        <w:rPr>
          <w:b/>
          <w:bCs/>
          <w:rtl/>
        </w:rPr>
        <w:t xml:space="preserve">"ביום 9.11.2020 פורסמו המלצות ועדת המנכל"ים להתמודדות עם הפשיעה והאלימות בחברה הערבית (להלן – דו"ח הוועדה), וביום 1.3.21 אומצו עקרונות הפעולה שבדו"ח הוועדה על ידי הממשלה[1]. במסגרת דו"ח הוועדה צוין כי אחד המאפיינים והגורמים של תופעת הפשיעה בחברה הערבית הוא הימצאותם וזמינותם של כלי נשק מסוגים שונים בקרב החברה הערבית בהיקפים גדולים לאין שיעור מאשר בחברה הכללית. עבירות האמל"ח והירי גובות מחירים כבדים באובדן חיי אדם, מסכנות חיים ופוגעות לא רק במעורבים בהן, אלא גם בביטחון האישי ובאיכות החיים של אזרחים חפים מפשע. על פי ההערכות, מוחזקים בחברה הערבית עשרות ומאות אלפים של כלי נשק לא חוקיים.[2] ריבוי הנשק והשימוש התכוף בו לביצוע עבירות על ידי גורמי פשיעה במסגרת סכסוכים ואף בעבירות בתוך המשפחה מעצימים את היעדר הביטחון האישי ואת חוסר האמון בכוחות אכיפת החוק, ובכך יש לחזק את המוטיבציה להחזקת נשק גם אצל גורמים שאינם נמנים על מעגלי הפשע. החזקת הנשק באופן בלתי חוקי כשלעצמה מגבירה כמובן את החשש משימוש בו ומפגיעה בחיי אדם, וכך נוצר "מעגל שוטה" שגם בו יש להביא לגידול מתמשך בהתחמשות ובמספר מקרי הירי והרצח. כמו כן, הביקוש הגובר לכלי נשק מביא לעלייה במחירם, והרווח הצפוי מסחר בנשק הולך וגדל. כתוצאה מכך, צעירים רבים מתפתים לרווחים גדולים ומרחיבים את היצע הנשק באמצעות הברחות וגניבות.[3] </w:t>
      </w:r>
    </w:p>
    <w:p w14:paraId="67FFA000" w14:textId="77777777" w:rsidR="005B7B23" w:rsidRPr="00831ED3" w:rsidRDefault="005B7B23" w:rsidP="005B7B23">
      <w:pPr>
        <w:spacing w:line="276" w:lineRule="auto"/>
        <w:ind w:left="567" w:right="567"/>
        <w:jc w:val="both"/>
        <w:rPr>
          <w:b/>
          <w:bCs/>
          <w:rtl/>
        </w:rPr>
      </w:pPr>
    </w:p>
    <w:p w14:paraId="54AA20A7" w14:textId="77777777" w:rsidR="005B7B23" w:rsidRPr="00831ED3" w:rsidRDefault="005B7B23" w:rsidP="005B7B23">
      <w:pPr>
        <w:spacing w:line="276" w:lineRule="auto"/>
        <w:ind w:left="567" w:right="567"/>
        <w:jc w:val="both"/>
        <w:rPr>
          <w:b/>
          <w:bCs/>
          <w:rtl/>
        </w:rPr>
      </w:pPr>
      <w:r w:rsidRPr="00831ED3">
        <w:rPr>
          <w:b/>
          <w:bCs/>
          <w:rtl/>
        </w:rPr>
        <w:t xml:space="preserve">הוועדה מצאה כי קיימים פערים במסגרת החוקית התומכת באכיפה כנגד עבירות אמל"ח, אשר מקשים על ביצוע פעולות אכיפה אפקטיביות ועל ענישה אפקטיבית, הנדרשות על מנת לשנות את הנורמות שנוצרו בכל הנוגע להחזקת נשק ולשימוש בנשק. משכך כללה הוועדה במסגרת המלצותיה שורה של המלצות שמטרתן לטייב את האכיפה הפלילית בתחום, להעלות את רמת הענישה ובכך לחזק את אמון הציבור הערבי ברשויות האכיפה בפרט ובמדינת ישראל בכלל, כמובן לצד אמצעים נוספים כמפורט בדו"ח. בין היתר המליצה הוועדה להחמיר את הענישה לגבי סחר בחלקי נשק "מהותיים", אשר נרכשים בנפרד ומשמשים לייצור עצמאי של כלי נשק באמצעות הרכבתם על ידי גורמי הפשיעה.[4] </w:t>
      </w:r>
    </w:p>
    <w:p w14:paraId="1DB37BCA" w14:textId="77777777" w:rsidR="005B7B23" w:rsidRPr="00831ED3" w:rsidRDefault="005B7B23" w:rsidP="005B7B23">
      <w:pPr>
        <w:spacing w:line="276" w:lineRule="auto"/>
        <w:ind w:left="567" w:right="567"/>
        <w:jc w:val="both"/>
        <w:rPr>
          <w:b/>
          <w:bCs/>
          <w:rtl/>
        </w:rPr>
      </w:pPr>
    </w:p>
    <w:p w14:paraId="09A0B50D" w14:textId="77777777" w:rsidR="005B7B23" w:rsidRPr="00831ED3" w:rsidRDefault="005B7B23" w:rsidP="005B7B23">
      <w:pPr>
        <w:spacing w:line="276" w:lineRule="auto"/>
        <w:ind w:left="567" w:right="567"/>
        <w:jc w:val="both"/>
        <w:rPr>
          <w:b/>
          <w:bCs/>
          <w:rtl/>
        </w:rPr>
      </w:pPr>
      <w:r w:rsidRPr="00831ED3">
        <w:rPr>
          <w:b/>
          <w:bCs/>
          <w:rtl/>
        </w:rPr>
        <w:t xml:space="preserve">הצעת החוק שבנדון נועדה בין השאר ליישם את המלצת דו"ח ועדת המנכ"לים האמורה ולהחמיר את העונש הקיים בגין עבירות המבוצעות בחלקי נשק מהותיים. תיקון זה בא לידי ביטוי בכל הסעיפים שבהצעת החוק וכולל תיקונים בסעיפים 144(א) ו-144(ב), וכן הוספת סעיף 144(ג2). התיקונים לסעיפים קטנים (א) ו-(ב) נועדו לקבוע מדרג ביניים שמתייחס לביצוע עבירה ב'חלק נשק מהותי', וסעיף קטן (ג2) המוצע עניינו בקביעת הגדרת "חלק נשק מהותי". </w:t>
      </w:r>
    </w:p>
    <w:p w14:paraId="754E5DD4" w14:textId="77777777" w:rsidR="005B7B23" w:rsidRPr="00831ED3" w:rsidRDefault="005B7B23" w:rsidP="005B7B23">
      <w:pPr>
        <w:spacing w:line="276" w:lineRule="auto"/>
        <w:ind w:left="567" w:right="567"/>
        <w:jc w:val="both"/>
        <w:rPr>
          <w:b/>
          <w:bCs/>
          <w:rtl/>
        </w:rPr>
      </w:pPr>
    </w:p>
    <w:p w14:paraId="5A72915D" w14:textId="77777777" w:rsidR="005B7B23" w:rsidRPr="00831ED3" w:rsidRDefault="005B7B23" w:rsidP="005B7B23">
      <w:pPr>
        <w:spacing w:line="276" w:lineRule="auto"/>
        <w:ind w:left="567" w:right="567"/>
        <w:jc w:val="both"/>
        <w:rPr>
          <w:b/>
          <w:bCs/>
          <w:rtl/>
        </w:rPr>
      </w:pPr>
      <w:r w:rsidRPr="00831ED3">
        <w:rPr>
          <w:b/>
          <w:bCs/>
          <w:rtl/>
        </w:rPr>
        <w:t>נוסף על כך, נמצא כי קיים פער נוסף בחקיקה הקיימת שעניינו העונש הזהה הקבוע בסעיף 144 לחוק לעבירת החזקת נשק ולעבירת רכישת נשק, וזאת למרות הפער האיכותי ברמת החומרה ובאנטי חברתיות שמגולמות בהן. בעוד עבירת החזקת נשק היא עבירה שיכולה להתבצע באופן פסיבי, הרי שמעשה של רכישת נשק מחייבת פעולה בלתי חוקית אקטיבית, כמו כן היא מגבירה את הביקוש לנשק בלתי חוקי ומגדילה את כמות כלי הנשק הלא חוקיים המצויים באוכלוסייה. מוצע אפוא להחמיר את העונש בצד עבירת רכישת נשק, כך שיעמוד על עשר שנות מאסר, בדומה לעבירות של נשיאה והובלה של נשק שלא כדין. תיקון זה בא לידי ביטוי בסעיפים 1 ו-2 להצעת החוק".</w:t>
      </w:r>
    </w:p>
    <w:p w14:paraId="783F86A8" w14:textId="77777777" w:rsidR="005B7B23" w:rsidRPr="00831ED3" w:rsidRDefault="005B7B23" w:rsidP="005B7B23">
      <w:pPr>
        <w:spacing w:line="360" w:lineRule="auto"/>
        <w:jc w:val="both"/>
        <w:rPr>
          <w:b/>
          <w:bCs/>
          <w:rtl/>
        </w:rPr>
      </w:pPr>
    </w:p>
    <w:p w14:paraId="381DCE1F" w14:textId="77777777" w:rsidR="005B7B23" w:rsidRPr="00831ED3" w:rsidRDefault="005B7B23" w:rsidP="005B7B23">
      <w:pPr>
        <w:spacing w:line="360" w:lineRule="auto"/>
        <w:jc w:val="both"/>
        <w:rPr>
          <w:rtl/>
        </w:rPr>
      </w:pPr>
      <w:r w:rsidRPr="00831ED3">
        <w:rPr>
          <w:rtl/>
        </w:rPr>
        <w:t>מטרתו העיקרית של תיקון 140 ל</w:t>
      </w:r>
      <w:hyperlink r:id="rId34" w:history="1">
        <w:r w:rsidR="0097015B" w:rsidRPr="0097015B">
          <w:rPr>
            <w:color w:val="0000FF"/>
            <w:u w:val="single"/>
            <w:rtl/>
          </w:rPr>
          <w:t>חוק העונשין</w:t>
        </w:r>
      </w:hyperlink>
      <w:r w:rsidRPr="00831ED3">
        <w:rPr>
          <w:rtl/>
        </w:rPr>
        <w:t xml:space="preserve"> היא ההתמודדות עם הפשיעה והאלימות בחברה הערבית. ברור שהתמודדות זו נכונה לכלל האוכלוסייה בישראל שכן השימוש בנשק, אחזקתו, הובלתו ומכירתו נמצאים בכל מקום, ללא אבחנה בין מגזר כזה או אחר. </w:t>
      </w:r>
    </w:p>
    <w:p w14:paraId="6A795519" w14:textId="77777777" w:rsidR="005B7B23" w:rsidRPr="00831ED3" w:rsidRDefault="005B7B23" w:rsidP="005B7B23">
      <w:pPr>
        <w:spacing w:line="360" w:lineRule="auto"/>
        <w:jc w:val="both"/>
        <w:rPr>
          <w:b/>
          <w:bCs/>
          <w:rtl/>
        </w:rPr>
      </w:pPr>
    </w:p>
    <w:p w14:paraId="4BC2981E" w14:textId="77777777" w:rsidR="005B7B23" w:rsidRPr="00831ED3" w:rsidRDefault="005B7B23" w:rsidP="005B7B23">
      <w:pPr>
        <w:spacing w:line="360" w:lineRule="auto"/>
        <w:jc w:val="both"/>
        <w:rPr>
          <w:rtl/>
        </w:rPr>
      </w:pPr>
      <w:r w:rsidRPr="00831ED3">
        <w:rPr>
          <w:rtl/>
        </w:rPr>
        <w:t>תיקון 140 ל</w:t>
      </w:r>
      <w:hyperlink r:id="rId35" w:history="1">
        <w:r w:rsidR="0097015B" w:rsidRPr="0097015B">
          <w:rPr>
            <w:color w:val="0000FF"/>
            <w:u w:val="single"/>
            <w:rtl/>
          </w:rPr>
          <w:t>חוק העונשין</w:t>
        </w:r>
      </w:hyperlink>
      <w:r w:rsidRPr="00831ED3">
        <w:rPr>
          <w:rtl/>
        </w:rPr>
        <w:t xml:space="preserve">, אשר מחייב את בית המשפט להטיל עונש מינימום על נאשם אשר הורשע בעבירות נשק מותיר נקודת אור מסוימת ובאמצעותה מוקנית לבית המשפט האפשרות לסטות אף מעונש המינימום וזאת בשל טעמים מיוחדים שירשמו. </w:t>
      </w:r>
    </w:p>
    <w:p w14:paraId="0352904B" w14:textId="77777777" w:rsidR="005B7B23" w:rsidRPr="00831ED3" w:rsidRDefault="005B7B23" w:rsidP="005B7B23">
      <w:pPr>
        <w:spacing w:line="360" w:lineRule="auto"/>
        <w:jc w:val="both"/>
        <w:rPr>
          <w:rtl/>
        </w:rPr>
      </w:pPr>
    </w:p>
    <w:p w14:paraId="1176351C" w14:textId="77777777" w:rsidR="005B7B23" w:rsidRPr="00831ED3" w:rsidRDefault="005B7B23" w:rsidP="005B7B23">
      <w:pPr>
        <w:spacing w:line="360" w:lineRule="auto"/>
        <w:jc w:val="both"/>
        <w:rPr>
          <w:rtl/>
        </w:rPr>
      </w:pPr>
      <w:r w:rsidRPr="00831ED3">
        <w:rPr>
          <w:u w:val="single"/>
          <w:rtl/>
        </w:rPr>
        <w:t xml:space="preserve">זו לשונו של </w:t>
      </w:r>
      <w:hyperlink r:id="rId36" w:history="1">
        <w:r w:rsidR="006703F6" w:rsidRPr="006703F6">
          <w:rPr>
            <w:rStyle w:val="Hyperlink"/>
            <w:rtl/>
          </w:rPr>
          <w:t>סעיף 144(ז)</w:t>
        </w:r>
      </w:hyperlink>
      <w:r w:rsidRPr="00831ED3">
        <w:rPr>
          <w:u w:val="single"/>
          <w:rtl/>
        </w:rPr>
        <w:t xml:space="preserve"> ל</w:t>
      </w:r>
      <w:hyperlink r:id="rId37" w:history="1">
        <w:r w:rsidR="0097015B" w:rsidRPr="0097015B">
          <w:rPr>
            <w:color w:val="0000FF"/>
            <w:u w:val="single"/>
            <w:rtl/>
          </w:rPr>
          <w:t>חוק העונשין</w:t>
        </w:r>
      </w:hyperlink>
      <w:r w:rsidRPr="00831ED3">
        <w:rPr>
          <w:rtl/>
        </w:rPr>
        <w:t xml:space="preserve"> – </w:t>
      </w:r>
      <w:r w:rsidRPr="00831ED3">
        <w:rPr>
          <w:b/>
          <w:bCs/>
          <w:rtl/>
        </w:rPr>
        <w:t>"הורשע אדם בעבירה לפי סעיף קטן (א) רישה, (ב) רישה, (ב2) או (ב3) רישה, לא יפחת עונשו מרבע העונש המרבי שנקבע לאותה עבירה, אלא אם כן החליט בית המשפט, מטעמים מיוחדים שיירשמו, להקל בעונשו; עונש מאסר לפי סעיף קטן זה לא יהיה, בהעדר טעמים מיוחדים, כולו על-תנאי".</w:t>
      </w:r>
    </w:p>
    <w:p w14:paraId="7EE03EEC" w14:textId="77777777" w:rsidR="005B7B23" w:rsidRPr="00831ED3" w:rsidRDefault="005B7B23" w:rsidP="005B7B23">
      <w:pPr>
        <w:spacing w:line="360" w:lineRule="auto"/>
        <w:jc w:val="both"/>
        <w:rPr>
          <w:rtl/>
        </w:rPr>
      </w:pPr>
    </w:p>
    <w:p w14:paraId="7BDAED13" w14:textId="77777777" w:rsidR="005B7B23" w:rsidRPr="00831ED3" w:rsidRDefault="005B7B23" w:rsidP="005B7B23">
      <w:pPr>
        <w:spacing w:line="360" w:lineRule="auto"/>
        <w:jc w:val="both"/>
        <w:rPr>
          <w:rtl/>
        </w:rPr>
      </w:pPr>
      <w:r w:rsidRPr="00831ED3">
        <w:rPr>
          <w:rtl/>
        </w:rPr>
        <w:t>הנה כי כן, חרף ההחמרה בענישה והטלת ענישת מינימום כחובה, עדיין מסור לבית המשפט שיקול דעת לאבחן את המקרה הקונקרטי מכלל יתר המקרים הנדונים בפניו, לקבוע כי בשל טעמים מיוחדים שיירשמו ניתן להקל בענישה ולהטיל עונש מופחת מעונש המינימום. טעמים מיוחדים כאמור ייבחנו לפי נסיבותיו של כל מקרה לגופו.</w:t>
      </w:r>
    </w:p>
    <w:p w14:paraId="18C5F029" w14:textId="77777777" w:rsidR="005B7B23" w:rsidRPr="00831ED3" w:rsidRDefault="005B7B23" w:rsidP="005B7B23">
      <w:pPr>
        <w:spacing w:line="360" w:lineRule="auto"/>
        <w:jc w:val="both"/>
        <w:rPr>
          <w:rtl/>
        </w:rPr>
      </w:pPr>
    </w:p>
    <w:p w14:paraId="7C9B0AEA" w14:textId="77777777" w:rsidR="005B7B23" w:rsidRPr="00831ED3" w:rsidRDefault="005B7B23" w:rsidP="005B7B23">
      <w:pPr>
        <w:spacing w:line="360" w:lineRule="auto"/>
        <w:jc w:val="both"/>
        <w:rPr>
          <w:rtl/>
        </w:rPr>
      </w:pPr>
      <w:r w:rsidRPr="00831ED3">
        <w:rPr>
          <w:rtl/>
        </w:rPr>
        <w:t>במקרה זה, לא נעלמו מעיניי כאמור נסיבות מציאת הנשק ואני סבור שעל בית המשפט לשלוח מסר ולעודד את מחזיקי הנשק שלא כדין למוסרו לידי גורמי אכיפת החוק בהקדם. אמנם אין בידי בית המשפט לפטור את הנאשם ללא עונש, אך יש בכך כדי להודיע למי שבעת הזאת מחזיק בנשק שלא כדין שבית המשפט יצעד לעברו כברת דרך בעת גזירת העונש.</w:t>
      </w:r>
    </w:p>
    <w:p w14:paraId="62FEB1C9" w14:textId="77777777" w:rsidR="005B7B23" w:rsidRPr="00831ED3" w:rsidRDefault="005B7B23" w:rsidP="005B7B23">
      <w:pPr>
        <w:spacing w:line="360" w:lineRule="auto"/>
        <w:jc w:val="both"/>
        <w:rPr>
          <w:rtl/>
        </w:rPr>
      </w:pPr>
    </w:p>
    <w:p w14:paraId="5FF752BF" w14:textId="77777777" w:rsidR="005B7B23" w:rsidRPr="00831ED3" w:rsidRDefault="005B7B23" w:rsidP="005B7B23">
      <w:pPr>
        <w:spacing w:line="360" w:lineRule="auto"/>
        <w:jc w:val="both"/>
        <w:rPr>
          <w:rtl/>
        </w:rPr>
      </w:pPr>
      <w:r w:rsidRPr="00831ED3">
        <w:rPr>
          <w:rtl/>
        </w:rPr>
        <w:t xml:space="preserve">אם כך ומבלי להתעלם מהענישה הנהוגה הקובעת שעונש מאסר לא יינשא בעבודות שירות אלא בנסיבות חריגות, הרי שלאור הנסיבות החריגות והייחודיות, אני קובע שמקרה זה אינו מצדיק הטלת ענישה מאחורי סורג ובריח וניתן להשיג את תכלית הענישה בדרך אחרת, במאסר שיינשא בעבודות שירות. בדרך זו יינתן הביטוי העונשי ההולם למקרה זה, על פי נסיבותיו הייחודיות והחריגות של המעשה עצמו. </w:t>
      </w:r>
    </w:p>
    <w:p w14:paraId="2E2E445A" w14:textId="77777777" w:rsidR="005B7B23" w:rsidRPr="00831ED3" w:rsidRDefault="005B7B23" w:rsidP="005B7B23">
      <w:pPr>
        <w:spacing w:line="360" w:lineRule="auto"/>
        <w:rPr>
          <w:rtl/>
        </w:rPr>
      </w:pPr>
    </w:p>
    <w:p w14:paraId="4000F7CD" w14:textId="77777777" w:rsidR="005B7B23" w:rsidRPr="0051353D" w:rsidRDefault="005B7B23" w:rsidP="005B7B23">
      <w:pPr>
        <w:spacing w:line="360" w:lineRule="auto"/>
        <w:jc w:val="both"/>
        <w:rPr>
          <w:b/>
          <w:bCs/>
          <w:u w:val="single"/>
          <w:rtl/>
        </w:rPr>
      </w:pPr>
      <w:r w:rsidRPr="0051353D">
        <w:rPr>
          <w:b/>
          <w:bCs/>
          <w:u w:val="single"/>
          <w:rtl/>
        </w:rPr>
        <w:t xml:space="preserve">משנאמר כל זאת, אני מטיל על הנאשם את העונשים הבאים: </w:t>
      </w:r>
    </w:p>
    <w:p w14:paraId="002F5BC7" w14:textId="77777777" w:rsidR="005B7B23" w:rsidRPr="00831ED3" w:rsidRDefault="005B7B23" w:rsidP="005B7B23">
      <w:pPr>
        <w:spacing w:line="360" w:lineRule="auto"/>
        <w:jc w:val="both"/>
        <w:rPr>
          <w:rtl/>
        </w:rPr>
      </w:pPr>
    </w:p>
    <w:p w14:paraId="33E08EC7" w14:textId="77777777" w:rsidR="005B7B23" w:rsidRPr="00831ED3" w:rsidRDefault="005B7B23" w:rsidP="005B7B23">
      <w:pPr>
        <w:numPr>
          <w:ilvl w:val="0"/>
          <w:numId w:val="1"/>
        </w:numPr>
        <w:spacing w:after="160" w:line="360" w:lineRule="auto"/>
        <w:contextualSpacing/>
        <w:jc w:val="both"/>
        <w:rPr>
          <w:rtl/>
        </w:rPr>
      </w:pPr>
      <w:r w:rsidRPr="00831ED3">
        <w:rPr>
          <w:rFonts w:ascii="David" w:hAnsi="David"/>
          <w:rtl/>
        </w:rPr>
        <w:t>6 חודשי מאסר בפועל, בניכוי ימי מעצרו על פי רישומי שב"ס, אותם יישא הנאשם בעבודות שירות</w:t>
      </w:r>
      <w:r>
        <w:rPr>
          <w:rFonts w:ascii="David" w:hAnsi="David" w:hint="cs"/>
          <w:rtl/>
        </w:rPr>
        <w:t xml:space="preserve"> במועצה המקומית "זמר"</w:t>
      </w:r>
      <w:r w:rsidRPr="00831ED3">
        <w:rPr>
          <w:rFonts w:ascii="David" w:hAnsi="David"/>
          <w:rtl/>
        </w:rPr>
        <w:t xml:space="preserve"> החל מתאריך 09.04.24 בהתאם לחוות דעת הממונה על עבודות השירות</w:t>
      </w:r>
      <w:r>
        <w:rPr>
          <w:rFonts w:hint="cs"/>
          <w:rtl/>
        </w:rPr>
        <w:t>, כאשר במועד זה יתייצב הנאשם במשרדי הממונה על עבודות השירות לצורך קליטתו, לא יאוחר מהשעה 10:00.</w:t>
      </w:r>
    </w:p>
    <w:p w14:paraId="48D22596" w14:textId="77777777" w:rsidR="005B7B23" w:rsidRPr="00831ED3" w:rsidRDefault="005B7B23" w:rsidP="005B7B23">
      <w:pPr>
        <w:spacing w:line="360" w:lineRule="auto"/>
        <w:ind w:left="720"/>
        <w:contextualSpacing/>
      </w:pPr>
      <w:r w:rsidRPr="00831ED3">
        <w:rPr>
          <w:rtl/>
        </w:rPr>
        <w:t xml:space="preserve"> </w:t>
      </w:r>
    </w:p>
    <w:p w14:paraId="40F8C3AF" w14:textId="77777777" w:rsidR="005B7B23" w:rsidRPr="00831ED3" w:rsidRDefault="005B7B23" w:rsidP="005B7B23">
      <w:pPr>
        <w:numPr>
          <w:ilvl w:val="0"/>
          <w:numId w:val="1"/>
        </w:numPr>
        <w:spacing w:after="160" w:line="360" w:lineRule="auto"/>
        <w:contextualSpacing/>
        <w:jc w:val="both"/>
        <w:rPr>
          <w:rtl/>
        </w:rPr>
      </w:pPr>
      <w:r w:rsidRPr="00831ED3">
        <w:rPr>
          <w:rtl/>
        </w:rPr>
        <w:t xml:space="preserve">מאסר על תנאי לתקופה של </w:t>
      </w:r>
      <w:r>
        <w:rPr>
          <w:rFonts w:hint="cs"/>
          <w:rtl/>
        </w:rPr>
        <w:t>6</w:t>
      </w:r>
      <w:r w:rsidRPr="00831ED3">
        <w:rPr>
          <w:rtl/>
        </w:rPr>
        <w:t xml:space="preserve"> חודשים למשך 3 שנים, והתנאי הוא שהנאשם לא יעבור בפרק זמן זה, על אחת העבירות בהן הורשע בהליך זה שלפני או כל עבירת נשק מסוג פשע.</w:t>
      </w:r>
    </w:p>
    <w:p w14:paraId="2277E266" w14:textId="77777777" w:rsidR="005B7B23" w:rsidRPr="00831ED3" w:rsidRDefault="005B7B23" w:rsidP="005B7B23">
      <w:pPr>
        <w:spacing w:line="360" w:lineRule="auto"/>
        <w:contextualSpacing/>
      </w:pPr>
    </w:p>
    <w:p w14:paraId="6C352404" w14:textId="77777777" w:rsidR="005B7B23" w:rsidRPr="00831ED3" w:rsidRDefault="005B7B23" w:rsidP="005B7B23">
      <w:pPr>
        <w:numPr>
          <w:ilvl w:val="0"/>
          <w:numId w:val="1"/>
        </w:numPr>
        <w:spacing w:after="160" w:line="360" w:lineRule="auto"/>
        <w:contextualSpacing/>
        <w:jc w:val="both"/>
      </w:pPr>
      <w:r w:rsidRPr="00831ED3">
        <w:rPr>
          <w:rtl/>
        </w:rPr>
        <w:t xml:space="preserve">קנס בסך 2,000 ₪. </w:t>
      </w:r>
      <w:r>
        <w:rPr>
          <w:rFonts w:hint="cs"/>
          <w:rtl/>
        </w:rPr>
        <w:t>הקנס ישולם באמצעות המרכז לגביית קנסות, עד ולא יאוחר מיום 10/6/24.</w:t>
      </w:r>
    </w:p>
    <w:p w14:paraId="4DB399CD" w14:textId="77777777" w:rsidR="005B7B23" w:rsidRPr="0051353D" w:rsidRDefault="005B7B23" w:rsidP="005B7B23">
      <w:pPr>
        <w:spacing w:line="360" w:lineRule="auto"/>
      </w:pPr>
    </w:p>
    <w:p w14:paraId="7E201A1F" w14:textId="77777777" w:rsidR="005B7B23" w:rsidRPr="00831ED3" w:rsidRDefault="005B7B23" w:rsidP="005B7B23">
      <w:pPr>
        <w:spacing w:line="360" w:lineRule="auto"/>
        <w:jc w:val="both"/>
        <w:rPr>
          <w:rtl/>
        </w:rPr>
      </w:pPr>
      <w:r w:rsidRPr="00831ED3">
        <w:rPr>
          <w:rtl/>
        </w:rPr>
        <w:t xml:space="preserve">ניתן בזאת צו להשמדת המוצגים – נשק, מחסניות ותחמושת.   </w:t>
      </w:r>
    </w:p>
    <w:p w14:paraId="3097107F" w14:textId="77777777" w:rsidR="005B7B23" w:rsidRPr="0097015B" w:rsidRDefault="0097015B" w:rsidP="005B7B23">
      <w:pPr>
        <w:spacing w:line="360" w:lineRule="auto"/>
        <w:rPr>
          <w:color w:val="FFFFFF"/>
          <w:sz w:val="2"/>
          <w:szCs w:val="2"/>
          <w:rtl/>
        </w:rPr>
      </w:pPr>
      <w:r w:rsidRPr="0097015B">
        <w:rPr>
          <w:color w:val="FFFFFF"/>
          <w:sz w:val="2"/>
          <w:szCs w:val="2"/>
          <w:rtl/>
        </w:rPr>
        <w:t>5129371</w:t>
      </w:r>
    </w:p>
    <w:p w14:paraId="2E60AE15" w14:textId="77777777" w:rsidR="005B7B23" w:rsidRPr="0051353D" w:rsidRDefault="0097015B" w:rsidP="005B7B23">
      <w:pPr>
        <w:spacing w:line="360" w:lineRule="auto"/>
        <w:jc w:val="both"/>
        <w:rPr>
          <w:b/>
          <w:bCs/>
          <w:rtl/>
        </w:rPr>
      </w:pPr>
      <w:r w:rsidRPr="0097015B">
        <w:rPr>
          <w:b/>
          <w:bCs/>
          <w:color w:val="FFFFFF"/>
          <w:sz w:val="2"/>
          <w:szCs w:val="2"/>
          <w:rtl/>
        </w:rPr>
        <w:t>54678313</w:t>
      </w:r>
      <w:r w:rsidR="005B7B23" w:rsidRPr="0051353D">
        <w:rPr>
          <w:b/>
          <w:bCs/>
          <w:rtl/>
        </w:rPr>
        <w:t>זכות ערעור כחוק תוך 45 ימים מהיום.</w:t>
      </w:r>
    </w:p>
    <w:p w14:paraId="4E031C37" w14:textId="77777777" w:rsidR="005B7B23" w:rsidRPr="000F2247" w:rsidRDefault="005B7B23" w:rsidP="005B7B23">
      <w:pPr>
        <w:rPr>
          <w:rFonts w:ascii="Arial" w:hAnsi="Arial"/>
          <w:b/>
          <w:bCs/>
          <w:sz w:val="26"/>
          <w:szCs w:val="26"/>
          <w:rtl/>
        </w:rPr>
      </w:pPr>
    </w:p>
    <w:p w14:paraId="685E59D9" w14:textId="77777777" w:rsidR="005B7B23" w:rsidRPr="000F2247" w:rsidRDefault="0097015B" w:rsidP="005B7B23">
      <w:pPr>
        <w:spacing w:line="360" w:lineRule="auto"/>
        <w:jc w:val="both"/>
        <w:rPr>
          <w:rFonts w:ascii="Arial" w:hAnsi="Arial"/>
          <w:b/>
          <w:bCs/>
          <w:sz w:val="26"/>
          <w:szCs w:val="26"/>
          <w:rtl/>
        </w:rPr>
      </w:pPr>
      <w:bookmarkStart w:id="10" w:name="Nitan"/>
      <w:r>
        <w:rPr>
          <w:rFonts w:ascii="Arial" w:hAnsi="Arial"/>
          <w:b/>
          <w:bCs/>
          <w:sz w:val="26"/>
          <w:szCs w:val="26"/>
          <w:rtl/>
        </w:rPr>
        <w:t xml:space="preserve">ניתן היום,  כ"ג אדר א' תשפ"ד, 03 מרץ 2024, במעמד הצדדים. </w:t>
      </w:r>
      <w:bookmarkEnd w:id="10"/>
      <w:r w:rsidR="005B7B23">
        <w:rPr>
          <w:rFonts w:ascii="Arial" w:hAnsi="Arial"/>
          <w:b/>
          <w:bCs/>
          <w:sz w:val="26"/>
          <w:szCs w:val="26"/>
          <w:rtl/>
        </w:rPr>
        <w:tab/>
      </w:r>
      <w:r w:rsidR="005B7B23">
        <w:rPr>
          <w:rFonts w:ascii="Arial" w:hAnsi="Arial"/>
          <w:b/>
          <w:bCs/>
          <w:sz w:val="26"/>
          <w:szCs w:val="26"/>
          <w:rtl/>
        </w:rPr>
        <w:tab/>
      </w:r>
      <w:r w:rsidR="005B7B23">
        <w:rPr>
          <w:rFonts w:ascii="Arial" w:hAnsi="Arial"/>
          <w:b/>
          <w:bCs/>
          <w:sz w:val="26"/>
          <w:szCs w:val="26"/>
          <w:rtl/>
        </w:rPr>
        <w:tab/>
      </w:r>
      <w:r w:rsidR="005B7B23">
        <w:rPr>
          <w:rFonts w:ascii="Arial" w:hAnsi="Arial"/>
          <w:b/>
          <w:bCs/>
          <w:sz w:val="26"/>
          <w:szCs w:val="26"/>
          <w:rtl/>
        </w:rPr>
        <w:tab/>
      </w:r>
      <w:r w:rsidR="005B7B23">
        <w:rPr>
          <w:rFonts w:ascii="Arial" w:hAnsi="Arial"/>
          <w:b/>
          <w:bCs/>
          <w:sz w:val="26"/>
          <w:szCs w:val="26"/>
          <w:rtl/>
        </w:rPr>
        <w:tab/>
      </w:r>
      <w:r w:rsidR="005B7B23">
        <w:rPr>
          <w:rFonts w:ascii="Arial" w:hAnsi="Arial"/>
          <w:b/>
          <w:bCs/>
          <w:sz w:val="26"/>
          <w:szCs w:val="26"/>
          <w:rtl/>
        </w:rPr>
        <w:tab/>
      </w:r>
      <w:r w:rsidR="005B7B23">
        <w:rPr>
          <w:rFonts w:ascii="Arial" w:hAnsi="Arial"/>
          <w:b/>
          <w:bCs/>
          <w:sz w:val="26"/>
          <w:szCs w:val="26"/>
          <w:rtl/>
        </w:rPr>
        <w:tab/>
      </w:r>
      <w:r w:rsidR="005B7B23">
        <w:rPr>
          <w:rFonts w:ascii="Arial" w:hAnsi="Arial" w:hint="cs"/>
          <w:b/>
          <w:bCs/>
          <w:sz w:val="26"/>
          <w:szCs w:val="26"/>
          <w:rtl/>
        </w:rPr>
        <w:t xml:space="preserve">         </w:t>
      </w:r>
    </w:p>
    <w:p w14:paraId="06A9BAF1" w14:textId="77777777" w:rsidR="005B7B23" w:rsidRPr="000F2247" w:rsidRDefault="005B7B23" w:rsidP="0097015B">
      <w:pPr>
        <w:ind w:left="720" w:firstLine="720"/>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875729D" w14:textId="77777777" w:rsidR="005B7B23" w:rsidRPr="000F2247" w:rsidRDefault="005B7B23" w:rsidP="005B7B23">
      <w:pPr>
        <w:ind w:left="720" w:firstLine="720"/>
        <w:jc w:val="center"/>
        <w:rPr>
          <w:rFonts w:ascii="Arial" w:hAnsi="Arial"/>
          <w:b/>
          <w:bCs/>
          <w:sz w:val="26"/>
          <w:szCs w:val="26"/>
          <w:rtl/>
        </w:rPr>
      </w:pPr>
    </w:p>
    <w:p w14:paraId="0CBABA52" w14:textId="77777777" w:rsidR="00D121D2" w:rsidRPr="0097015B" w:rsidRDefault="00D121D2" w:rsidP="0097015B">
      <w:pPr>
        <w:keepNext/>
        <w:rPr>
          <w:rFonts w:ascii="David" w:hAnsi="David"/>
          <w:color w:val="000000"/>
          <w:sz w:val="22"/>
          <w:szCs w:val="22"/>
          <w:rtl/>
        </w:rPr>
      </w:pPr>
    </w:p>
    <w:p w14:paraId="728A81A0" w14:textId="77777777" w:rsidR="0097015B" w:rsidRPr="0097015B" w:rsidRDefault="0097015B" w:rsidP="0097015B">
      <w:pPr>
        <w:keepNext/>
        <w:rPr>
          <w:rFonts w:ascii="David" w:hAnsi="David"/>
          <w:color w:val="000000"/>
          <w:sz w:val="22"/>
          <w:szCs w:val="22"/>
          <w:rtl/>
        </w:rPr>
      </w:pPr>
      <w:r w:rsidRPr="0097015B">
        <w:rPr>
          <w:rFonts w:ascii="David" w:hAnsi="David"/>
          <w:color w:val="000000"/>
          <w:sz w:val="22"/>
          <w:szCs w:val="22"/>
          <w:rtl/>
        </w:rPr>
        <w:t>אלכס אחטר 54678313</w:t>
      </w:r>
    </w:p>
    <w:p w14:paraId="469BCCEA" w14:textId="77777777" w:rsidR="0097015B" w:rsidRDefault="0097015B" w:rsidP="0097015B">
      <w:r w:rsidRPr="0097015B">
        <w:rPr>
          <w:color w:val="000000"/>
          <w:rtl/>
        </w:rPr>
        <w:t>נוסח מסמך זה כפוף לשינויי ניסוח ועריכה</w:t>
      </w:r>
    </w:p>
    <w:p w14:paraId="6210F529" w14:textId="77777777" w:rsidR="0097015B" w:rsidRDefault="0097015B" w:rsidP="0097015B">
      <w:pPr>
        <w:rPr>
          <w:rtl/>
        </w:rPr>
      </w:pPr>
    </w:p>
    <w:p w14:paraId="3F9A2306" w14:textId="77777777" w:rsidR="0097015B" w:rsidRDefault="0097015B" w:rsidP="0097015B">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173E840F" w14:textId="77777777" w:rsidR="0097015B" w:rsidRPr="0097015B" w:rsidRDefault="0097015B" w:rsidP="0097015B">
      <w:pPr>
        <w:jc w:val="center"/>
        <w:rPr>
          <w:color w:val="0000FF"/>
          <w:u w:val="single"/>
        </w:rPr>
      </w:pPr>
    </w:p>
    <w:sectPr w:rsidR="0097015B" w:rsidRPr="0097015B" w:rsidSect="0097015B">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54529C" w14:textId="77777777" w:rsidR="006D100B" w:rsidRDefault="006D100B" w:rsidP="00F475DC">
      <w:r>
        <w:separator/>
      </w:r>
    </w:p>
  </w:endnote>
  <w:endnote w:type="continuationSeparator" w:id="0">
    <w:p w14:paraId="4BA10764" w14:textId="77777777" w:rsidR="006D100B" w:rsidRDefault="006D100B" w:rsidP="00F47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15C2D" w14:textId="77777777" w:rsidR="0097015B" w:rsidRDefault="0097015B" w:rsidP="0097015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4F69E82A" w14:textId="77777777" w:rsidR="00F83330" w:rsidRPr="0097015B" w:rsidRDefault="0097015B" w:rsidP="0097015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A9373" w14:textId="77777777" w:rsidR="0097015B" w:rsidRDefault="0097015B" w:rsidP="0097015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077A9">
      <w:rPr>
        <w:rFonts w:ascii="FrankRuehl" w:hAnsi="FrankRuehl" w:cs="FrankRuehl"/>
        <w:noProof/>
        <w:rtl/>
      </w:rPr>
      <w:t>1</w:t>
    </w:r>
    <w:r>
      <w:rPr>
        <w:rFonts w:ascii="FrankRuehl" w:hAnsi="FrankRuehl" w:cs="FrankRuehl"/>
        <w:rtl/>
      </w:rPr>
      <w:fldChar w:fldCharType="end"/>
    </w:r>
  </w:p>
  <w:p w14:paraId="1897A4B5" w14:textId="77777777" w:rsidR="00F83330" w:rsidRPr="0097015B" w:rsidRDefault="0097015B" w:rsidP="0097015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D33B7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55A9C7" w14:textId="77777777" w:rsidR="006D100B" w:rsidRDefault="006D100B" w:rsidP="00F475DC">
      <w:r>
        <w:separator/>
      </w:r>
    </w:p>
  </w:footnote>
  <w:footnote w:type="continuationSeparator" w:id="0">
    <w:p w14:paraId="18A8DEFD" w14:textId="77777777" w:rsidR="006D100B" w:rsidRDefault="006D100B" w:rsidP="00F475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A59F6" w14:textId="77777777" w:rsidR="0097015B" w:rsidRPr="0097015B" w:rsidRDefault="0097015B" w:rsidP="0097015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20743-11-22</w:t>
    </w:r>
    <w:r>
      <w:rPr>
        <w:rFonts w:ascii="David" w:hAnsi="David"/>
        <w:color w:val="000000"/>
        <w:sz w:val="22"/>
        <w:szCs w:val="22"/>
        <w:rtl/>
      </w:rPr>
      <w:tab/>
      <w:t xml:space="preserve"> מדינת ישראל נ' סמיר ג'בארין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60F33F" w14:textId="77777777" w:rsidR="0097015B" w:rsidRPr="0097015B" w:rsidRDefault="0097015B" w:rsidP="0097015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20743-11-22</w:t>
    </w:r>
    <w:r>
      <w:rPr>
        <w:rFonts w:ascii="David" w:hAnsi="David"/>
        <w:color w:val="000000"/>
        <w:sz w:val="22"/>
        <w:szCs w:val="22"/>
        <w:rtl/>
      </w:rPr>
      <w:tab/>
      <w:t xml:space="preserve"> מדינת ישראל נ' סמיר ג'בארין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015E8E"/>
    <w:multiLevelType w:val="hybridMultilevel"/>
    <w:tmpl w:val="BB58D5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804779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B7B23"/>
    <w:rsid w:val="00136FE7"/>
    <w:rsid w:val="001B5A3B"/>
    <w:rsid w:val="00444FF5"/>
    <w:rsid w:val="00582F1A"/>
    <w:rsid w:val="005B7B23"/>
    <w:rsid w:val="00625923"/>
    <w:rsid w:val="006703F6"/>
    <w:rsid w:val="006D100B"/>
    <w:rsid w:val="009077A9"/>
    <w:rsid w:val="0097015B"/>
    <w:rsid w:val="00BF6932"/>
    <w:rsid w:val="00C0076D"/>
    <w:rsid w:val="00CE36A6"/>
    <w:rsid w:val="00D121D2"/>
    <w:rsid w:val="00EE7FDA"/>
    <w:rsid w:val="00F475DC"/>
    <w:rsid w:val="00F833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3839BB"/>
  <w15:chartTrackingRefBased/>
  <w15:docId w15:val="{84DFCAFA-EDA5-4335-AA3E-199B0099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B7B2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B7B23"/>
    <w:pPr>
      <w:tabs>
        <w:tab w:val="center" w:pos="4153"/>
        <w:tab w:val="right" w:pos="8306"/>
      </w:tabs>
    </w:pPr>
  </w:style>
  <w:style w:type="character" w:customStyle="1" w:styleId="a4">
    <w:name w:val="כותרת עליונה תו"/>
    <w:link w:val="a3"/>
    <w:rsid w:val="005B7B23"/>
    <w:rPr>
      <w:rFonts w:ascii="Times New Roman" w:eastAsia="Times New Roman" w:hAnsi="Times New Roman" w:cs="David"/>
      <w:sz w:val="24"/>
      <w:szCs w:val="24"/>
    </w:rPr>
  </w:style>
  <w:style w:type="paragraph" w:styleId="a5">
    <w:name w:val="footer"/>
    <w:basedOn w:val="a"/>
    <w:link w:val="a6"/>
    <w:rsid w:val="005B7B23"/>
    <w:pPr>
      <w:tabs>
        <w:tab w:val="center" w:pos="4153"/>
        <w:tab w:val="right" w:pos="8306"/>
      </w:tabs>
    </w:pPr>
  </w:style>
  <w:style w:type="character" w:customStyle="1" w:styleId="a6">
    <w:name w:val="כותרת תחתונה תו"/>
    <w:link w:val="a5"/>
    <w:rsid w:val="005B7B23"/>
    <w:rPr>
      <w:rFonts w:ascii="Times New Roman" w:eastAsia="Times New Roman" w:hAnsi="Times New Roman" w:cs="David"/>
      <w:sz w:val="24"/>
      <w:szCs w:val="24"/>
    </w:rPr>
  </w:style>
  <w:style w:type="table" w:styleId="a7">
    <w:name w:val="Table Grid"/>
    <w:basedOn w:val="a1"/>
    <w:rsid w:val="005B7B2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B7B23"/>
  </w:style>
  <w:style w:type="character" w:styleId="a9">
    <w:name w:val="line number"/>
    <w:rsid w:val="005B7B23"/>
  </w:style>
  <w:style w:type="character" w:styleId="Hyperlink">
    <w:name w:val="Hyperlink"/>
    <w:rsid w:val="009701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40i" TargetMode="External"/><Relationship Id="rId26" Type="http://schemas.openxmlformats.org/officeDocument/2006/relationships/hyperlink" Target="http://www.nevo.co.il/safrut/bookgroup/412" TargetMode="External"/><Relationship Id="rId39" Type="http://schemas.openxmlformats.org/officeDocument/2006/relationships/header" Target="header1.xml"/><Relationship Id="rId21" Type="http://schemas.openxmlformats.org/officeDocument/2006/relationships/hyperlink" Target="http://www.nevo.co.il/law/70301/40d" TargetMode="External"/><Relationship Id="rId34" Type="http://schemas.openxmlformats.org/officeDocument/2006/relationships/hyperlink" Target="http://www.nevo.co.il/law/70301" TargetMode="External"/><Relationship Id="rId42"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a" TargetMode="External"/><Relationship Id="rId20" Type="http://schemas.openxmlformats.org/officeDocument/2006/relationships/hyperlink" Target="http://www.nevo.co.il/law/70301/40ja" TargetMode="External"/><Relationship Id="rId29" Type="http://schemas.openxmlformats.org/officeDocument/2006/relationships/hyperlink" Target="http://www.nevo.co.il/case/28883087"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5692205" TargetMode="External"/><Relationship Id="rId37" Type="http://schemas.openxmlformats.org/officeDocument/2006/relationships/hyperlink" Target="http://www.nevo.co.il/law/70301"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8513828" TargetMode="External"/><Relationship Id="rId28" Type="http://schemas.openxmlformats.org/officeDocument/2006/relationships/hyperlink" Target="http://www.nevo.co.il/case/25824863" TargetMode="External"/><Relationship Id="rId36" Type="http://schemas.openxmlformats.org/officeDocument/2006/relationships/hyperlink" Target="http://www.nevo.co.il/law/70301/144.g" TargetMode="External"/><Relationship Id="rId10" Type="http://schemas.openxmlformats.org/officeDocument/2006/relationships/hyperlink" Target="http://www.nevo.co.il/law/70301/40i"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8697218"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e"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0301/40e"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8883087" TargetMode="External"/><Relationship Id="rId35" Type="http://schemas.openxmlformats.org/officeDocument/2006/relationships/hyperlink" Target="http://www.nevo.co.il/law/70301" TargetMode="External"/><Relationship Id="rId43" Type="http://schemas.openxmlformats.org/officeDocument/2006/relationships/fontTable" Target="fontTable.xml"/><Relationship Id="rId8" Type="http://schemas.openxmlformats.org/officeDocument/2006/relationships/hyperlink" Target="http://www.nevo.co.il/law/70301/40d" TargetMode="External"/><Relationship Id="rId3" Type="http://schemas.openxmlformats.org/officeDocument/2006/relationships/settings" Target="settings.xml"/><Relationship Id="rId12" Type="http://schemas.openxmlformats.org/officeDocument/2006/relationships/hyperlink" Target="http://www.nevo.co.il/law/70301/144.g"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7309272" TargetMode="External"/><Relationship Id="rId33" Type="http://schemas.openxmlformats.org/officeDocument/2006/relationships/hyperlink" Target="http://www.nevo.co.il/law/70301"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2862</Words>
  <Characters>14310</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17138</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7995492</vt:i4>
      </vt:variant>
      <vt:variant>
        <vt:i4>93</vt:i4>
      </vt:variant>
      <vt:variant>
        <vt:i4>0</vt:i4>
      </vt:variant>
      <vt:variant>
        <vt:i4>5</vt:i4>
      </vt:variant>
      <vt:variant>
        <vt:lpwstr>http://www.nevo.co.il/law/70301</vt:lpwstr>
      </vt:variant>
      <vt:variant>
        <vt:lpwstr/>
      </vt:variant>
      <vt:variant>
        <vt:i4>5177424</vt:i4>
      </vt:variant>
      <vt:variant>
        <vt:i4>90</vt:i4>
      </vt:variant>
      <vt:variant>
        <vt:i4>0</vt:i4>
      </vt:variant>
      <vt:variant>
        <vt:i4>5</vt:i4>
      </vt:variant>
      <vt:variant>
        <vt:lpwstr>http://www.nevo.co.il/law/70301/144.g</vt:lpwstr>
      </vt:variant>
      <vt:variant>
        <vt:lpwstr/>
      </vt:variant>
      <vt:variant>
        <vt:i4>7995492</vt:i4>
      </vt:variant>
      <vt:variant>
        <vt:i4>87</vt:i4>
      </vt:variant>
      <vt:variant>
        <vt:i4>0</vt:i4>
      </vt:variant>
      <vt:variant>
        <vt:i4>5</vt:i4>
      </vt:variant>
      <vt:variant>
        <vt:lpwstr>http://www.nevo.co.il/law/70301</vt:lpwstr>
      </vt:variant>
      <vt:variant>
        <vt:lpwstr/>
      </vt:variant>
      <vt:variant>
        <vt:i4>7995492</vt:i4>
      </vt:variant>
      <vt:variant>
        <vt:i4>84</vt:i4>
      </vt:variant>
      <vt:variant>
        <vt:i4>0</vt:i4>
      </vt:variant>
      <vt:variant>
        <vt:i4>5</vt:i4>
      </vt:variant>
      <vt:variant>
        <vt:lpwstr>http://www.nevo.co.il/law/70301</vt:lpwstr>
      </vt:variant>
      <vt:variant>
        <vt:lpwstr/>
      </vt:variant>
      <vt:variant>
        <vt:i4>7995492</vt:i4>
      </vt:variant>
      <vt:variant>
        <vt:i4>81</vt:i4>
      </vt:variant>
      <vt:variant>
        <vt:i4>0</vt:i4>
      </vt:variant>
      <vt:variant>
        <vt:i4>5</vt:i4>
      </vt:variant>
      <vt:variant>
        <vt:lpwstr>http://www.nevo.co.il/law/70301</vt:lpwstr>
      </vt:variant>
      <vt:variant>
        <vt:lpwstr/>
      </vt:variant>
      <vt:variant>
        <vt:i4>3539066</vt:i4>
      </vt:variant>
      <vt:variant>
        <vt:i4>78</vt:i4>
      </vt:variant>
      <vt:variant>
        <vt:i4>0</vt:i4>
      </vt:variant>
      <vt:variant>
        <vt:i4>5</vt:i4>
      </vt:variant>
      <vt:variant>
        <vt:lpwstr>http://www.nevo.co.il/case/25692205</vt:lpwstr>
      </vt:variant>
      <vt:variant>
        <vt:lpwstr/>
      </vt:variant>
      <vt:variant>
        <vt:i4>3276919</vt:i4>
      </vt:variant>
      <vt:variant>
        <vt:i4>75</vt:i4>
      </vt:variant>
      <vt:variant>
        <vt:i4>0</vt:i4>
      </vt:variant>
      <vt:variant>
        <vt:i4>5</vt:i4>
      </vt:variant>
      <vt:variant>
        <vt:lpwstr>http://www.nevo.co.il/case/28697218</vt:lpwstr>
      </vt:variant>
      <vt:variant>
        <vt:lpwstr/>
      </vt:variant>
      <vt:variant>
        <vt:i4>3211380</vt:i4>
      </vt:variant>
      <vt:variant>
        <vt:i4>72</vt:i4>
      </vt:variant>
      <vt:variant>
        <vt:i4>0</vt:i4>
      </vt:variant>
      <vt:variant>
        <vt:i4>5</vt:i4>
      </vt:variant>
      <vt:variant>
        <vt:lpwstr>http://www.nevo.co.il/case/28883087</vt:lpwstr>
      </vt:variant>
      <vt:variant>
        <vt:lpwstr/>
      </vt:variant>
      <vt:variant>
        <vt:i4>3211380</vt:i4>
      </vt:variant>
      <vt:variant>
        <vt:i4>69</vt:i4>
      </vt:variant>
      <vt:variant>
        <vt:i4>0</vt:i4>
      </vt:variant>
      <vt:variant>
        <vt:i4>5</vt:i4>
      </vt:variant>
      <vt:variant>
        <vt:lpwstr>http://www.nevo.co.il/case/28883087</vt:lpwstr>
      </vt:variant>
      <vt:variant>
        <vt:lpwstr/>
      </vt:variant>
      <vt:variant>
        <vt:i4>3670139</vt:i4>
      </vt:variant>
      <vt:variant>
        <vt:i4>66</vt:i4>
      </vt:variant>
      <vt:variant>
        <vt:i4>0</vt:i4>
      </vt:variant>
      <vt:variant>
        <vt:i4>5</vt:i4>
      </vt:variant>
      <vt:variant>
        <vt:lpwstr>http://www.nevo.co.il/case/25824863</vt:lpwstr>
      </vt:variant>
      <vt:variant>
        <vt:lpwstr/>
      </vt:variant>
      <vt:variant>
        <vt:i4>7995492</vt:i4>
      </vt:variant>
      <vt:variant>
        <vt:i4>63</vt:i4>
      </vt:variant>
      <vt:variant>
        <vt:i4>0</vt:i4>
      </vt:variant>
      <vt:variant>
        <vt:i4>5</vt:i4>
      </vt:variant>
      <vt:variant>
        <vt:lpwstr>http://www.nevo.co.il/law/70301</vt:lpwstr>
      </vt:variant>
      <vt:variant>
        <vt:lpwstr/>
      </vt:variant>
      <vt:variant>
        <vt:i4>2097193</vt:i4>
      </vt:variant>
      <vt:variant>
        <vt:i4>60</vt:i4>
      </vt:variant>
      <vt:variant>
        <vt:i4>0</vt:i4>
      </vt:variant>
      <vt:variant>
        <vt:i4>5</vt:i4>
      </vt:variant>
      <vt:variant>
        <vt:lpwstr>http://www.nevo.co.il/safrut/bookgroup/412</vt:lpwstr>
      </vt:variant>
      <vt:variant>
        <vt:lpwstr/>
      </vt:variant>
      <vt:variant>
        <vt:i4>4128881</vt:i4>
      </vt:variant>
      <vt:variant>
        <vt:i4>57</vt:i4>
      </vt:variant>
      <vt:variant>
        <vt:i4>0</vt:i4>
      </vt:variant>
      <vt:variant>
        <vt:i4>5</vt:i4>
      </vt:variant>
      <vt:variant>
        <vt:lpwstr>http://www.nevo.co.il/case/27309272</vt:lpwstr>
      </vt:variant>
      <vt:variant>
        <vt:lpwstr/>
      </vt:variant>
      <vt:variant>
        <vt:i4>7995492</vt:i4>
      </vt:variant>
      <vt:variant>
        <vt:i4>54</vt:i4>
      </vt:variant>
      <vt:variant>
        <vt:i4>0</vt:i4>
      </vt:variant>
      <vt:variant>
        <vt:i4>5</vt:i4>
      </vt:variant>
      <vt:variant>
        <vt:lpwstr>http://www.nevo.co.il/law/70301</vt:lpwstr>
      </vt:variant>
      <vt:variant>
        <vt:lpwstr/>
      </vt:variant>
      <vt:variant>
        <vt:i4>3539061</vt:i4>
      </vt:variant>
      <vt:variant>
        <vt:i4>51</vt:i4>
      </vt:variant>
      <vt:variant>
        <vt:i4>0</vt:i4>
      </vt:variant>
      <vt:variant>
        <vt:i4>5</vt:i4>
      </vt:variant>
      <vt:variant>
        <vt:lpwstr>http://www.nevo.co.il/case/28513828</vt:lpwstr>
      </vt:variant>
      <vt:variant>
        <vt:lpwstr/>
      </vt:variant>
      <vt:variant>
        <vt:i4>6619233</vt:i4>
      </vt:variant>
      <vt:variant>
        <vt:i4>48</vt:i4>
      </vt:variant>
      <vt:variant>
        <vt:i4>0</vt:i4>
      </vt:variant>
      <vt:variant>
        <vt:i4>5</vt:i4>
      </vt:variant>
      <vt:variant>
        <vt:lpwstr>http://www.nevo.co.il/law/70301/40e</vt:lpwstr>
      </vt:variant>
      <vt:variant>
        <vt:lpwstr/>
      </vt:variant>
      <vt:variant>
        <vt:i4>6619233</vt:i4>
      </vt:variant>
      <vt:variant>
        <vt:i4>45</vt:i4>
      </vt:variant>
      <vt:variant>
        <vt:i4>0</vt:i4>
      </vt:variant>
      <vt:variant>
        <vt:i4>5</vt:i4>
      </vt:variant>
      <vt:variant>
        <vt:lpwstr>http://www.nevo.co.il/law/70301/40d</vt:lpwstr>
      </vt:variant>
      <vt:variant>
        <vt:lpwstr/>
      </vt:variant>
      <vt:variant>
        <vt:i4>262155</vt:i4>
      </vt:variant>
      <vt:variant>
        <vt:i4>42</vt:i4>
      </vt:variant>
      <vt:variant>
        <vt:i4>0</vt:i4>
      </vt:variant>
      <vt:variant>
        <vt:i4>5</vt:i4>
      </vt:variant>
      <vt:variant>
        <vt:lpwstr>http://www.nevo.co.il/law/70301/40ja</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http://www.nevo.co.il/law/70301/40i</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5177424</vt:i4>
      </vt:variant>
      <vt:variant>
        <vt:i4>18</vt:i4>
      </vt:variant>
      <vt:variant>
        <vt:i4>0</vt:i4>
      </vt:variant>
      <vt:variant>
        <vt:i4>5</vt:i4>
      </vt:variant>
      <vt:variant>
        <vt:lpwstr>http://www.nevo.co.il/law/70301/144.g</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http://www.nevo.co.il/law/70301/40e</vt:lpwstr>
      </vt:variant>
      <vt:variant>
        <vt:lpwstr/>
      </vt:variant>
      <vt:variant>
        <vt:i4>6619233</vt:i4>
      </vt:variant>
      <vt:variant>
        <vt:i4>6</vt:i4>
      </vt:variant>
      <vt:variant>
        <vt:i4>0</vt:i4>
      </vt:variant>
      <vt:variant>
        <vt:i4>5</vt:i4>
      </vt:variant>
      <vt:variant>
        <vt:lpwstr>http://www.nevo.co.il/law/70301/40d</vt:lpwstr>
      </vt:variant>
      <vt:variant>
        <vt:lpwstr/>
      </vt:variant>
      <vt:variant>
        <vt:i4>7995492</vt:i4>
      </vt:variant>
      <vt:variant>
        <vt:i4>3</vt:i4>
      </vt:variant>
      <vt:variant>
        <vt:i4>0</vt:i4>
      </vt:variant>
      <vt:variant>
        <vt:i4>5</vt:i4>
      </vt:variant>
      <vt:variant>
        <vt:lpwstr>http://www.nevo.co.il/law/70301</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2025-01-19T17:52:00Z</dcterms:created>
  <dcterms:modified xsi:type="dcterms:W3CDTF">2025-01-19T17:52:00Z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20743</vt:lpwstr>
  </property>
  <property fmtid="{D5CDD505-2E9C-101B-9397-08002B2CF9AE}" pid="6" name="NEWPARTB">
    <vt:lpwstr>11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סמיר ג'בארין</vt:lpwstr>
  </property>
  <property fmtid="{D5CDD505-2E9C-101B-9397-08002B2CF9AE}" pid="10" name="LAWYER">
    <vt:lpwstr>מידד אזרזר;עאדל בויראת</vt:lpwstr>
  </property>
  <property fmtid="{D5CDD505-2E9C-101B-9397-08002B2CF9AE}" pid="11" name="JUDGE">
    <vt:lpwstr>אלכס אחטר</vt:lpwstr>
  </property>
  <property fmtid="{D5CDD505-2E9C-101B-9397-08002B2CF9AE}" pid="12" name="CITY">
    <vt:lpwstr>חד'</vt:lpwstr>
  </property>
  <property fmtid="{D5CDD505-2E9C-101B-9397-08002B2CF9AE}" pid="13" name="DATE">
    <vt:lpwstr>20240303</vt:lpwstr>
  </property>
  <property fmtid="{D5CDD505-2E9C-101B-9397-08002B2CF9AE}" pid="14" name="TYPE_N_DATE">
    <vt:lpwstr>38020240303</vt:lpwstr>
  </property>
  <property fmtid="{D5CDD505-2E9C-101B-9397-08002B2CF9AE}" pid="15" name="WORDNUMPAGES">
    <vt:lpwstr>8</vt:lpwstr>
  </property>
  <property fmtid="{D5CDD505-2E9C-101B-9397-08002B2CF9AE}" pid="16" name="TYPE_ABS_DATE">
    <vt:lpwstr>380020240303</vt:lpwstr>
  </property>
  <property fmtid="{D5CDD505-2E9C-101B-9397-08002B2CF9AE}" pid="17" name="ISABSTRACT">
    <vt:lpwstr>Y</vt:lpwstr>
  </property>
  <property fmtid="{D5CDD505-2E9C-101B-9397-08002B2CF9AE}" pid="18" name="CASESLISTTMP1">
    <vt:lpwstr>28513828;27309272;25824863;28883087:2;28697218;25692205</vt:lpwstr>
  </property>
  <property fmtid="{D5CDD505-2E9C-101B-9397-08002B2CF9AE}" pid="19" name="BOOKGROUPTMP1">
    <vt:lpwstr>412</vt:lpwstr>
  </property>
  <property fmtid="{D5CDD505-2E9C-101B-9397-08002B2CF9AE}" pid="20" name="LAWLISTTMP1">
    <vt:lpwstr>70301/144.a:2;040i;40ja;040d;040e;144.g</vt:lpwstr>
  </property>
</Properties>
</file>